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Ex2.xml" ContentType="application/vnd.ms-office.chartex+xml"/>
  <Override PartName="/word/charts/style6.xml" ContentType="application/vnd.ms-office.chartstyle+xml"/>
  <Override PartName="/word/charts/colors6.xml" ContentType="application/vnd.ms-office.chartcolorstyle+xml"/>
  <Override PartName="/word/charts/chart5.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6.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7.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8.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D82793F"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336695">
              <w:rPr>
                <w:b/>
                <w:bCs/>
                <w:lang w:val="en-US"/>
              </w:rPr>
              <w:t>4</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28B37D31" w:rsidR="00683C32" w:rsidRPr="007F1CC7" w:rsidRDefault="004C65CF" w:rsidP="00B648C7">
            <w:pPr>
              <w:spacing w:before="0"/>
              <w:rPr>
                <w:b/>
                <w:szCs w:val="24"/>
              </w:rPr>
            </w:pPr>
            <w:bookmarkStart w:id="2" w:name="CreationDate"/>
            <w:bookmarkEnd w:id="2"/>
            <w:r w:rsidRPr="004C65CF">
              <w:rPr>
                <w:b/>
                <w:bCs/>
                <w:szCs w:val="28"/>
              </w:rPr>
              <w:t>11</w:t>
            </w:r>
            <w:r w:rsidR="00CE0422" w:rsidRPr="004C65CF">
              <w:rPr>
                <w:b/>
                <w:bCs/>
                <w:szCs w:val="28"/>
              </w:rPr>
              <w:t xml:space="preserve"> </w:t>
            </w:r>
            <w:r w:rsidRPr="004C65CF">
              <w:rPr>
                <w:b/>
                <w:bCs/>
                <w:szCs w:val="28"/>
              </w:rPr>
              <w:t>May</w:t>
            </w:r>
            <w:r w:rsidR="00CE0422" w:rsidRPr="004C65CF">
              <w:rPr>
                <w:b/>
                <w:bCs/>
                <w:szCs w:val="28"/>
              </w:rPr>
              <w:t xml:space="preserve"> 20</w:t>
            </w:r>
            <w:r w:rsidR="00B648C7" w:rsidRPr="004C65CF">
              <w:rPr>
                <w:b/>
                <w:bCs/>
                <w:szCs w:val="28"/>
              </w:rPr>
              <w:t>2</w:t>
            </w:r>
            <w:r w:rsidR="005C5A93" w:rsidRPr="004C65CF">
              <w:rPr>
                <w:b/>
                <w:bCs/>
                <w:szCs w:val="28"/>
              </w:rPr>
              <w:t>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10C0178F" w:rsidR="00A13162" w:rsidRPr="0030353C" w:rsidRDefault="008157CC" w:rsidP="0030353C">
            <w:pPr>
              <w:pStyle w:val="Source"/>
            </w:pPr>
            <w:bookmarkStart w:id="4" w:name="Source"/>
            <w:bookmarkEnd w:id="4"/>
            <w:r>
              <w:t>Director, Telecommunication Development Bureau</w:t>
            </w:r>
          </w:p>
        </w:tc>
      </w:tr>
      <w:tr w:rsidR="00AC6F14" w:rsidRPr="002E6963" w14:paraId="2CBD3A36" w14:textId="77777777" w:rsidTr="00107E85">
        <w:trPr>
          <w:cantSplit/>
        </w:trPr>
        <w:tc>
          <w:tcPr>
            <w:tcW w:w="9888" w:type="dxa"/>
            <w:gridSpan w:val="2"/>
          </w:tcPr>
          <w:p w14:paraId="1B4121DF" w14:textId="7EF4CF42" w:rsidR="00AC6F14" w:rsidRPr="0030353C" w:rsidRDefault="008157CC" w:rsidP="0030353C">
            <w:pPr>
              <w:pStyle w:val="Title1"/>
            </w:pPr>
            <w:bookmarkStart w:id="5" w:name="Title"/>
            <w:bookmarkEnd w:id="5"/>
            <w:r>
              <w:t xml:space="preserve">ITU-D partnerships and resource mobilization </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FA2081"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9C309F">
            <w:pPr>
              <w:spacing w:after="120"/>
              <w:rPr>
                <w:b/>
                <w:bCs/>
                <w:szCs w:val="24"/>
              </w:rPr>
            </w:pPr>
            <w:r w:rsidRPr="00D9621A">
              <w:rPr>
                <w:b/>
                <w:bCs/>
                <w:szCs w:val="24"/>
              </w:rPr>
              <w:t>Summary:</w:t>
            </w:r>
          </w:p>
          <w:p w14:paraId="606EF887" w14:textId="6F56ABBE" w:rsidR="00BD2158" w:rsidRDefault="00BD2158" w:rsidP="009C309F">
            <w:pPr>
              <w:spacing w:after="120"/>
            </w:pPr>
            <w:r>
              <w:t xml:space="preserve">The importance of partnerships and resource mobilization was highlighted by the World Telecommunication Development Conference </w:t>
            </w:r>
            <w:r w:rsidR="00B377A5">
              <w:t>2022</w:t>
            </w:r>
            <w:r>
              <w:t xml:space="preserve"> (WTDC-22). This document reports on partnerships and resource mobilization activities undertaken in 2022.</w:t>
            </w:r>
          </w:p>
          <w:p w14:paraId="76A1C541" w14:textId="035B4B93" w:rsidR="00A721F4" w:rsidRPr="00D9621A" w:rsidRDefault="00A721F4" w:rsidP="009C309F">
            <w:pPr>
              <w:spacing w:after="120"/>
              <w:rPr>
                <w:b/>
                <w:bCs/>
                <w:szCs w:val="24"/>
              </w:rPr>
            </w:pPr>
            <w:r w:rsidRPr="005E090D">
              <w:rPr>
                <w:b/>
                <w:bCs/>
              </w:rPr>
              <w:t>Action required:</w:t>
            </w:r>
          </w:p>
          <w:p w14:paraId="47D8BC4F" w14:textId="77777777" w:rsidR="005B227A" w:rsidRDefault="005B227A" w:rsidP="009C309F">
            <w:pPr>
              <w:spacing w:after="120"/>
            </w:pPr>
            <w:r w:rsidRPr="005B227A">
              <w:t>TDAG is invited to note this document and provide guidance as deemed appropriate.</w:t>
            </w:r>
          </w:p>
          <w:p w14:paraId="622ACB80" w14:textId="4DAED972" w:rsidR="00A721F4" w:rsidRPr="00D9621A" w:rsidRDefault="00A721F4" w:rsidP="009C309F">
            <w:pPr>
              <w:spacing w:after="120"/>
              <w:rPr>
                <w:b/>
                <w:bCs/>
                <w:szCs w:val="24"/>
              </w:rPr>
            </w:pPr>
            <w:r w:rsidRPr="00D9621A">
              <w:rPr>
                <w:b/>
                <w:bCs/>
                <w:szCs w:val="24"/>
              </w:rPr>
              <w:t>References:</w:t>
            </w:r>
          </w:p>
          <w:p w14:paraId="268800CB" w14:textId="089FF91F" w:rsidR="00631DCF" w:rsidRPr="00DE04AA" w:rsidRDefault="00D356E3" w:rsidP="009C309F">
            <w:pPr>
              <w:spacing w:after="120"/>
            </w:pPr>
            <w:r>
              <w:t>Sections 3.</w:t>
            </w:r>
            <w:r w:rsidR="00BF06FC">
              <w:t>1</w:t>
            </w:r>
            <w:r>
              <w:t xml:space="preserve"> and </w:t>
            </w:r>
            <w:r w:rsidR="00BF06FC">
              <w:t>3</w:t>
            </w:r>
            <w:r>
              <w:t>.</w:t>
            </w:r>
            <w:r w:rsidR="00BF06FC">
              <w:t>3</w:t>
            </w:r>
            <w:r>
              <w:t xml:space="preserve"> of the </w:t>
            </w:r>
            <w:r w:rsidR="00DE04AA" w:rsidRPr="00DE04AA">
              <w:t>Kigali</w:t>
            </w:r>
            <w:r w:rsidR="00631DCF" w:rsidRPr="00DE04AA">
              <w:t xml:space="preserve"> Action Plan</w:t>
            </w:r>
            <w:r w:rsidR="00FA2081">
              <w:t xml:space="preserve">, </w:t>
            </w:r>
            <w:r w:rsidR="00631DCF" w:rsidRPr="00DE04AA">
              <w:t>WTDC-</w:t>
            </w:r>
            <w:r w:rsidR="00DE04AA" w:rsidRPr="00DE04AA">
              <w:t>22</w:t>
            </w:r>
            <w:r w:rsidR="00631DCF" w:rsidRPr="00DE04AA">
              <w:t xml:space="preserve"> Final Report</w:t>
            </w:r>
          </w:p>
          <w:p w14:paraId="1C3ED183" w14:textId="77777777" w:rsidR="00091D4F" w:rsidRDefault="00631DCF" w:rsidP="009C309F">
            <w:pPr>
              <w:spacing w:after="120"/>
            </w:pPr>
            <w:r w:rsidRPr="0003668E">
              <w:t xml:space="preserve">Resolution </w:t>
            </w:r>
            <w:r w:rsidR="009820B7" w:rsidRPr="0003668E">
              <w:t>17</w:t>
            </w:r>
            <w:r w:rsidRPr="0003668E">
              <w:t xml:space="preserve"> (Rev. </w:t>
            </w:r>
            <w:r w:rsidR="009820B7" w:rsidRPr="0003668E">
              <w:t>Kigali,</w:t>
            </w:r>
            <w:r w:rsidRPr="0003668E">
              <w:t xml:space="preserve"> 20</w:t>
            </w:r>
            <w:r w:rsidR="0003668E" w:rsidRPr="0003668E">
              <w:t>2</w:t>
            </w:r>
            <w:r w:rsidR="009820B7" w:rsidRPr="0003668E">
              <w:t>2</w:t>
            </w:r>
            <w:r w:rsidRPr="0003668E">
              <w:t>)</w:t>
            </w:r>
            <w:r w:rsidR="00FA2081">
              <w:t>, WTDC-22 Final Report</w:t>
            </w:r>
          </w:p>
          <w:p w14:paraId="0FBEF2AC" w14:textId="77777777" w:rsidR="00A10BCB" w:rsidRDefault="00513FA0" w:rsidP="009C309F">
            <w:pPr>
              <w:spacing w:after="120"/>
            </w:pPr>
            <w:r>
              <w:t>WTDC-22 Declaration</w:t>
            </w:r>
          </w:p>
          <w:p w14:paraId="1ECDD20E" w14:textId="008BCC8E" w:rsidR="00C8039E" w:rsidRPr="00C8039E" w:rsidRDefault="00D14790" w:rsidP="009C309F">
            <w:pPr>
              <w:spacing w:after="120"/>
            </w:pPr>
            <w:r>
              <w:t xml:space="preserve">Section 4.5 of the </w:t>
            </w:r>
            <w:r w:rsidR="00264969">
              <w:t>Buenos Aires Action Plan</w:t>
            </w:r>
            <w:r w:rsidR="00C8039E">
              <w:t xml:space="preserve">, </w:t>
            </w:r>
            <w:r>
              <w:t>WTDC-17 Final Report</w:t>
            </w:r>
          </w:p>
        </w:tc>
      </w:tr>
    </w:tbl>
    <w:p w14:paraId="77CF718B" w14:textId="77777777" w:rsidR="00AC6F14" w:rsidRPr="00FA2081" w:rsidRDefault="00AC6F14" w:rsidP="00EA0C51">
      <w:pPr>
        <w:spacing w:after="120"/>
      </w:pPr>
    </w:p>
    <w:p w14:paraId="5B29B2A3" w14:textId="77777777" w:rsidR="00923CF1" w:rsidRPr="00FA2081" w:rsidRDefault="00923CF1">
      <w:pPr>
        <w:tabs>
          <w:tab w:val="clear" w:pos="794"/>
          <w:tab w:val="clear" w:pos="1191"/>
          <w:tab w:val="clear" w:pos="1588"/>
          <w:tab w:val="clear" w:pos="1985"/>
        </w:tabs>
        <w:overflowPunct/>
        <w:autoSpaceDE/>
        <w:autoSpaceDN/>
        <w:adjustRightInd/>
        <w:spacing w:before="0"/>
        <w:textAlignment w:val="auto"/>
      </w:pPr>
      <w:r w:rsidRPr="00FA2081">
        <w:br w:type="page"/>
      </w:r>
    </w:p>
    <w:p w14:paraId="6C642C9F" w14:textId="39F4CBD7" w:rsidR="00AC439B" w:rsidRPr="009C309F" w:rsidRDefault="00AC439B" w:rsidP="009C309F">
      <w:pPr>
        <w:pStyle w:val="ListParagraph"/>
        <w:numPr>
          <w:ilvl w:val="0"/>
          <w:numId w:val="17"/>
        </w:numPr>
        <w:spacing w:after="120"/>
        <w:rPr>
          <w:b/>
          <w:bCs/>
          <w:szCs w:val="24"/>
        </w:rPr>
      </w:pPr>
      <w:r w:rsidRPr="009C309F">
        <w:rPr>
          <w:b/>
          <w:bCs/>
          <w:szCs w:val="24"/>
        </w:rPr>
        <w:lastRenderedPageBreak/>
        <w:t>Background</w:t>
      </w:r>
    </w:p>
    <w:p w14:paraId="5DE57773" w14:textId="220E738B" w:rsidR="00636973" w:rsidRPr="009C309F" w:rsidRDefault="00AC439B" w:rsidP="009C309F">
      <w:pPr>
        <w:spacing w:after="120"/>
        <w:rPr>
          <w:szCs w:val="24"/>
        </w:rPr>
      </w:pPr>
      <w:r w:rsidRPr="009C309F">
        <w:rPr>
          <w:szCs w:val="24"/>
        </w:rPr>
        <w:t>The World Telecommunication Development Conference 20</w:t>
      </w:r>
      <w:r w:rsidR="00024DAC" w:rsidRPr="009C309F">
        <w:rPr>
          <w:szCs w:val="24"/>
        </w:rPr>
        <w:t>22</w:t>
      </w:r>
      <w:r w:rsidRPr="009C309F">
        <w:rPr>
          <w:szCs w:val="24"/>
        </w:rPr>
        <w:t xml:space="preserve"> (WTDC-</w:t>
      </w:r>
      <w:r w:rsidR="00024DAC" w:rsidRPr="009C309F">
        <w:rPr>
          <w:szCs w:val="24"/>
        </w:rPr>
        <w:t>22</w:t>
      </w:r>
      <w:r w:rsidRPr="009C309F">
        <w:rPr>
          <w:szCs w:val="24"/>
        </w:rPr>
        <w:t xml:space="preserve">) </w:t>
      </w:r>
      <w:r w:rsidR="003E1143" w:rsidRPr="009C309F">
        <w:rPr>
          <w:szCs w:val="24"/>
        </w:rPr>
        <w:t xml:space="preserve">recognized the importance of </w:t>
      </w:r>
      <w:r w:rsidR="0036643D" w:rsidRPr="009C309F">
        <w:rPr>
          <w:szCs w:val="24"/>
        </w:rPr>
        <w:t>Resource Mobilization and International Cooperation</w:t>
      </w:r>
      <w:r w:rsidR="00013C64" w:rsidRPr="009C309F">
        <w:rPr>
          <w:szCs w:val="24"/>
        </w:rPr>
        <w:t>,</w:t>
      </w:r>
      <w:r w:rsidR="006B6710" w:rsidRPr="009C309F">
        <w:rPr>
          <w:szCs w:val="24"/>
        </w:rPr>
        <w:t xml:space="preserve"> as </w:t>
      </w:r>
      <w:r w:rsidR="004B1F91" w:rsidRPr="009C309F">
        <w:rPr>
          <w:szCs w:val="24"/>
        </w:rPr>
        <w:t xml:space="preserve">a </w:t>
      </w:r>
      <w:r w:rsidR="006B6710" w:rsidRPr="009C309F">
        <w:rPr>
          <w:szCs w:val="24"/>
        </w:rPr>
        <w:t xml:space="preserve">new </w:t>
      </w:r>
      <w:r w:rsidR="00BD2135" w:rsidRPr="009C309F">
        <w:rPr>
          <w:szCs w:val="24"/>
        </w:rPr>
        <w:t xml:space="preserve">ITU-D </w:t>
      </w:r>
      <w:r w:rsidR="00A00E15" w:rsidRPr="009C309F">
        <w:rPr>
          <w:szCs w:val="24"/>
        </w:rPr>
        <w:t>P</w:t>
      </w:r>
      <w:r w:rsidR="0036643D" w:rsidRPr="009C309F">
        <w:rPr>
          <w:szCs w:val="24"/>
        </w:rPr>
        <w:t xml:space="preserve">riority </w:t>
      </w:r>
      <w:r w:rsidR="006B6710" w:rsidRPr="009C309F">
        <w:rPr>
          <w:szCs w:val="24"/>
        </w:rPr>
        <w:t xml:space="preserve">and Enabler </w:t>
      </w:r>
      <w:r w:rsidRPr="009C309F">
        <w:rPr>
          <w:szCs w:val="24"/>
        </w:rPr>
        <w:t xml:space="preserve">of the </w:t>
      </w:r>
      <w:r w:rsidR="00024DAC" w:rsidRPr="009C309F">
        <w:rPr>
          <w:szCs w:val="24"/>
        </w:rPr>
        <w:t>Kigali</w:t>
      </w:r>
      <w:r w:rsidRPr="009C309F">
        <w:rPr>
          <w:szCs w:val="24"/>
        </w:rPr>
        <w:t xml:space="preserve"> Action</w:t>
      </w:r>
      <w:r w:rsidR="004B1F91" w:rsidRPr="009C309F">
        <w:rPr>
          <w:szCs w:val="24"/>
        </w:rPr>
        <w:t xml:space="preserve"> Plan</w:t>
      </w:r>
      <w:r w:rsidR="007247E9" w:rsidRPr="009C309F">
        <w:rPr>
          <w:szCs w:val="24"/>
        </w:rPr>
        <w:t>:</w:t>
      </w:r>
      <w:r w:rsidRPr="009C309F">
        <w:rPr>
          <w:szCs w:val="24"/>
        </w:rPr>
        <w:t xml:space="preserve"> </w:t>
      </w:r>
      <w:r w:rsidR="00950BC8" w:rsidRPr="009C309F">
        <w:rPr>
          <w:szCs w:val="24"/>
        </w:rPr>
        <w:t>“</w:t>
      </w:r>
      <w:r w:rsidR="00636973" w:rsidRPr="009C309F">
        <w:rPr>
          <w:szCs w:val="24"/>
        </w:rPr>
        <w:t>The focus of this Priority is on mobilizing and attracting resources and fostering international cooperation on telecommunication/ICT development issues. This Priority is also cross cutting by providing resources and fostering international cooperation to deliver relevant global outcomes. In doing so, the needs of developing countries, least developed countries, small island developing states, landlocked developing countries, and countries with economies in transition as well as underserved and vulnerable populations should be prioritized and given due attention.</w:t>
      </w:r>
      <w:r w:rsidR="00D30ED9" w:rsidRPr="009C309F">
        <w:rPr>
          <w:szCs w:val="24"/>
        </w:rPr>
        <w:t>”</w:t>
      </w:r>
      <w:r w:rsidR="00105B16" w:rsidRPr="009C309F">
        <w:rPr>
          <w:szCs w:val="24"/>
        </w:rPr>
        <w:t xml:space="preserve"> </w:t>
      </w:r>
      <w:r w:rsidR="00CC2735" w:rsidRPr="009C309F">
        <w:rPr>
          <w:szCs w:val="24"/>
        </w:rPr>
        <w:t>(Kigali Action Plan)</w:t>
      </w:r>
    </w:p>
    <w:p w14:paraId="44E1D69E" w14:textId="733A0BF6" w:rsidR="00D30ED9" w:rsidRPr="009C309F" w:rsidRDefault="004104C8" w:rsidP="009C309F">
      <w:pPr>
        <w:spacing w:after="120"/>
        <w:rPr>
          <w:szCs w:val="24"/>
        </w:rPr>
      </w:pPr>
      <w:r w:rsidRPr="009C309F">
        <w:rPr>
          <w:szCs w:val="24"/>
        </w:rPr>
        <w:t xml:space="preserve">Resolution 17 (Rev. </w:t>
      </w:r>
      <w:r w:rsidR="008A2B01" w:rsidRPr="009C309F">
        <w:rPr>
          <w:szCs w:val="24"/>
        </w:rPr>
        <w:t>Kigali, 2022</w:t>
      </w:r>
      <w:r w:rsidRPr="009C309F">
        <w:rPr>
          <w:szCs w:val="24"/>
        </w:rPr>
        <w:t xml:space="preserve">) </w:t>
      </w:r>
      <w:r w:rsidR="008A2B01" w:rsidRPr="009C309F">
        <w:rPr>
          <w:szCs w:val="24"/>
        </w:rPr>
        <w:t xml:space="preserve">on “Implementation of and cooperation on approved regional </w:t>
      </w:r>
      <w:r w:rsidR="00D40218" w:rsidRPr="009C309F">
        <w:rPr>
          <w:szCs w:val="24"/>
        </w:rPr>
        <w:t>initiatives</w:t>
      </w:r>
      <w:r w:rsidR="008A2B01" w:rsidRPr="009C309F">
        <w:rPr>
          <w:szCs w:val="24"/>
        </w:rPr>
        <w:t xml:space="preserve"> at the national, regional interregional and global levels” </w:t>
      </w:r>
      <w:r w:rsidR="00A5524E" w:rsidRPr="009C309F">
        <w:rPr>
          <w:szCs w:val="24"/>
        </w:rPr>
        <w:t xml:space="preserve">instructs the </w:t>
      </w:r>
      <w:r w:rsidR="00C95147" w:rsidRPr="009C309F">
        <w:rPr>
          <w:szCs w:val="24"/>
        </w:rPr>
        <w:t xml:space="preserve">BDT Director “to ensure that BDT facilitates the active involvement of regional and </w:t>
      </w:r>
      <w:proofErr w:type="spellStart"/>
      <w:r w:rsidR="00C95147" w:rsidRPr="009C309F">
        <w:rPr>
          <w:szCs w:val="24"/>
        </w:rPr>
        <w:t>subregional</w:t>
      </w:r>
      <w:proofErr w:type="spellEnd"/>
      <w:r w:rsidR="00C95147" w:rsidRPr="009C309F">
        <w:rPr>
          <w:szCs w:val="24"/>
        </w:rPr>
        <w:t xml:space="preserve"> telecommunication organizations in the different phases of project management established by ITU, as well as in forging partnerships and resource mobilization, with a view to effectively advancing the implementation of regional initiatives.”</w:t>
      </w:r>
      <w:r w:rsidR="00F64419" w:rsidRPr="009C309F">
        <w:rPr>
          <w:szCs w:val="24"/>
        </w:rPr>
        <w:t xml:space="preserve"> </w:t>
      </w:r>
    </w:p>
    <w:p w14:paraId="7FE8E3EE" w14:textId="154CAA0F" w:rsidR="00AC439B" w:rsidRPr="009C309F" w:rsidRDefault="00AC439B" w:rsidP="009C309F">
      <w:pPr>
        <w:pStyle w:val="ListParagraph"/>
        <w:numPr>
          <w:ilvl w:val="0"/>
          <w:numId w:val="17"/>
        </w:numPr>
        <w:spacing w:after="120"/>
        <w:rPr>
          <w:b/>
          <w:bCs/>
          <w:szCs w:val="24"/>
        </w:rPr>
      </w:pPr>
      <w:r w:rsidRPr="009C309F">
        <w:rPr>
          <w:b/>
          <w:bCs/>
          <w:szCs w:val="24"/>
        </w:rPr>
        <w:t>ITU-D partnerships and resource mobilization strategic objective</w:t>
      </w:r>
    </w:p>
    <w:p w14:paraId="5CD42126" w14:textId="7A492EC3" w:rsidR="00942CC3" w:rsidRPr="009C309F" w:rsidRDefault="00AC439B" w:rsidP="009C309F">
      <w:pPr>
        <w:spacing w:after="120"/>
        <w:rPr>
          <w:szCs w:val="24"/>
        </w:rPr>
      </w:pPr>
      <w:r w:rsidRPr="009C309F">
        <w:rPr>
          <w:szCs w:val="24"/>
        </w:rPr>
        <w:t>In accordance with the outcomes of the WTDC-</w:t>
      </w:r>
      <w:r w:rsidR="00024DAC" w:rsidRPr="009C309F">
        <w:rPr>
          <w:szCs w:val="24"/>
        </w:rPr>
        <w:t>22</w:t>
      </w:r>
      <w:r w:rsidRPr="009C309F">
        <w:rPr>
          <w:szCs w:val="24"/>
        </w:rPr>
        <w:t xml:space="preserve">, the objective is </w:t>
      </w:r>
      <w:r w:rsidR="00942CC3" w:rsidRPr="009C309F">
        <w:rPr>
          <w:szCs w:val="24"/>
        </w:rPr>
        <w:t>to</w:t>
      </w:r>
      <w:r w:rsidRPr="009C309F">
        <w:rPr>
          <w:szCs w:val="24"/>
        </w:rPr>
        <w:t xml:space="preserve"> </w:t>
      </w:r>
      <w:r w:rsidR="00E77674" w:rsidRPr="009C309F">
        <w:rPr>
          <w:szCs w:val="24"/>
        </w:rPr>
        <w:t>facilitate</w:t>
      </w:r>
      <w:r w:rsidR="00440925" w:rsidRPr="009C309F">
        <w:rPr>
          <w:szCs w:val="24"/>
        </w:rPr>
        <w:t xml:space="preserve">, develop and strengthen partnership and international collaboration with </w:t>
      </w:r>
      <w:r w:rsidR="00E77674" w:rsidRPr="009C309F">
        <w:rPr>
          <w:szCs w:val="24"/>
        </w:rPr>
        <w:t xml:space="preserve">the </w:t>
      </w:r>
      <w:r w:rsidR="00440925" w:rsidRPr="009C309F">
        <w:rPr>
          <w:szCs w:val="24"/>
        </w:rPr>
        <w:t>widest possible range of partners from both developed and developing countries with the goal of enhancing</w:t>
      </w:r>
      <w:r w:rsidR="008116BC" w:rsidRPr="009C309F">
        <w:rPr>
          <w:szCs w:val="24"/>
        </w:rPr>
        <w:t xml:space="preserve"> coordination, expertise sharing and resource mobilization </w:t>
      </w:r>
      <w:r w:rsidR="000D56D7" w:rsidRPr="009C309F">
        <w:rPr>
          <w:szCs w:val="24"/>
        </w:rPr>
        <w:t xml:space="preserve">for the implementation of programmes, activities and initiatives </w:t>
      </w:r>
      <w:r w:rsidR="00A42C87" w:rsidRPr="009C309F">
        <w:rPr>
          <w:szCs w:val="24"/>
        </w:rPr>
        <w:t>for sustainable development</w:t>
      </w:r>
      <w:r w:rsidR="00942CC3" w:rsidRPr="009C309F">
        <w:rPr>
          <w:szCs w:val="24"/>
        </w:rPr>
        <w:t>.</w:t>
      </w:r>
    </w:p>
    <w:p w14:paraId="0F0D7BA2" w14:textId="61C9D159" w:rsidR="00AC439B" w:rsidRPr="009C309F" w:rsidRDefault="00AC439B" w:rsidP="009C309F">
      <w:pPr>
        <w:pStyle w:val="ListParagraph"/>
        <w:numPr>
          <w:ilvl w:val="0"/>
          <w:numId w:val="17"/>
        </w:numPr>
        <w:spacing w:after="120"/>
        <w:rPr>
          <w:b/>
          <w:bCs/>
          <w:szCs w:val="24"/>
        </w:rPr>
      </w:pPr>
      <w:r w:rsidRPr="009C309F">
        <w:rPr>
          <w:b/>
          <w:bCs/>
          <w:szCs w:val="24"/>
        </w:rPr>
        <w:t>Partnerships and results of resource mobilization</w:t>
      </w:r>
      <w:r w:rsidR="00EC3322" w:rsidRPr="009C309F">
        <w:rPr>
          <w:b/>
          <w:bCs/>
          <w:szCs w:val="24"/>
        </w:rPr>
        <w:t xml:space="preserve"> in 2022</w:t>
      </w:r>
    </w:p>
    <w:p w14:paraId="6CC790C6" w14:textId="6E04633F" w:rsidR="00283EA3" w:rsidRPr="009C309F" w:rsidRDefault="00283EA3" w:rsidP="009C309F">
      <w:pPr>
        <w:spacing w:after="120"/>
        <w:rPr>
          <w:szCs w:val="24"/>
        </w:rPr>
      </w:pPr>
      <w:r w:rsidRPr="009C309F">
        <w:rPr>
          <w:szCs w:val="24"/>
        </w:rPr>
        <w:t xml:space="preserve">In 2022, BDT signed </w:t>
      </w:r>
      <w:r w:rsidR="00627BEF" w:rsidRPr="009C309F">
        <w:rPr>
          <w:szCs w:val="24"/>
        </w:rPr>
        <w:t>71</w:t>
      </w:r>
      <w:r w:rsidRPr="009C309F">
        <w:rPr>
          <w:szCs w:val="24"/>
        </w:rPr>
        <w:t xml:space="preserve"> agreements with </w:t>
      </w:r>
      <w:r w:rsidR="004A650C" w:rsidRPr="009C309F">
        <w:rPr>
          <w:szCs w:val="24"/>
        </w:rPr>
        <w:t xml:space="preserve">a wide range of </w:t>
      </w:r>
      <w:r w:rsidRPr="009C309F">
        <w:rPr>
          <w:szCs w:val="24"/>
        </w:rPr>
        <w:t xml:space="preserve">partners, out of which </w:t>
      </w:r>
      <w:r w:rsidR="00D2412A" w:rsidRPr="009C309F">
        <w:rPr>
          <w:szCs w:val="24"/>
        </w:rPr>
        <w:t>5</w:t>
      </w:r>
      <w:r w:rsidR="0099048A" w:rsidRPr="009C309F">
        <w:rPr>
          <w:szCs w:val="24"/>
        </w:rPr>
        <w:t>0</w:t>
      </w:r>
      <w:r w:rsidRPr="009C309F">
        <w:rPr>
          <w:szCs w:val="24"/>
        </w:rPr>
        <w:t xml:space="preserve"> had financial contribu</w:t>
      </w:r>
      <w:r w:rsidRPr="00CE3F18">
        <w:rPr>
          <w:szCs w:val="24"/>
        </w:rPr>
        <w:t xml:space="preserve">tions amounting to around USD </w:t>
      </w:r>
      <w:r w:rsidR="00C774A3" w:rsidRPr="00CE3F18">
        <w:rPr>
          <w:szCs w:val="24"/>
        </w:rPr>
        <w:t>9.</w:t>
      </w:r>
      <w:r w:rsidR="00F10ED4" w:rsidRPr="00CE3F18">
        <w:rPr>
          <w:szCs w:val="24"/>
        </w:rPr>
        <w:t>7</w:t>
      </w:r>
      <w:r w:rsidRPr="00CE3F18">
        <w:rPr>
          <w:szCs w:val="24"/>
        </w:rPr>
        <w:t xml:space="preserve"> million. The list of these agreements can be found in Document </w:t>
      </w:r>
      <w:r w:rsidR="00BE3101" w:rsidRPr="00CE3F18">
        <w:rPr>
          <w:szCs w:val="24"/>
        </w:rPr>
        <w:t>TDAG</w:t>
      </w:r>
      <w:r w:rsidR="0027170C" w:rsidRPr="00CE3F18">
        <w:rPr>
          <w:szCs w:val="24"/>
        </w:rPr>
        <w:noBreakHyphen/>
      </w:r>
      <w:r w:rsidR="00BE3101" w:rsidRPr="00CE3F18">
        <w:rPr>
          <w:szCs w:val="24"/>
        </w:rPr>
        <w:t>23/INF/1.</w:t>
      </w:r>
      <w:r w:rsidR="00BE3101" w:rsidRPr="009C309F">
        <w:rPr>
          <w:szCs w:val="24"/>
        </w:rPr>
        <w:t xml:space="preserve"> </w:t>
      </w:r>
    </w:p>
    <w:p w14:paraId="7B78A27B" w14:textId="0EF35ABD" w:rsidR="00D53718" w:rsidRPr="009C309F" w:rsidRDefault="00D53718" w:rsidP="009C309F">
      <w:pPr>
        <w:spacing w:after="120"/>
        <w:rPr>
          <w:szCs w:val="24"/>
        </w:rPr>
      </w:pPr>
      <w:r w:rsidRPr="009C309F">
        <w:rPr>
          <w:szCs w:val="24"/>
        </w:rPr>
        <w:t xml:space="preserve">Concluding </w:t>
      </w:r>
      <w:r w:rsidR="00E77674" w:rsidRPr="009C309F">
        <w:rPr>
          <w:szCs w:val="24"/>
        </w:rPr>
        <w:t xml:space="preserve">all these </w:t>
      </w:r>
      <w:r w:rsidRPr="009C309F">
        <w:rPr>
          <w:szCs w:val="24"/>
        </w:rPr>
        <w:t>partnerships has been possible thanks to the combined efforts of ITU membership and partners as well as of the BDT staff, both in the field and at headquarters.</w:t>
      </w:r>
    </w:p>
    <w:p w14:paraId="66B5B16F" w14:textId="074E2EB3" w:rsidR="00B528DB" w:rsidRPr="009C309F" w:rsidRDefault="009869AF" w:rsidP="009C309F">
      <w:pPr>
        <w:spacing w:after="120"/>
        <w:rPr>
          <w:szCs w:val="24"/>
        </w:rPr>
      </w:pPr>
      <w:r w:rsidRPr="009C309F">
        <w:rPr>
          <w:szCs w:val="24"/>
        </w:rPr>
        <w:t xml:space="preserve">The total financial contributions </w:t>
      </w:r>
      <w:r w:rsidR="00320908" w:rsidRPr="009C309F">
        <w:rPr>
          <w:szCs w:val="24"/>
        </w:rPr>
        <w:t xml:space="preserve">signed by </w:t>
      </w:r>
      <w:r w:rsidR="00283EA3" w:rsidRPr="009C309F">
        <w:rPr>
          <w:szCs w:val="24"/>
        </w:rPr>
        <w:t>BDT and its partners in 2022</w:t>
      </w:r>
      <w:r w:rsidR="002A5BD1" w:rsidRPr="009C309F">
        <w:rPr>
          <w:szCs w:val="24"/>
        </w:rPr>
        <w:t xml:space="preserve"> were </w:t>
      </w:r>
      <w:r w:rsidR="00320908" w:rsidRPr="009C309F">
        <w:rPr>
          <w:szCs w:val="24"/>
        </w:rPr>
        <w:t xml:space="preserve">distributed </w:t>
      </w:r>
      <w:r w:rsidR="002A5BD1" w:rsidRPr="009C309F">
        <w:rPr>
          <w:szCs w:val="24"/>
        </w:rPr>
        <w:t>as follow</w:t>
      </w:r>
      <w:r w:rsidR="004B1F91" w:rsidRPr="009C309F">
        <w:rPr>
          <w:szCs w:val="24"/>
        </w:rPr>
        <w:t>s</w:t>
      </w:r>
      <w:r w:rsidR="002A5BD1" w:rsidRPr="009C309F">
        <w:rPr>
          <w:szCs w:val="24"/>
        </w:rPr>
        <w:t>:</w:t>
      </w:r>
    </w:p>
    <w:p w14:paraId="257D561F" w14:textId="3CCBC6BE" w:rsidR="00EC3322" w:rsidRPr="00022797" w:rsidRDefault="00352131" w:rsidP="00F10ED4">
      <w:pPr>
        <w:tabs>
          <w:tab w:val="clear" w:pos="794"/>
          <w:tab w:val="clear" w:pos="1191"/>
          <w:tab w:val="clear" w:pos="1588"/>
          <w:tab w:val="clear" w:pos="1985"/>
        </w:tabs>
        <w:spacing w:after="120"/>
        <w:jc w:val="center"/>
        <w:rPr>
          <w:sz w:val="22"/>
          <w:szCs w:val="22"/>
        </w:rPr>
      </w:pPr>
      <w:r>
        <w:rPr>
          <w:noProof/>
        </w:rPr>
        <mc:AlternateContent>
          <mc:Choice Requires="cx1">
            <w:drawing>
              <wp:inline distT="0" distB="0" distL="0" distR="0" wp14:anchorId="0C3B2370" wp14:editId="02F7F320">
                <wp:extent cx="6120765" cy="1720158"/>
                <wp:effectExtent l="0" t="0" r="13335" b="13970"/>
                <wp:docPr id="3" name="Chart 3">
                  <a:extLst xmlns:a="http://schemas.openxmlformats.org/drawingml/2006/main">
                    <a:ext uri="{FF2B5EF4-FFF2-40B4-BE49-F238E27FC236}">
                      <a16:creationId xmlns:a16="http://schemas.microsoft.com/office/drawing/2014/main" id="{052AA87D-976D-498B-9315-3E3ECC643F0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0C3B2370" wp14:editId="02F7F320">
                <wp:extent cx="6120765" cy="1720158"/>
                <wp:effectExtent l="0" t="0" r="13335" b="13970"/>
                <wp:docPr id="3" name="Chart 3">
                  <a:extLst xmlns:a="http://schemas.openxmlformats.org/drawingml/2006/main">
                    <a:ext uri="{FF2B5EF4-FFF2-40B4-BE49-F238E27FC236}">
                      <a16:creationId xmlns:a16="http://schemas.microsoft.com/office/drawing/2014/main" id="{052AA87D-976D-498B-9315-3E3ECC643F0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a:extLst>
                            <a:ext uri="{FF2B5EF4-FFF2-40B4-BE49-F238E27FC236}">
                              <a16:creationId xmlns:a16="http://schemas.microsoft.com/office/drawing/2014/main" id="{052AA87D-976D-498B-9315-3E3ECC643F07}"/>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6120765" cy="1719580"/>
                        </a:xfrm>
                        <a:prstGeom prst="rect">
                          <a:avLst/>
                        </a:prstGeom>
                      </pic:spPr>
                    </pic:pic>
                  </a:graphicData>
                </a:graphic>
              </wp:inline>
            </w:drawing>
          </mc:Fallback>
        </mc:AlternateContent>
      </w:r>
    </w:p>
    <w:p w14:paraId="1ED63919" w14:textId="6B9C13EC" w:rsidR="0009324D" w:rsidRPr="009C309F" w:rsidRDefault="00712641" w:rsidP="009C309F">
      <w:pPr>
        <w:pStyle w:val="ListParagraph"/>
        <w:spacing w:after="120"/>
        <w:ind w:left="0"/>
        <w:contextualSpacing w:val="0"/>
        <w:rPr>
          <w:szCs w:val="24"/>
        </w:rPr>
      </w:pPr>
      <w:r w:rsidRPr="009C309F">
        <w:rPr>
          <w:szCs w:val="24"/>
        </w:rPr>
        <w:t xml:space="preserve">In 2022, </w:t>
      </w:r>
      <w:r w:rsidR="000A60E5" w:rsidRPr="009C309F">
        <w:rPr>
          <w:szCs w:val="24"/>
        </w:rPr>
        <w:t xml:space="preserve">the </w:t>
      </w:r>
      <w:r w:rsidR="00E351D2" w:rsidRPr="009C309F">
        <w:rPr>
          <w:szCs w:val="24"/>
        </w:rPr>
        <w:t xml:space="preserve">BDT </w:t>
      </w:r>
      <w:r w:rsidR="006C298A" w:rsidRPr="009C309F">
        <w:rPr>
          <w:szCs w:val="24"/>
        </w:rPr>
        <w:t>signed agreements with 5</w:t>
      </w:r>
      <w:r w:rsidR="003435D5" w:rsidRPr="009C309F">
        <w:rPr>
          <w:szCs w:val="24"/>
        </w:rPr>
        <w:t>7</w:t>
      </w:r>
      <w:r w:rsidR="006C298A" w:rsidRPr="009C309F">
        <w:rPr>
          <w:szCs w:val="24"/>
        </w:rPr>
        <w:t xml:space="preserve"> different partners</w:t>
      </w:r>
      <w:r w:rsidR="005010FE" w:rsidRPr="009C309F">
        <w:rPr>
          <w:szCs w:val="24"/>
        </w:rPr>
        <w:t xml:space="preserve"> that included </w:t>
      </w:r>
      <w:r w:rsidR="00930E28" w:rsidRPr="009C309F">
        <w:rPr>
          <w:szCs w:val="24"/>
        </w:rPr>
        <w:t>Governmental entities (4</w:t>
      </w:r>
      <w:r w:rsidR="00C42767" w:rsidRPr="009C309F">
        <w:rPr>
          <w:szCs w:val="24"/>
        </w:rPr>
        <w:t>2</w:t>
      </w:r>
      <w:r w:rsidR="00930E28" w:rsidRPr="009C309F">
        <w:rPr>
          <w:szCs w:val="24"/>
        </w:rPr>
        <w:t>%), Private sector entities (</w:t>
      </w:r>
      <w:r w:rsidR="00C42767" w:rsidRPr="009C309F">
        <w:rPr>
          <w:szCs w:val="24"/>
        </w:rPr>
        <w:t>32</w:t>
      </w:r>
      <w:r w:rsidR="00930E28" w:rsidRPr="009C309F">
        <w:rPr>
          <w:szCs w:val="24"/>
        </w:rPr>
        <w:t xml:space="preserve">%), </w:t>
      </w:r>
      <w:r w:rsidR="00C42767" w:rsidRPr="009C309F">
        <w:rPr>
          <w:szCs w:val="24"/>
        </w:rPr>
        <w:t xml:space="preserve">Academia (7%), </w:t>
      </w:r>
      <w:r w:rsidR="00930E28" w:rsidRPr="009C309F">
        <w:rPr>
          <w:szCs w:val="24"/>
        </w:rPr>
        <w:t>UN</w:t>
      </w:r>
      <w:r w:rsidR="00A36F79" w:rsidRPr="009C309F">
        <w:rPr>
          <w:szCs w:val="24"/>
        </w:rPr>
        <w:t> </w:t>
      </w:r>
      <w:r w:rsidR="00930E28" w:rsidRPr="009C309F">
        <w:rPr>
          <w:szCs w:val="24"/>
        </w:rPr>
        <w:t>organizations</w:t>
      </w:r>
      <w:r w:rsidR="00FC0F5E" w:rsidRPr="009C309F">
        <w:rPr>
          <w:szCs w:val="24"/>
        </w:rPr>
        <w:t xml:space="preserve"> (</w:t>
      </w:r>
      <w:r w:rsidR="00C42767" w:rsidRPr="009C309F">
        <w:rPr>
          <w:szCs w:val="24"/>
        </w:rPr>
        <w:t>7</w:t>
      </w:r>
      <w:r w:rsidR="00A83CA0" w:rsidRPr="009C309F">
        <w:rPr>
          <w:szCs w:val="24"/>
        </w:rPr>
        <w:t>%)</w:t>
      </w:r>
      <w:r w:rsidR="00930E28" w:rsidRPr="009C309F">
        <w:rPr>
          <w:szCs w:val="24"/>
        </w:rPr>
        <w:t xml:space="preserve">, </w:t>
      </w:r>
      <w:r w:rsidR="004110D7" w:rsidRPr="009C309F">
        <w:rPr>
          <w:szCs w:val="24"/>
        </w:rPr>
        <w:t xml:space="preserve">Others (5%), </w:t>
      </w:r>
      <w:r w:rsidR="00DC59BE" w:rsidRPr="009C309F">
        <w:rPr>
          <w:szCs w:val="24"/>
        </w:rPr>
        <w:t>International and Regional Organizations and Associations (</w:t>
      </w:r>
      <w:r w:rsidR="004110D7" w:rsidRPr="009C309F">
        <w:rPr>
          <w:szCs w:val="24"/>
        </w:rPr>
        <w:t>4</w:t>
      </w:r>
      <w:r w:rsidR="00DC59BE" w:rsidRPr="009C309F">
        <w:rPr>
          <w:szCs w:val="24"/>
        </w:rPr>
        <w:t xml:space="preserve">%), </w:t>
      </w:r>
      <w:r w:rsidR="00930E28" w:rsidRPr="009C309F">
        <w:rPr>
          <w:szCs w:val="24"/>
        </w:rPr>
        <w:t>Financial institutions</w:t>
      </w:r>
      <w:r w:rsidR="00AB6F4D" w:rsidRPr="009C309F">
        <w:rPr>
          <w:szCs w:val="24"/>
        </w:rPr>
        <w:t xml:space="preserve"> (2%)</w:t>
      </w:r>
      <w:r w:rsidR="00FC0F5E" w:rsidRPr="009C309F">
        <w:rPr>
          <w:szCs w:val="24"/>
        </w:rPr>
        <w:t xml:space="preserve"> </w:t>
      </w:r>
      <w:r w:rsidR="00C51FD4" w:rsidRPr="009C309F">
        <w:rPr>
          <w:szCs w:val="24"/>
        </w:rPr>
        <w:t xml:space="preserve">and </w:t>
      </w:r>
      <w:r w:rsidR="00AB6F4D" w:rsidRPr="009C309F">
        <w:rPr>
          <w:szCs w:val="24"/>
        </w:rPr>
        <w:t>Foundations (2%)</w:t>
      </w:r>
      <w:r w:rsidR="00930E28" w:rsidRPr="009C309F">
        <w:rPr>
          <w:szCs w:val="24"/>
        </w:rPr>
        <w:t>.</w:t>
      </w:r>
    </w:p>
    <w:p w14:paraId="04AD9276" w14:textId="2EA048A0" w:rsidR="00930E28" w:rsidRPr="009C309F" w:rsidRDefault="00AD40E0" w:rsidP="009C309F">
      <w:pPr>
        <w:pStyle w:val="ListParagraph"/>
        <w:spacing w:after="120"/>
        <w:ind w:left="0"/>
        <w:contextualSpacing w:val="0"/>
        <w:rPr>
          <w:szCs w:val="24"/>
        </w:rPr>
      </w:pPr>
      <w:r w:rsidRPr="009C309F">
        <w:rPr>
          <w:szCs w:val="24"/>
        </w:rPr>
        <w:lastRenderedPageBreak/>
        <w:t xml:space="preserve">The </w:t>
      </w:r>
      <w:r w:rsidR="00B67399" w:rsidRPr="009C309F">
        <w:rPr>
          <w:szCs w:val="24"/>
        </w:rPr>
        <w:t xml:space="preserve">signed </w:t>
      </w:r>
      <w:r w:rsidRPr="009C309F">
        <w:rPr>
          <w:szCs w:val="24"/>
        </w:rPr>
        <w:t xml:space="preserve">financial contributions </w:t>
      </w:r>
      <w:r w:rsidR="00B67399" w:rsidRPr="009C309F">
        <w:rPr>
          <w:szCs w:val="24"/>
        </w:rPr>
        <w:t xml:space="preserve">of these partners were distributed as per </w:t>
      </w:r>
      <w:r w:rsidR="00284536" w:rsidRPr="009C309F">
        <w:rPr>
          <w:szCs w:val="24"/>
        </w:rPr>
        <w:t xml:space="preserve">the chart </w:t>
      </w:r>
      <w:r w:rsidRPr="009C309F">
        <w:rPr>
          <w:szCs w:val="24"/>
        </w:rPr>
        <w:t>below:</w:t>
      </w:r>
    </w:p>
    <w:p w14:paraId="2E44C348" w14:textId="3D6EE12D" w:rsidR="004C43E9" w:rsidRDefault="00192CAF" w:rsidP="007247E9">
      <w:pPr>
        <w:tabs>
          <w:tab w:val="clear" w:pos="794"/>
          <w:tab w:val="clear" w:pos="1191"/>
          <w:tab w:val="clear" w:pos="1588"/>
          <w:tab w:val="clear" w:pos="1985"/>
        </w:tabs>
        <w:spacing w:before="0"/>
        <w:jc w:val="both"/>
        <w:rPr>
          <w:sz w:val="22"/>
          <w:szCs w:val="22"/>
          <w:lang w:val="en-US"/>
        </w:rPr>
      </w:pPr>
      <w:r>
        <w:rPr>
          <w:noProof/>
        </w:rPr>
        <w:drawing>
          <wp:inline distT="0" distB="0" distL="0" distR="0" wp14:anchorId="61C15CFA" wp14:editId="0DF7B307">
            <wp:extent cx="6137910" cy="1887648"/>
            <wp:effectExtent l="0" t="0" r="15240" b="17780"/>
            <wp:docPr id="16" name="Chart 16">
              <a:extLst xmlns:a="http://schemas.openxmlformats.org/drawingml/2006/main">
                <a:ext uri="{FF2B5EF4-FFF2-40B4-BE49-F238E27FC236}">
                  <a16:creationId xmlns:a16="http://schemas.microsoft.com/office/drawing/2014/main" id="{3190CAA5-544F-1544-A127-454635F949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D110D5" w14:textId="70E5B5B6" w:rsidR="00B23E25" w:rsidRPr="009C309F" w:rsidRDefault="00B23E25" w:rsidP="009C309F">
      <w:pPr>
        <w:tabs>
          <w:tab w:val="clear" w:pos="794"/>
          <w:tab w:val="clear" w:pos="1191"/>
          <w:tab w:val="clear" w:pos="1588"/>
          <w:tab w:val="clear" w:pos="1985"/>
        </w:tabs>
        <w:spacing w:after="120"/>
        <w:rPr>
          <w:szCs w:val="24"/>
          <w:lang w:val="en-US"/>
        </w:rPr>
      </w:pPr>
      <w:r w:rsidRPr="009C309F">
        <w:rPr>
          <w:szCs w:val="24"/>
        </w:rPr>
        <w:t xml:space="preserve">Amongst these partners, 19% were ITU ADMIN, 8% ITU ADMIN RELATED, </w:t>
      </w:r>
      <w:r w:rsidR="00A035D9" w:rsidRPr="009C309F">
        <w:rPr>
          <w:szCs w:val="24"/>
        </w:rPr>
        <w:t>12</w:t>
      </w:r>
      <w:r w:rsidRPr="009C309F">
        <w:rPr>
          <w:szCs w:val="24"/>
        </w:rPr>
        <w:t xml:space="preserve">% ITU-D Sector Members (7% SIO and </w:t>
      </w:r>
      <w:r w:rsidR="00A035D9" w:rsidRPr="009C309F">
        <w:rPr>
          <w:szCs w:val="24"/>
        </w:rPr>
        <w:t>5</w:t>
      </w:r>
      <w:r w:rsidRPr="009C309F">
        <w:rPr>
          <w:szCs w:val="24"/>
        </w:rPr>
        <w:t xml:space="preserve">% ROA), </w:t>
      </w:r>
      <w:r w:rsidR="00A035D9" w:rsidRPr="009C309F">
        <w:rPr>
          <w:szCs w:val="24"/>
        </w:rPr>
        <w:t>4</w:t>
      </w:r>
      <w:r w:rsidRPr="009C309F">
        <w:rPr>
          <w:szCs w:val="24"/>
        </w:rPr>
        <w:t xml:space="preserve">% ITU REGINTORG, 2% ITU </w:t>
      </w:r>
      <w:r w:rsidR="00A52523" w:rsidRPr="009C309F">
        <w:rPr>
          <w:szCs w:val="24"/>
        </w:rPr>
        <w:t xml:space="preserve">UNIVER/RSRCH </w:t>
      </w:r>
      <w:r w:rsidRPr="009C309F">
        <w:rPr>
          <w:szCs w:val="24"/>
        </w:rPr>
        <w:t xml:space="preserve">and 2% ITU </w:t>
      </w:r>
      <w:r w:rsidR="00A52523" w:rsidRPr="009C309F">
        <w:rPr>
          <w:szCs w:val="24"/>
        </w:rPr>
        <w:t>OTHER ENTITIES</w:t>
      </w:r>
      <w:r w:rsidRPr="009C309F">
        <w:rPr>
          <w:szCs w:val="24"/>
        </w:rPr>
        <w:t xml:space="preserve">, as per ITU Membership </w:t>
      </w:r>
      <w:r w:rsidR="00B80962" w:rsidRPr="009C309F">
        <w:rPr>
          <w:szCs w:val="24"/>
        </w:rPr>
        <w:t>categories</w:t>
      </w:r>
      <w:r w:rsidRPr="009C309F">
        <w:rPr>
          <w:rStyle w:val="FootnoteReference"/>
          <w:szCs w:val="18"/>
        </w:rPr>
        <w:footnoteReference w:id="1"/>
      </w:r>
      <w:r w:rsidRPr="009C309F">
        <w:rPr>
          <w:szCs w:val="24"/>
        </w:rPr>
        <w:t>.</w:t>
      </w:r>
    </w:p>
    <w:p w14:paraId="42032597" w14:textId="33D65ACB" w:rsidR="006567AC" w:rsidRPr="009C309F" w:rsidRDefault="006567AC" w:rsidP="009C309F">
      <w:pPr>
        <w:tabs>
          <w:tab w:val="clear" w:pos="794"/>
          <w:tab w:val="clear" w:pos="1191"/>
          <w:tab w:val="clear" w:pos="1588"/>
          <w:tab w:val="clear" w:pos="1985"/>
        </w:tabs>
        <w:spacing w:after="120"/>
        <w:jc w:val="both"/>
        <w:rPr>
          <w:szCs w:val="24"/>
        </w:rPr>
      </w:pPr>
      <w:r w:rsidRPr="009C309F">
        <w:rPr>
          <w:szCs w:val="24"/>
          <w:lang w:val="en-US"/>
        </w:rPr>
        <w:t xml:space="preserve">The </w:t>
      </w:r>
      <w:r w:rsidR="000C0A5E" w:rsidRPr="009C309F">
        <w:rPr>
          <w:szCs w:val="24"/>
        </w:rPr>
        <w:t xml:space="preserve">three funding partners with the largest financial contributions </w:t>
      </w:r>
      <w:r w:rsidR="00284536" w:rsidRPr="009C309F">
        <w:rPr>
          <w:szCs w:val="24"/>
        </w:rPr>
        <w:t xml:space="preserve">in 2022 </w:t>
      </w:r>
      <w:r w:rsidR="000C0A5E" w:rsidRPr="009C309F">
        <w:rPr>
          <w:szCs w:val="24"/>
        </w:rPr>
        <w:t>were:</w:t>
      </w:r>
    </w:p>
    <w:tbl>
      <w:tblPr>
        <w:tblStyle w:val="TableGrid"/>
        <w:tblW w:w="963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6516"/>
        <w:gridCol w:w="3118"/>
      </w:tblGrid>
      <w:tr w:rsidR="006567AC" w14:paraId="33DD50B5" w14:textId="77777777" w:rsidTr="00D83AAA">
        <w:tc>
          <w:tcPr>
            <w:tcW w:w="6516" w:type="dxa"/>
            <w:shd w:val="clear" w:color="auto" w:fill="DBE5F1" w:themeFill="accent1" w:themeFillTint="33"/>
          </w:tcPr>
          <w:p w14:paraId="5315DD8A" w14:textId="04377E32" w:rsidR="006567AC" w:rsidRPr="00B57A35" w:rsidRDefault="006567AC" w:rsidP="00B57A35">
            <w:pPr>
              <w:tabs>
                <w:tab w:val="clear" w:pos="794"/>
                <w:tab w:val="clear" w:pos="1191"/>
                <w:tab w:val="clear" w:pos="1588"/>
                <w:tab w:val="clear" w:pos="1985"/>
              </w:tabs>
              <w:spacing w:after="60"/>
              <w:rPr>
                <w:b/>
                <w:bCs/>
                <w:sz w:val="22"/>
                <w:szCs w:val="22"/>
              </w:rPr>
            </w:pPr>
            <w:r w:rsidRPr="00B57A35">
              <w:rPr>
                <w:b/>
                <w:bCs/>
                <w:sz w:val="22"/>
                <w:szCs w:val="22"/>
              </w:rPr>
              <w:t>Partner</w:t>
            </w:r>
          </w:p>
        </w:tc>
        <w:tc>
          <w:tcPr>
            <w:tcW w:w="3118" w:type="dxa"/>
            <w:shd w:val="clear" w:color="auto" w:fill="DBE5F1" w:themeFill="accent1" w:themeFillTint="33"/>
          </w:tcPr>
          <w:p w14:paraId="08E0D1CD" w14:textId="76ABB51E" w:rsidR="006567AC" w:rsidRPr="00B57A35" w:rsidRDefault="006567AC" w:rsidP="006567AC">
            <w:pPr>
              <w:tabs>
                <w:tab w:val="clear" w:pos="794"/>
                <w:tab w:val="clear" w:pos="1191"/>
                <w:tab w:val="clear" w:pos="1588"/>
                <w:tab w:val="clear" w:pos="1985"/>
              </w:tabs>
              <w:spacing w:before="60" w:after="60"/>
              <w:rPr>
                <w:b/>
                <w:bCs/>
                <w:sz w:val="22"/>
                <w:szCs w:val="22"/>
              </w:rPr>
            </w:pPr>
            <w:r w:rsidRPr="00B57A35">
              <w:rPr>
                <w:b/>
                <w:bCs/>
                <w:sz w:val="22"/>
                <w:szCs w:val="22"/>
              </w:rPr>
              <w:t>Signed financial contribution</w:t>
            </w:r>
          </w:p>
        </w:tc>
      </w:tr>
      <w:tr w:rsidR="006567AC" w14:paraId="3B99C6B2" w14:textId="77777777" w:rsidTr="00D83AAA">
        <w:tc>
          <w:tcPr>
            <w:tcW w:w="6516" w:type="dxa"/>
          </w:tcPr>
          <w:p w14:paraId="6F138E4F" w14:textId="0443575C" w:rsidR="006567AC" w:rsidRDefault="006567AC" w:rsidP="001E3680">
            <w:pPr>
              <w:tabs>
                <w:tab w:val="clear" w:pos="794"/>
                <w:tab w:val="clear" w:pos="1191"/>
                <w:tab w:val="clear" w:pos="1588"/>
                <w:tab w:val="clear" w:pos="1985"/>
              </w:tabs>
              <w:spacing w:before="60" w:after="60"/>
              <w:rPr>
                <w:sz w:val="22"/>
                <w:szCs w:val="22"/>
              </w:rPr>
            </w:pPr>
            <w:r w:rsidRPr="00727EF4">
              <w:rPr>
                <w:sz w:val="22"/>
                <w:szCs w:val="22"/>
              </w:rPr>
              <w:t>Federal Department of Foreign Affairs acting through the State Secretariat, United Nations Division, Switzerland</w:t>
            </w:r>
          </w:p>
        </w:tc>
        <w:tc>
          <w:tcPr>
            <w:tcW w:w="3118" w:type="dxa"/>
          </w:tcPr>
          <w:p w14:paraId="5C476FD3" w14:textId="6C122632" w:rsidR="006567AC" w:rsidRDefault="000C237C" w:rsidP="001E3680">
            <w:pPr>
              <w:tabs>
                <w:tab w:val="clear" w:pos="794"/>
                <w:tab w:val="clear" w:pos="1191"/>
                <w:tab w:val="clear" w:pos="1588"/>
                <w:tab w:val="clear" w:pos="1985"/>
              </w:tabs>
              <w:spacing w:before="60" w:after="60"/>
              <w:rPr>
                <w:sz w:val="22"/>
                <w:szCs w:val="22"/>
              </w:rPr>
            </w:pPr>
            <w:r>
              <w:rPr>
                <w:sz w:val="22"/>
                <w:szCs w:val="22"/>
              </w:rPr>
              <w:t xml:space="preserve">CHF </w:t>
            </w:r>
            <w:r w:rsidR="006567AC">
              <w:rPr>
                <w:sz w:val="22"/>
                <w:szCs w:val="22"/>
              </w:rPr>
              <w:t>2.</w:t>
            </w:r>
            <w:r>
              <w:rPr>
                <w:sz w:val="22"/>
                <w:szCs w:val="22"/>
              </w:rPr>
              <w:t>4</w:t>
            </w:r>
            <w:r w:rsidR="006567AC">
              <w:rPr>
                <w:sz w:val="22"/>
                <w:szCs w:val="22"/>
              </w:rPr>
              <w:t xml:space="preserve"> million</w:t>
            </w:r>
          </w:p>
        </w:tc>
      </w:tr>
      <w:tr w:rsidR="006567AC" w14:paraId="74EE9815" w14:textId="77777777" w:rsidTr="00D83AAA">
        <w:tc>
          <w:tcPr>
            <w:tcW w:w="6516" w:type="dxa"/>
          </w:tcPr>
          <w:p w14:paraId="15687ABA" w14:textId="4AD8E01E" w:rsidR="006567AC" w:rsidRPr="00670EA6" w:rsidRDefault="00595F51" w:rsidP="001E3680">
            <w:pPr>
              <w:tabs>
                <w:tab w:val="clear" w:pos="794"/>
                <w:tab w:val="clear" w:pos="1191"/>
                <w:tab w:val="clear" w:pos="1588"/>
                <w:tab w:val="clear" w:pos="1985"/>
              </w:tabs>
              <w:spacing w:before="60" w:after="60"/>
              <w:rPr>
                <w:sz w:val="22"/>
                <w:szCs w:val="22"/>
              </w:rPr>
            </w:pPr>
            <w:r w:rsidRPr="00670EA6">
              <w:rPr>
                <w:sz w:val="22"/>
                <w:szCs w:val="22"/>
              </w:rPr>
              <w:t>UN/UNDP Mult</w:t>
            </w:r>
            <w:r w:rsidR="00670EA6" w:rsidRPr="00670EA6">
              <w:rPr>
                <w:sz w:val="22"/>
                <w:szCs w:val="22"/>
              </w:rPr>
              <w:t>i-Partner Trust</w:t>
            </w:r>
            <w:r w:rsidR="00670EA6">
              <w:rPr>
                <w:sz w:val="22"/>
                <w:szCs w:val="22"/>
              </w:rPr>
              <w:t xml:space="preserve"> Fund Office </w:t>
            </w:r>
          </w:p>
        </w:tc>
        <w:tc>
          <w:tcPr>
            <w:tcW w:w="3118" w:type="dxa"/>
          </w:tcPr>
          <w:p w14:paraId="6438DFCD" w14:textId="54E2216C" w:rsidR="006567AC" w:rsidRDefault="006567AC" w:rsidP="001E3680">
            <w:pPr>
              <w:tabs>
                <w:tab w:val="clear" w:pos="794"/>
                <w:tab w:val="clear" w:pos="1191"/>
                <w:tab w:val="clear" w:pos="1588"/>
                <w:tab w:val="clear" w:pos="1985"/>
              </w:tabs>
              <w:spacing w:before="60" w:after="60"/>
              <w:rPr>
                <w:sz w:val="22"/>
                <w:szCs w:val="22"/>
              </w:rPr>
            </w:pPr>
            <w:r>
              <w:rPr>
                <w:sz w:val="22"/>
                <w:szCs w:val="22"/>
              </w:rPr>
              <w:t>USD 1.6 million</w:t>
            </w:r>
          </w:p>
        </w:tc>
      </w:tr>
      <w:tr w:rsidR="006567AC" w14:paraId="4E771D89" w14:textId="77777777" w:rsidTr="00D83AAA">
        <w:trPr>
          <w:trHeight w:val="535"/>
        </w:trPr>
        <w:tc>
          <w:tcPr>
            <w:tcW w:w="6516" w:type="dxa"/>
          </w:tcPr>
          <w:p w14:paraId="004D4AF4" w14:textId="267B22EB" w:rsidR="00B57A35" w:rsidRDefault="006567AC" w:rsidP="001E3680">
            <w:pPr>
              <w:tabs>
                <w:tab w:val="clear" w:pos="794"/>
                <w:tab w:val="clear" w:pos="1191"/>
                <w:tab w:val="clear" w:pos="1588"/>
                <w:tab w:val="clear" w:pos="1985"/>
              </w:tabs>
              <w:spacing w:before="60" w:after="60"/>
              <w:rPr>
                <w:sz w:val="22"/>
                <w:szCs w:val="22"/>
              </w:rPr>
            </w:pPr>
            <w:r w:rsidRPr="00727EF4">
              <w:rPr>
                <w:sz w:val="22"/>
                <w:szCs w:val="22"/>
              </w:rPr>
              <w:t>Department of Foreign Affairs and Trade, Australia</w:t>
            </w:r>
          </w:p>
        </w:tc>
        <w:tc>
          <w:tcPr>
            <w:tcW w:w="3118" w:type="dxa"/>
          </w:tcPr>
          <w:p w14:paraId="304126B8" w14:textId="588CF78E" w:rsidR="006567AC" w:rsidRDefault="000C237C" w:rsidP="001E3680">
            <w:pPr>
              <w:tabs>
                <w:tab w:val="clear" w:pos="794"/>
                <w:tab w:val="clear" w:pos="1191"/>
                <w:tab w:val="clear" w:pos="1588"/>
                <w:tab w:val="clear" w:pos="1985"/>
              </w:tabs>
              <w:spacing w:before="60" w:after="60"/>
              <w:rPr>
                <w:sz w:val="22"/>
                <w:szCs w:val="22"/>
              </w:rPr>
            </w:pPr>
            <w:r>
              <w:rPr>
                <w:sz w:val="22"/>
                <w:szCs w:val="22"/>
              </w:rPr>
              <w:t xml:space="preserve">AUD </w:t>
            </w:r>
            <w:r w:rsidR="006567AC">
              <w:rPr>
                <w:sz w:val="22"/>
                <w:szCs w:val="22"/>
              </w:rPr>
              <w:t>1.</w:t>
            </w:r>
            <w:r>
              <w:rPr>
                <w:sz w:val="22"/>
                <w:szCs w:val="22"/>
              </w:rPr>
              <w:t>5</w:t>
            </w:r>
            <w:r w:rsidR="006567AC">
              <w:rPr>
                <w:sz w:val="22"/>
                <w:szCs w:val="22"/>
              </w:rPr>
              <w:t xml:space="preserve"> million</w:t>
            </w:r>
          </w:p>
        </w:tc>
      </w:tr>
    </w:tbl>
    <w:p w14:paraId="4CC97B13" w14:textId="176A5EC7" w:rsidR="002006CD" w:rsidRPr="009C309F" w:rsidRDefault="00F01BDD" w:rsidP="009C309F">
      <w:pPr>
        <w:spacing w:after="120"/>
        <w:rPr>
          <w:szCs w:val="24"/>
        </w:rPr>
      </w:pPr>
      <w:r w:rsidRPr="009C309F">
        <w:rPr>
          <w:szCs w:val="24"/>
        </w:rPr>
        <w:t xml:space="preserve">The chart below showcases </w:t>
      </w:r>
      <w:r w:rsidR="00782F99" w:rsidRPr="009C309F">
        <w:rPr>
          <w:szCs w:val="24"/>
        </w:rPr>
        <w:t xml:space="preserve">the geographical distribution of the </w:t>
      </w:r>
      <w:r w:rsidR="004129B9" w:rsidRPr="009C309F">
        <w:rPr>
          <w:szCs w:val="24"/>
        </w:rPr>
        <w:t>partnership agreements signed in 2022</w:t>
      </w:r>
      <w:r w:rsidR="000C237C" w:rsidRPr="009C309F">
        <w:rPr>
          <w:szCs w:val="24"/>
        </w:rPr>
        <w:t xml:space="preserve"> </w:t>
      </w:r>
      <w:r w:rsidR="00D30ED9" w:rsidRPr="009C309F">
        <w:rPr>
          <w:szCs w:val="24"/>
        </w:rPr>
        <w:t>(</w:t>
      </w:r>
      <w:r w:rsidR="003D344D" w:rsidRPr="009C309F">
        <w:rPr>
          <w:szCs w:val="24"/>
        </w:rPr>
        <w:t>in</w:t>
      </w:r>
      <w:r w:rsidR="000C237C" w:rsidRPr="009C309F">
        <w:rPr>
          <w:szCs w:val="24"/>
        </w:rPr>
        <w:t> </w:t>
      </w:r>
      <w:r w:rsidR="003D344D" w:rsidRPr="009C309F">
        <w:rPr>
          <w:szCs w:val="24"/>
        </w:rPr>
        <w:t>terms of number and funds signed</w:t>
      </w:r>
      <w:r w:rsidR="00D30ED9" w:rsidRPr="009C309F">
        <w:rPr>
          <w:szCs w:val="24"/>
        </w:rPr>
        <w:t>)</w:t>
      </w:r>
      <w:r w:rsidR="002006CD" w:rsidRPr="009C309F">
        <w:rPr>
          <w:szCs w:val="24"/>
        </w:rPr>
        <w:t xml:space="preserve">: </w:t>
      </w:r>
    </w:p>
    <w:p w14:paraId="6844E288" w14:textId="061BCCBA" w:rsidR="00182756" w:rsidRDefault="00182756" w:rsidP="002006CD">
      <w:pPr>
        <w:spacing w:after="80"/>
        <w:jc w:val="both"/>
        <w:rPr>
          <w:sz w:val="22"/>
          <w:szCs w:val="22"/>
        </w:rPr>
      </w:pPr>
      <w:r>
        <w:rPr>
          <w:noProof/>
        </w:rPr>
        <w:drawing>
          <wp:inline distT="0" distB="0" distL="0" distR="0" wp14:anchorId="7389B796" wp14:editId="5C4EA693">
            <wp:extent cx="6210300" cy="2111828"/>
            <wp:effectExtent l="0" t="0" r="0" b="3175"/>
            <wp:docPr id="7" name="Chart 7">
              <a:extLst xmlns:a="http://schemas.openxmlformats.org/drawingml/2006/main">
                <a:ext uri="{FF2B5EF4-FFF2-40B4-BE49-F238E27FC236}">
                  <a16:creationId xmlns:a16="http://schemas.microsoft.com/office/drawing/2014/main" id="{1C74F0C9-A7FB-1682-D5B7-A43DA5C6F2A6}"/>
                </a:ext>
                <a:ext uri="{147F2762-F138-4A5C-976F-8EAC2B608ADB}">
                  <a16:predDERef xmlns:a16="http://schemas.microsoft.com/office/drawing/2014/main" pred="{6F46CA5C-CB23-67AC-2967-CCCF06F49C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FF5DC0" w14:textId="18BAC498" w:rsidR="00673012" w:rsidRPr="009C309F" w:rsidRDefault="00782F99" w:rsidP="009C309F">
      <w:pPr>
        <w:spacing w:after="120"/>
        <w:rPr>
          <w:szCs w:val="24"/>
        </w:rPr>
      </w:pPr>
      <w:r w:rsidRPr="009C309F">
        <w:rPr>
          <w:szCs w:val="24"/>
        </w:rPr>
        <w:t>T</w:t>
      </w:r>
      <w:r w:rsidR="003D344D" w:rsidRPr="009C309F">
        <w:rPr>
          <w:szCs w:val="24"/>
        </w:rPr>
        <w:t xml:space="preserve">he thematic </w:t>
      </w:r>
      <w:r w:rsidR="00E86D72" w:rsidRPr="009C309F">
        <w:rPr>
          <w:szCs w:val="24"/>
        </w:rPr>
        <w:t>priorities</w:t>
      </w:r>
      <w:r w:rsidR="00A22F7A" w:rsidRPr="009C309F">
        <w:rPr>
          <w:szCs w:val="24"/>
        </w:rPr>
        <w:t xml:space="preserve"> (</w:t>
      </w:r>
      <w:r w:rsidR="00F55AD2" w:rsidRPr="009C309F">
        <w:rPr>
          <w:szCs w:val="24"/>
        </w:rPr>
        <w:t xml:space="preserve">as per </w:t>
      </w:r>
      <w:r w:rsidR="00264969" w:rsidRPr="009C309F">
        <w:rPr>
          <w:szCs w:val="24"/>
        </w:rPr>
        <w:t>Buenos Aires Action Plan</w:t>
      </w:r>
      <w:r w:rsidR="00A22F7A" w:rsidRPr="009C309F">
        <w:rPr>
          <w:szCs w:val="24"/>
        </w:rPr>
        <w:t>)</w:t>
      </w:r>
      <w:r w:rsidR="00F55AD2" w:rsidRPr="009C309F">
        <w:rPr>
          <w:szCs w:val="24"/>
        </w:rPr>
        <w:t xml:space="preserve"> </w:t>
      </w:r>
      <w:r w:rsidR="00F01BDD" w:rsidRPr="009C309F">
        <w:rPr>
          <w:szCs w:val="24"/>
        </w:rPr>
        <w:t xml:space="preserve">which benefitted from the </w:t>
      </w:r>
      <w:r w:rsidR="003D344D" w:rsidRPr="009C309F">
        <w:rPr>
          <w:szCs w:val="24"/>
        </w:rPr>
        <w:t>agreements signed in 2022 (in terms of number and funds signed)</w:t>
      </w:r>
      <w:r w:rsidR="00F01BDD" w:rsidRPr="009C309F">
        <w:rPr>
          <w:szCs w:val="24"/>
        </w:rPr>
        <w:t xml:space="preserve"> were:</w:t>
      </w:r>
    </w:p>
    <w:p w14:paraId="012AB86A" w14:textId="37109C2B" w:rsidR="00BD2135" w:rsidRDefault="00BD2135" w:rsidP="002006CD">
      <w:pPr>
        <w:spacing w:after="80"/>
        <w:jc w:val="both"/>
        <w:rPr>
          <w:sz w:val="22"/>
          <w:szCs w:val="22"/>
        </w:rPr>
      </w:pPr>
      <w:r>
        <w:rPr>
          <w:noProof/>
        </w:rPr>
        <w:lastRenderedPageBreak/>
        <w:drawing>
          <wp:inline distT="0" distB="0" distL="0" distR="0" wp14:anchorId="1343DDD6" wp14:editId="752BF13D">
            <wp:extent cx="6198870" cy="2677886"/>
            <wp:effectExtent l="0" t="0" r="11430" b="8255"/>
            <wp:docPr id="8" name="Chart 8">
              <a:extLst xmlns:a="http://schemas.openxmlformats.org/drawingml/2006/main">
                <a:ext uri="{FF2B5EF4-FFF2-40B4-BE49-F238E27FC236}">
                  <a16:creationId xmlns:a16="http://schemas.microsoft.com/office/drawing/2014/main" id="{B34E7F23-7D7D-2AD9-1126-2318D1FA5F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C63077" w14:textId="7D5A8C56" w:rsidR="00A8708D" w:rsidRPr="009C309F" w:rsidRDefault="00022797" w:rsidP="009C309F">
      <w:pPr>
        <w:pStyle w:val="ListParagraph"/>
        <w:numPr>
          <w:ilvl w:val="0"/>
          <w:numId w:val="17"/>
        </w:numPr>
        <w:spacing w:after="120"/>
        <w:rPr>
          <w:b/>
          <w:bCs/>
          <w:szCs w:val="24"/>
        </w:rPr>
      </w:pPr>
      <w:r w:rsidRPr="009C309F">
        <w:rPr>
          <w:b/>
          <w:bCs/>
          <w:szCs w:val="24"/>
        </w:rPr>
        <w:t xml:space="preserve"> </w:t>
      </w:r>
      <w:r w:rsidR="00A8708D" w:rsidRPr="009C309F">
        <w:rPr>
          <w:b/>
          <w:bCs/>
          <w:szCs w:val="24"/>
        </w:rPr>
        <w:t xml:space="preserve">Partnerships and results of resource mobilization </w:t>
      </w:r>
      <w:r w:rsidR="008605E9" w:rsidRPr="009C309F">
        <w:rPr>
          <w:b/>
          <w:bCs/>
          <w:szCs w:val="24"/>
        </w:rPr>
        <w:t>between 1 January and 30 April 2023</w:t>
      </w:r>
    </w:p>
    <w:p w14:paraId="6E71D7C2" w14:textId="5FB67EE7" w:rsidR="00A8708D" w:rsidRPr="009C309F" w:rsidRDefault="00A8708D" w:rsidP="009C309F">
      <w:pPr>
        <w:spacing w:after="120"/>
        <w:rPr>
          <w:szCs w:val="24"/>
        </w:rPr>
      </w:pPr>
      <w:r w:rsidRPr="009C309F">
        <w:rPr>
          <w:szCs w:val="24"/>
        </w:rPr>
        <w:t xml:space="preserve">From </w:t>
      </w:r>
      <w:r w:rsidR="00674218" w:rsidRPr="009C309F">
        <w:rPr>
          <w:szCs w:val="24"/>
        </w:rPr>
        <w:t>1 January to 3</w:t>
      </w:r>
      <w:r w:rsidR="004C43E9" w:rsidRPr="009C309F">
        <w:rPr>
          <w:szCs w:val="24"/>
        </w:rPr>
        <w:t>0</w:t>
      </w:r>
      <w:r w:rsidR="00674218" w:rsidRPr="009C309F">
        <w:rPr>
          <w:szCs w:val="24"/>
        </w:rPr>
        <w:t xml:space="preserve"> </w:t>
      </w:r>
      <w:r w:rsidR="004C43E9" w:rsidRPr="009C309F">
        <w:rPr>
          <w:szCs w:val="24"/>
        </w:rPr>
        <w:t xml:space="preserve">April </w:t>
      </w:r>
      <w:r w:rsidR="00674218" w:rsidRPr="009C309F">
        <w:rPr>
          <w:szCs w:val="24"/>
        </w:rPr>
        <w:t>2023</w:t>
      </w:r>
      <w:r w:rsidRPr="009C309F">
        <w:rPr>
          <w:szCs w:val="24"/>
        </w:rPr>
        <w:t xml:space="preserve">, BDT signed </w:t>
      </w:r>
      <w:r w:rsidR="00ED1D20" w:rsidRPr="009C309F">
        <w:rPr>
          <w:szCs w:val="24"/>
        </w:rPr>
        <w:t>30</w:t>
      </w:r>
      <w:r w:rsidR="00674218" w:rsidRPr="009C309F">
        <w:rPr>
          <w:szCs w:val="24"/>
        </w:rPr>
        <w:t xml:space="preserve"> </w:t>
      </w:r>
      <w:r w:rsidRPr="009C309F">
        <w:rPr>
          <w:szCs w:val="24"/>
        </w:rPr>
        <w:t xml:space="preserve">agreements with </w:t>
      </w:r>
      <w:r w:rsidR="002378F7" w:rsidRPr="009C309F">
        <w:rPr>
          <w:szCs w:val="24"/>
        </w:rPr>
        <w:t xml:space="preserve">a wide range of </w:t>
      </w:r>
      <w:r w:rsidRPr="009C309F">
        <w:rPr>
          <w:szCs w:val="24"/>
        </w:rPr>
        <w:t xml:space="preserve">partners, out of which </w:t>
      </w:r>
      <w:r w:rsidR="00AB06E1" w:rsidRPr="009C309F">
        <w:rPr>
          <w:szCs w:val="24"/>
        </w:rPr>
        <w:t xml:space="preserve">12 </w:t>
      </w:r>
      <w:r w:rsidRPr="009C309F">
        <w:rPr>
          <w:szCs w:val="24"/>
        </w:rPr>
        <w:t xml:space="preserve">had financial contributions amounting to around USD </w:t>
      </w:r>
      <w:r w:rsidR="00AB06E1" w:rsidRPr="009C309F">
        <w:rPr>
          <w:szCs w:val="24"/>
        </w:rPr>
        <w:t>5.4</w:t>
      </w:r>
      <w:r w:rsidR="00674218" w:rsidRPr="009C309F">
        <w:rPr>
          <w:szCs w:val="24"/>
        </w:rPr>
        <w:t xml:space="preserve"> </w:t>
      </w:r>
      <w:r w:rsidRPr="009C309F">
        <w:rPr>
          <w:szCs w:val="24"/>
        </w:rPr>
        <w:t>million. The list of these agreements can be found i</w:t>
      </w:r>
      <w:r w:rsidRPr="00CE3F18">
        <w:rPr>
          <w:szCs w:val="24"/>
        </w:rPr>
        <w:t>n Document TDAG</w:t>
      </w:r>
      <w:r w:rsidRPr="00CE3F18">
        <w:rPr>
          <w:szCs w:val="24"/>
        </w:rPr>
        <w:noBreakHyphen/>
        <w:t>23/INF/1.</w:t>
      </w:r>
    </w:p>
    <w:p w14:paraId="7A220F8F" w14:textId="7F5B1715" w:rsidR="0087330C" w:rsidRPr="009C309F" w:rsidRDefault="0087330C" w:rsidP="009C309F">
      <w:pPr>
        <w:spacing w:after="120"/>
        <w:rPr>
          <w:szCs w:val="24"/>
        </w:rPr>
      </w:pPr>
      <w:r w:rsidRPr="009C309F">
        <w:rPr>
          <w:szCs w:val="24"/>
        </w:rPr>
        <w:t>The total financial contributions signed by BDT and its partners in 2022 were distributed as follow</w:t>
      </w:r>
      <w:r w:rsidR="00601DB6" w:rsidRPr="009C309F">
        <w:rPr>
          <w:szCs w:val="24"/>
        </w:rPr>
        <w:t>s</w:t>
      </w:r>
      <w:r w:rsidRPr="009C309F">
        <w:rPr>
          <w:szCs w:val="24"/>
        </w:rPr>
        <w:t>:</w:t>
      </w:r>
    </w:p>
    <w:p w14:paraId="7E852BB8" w14:textId="1ED8C3CB" w:rsidR="00137609" w:rsidRPr="009C309F" w:rsidRDefault="00137609" w:rsidP="00DD195C">
      <w:pPr>
        <w:spacing w:before="0"/>
        <w:jc w:val="center"/>
        <w:rPr>
          <w:szCs w:val="24"/>
        </w:rPr>
      </w:pPr>
      <w:r w:rsidRPr="009C309F">
        <w:rPr>
          <w:noProof/>
          <w:sz w:val="28"/>
          <w:szCs w:val="22"/>
        </w:rPr>
        <w:drawing>
          <wp:inline distT="0" distB="0" distL="0" distR="0" wp14:anchorId="7CDC043B" wp14:editId="0E26A6A8">
            <wp:extent cx="5695315" cy="1758043"/>
            <wp:effectExtent l="0" t="0" r="635" b="13970"/>
            <wp:docPr id="1" name="Chart 1">
              <a:extLst xmlns:a="http://schemas.openxmlformats.org/drawingml/2006/main">
                <a:ext uri="{FF2B5EF4-FFF2-40B4-BE49-F238E27FC236}">
                  <a16:creationId xmlns:a16="http://schemas.microsoft.com/office/drawing/2014/main" id="{D100719C-8D93-6D92-A9D1-E684081DCD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7516D9" w14:textId="08F3A9EB" w:rsidR="007E11B2" w:rsidRPr="009C309F" w:rsidRDefault="007E11B2" w:rsidP="009C309F">
      <w:pPr>
        <w:tabs>
          <w:tab w:val="clear" w:pos="794"/>
          <w:tab w:val="clear" w:pos="1191"/>
          <w:tab w:val="clear" w:pos="1588"/>
          <w:tab w:val="clear" w:pos="1985"/>
        </w:tabs>
        <w:spacing w:after="120"/>
        <w:jc w:val="both"/>
        <w:rPr>
          <w:szCs w:val="24"/>
        </w:rPr>
      </w:pPr>
      <w:r w:rsidRPr="009C309F">
        <w:rPr>
          <w:szCs w:val="24"/>
          <w:lang w:val="en-US"/>
        </w:rPr>
        <w:t xml:space="preserve">The </w:t>
      </w:r>
      <w:r w:rsidRPr="009C309F">
        <w:rPr>
          <w:szCs w:val="24"/>
        </w:rPr>
        <w:t xml:space="preserve">three funding partners with the largest financial contributions </w:t>
      </w:r>
      <w:r w:rsidR="00745634" w:rsidRPr="009C309F">
        <w:rPr>
          <w:szCs w:val="24"/>
        </w:rPr>
        <w:t>between January and end of April 2023</w:t>
      </w:r>
      <w:r w:rsidRPr="009C309F">
        <w:rPr>
          <w:szCs w:val="24"/>
        </w:rPr>
        <w:t>:</w:t>
      </w:r>
    </w:p>
    <w:tbl>
      <w:tblPr>
        <w:tblStyle w:val="TableGrid"/>
        <w:tblW w:w="963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6516"/>
        <w:gridCol w:w="3118"/>
      </w:tblGrid>
      <w:tr w:rsidR="00AB06E1" w14:paraId="0839B15B" w14:textId="77777777" w:rsidTr="00725964">
        <w:tc>
          <w:tcPr>
            <w:tcW w:w="6516" w:type="dxa"/>
            <w:shd w:val="clear" w:color="auto" w:fill="DBE5F1" w:themeFill="accent1" w:themeFillTint="33"/>
          </w:tcPr>
          <w:p w14:paraId="5351B876" w14:textId="77777777" w:rsidR="00AB06E1" w:rsidRPr="00B57A35" w:rsidRDefault="00AB06E1" w:rsidP="00725964">
            <w:pPr>
              <w:tabs>
                <w:tab w:val="clear" w:pos="794"/>
                <w:tab w:val="clear" w:pos="1191"/>
                <w:tab w:val="clear" w:pos="1588"/>
                <w:tab w:val="clear" w:pos="1985"/>
              </w:tabs>
              <w:spacing w:after="60"/>
              <w:rPr>
                <w:b/>
                <w:bCs/>
                <w:sz w:val="22"/>
                <w:szCs w:val="22"/>
              </w:rPr>
            </w:pPr>
            <w:r w:rsidRPr="00B57A35">
              <w:rPr>
                <w:b/>
                <w:bCs/>
                <w:sz w:val="22"/>
                <w:szCs w:val="22"/>
              </w:rPr>
              <w:t>Partner</w:t>
            </w:r>
          </w:p>
        </w:tc>
        <w:tc>
          <w:tcPr>
            <w:tcW w:w="3118" w:type="dxa"/>
            <w:shd w:val="clear" w:color="auto" w:fill="DBE5F1" w:themeFill="accent1" w:themeFillTint="33"/>
          </w:tcPr>
          <w:p w14:paraId="011E734B" w14:textId="77777777" w:rsidR="00AB06E1" w:rsidRPr="00B57A35" w:rsidRDefault="00AB06E1" w:rsidP="00725964">
            <w:pPr>
              <w:tabs>
                <w:tab w:val="clear" w:pos="794"/>
                <w:tab w:val="clear" w:pos="1191"/>
                <w:tab w:val="clear" w:pos="1588"/>
                <w:tab w:val="clear" w:pos="1985"/>
              </w:tabs>
              <w:spacing w:before="60" w:after="60"/>
              <w:rPr>
                <w:b/>
                <w:bCs/>
                <w:sz w:val="22"/>
                <w:szCs w:val="22"/>
              </w:rPr>
            </w:pPr>
            <w:r w:rsidRPr="00B57A35">
              <w:rPr>
                <w:b/>
                <w:bCs/>
                <w:sz w:val="22"/>
                <w:szCs w:val="22"/>
              </w:rPr>
              <w:t>Signed financial contribution</w:t>
            </w:r>
          </w:p>
        </w:tc>
      </w:tr>
      <w:tr w:rsidR="00AB06E1" w14:paraId="19B3F521" w14:textId="77777777" w:rsidTr="00725964">
        <w:tc>
          <w:tcPr>
            <w:tcW w:w="6516" w:type="dxa"/>
          </w:tcPr>
          <w:p w14:paraId="2855B0E0" w14:textId="1B04D43C" w:rsidR="00AB06E1" w:rsidRDefault="002A3A97" w:rsidP="002B068E">
            <w:pPr>
              <w:tabs>
                <w:tab w:val="clear" w:pos="794"/>
                <w:tab w:val="clear" w:pos="1191"/>
                <w:tab w:val="clear" w:pos="1588"/>
                <w:tab w:val="clear" w:pos="1985"/>
              </w:tabs>
              <w:spacing w:before="60"/>
              <w:rPr>
                <w:sz w:val="22"/>
                <w:szCs w:val="22"/>
              </w:rPr>
            </w:pPr>
            <w:r>
              <w:rPr>
                <w:sz w:val="22"/>
                <w:szCs w:val="22"/>
              </w:rPr>
              <w:t>European Commission</w:t>
            </w:r>
          </w:p>
        </w:tc>
        <w:tc>
          <w:tcPr>
            <w:tcW w:w="3118" w:type="dxa"/>
          </w:tcPr>
          <w:p w14:paraId="7A6F44EB" w14:textId="6CEB9E11" w:rsidR="00AB06E1" w:rsidRDefault="002A3A97" w:rsidP="002B068E">
            <w:pPr>
              <w:tabs>
                <w:tab w:val="clear" w:pos="794"/>
                <w:tab w:val="clear" w:pos="1191"/>
                <w:tab w:val="clear" w:pos="1588"/>
                <w:tab w:val="clear" w:pos="1985"/>
              </w:tabs>
              <w:spacing w:before="60"/>
              <w:rPr>
                <w:sz w:val="22"/>
                <w:szCs w:val="22"/>
              </w:rPr>
            </w:pPr>
            <w:r>
              <w:rPr>
                <w:sz w:val="22"/>
                <w:szCs w:val="22"/>
              </w:rPr>
              <w:t>EUR 3 million</w:t>
            </w:r>
          </w:p>
        </w:tc>
      </w:tr>
      <w:tr w:rsidR="00AB06E1" w14:paraId="7ED03E28" w14:textId="77777777" w:rsidTr="00725964">
        <w:tc>
          <w:tcPr>
            <w:tcW w:w="6516" w:type="dxa"/>
          </w:tcPr>
          <w:p w14:paraId="27CFB7B3" w14:textId="4A4F254B" w:rsidR="00AB06E1" w:rsidRPr="00670EA6" w:rsidRDefault="003318F8" w:rsidP="002B068E">
            <w:pPr>
              <w:tabs>
                <w:tab w:val="clear" w:pos="794"/>
                <w:tab w:val="clear" w:pos="1191"/>
                <w:tab w:val="clear" w:pos="1588"/>
                <w:tab w:val="clear" w:pos="1985"/>
              </w:tabs>
              <w:spacing w:before="60"/>
              <w:rPr>
                <w:sz w:val="22"/>
                <w:szCs w:val="22"/>
              </w:rPr>
            </w:pPr>
            <w:r>
              <w:rPr>
                <w:sz w:val="22"/>
                <w:szCs w:val="22"/>
              </w:rPr>
              <w:t xml:space="preserve">Deutsche Gesellschaft </w:t>
            </w:r>
            <w:proofErr w:type="spellStart"/>
            <w:r>
              <w:rPr>
                <w:sz w:val="22"/>
                <w:szCs w:val="22"/>
              </w:rPr>
              <w:t>für</w:t>
            </w:r>
            <w:proofErr w:type="spellEnd"/>
            <w:r>
              <w:rPr>
                <w:sz w:val="22"/>
                <w:szCs w:val="22"/>
              </w:rPr>
              <w:t xml:space="preserve"> Internationale </w:t>
            </w:r>
            <w:proofErr w:type="spellStart"/>
            <w:r>
              <w:rPr>
                <w:sz w:val="22"/>
                <w:szCs w:val="22"/>
              </w:rPr>
              <w:t>Zusammenarbeit</w:t>
            </w:r>
            <w:proofErr w:type="spellEnd"/>
            <w:r w:rsidR="00AB06E1">
              <w:rPr>
                <w:sz w:val="22"/>
                <w:szCs w:val="22"/>
              </w:rPr>
              <w:t xml:space="preserve"> </w:t>
            </w:r>
          </w:p>
        </w:tc>
        <w:tc>
          <w:tcPr>
            <w:tcW w:w="3118" w:type="dxa"/>
          </w:tcPr>
          <w:p w14:paraId="66C71728" w14:textId="5FE9E1DB" w:rsidR="00AB06E1" w:rsidRDefault="001B4B28" w:rsidP="002B068E">
            <w:pPr>
              <w:tabs>
                <w:tab w:val="clear" w:pos="794"/>
                <w:tab w:val="clear" w:pos="1191"/>
                <w:tab w:val="clear" w:pos="1588"/>
                <w:tab w:val="clear" w:pos="1985"/>
              </w:tabs>
              <w:spacing w:before="60"/>
              <w:rPr>
                <w:sz w:val="22"/>
                <w:szCs w:val="22"/>
              </w:rPr>
            </w:pPr>
            <w:r>
              <w:rPr>
                <w:sz w:val="22"/>
                <w:szCs w:val="22"/>
              </w:rPr>
              <w:t xml:space="preserve">EUR </w:t>
            </w:r>
            <w:r w:rsidR="00A808CF">
              <w:rPr>
                <w:sz w:val="22"/>
                <w:szCs w:val="22"/>
              </w:rPr>
              <w:t>0.9 million</w:t>
            </w:r>
          </w:p>
        </w:tc>
      </w:tr>
      <w:tr w:rsidR="00AB06E1" w14:paraId="1EA05166" w14:textId="77777777" w:rsidTr="00725964">
        <w:trPr>
          <w:trHeight w:val="535"/>
        </w:trPr>
        <w:tc>
          <w:tcPr>
            <w:tcW w:w="6516" w:type="dxa"/>
          </w:tcPr>
          <w:p w14:paraId="15ED8290" w14:textId="755D8E56" w:rsidR="00AB06E1" w:rsidRDefault="00A808CF" w:rsidP="002B068E">
            <w:pPr>
              <w:tabs>
                <w:tab w:val="clear" w:pos="794"/>
                <w:tab w:val="clear" w:pos="1191"/>
                <w:tab w:val="clear" w:pos="1588"/>
                <w:tab w:val="clear" w:pos="1985"/>
              </w:tabs>
              <w:spacing w:before="60"/>
              <w:rPr>
                <w:sz w:val="22"/>
                <w:szCs w:val="22"/>
              </w:rPr>
            </w:pPr>
            <w:r>
              <w:rPr>
                <w:sz w:val="22"/>
                <w:szCs w:val="22"/>
              </w:rPr>
              <w:t>Ministry of Internal Affairs and Communications</w:t>
            </w:r>
          </w:p>
        </w:tc>
        <w:tc>
          <w:tcPr>
            <w:tcW w:w="3118" w:type="dxa"/>
          </w:tcPr>
          <w:p w14:paraId="53B695DE" w14:textId="12670399" w:rsidR="00AB06E1" w:rsidRDefault="001B4B28" w:rsidP="002B068E">
            <w:pPr>
              <w:tabs>
                <w:tab w:val="clear" w:pos="794"/>
                <w:tab w:val="clear" w:pos="1191"/>
                <w:tab w:val="clear" w:pos="1588"/>
                <w:tab w:val="clear" w:pos="1985"/>
              </w:tabs>
              <w:spacing w:before="60"/>
              <w:rPr>
                <w:sz w:val="22"/>
                <w:szCs w:val="22"/>
              </w:rPr>
            </w:pPr>
            <w:r>
              <w:rPr>
                <w:sz w:val="22"/>
                <w:szCs w:val="22"/>
              </w:rPr>
              <w:t>USD 0.</w:t>
            </w:r>
            <w:r w:rsidR="00A808CF">
              <w:rPr>
                <w:sz w:val="22"/>
                <w:szCs w:val="22"/>
              </w:rPr>
              <w:t>6</w:t>
            </w:r>
            <w:r>
              <w:rPr>
                <w:sz w:val="22"/>
                <w:szCs w:val="22"/>
              </w:rPr>
              <w:t xml:space="preserve"> million</w:t>
            </w:r>
          </w:p>
        </w:tc>
      </w:tr>
    </w:tbl>
    <w:p w14:paraId="45FCCE7D" w14:textId="54B917EF" w:rsidR="00134FA9" w:rsidRPr="009C309F" w:rsidRDefault="002241AE" w:rsidP="009C309F">
      <w:pPr>
        <w:pStyle w:val="ListParagraph"/>
        <w:spacing w:after="120"/>
        <w:ind w:left="0"/>
        <w:contextualSpacing w:val="0"/>
        <w:jc w:val="both"/>
        <w:rPr>
          <w:szCs w:val="24"/>
        </w:rPr>
      </w:pPr>
      <w:r w:rsidRPr="009C309F">
        <w:rPr>
          <w:szCs w:val="24"/>
        </w:rPr>
        <w:t>During the period between 1 January and 30 April 2023, BDT signed agreement</w:t>
      </w:r>
      <w:r w:rsidR="00192587" w:rsidRPr="009C309F">
        <w:rPr>
          <w:szCs w:val="24"/>
        </w:rPr>
        <w:t>s</w:t>
      </w:r>
      <w:r w:rsidRPr="009C309F">
        <w:rPr>
          <w:szCs w:val="24"/>
        </w:rPr>
        <w:t xml:space="preserve"> with 2</w:t>
      </w:r>
      <w:r w:rsidR="000F719B" w:rsidRPr="009C309F">
        <w:rPr>
          <w:szCs w:val="24"/>
        </w:rPr>
        <w:t>6</w:t>
      </w:r>
      <w:r w:rsidRPr="009C309F">
        <w:rPr>
          <w:szCs w:val="24"/>
        </w:rPr>
        <w:t xml:space="preserve"> different partners, out of which </w:t>
      </w:r>
      <w:r w:rsidR="006E3F4D" w:rsidRPr="009C309F">
        <w:rPr>
          <w:szCs w:val="24"/>
        </w:rPr>
        <w:t>Academia (3</w:t>
      </w:r>
      <w:r w:rsidR="000F719B" w:rsidRPr="009C309F">
        <w:rPr>
          <w:szCs w:val="24"/>
        </w:rPr>
        <w:t>5</w:t>
      </w:r>
      <w:r w:rsidR="006E3F4D" w:rsidRPr="009C309F">
        <w:rPr>
          <w:szCs w:val="24"/>
        </w:rPr>
        <w:t xml:space="preserve">%), </w:t>
      </w:r>
      <w:r w:rsidRPr="009C309F">
        <w:rPr>
          <w:szCs w:val="24"/>
        </w:rPr>
        <w:t>Governmental entities (3</w:t>
      </w:r>
      <w:r w:rsidR="000F719B" w:rsidRPr="009C309F">
        <w:rPr>
          <w:szCs w:val="24"/>
        </w:rPr>
        <w:t>1</w:t>
      </w:r>
      <w:r w:rsidRPr="009C309F">
        <w:rPr>
          <w:szCs w:val="24"/>
        </w:rPr>
        <w:t xml:space="preserve">%), </w:t>
      </w:r>
      <w:r w:rsidR="00A82CC4" w:rsidRPr="009C309F">
        <w:rPr>
          <w:szCs w:val="24"/>
        </w:rPr>
        <w:t>UN organizations (1</w:t>
      </w:r>
      <w:r w:rsidR="00290357" w:rsidRPr="009C309F">
        <w:rPr>
          <w:szCs w:val="24"/>
        </w:rPr>
        <w:t>5</w:t>
      </w:r>
      <w:r w:rsidR="00A82CC4" w:rsidRPr="009C309F">
        <w:rPr>
          <w:szCs w:val="24"/>
        </w:rPr>
        <w:t xml:space="preserve">%), </w:t>
      </w:r>
      <w:r w:rsidRPr="009C309F">
        <w:rPr>
          <w:szCs w:val="24"/>
        </w:rPr>
        <w:t>Private sector entities</w:t>
      </w:r>
      <w:r w:rsidR="00584E43" w:rsidRPr="009C309F">
        <w:rPr>
          <w:szCs w:val="24"/>
        </w:rPr>
        <w:t> </w:t>
      </w:r>
      <w:r w:rsidRPr="009C309F">
        <w:rPr>
          <w:szCs w:val="24"/>
        </w:rPr>
        <w:t>(</w:t>
      </w:r>
      <w:r w:rsidR="00134FA9" w:rsidRPr="009C309F">
        <w:rPr>
          <w:szCs w:val="24"/>
        </w:rPr>
        <w:t>8</w:t>
      </w:r>
      <w:r w:rsidRPr="009C309F">
        <w:rPr>
          <w:szCs w:val="24"/>
        </w:rPr>
        <w:t xml:space="preserve">%), </w:t>
      </w:r>
      <w:r w:rsidR="00A82CC4" w:rsidRPr="009C309F">
        <w:rPr>
          <w:szCs w:val="24"/>
        </w:rPr>
        <w:t xml:space="preserve">International </w:t>
      </w:r>
      <w:r w:rsidR="00134FA9" w:rsidRPr="009C309F">
        <w:rPr>
          <w:szCs w:val="24"/>
        </w:rPr>
        <w:t xml:space="preserve">and Regional </w:t>
      </w:r>
      <w:r w:rsidR="00A82CC4" w:rsidRPr="009C309F">
        <w:rPr>
          <w:szCs w:val="24"/>
        </w:rPr>
        <w:t>Organizations</w:t>
      </w:r>
      <w:r w:rsidR="00074746" w:rsidRPr="009C309F">
        <w:rPr>
          <w:szCs w:val="24"/>
        </w:rPr>
        <w:t xml:space="preserve"> and Associations</w:t>
      </w:r>
      <w:r w:rsidR="00A82CC4" w:rsidRPr="009C309F">
        <w:rPr>
          <w:szCs w:val="24"/>
        </w:rPr>
        <w:t xml:space="preserve"> (</w:t>
      </w:r>
      <w:r w:rsidR="00134FA9" w:rsidRPr="009C309F">
        <w:rPr>
          <w:szCs w:val="24"/>
        </w:rPr>
        <w:t>8</w:t>
      </w:r>
      <w:r w:rsidR="00A82CC4" w:rsidRPr="009C309F">
        <w:rPr>
          <w:szCs w:val="24"/>
        </w:rPr>
        <w:t xml:space="preserve">%) and </w:t>
      </w:r>
      <w:r w:rsidRPr="009C309F">
        <w:rPr>
          <w:szCs w:val="24"/>
        </w:rPr>
        <w:t>Financial institutions</w:t>
      </w:r>
      <w:r w:rsidR="00600C86" w:rsidRPr="009C309F">
        <w:rPr>
          <w:szCs w:val="24"/>
        </w:rPr>
        <w:t xml:space="preserve"> (4%)</w:t>
      </w:r>
      <w:r w:rsidRPr="009C309F">
        <w:rPr>
          <w:szCs w:val="24"/>
        </w:rPr>
        <w:t xml:space="preserve">. </w:t>
      </w:r>
    </w:p>
    <w:p w14:paraId="3AB7ECCD" w14:textId="45FBAB92" w:rsidR="0088010B" w:rsidRPr="009C309F" w:rsidRDefault="0088010B" w:rsidP="009C309F">
      <w:pPr>
        <w:pStyle w:val="ListParagraph"/>
        <w:spacing w:after="120"/>
        <w:ind w:left="0"/>
        <w:contextualSpacing w:val="0"/>
        <w:jc w:val="both"/>
        <w:rPr>
          <w:szCs w:val="24"/>
        </w:rPr>
      </w:pPr>
      <w:r w:rsidRPr="009C309F">
        <w:rPr>
          <w:szCs w:val="24"/>
        </w:rPr>
        <w:t xml:space="preserve">The signed financial contributions of these partners were distributed as per the chart below: </w:t>
      </w:r>
    </w:p>
    <w:p w14:paraId="3C44BB8B" w14:textId="37420B74" w:rsidR="00952859" w:rsidRDefault="00952859" w:rsidP="0088010B">
      <w:pPr>
        <w:pStyle w:val="ListParagraph"/>
        <w:spacing w:before="0"/>
        <w:ind w:left="0"/>
        <w:contextualSpacing w:val="0"/>
        <w:jc w:val="both"/>
        <w:rPr>
          <w:sz w:val="22"/>
          <w:szCs w:val="22"/>
        </w:rPr>
      </w:pPr>
      <w:r>
        <w:rPr>
          <w:noProof/>
        </w:rPr>
        <w:lastRenderedPageBreak/>
        <mc:AlternateContent>
          <mc:Choice Requires="cx1">
            <w:drawing>
              <wp:inline distT="0" distB="0" distL="0" distR="0" wp14:anchorId="7BBE2938" wp14:editId="028612A6">
                <wp:extent cx="6188075" cy="1986643"/>
                <wp:effectExtent l="0" t="0" r="3175" b="13970"/>
                <wp:docPr id="11" name="Chart 11">
                  <a:extLst xmlns:a="http://schemas.openxmlformats.org/drawingml/2006/main">
                    <a:ext uri="{FF2B5EF4-FFF2-40B4-BE49-F238E27FC236}">
                      <a16:creationId xmlns:a16="http://schemas.microsoft.com/office/drawing/2014/main" id="{C754C60A-AF37-D452-FE50-61B2D82C8F1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7BBE2938" wp14:editId="028612A6">
                <wp:extent cx="6188075" cy="1986643"/>
                <wp:effectExtent l="0" t="0" r="3175" b="13970"/>
                <wp:docPr id="11" name="Chart 11">
                  <a:extLst xmlns:a="http://schemas.openxmlformats.org/drawingml/2006/main">
                    <a:ext uri="{FF2B5EF4-FFF2-40B4-BE49-F238E27FC236}">
                      <a16:creationId xmlns:a16="http://schemas.microsoft.com/office/drawing/2014/main" id="{C754C60A-AF37-D452-FE50-61B2D82C8F1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Chart 11">
                          <a:extLst>
                            <a:ext uri="{FF2B5EF4-FFF2-40B4-BE49-F238E27FC236}">
                              <a16:creationId xmlns:a16="http://schemas.microsoft.com/office/drawing/2014/main" id="{C754C60A-AF37-D452-FE50-61B2D82C8F11}"/>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6188075" cy="1986280"/>
                        </a:xfrm>
                        <a:prstGeom prst="rect">
                          <a:avLst/>
                        </a:prstGeom>
                      </pic:spPr>
                    </pic:pic>
                  </a:graphicData>
                </a:graphic>
              </wp:inline>
            </w:drawing>
          </mc:Fallback>
        </mc:AlternateContent>
      </w:r>
    </w:p>
    <w:p w14:paraId="0F4A926D" w14:textId="2FB23130" w:rsidR="00813AC8" w:rsidRPr="009C309F" w:rsidRDefault="00B23E25" w:rsidP="009C309F">
      <w:pPr>
        <w:pStyle w:val="ListParagraph"/>
        <w:spacing w:after="120"/>
        <w:ind w:left="0"/>
        <w:contextualSpacing w:val="0"/>
        <w:rPr>
          <w:szCs w:val="24"/>
        </w:rPr>
      </w:pPr>
      <w:r w:rsidRPr="009C309F">
        <w:rPr>
          <w:szCs w:val="24"/>
        </w:rPr>
        <w:t xml:space="preserve">Amongst these partners, </w:t>
      </w:r>
      <w:r w:rsidR="00106E35" w:rsidRPr="009C309F">
        <w:rPr>
          <w:szCs w:val="24"/>
        </w:rPr>
        <w:t>15</w:t>
      </w:r>
      <w:r w:rsidRPr="009C309F">
        <w:rPr>
          <w:szCs w:val="24"/>
        </w:rPr>
        <w:t xml:space="preserve">% </w:t>
      </w:r>
      <w:r w:rsidR="00813AC8" w:rsidRPr="009C309F">
        <w:rPr>
          <w:szCs w:val="24"/>
        </w:rPr>
        <w:t xml:space="preserve">were ITU ADMIN, </w:t>
      </w:r>
      <w:r w:rsidR="00106E35" w:rsidRPr="009C309F">
        <w:rPr>
          <w:szCs w:val="24"/>
        </w:rPr>
        <w:t>12</w:t>
      </w:r>
      <w:r w:rsidR="00813AC8" w:rsidRPr="009C309F">
        <w:rPr>
          <w:szCs w:val="24"/>
        </w:rPr>
        <w:t>% ITU UNIVER/RSRCH, 8% ITU-D Sector Members (SIO)</w:t>
      </w:r>
      <w:r w:rsidR="00B80962" w:rsidRPr="009C309F">
        <w:rPr>
          <w:szCs w:val="24"/>
        </w:rPr>
        <w:t xml:space="preserve"> and, </w:t>
      </w:r>
      <w:r w:rsidR="00813AC8" w:rsidRPr="009C309F">
        <w:rPr>
          <w:szCs w:val="24"/>
        </w:rPr>
        <w:t>4%</w:t>
      </w:r>
      <w:r w:rsidR="008C1AEA" w:rsidRPr="009C309F">
        <w:rPr>
          <w:szCs w:val="24"/>
        </w:rPr>
        <w:t> </w:t>
      </w:r>
      <w:r w:rsidR="00813AC8" w:rsidRPr="009C309F">
        <w:rPr>
          <w:szCs w:val="24"/>
        </w:rPr>
        <w:t>ITU REGINTORG, as per ITU Membership catego</w:t>
      </w:r>
      <w:r w:rsidR="00B80962" w:rsidRPr="009C309F">
        <w:rPr>
          <w:szCs w:val="24"/>
        </w:rPr>
        <w:t>ries</w:t>
      </w:r>
      <w:r w:rsidR="00813AC8" w:rsidRPr="009C309F">
        <w:rPr>
          <w:szCs w:val="24"/>
        </w:rPr>
        <w:t>.</w:t>
      </w:r>
    </w:p>
    <w:p w14:paraId="5758F355" w14:textId="074DA754" w:rsidR="004C5245" w:rsidRPr="009C309F" w:rsidRDefault="004C5245" w:rsidP="009C309F">
      <w:pPr>
        <w:spacing w:after="120"/>
        <w:rPr>
          <w:szCs w:val="24"/>
        </w:rPr>
      </w:pPr>
      <w:r w:rsidRPr="009C309F">
        <w:rPr>
          <w:szCs w:val="24"/>
        </w:rPr>
        <w:t>The chart below showcases the geographical distribution of the partnership agreements signed between 1</w:t>
      </w:r>
      <w:r w:rsidR="008C1AEA" w:rsidRPr="009C309F">
        <w:rPr>
          <w:szCs w:val="24"/>
        </w:rPr>
        <w:t> </w:t>
      </w:r>
      <w:r w:rsidRPr="009C309F">
        <w:rPr>
          <w:szCs w:val="24"/>
        </w:rPr>
        <w:t xml:space="preserve">January and 30 April 2023 (in terms of number and funds signed): </w:t>
      </w:r>
    </w:p>
    <w:p w14:paraId="6D46F24F" w14:textId="35D12617" w:rsidR="00B25D57" w:rsidRDefault="007C2694" w:rsidP="00A8708D">
      <w:pPr>
        <w:spacing w:before="0"/>
        <w:jc w:val="both"/>
        <w:rPr>
          <w:sz w:val="22"/>
          <w:szCs w:val="22"/>
          <w:highlight w:val="yellow"/>
        </w:rPr>
      </w:pPr>
      <w:r>
        <w:rPr>
          <w:noProof/>
        </w:rPr>
        <w:drawing>
          <wp:inline distT="0" distB="0" distL="0" distR="0" wp14:anchorId="33AF1B78" wp14:editId="4B0D5F89">
            <wp:extent cx="6231890" cy="2117271"/>
            <wp:effectExtent l="0" t="0" r="16510" b="16510"/>
            <wp:docPr id="5" name="Chart 5">
              <a:extLst xmlns:a="http://schemas.openxmlformats.org/drawingml/2006/main">
                <a:ext uri="{FF2B5EF4-FFF2-40B4-BE49-F238E27FC236}">
                  <a16:creationId xmlns:a16="http://schemas.microsoft.com/office/drawing/2014/main" id="{430A3D1F-76C0-D5B5-BB00-460CAD1A12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29EAF8" w14:textId="778DA129" w:rsidR="006060E0" w:rsidRPr="009C309F" w:rsidRDefault="006060E0" w:rsidP="009C309F">
      <w:pPr>
        <w:spacing w:after="120"/>
        <w:rPr>
          <w:szCs w:val="24"/>
        </w:rPr>
      </w:pPr>
      <w:r w:rsidRPr="009C309F">
        <w:rPr>
          <w:szCs w:val="24"/>
        </w:rPr>
        <w:t>In term of ITU-D priorities</w:t>
      </w:r>
      <w:r w:rsidR="00F55AD2" w:rsidRPr="009C309F">
        <w:rPr>
          <w:szCs w:val="24"/>
        </w:rPr>
        <w:t xml:space="preserve"> </w:t>
      </w:r>
      <w:r w:rsidR="00A22F7A" w:rsidRPr="009C309F">
        <w:rPr>
          <w:szCs w:val="24"/>
        </w:rPr>
        <w:t>(</w:t>
      </w:r>
      <w:r w:rsidR="00F55AD2" w:rsidRPr="009C309F">
        <w:rPr>
          <w:szCs w:val="24"/>
        </w:rPr>
        <w:t>as per Kigali Action Plan</w:t>
      </w:r>
      <w:r w:rsidR="00A22F7A" w:rsidRPr="009C309F">
        <w:rPr>
          <w:szCs w:val="24"/>
        </w:rPr>
        <w:t>)</w:t>
      </w:r>
      <w:r w:rsidRPr="009C309F">
        <w:rPr>
          <w:szCs w:val="24"/>
        </w:rPr>
        <w:t>, the agreements signed between beginning of January 2023 and end of April 2023 (in terms of number and funds signed) were distributed as follows:</w:t>
      </w:r>
    </w:p>
    <w:p w14:paraId="584C04F3" w14:textId="7E9AEC7F" w:rsidR="00B50479" w:rsidRDefault="00B50479" w:rsidP="00515F8F">
      <w:pPr>
        <w:tabs>
          <w:tab w:val="clear" w:pos="794"/>
          <w:tab w:val="clear" w:pos="1191"/>
          <w:tab w:val="clear" w:pos="1588"/>
          <w:tab w:val="clear" w:pos="1985"/>
        </w:tabs>
        <w:jc w:val="both"/>
        <w:rPr>
          <w:b/>
          <w:bCs/>
          <w:sz w:val="22"/>
          <w:szCs w:val="18"/>
        </w:rPr>
      </w:pPr>
      <w:r>
        <w:rPr>
          <w:noProof/>
        </w:rPr>
        <w:drawing>
          <wp:inline distT="0" distB="0" distL="0" distR="0" wp14:anchorId="186FB4C2" wp14:editId="56E600E0">
            <wp:extent cx="6204585" cy="2334986"/>
            <wp:effectExtent l="0" t="0" r="5715" b="8255"/>
            <wp:docPr id="9" name="Chart 9">
              <a:extLst xmlns:a="http://schemas.openxmlformats.org/drawingml/2006/main">
                <a:ext uri="{FF2B5EF4-FFF2-40B4-BE49-F238E27FC236}">
                  <a16:creationId xmlns:a16="http://schemas.microsoft.com/office/drawing/2014/main" id="{16DE4DFD-A7B6-DC40-EC5A-FC8CBCAB50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B9C1C72" w14:textId="2217372C" w:rsidR="0084291B" w:rsidRPr="009C309F" w:rsidRDefault="0084291B" w:rsidP="009C309F">
      <w:pPr>
        <w:tabs>
          <w:tab w:val="clear" w:pos="794"/>
          <w:tab w:val="clear" w:pos="1191"/>
          <w:tab w:val="clear" w:pos="1588"/>
          <w:tab w:val="clear" w:pos="1985"/>
        </w:tabs>
        <w:spacing w:afterLines="120" w:after="288"/>
        <w:jc w:val="both"/>
      </w:pPr>
      <w:r w:rsidRPr="009C309F">
        <w:t xml:space="preserve">The charts below present a comparison </w:t>
      </w:r>
      <w:r w:rsidR="00FA611E" w:rsidRPr="009C309F">
        <w:t xml:space="preserve">in terms of number of agreements and funds signed for </w:t>
      </w:r>
      <w:r w:rsidR="00AD1A1D" w:rsidRPr="009C309F">
        <w:t>the period 1</w:t>
      </w:r>
      <w:r w:rsidR="00FA611E" w:rsidRPr="009C309F">
        <w:t> </w:t>
      </w:r>
      <w:r w:rsidR="00AD1A1D" w:rsidRPr="009C309F">
        <w:t xml:space="preserve">January – 30 April in </w:t>
      </w:r>
      <w:r w:rsidR="00E21CED" w:rsidRPr="009C309F">
        <w:t xml:space="preserve">both </w:t>
      </w:r>
      <w:r w:rsidR="00AD1A1D" w:rsidRPr="009C309F">
        <w:t>2022 and 2023</w:t>
      </w:r>
      <w:r w:rsidR="00FA611E" w:rsidRPr="009C309F">
        <w:t>:</w:t>
      </w:r>
    </w:p>
    <w:p w14:paraId="2F83F4E2" w14:textId="64A86FB0" w:rsidR="008D3E9E" w:rsidRDefault="0084291B" w:rsidP="00782F99">
      <w:pPr>
        <w:tabs>
          <w:tab w:val="clear" w:pos="794"/>
          <w:tab w:val="clear" w:pos="1191"/>
          <w:tab w:val="clear" w:pos="1588"/>
          <w:tab w:val="clear" w:pos="1985"/>
        </w:tabs>
        <w:spacing w:before="0"/>
        <w:jc w:val="both"/>
        <w:rPr>
          <w:b/>
          <w:bCs/>
          <w:sz w:val="22"/>
          <w:szCs w:val="18"/>
        </w:rPr>
      </w:pPr>
      <w:r>
        <w:rPr>
          <w:noProof/>
        </w:rPr>
        <w:lastRenderedPageBreak/>
        <w:drawing>
          <wp:inline distT="0" distB="0" distL="0" distR="0" wp14:anchorId="5DC865B5" wp14:editId="69B6C96D">
            <wp:extent cx="1926590" cy="1469572"/>
            <wp:effectExtent l="0" t="0" r="16510" b="16510"/>
            <wp:docPr id="12" name="Chart 12">
              <a:extLst xmlns:a="http://schemas.openxmlformats.org/drawingml/2006/main">
                <a:ext uri="{FF2B5EF4-FFF2-40B4-BE49-F238E27FC236}">
                  <a16:creationId xmlns:a16="http://schemas.microsoft.com/office/drawing/2014/main" id="{BD027C90-CC9D-430E-8B16-CAC620D796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15281D" w:rsidRPr="0015281D">
        <w:rPr>
          <w:noProof/>
        </w:rPr>
        <w:t xml:space="preserve"> </w:t>
      </w:r>
      <w:r w:rsidR="00E21CED">
        <w:rPr>
          <w:noProof/>
        </w:rPr>
        <w:t xml:space="preserve">        </w:t>
      </w:r>
      <w:r w:rsidR="0015281D">
        <w:rPr>
          <w:noProof/>
        </w:rPr>
        <w:drawing>
          <wp:inline distT="0" distB="0" distL="0" distR="0" wp14:anchorId="2492A633" wp14:editId="1A7DED87">
            <wp:extent cx="4011295" cy="1785257"/>
            <wp:effectExtent l="0" t="0" r="8255" b="5715"/>
            <wp:docPr id="13" name="Chart 13">
              <a:extLst xmlns:a="http://schemas.openxmlformats.org/drawingml/2006/main">
                <a:ext uri="{FF2B5EF4-FFF2-40B4-BE49-F238E27FC236}">
                  <a16:creationId xmlns:a16="http://schemas.microsoft.com/office/drawing/2014/main" id="{2C249ED3-A7B6-F64C-22A8-EB2A48D998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588E3E" w14:textId="5D4E2F95" w:rsidR="008F3D54" w:rsidRPr="009C309F" w:rsidRDefault="008F3D54" w:rsidP="009C309F">
      <w:pPr>
        <w:tabs>
          <w:tab w:val="clear" w:pos="794"/>
          <w:tab w:val="clear" w:pos="1191"/>
          <w:tab w:val="clear" w:pos="1588"/>
          <w:tab w:val="clear" w:pos="1985"/>
        </w:tabs>
        <w:spacing w:after="120"/>
        <w:rPr>
          <w:szCs w:val="24"/>
        </w:rPr>
      </w:pPr>
      <w:r w:rsidRPr="009C309F">
        <w:rPr>
          <w:szCs w:val="24"/>
        </w:rPr>
        <w:t xml:space="preserve">The outcomes of the Partner2Connect </w:t>
      </w:r>
      <w:r w:rsidR="00E56633" w:rsidRPr="009C309F">
        <w:rPr>
          <w:szCs w:val="24"/>
        </w:rPr>
        <w:t xml:space="preserve">Digital </w:t>
      </w:r>
      <w:r w:rsidRPr="009C309F">
        <w:rPr>
          <w:szCs w:val="24"/>
        </w:rPr>
        <w:t>Coalition, which registered 61</w:t>
      </w:r>
      <w:r w:rsidR="0099104F" w:rsidRPr="009C309F">
        <w:rPr>
          <w:szCs w:val="24"/>
        </w:rPr>
        <w:t>7</w:t>
      </w:r>
      <w:r w:rsidRPr="009C309F">
        <w:rPr>
          <w:szCs w:val="24"/>
        </w:rPr>
        <w:t xml:space="preserve"> pledges valued at USD</w:t>
      </w:r>
      <w:r w:rsidR="0099104F" w:rsidRPr="009C309F">
        <w:rPr>
          <w:szCs w:val="24"/>
        </w:rPr>
        <w:t> </w:t>
      </w:r>
      <w:r w:rsidRPr="009C309F">
        <w:rPr>
          <w:szCs w:val="24"/>
        </w:rPr>
        <w:t>30</w:t>
      </w:r>
      <w:r w:rsidR="0099104F" w:rsidRPr="009C309F">
        <w:rPr>
          <w:szCs w:val="24"/>
        </w:rPr>
        <w:t> </w:t>
      </w:r>
      <w:r w:rsidRPr="009C309F">
        <w:rPr>
          <w:szCs w:val="24"/>
        </w:rPr>
        <w:t xml:space="preserve">billion </w:t>
      </w:r>
      <w:r w:rsidR="0071734A" w:rsidRPr="009C309F">
        <w:rPr>
          <w:szCs w:val="24"/>
        </w:rPr>
        <w:t xml:space="preserve">as of 30 April 2023, </w:t>
      </w:r>
      <w:r w:rsidRPr="009C309F">
        <w:rPr>
          <w:szCs w:val="24"/>
        </w:rPr>
        <w:t xml:space="preserve">give BDT the expectations that new agreements will be signed. </w:t>
      </w:r>
      <w:r w:rsidR="003D281D" w:rsidRPr="009C309F">
        <w:rPr>
          <w:szCs w:val="24"/>
        </w:rPr>
        <w:t xml:space="preserve">A special segment of the Regional Development Forums will be dedicated to the Partner2Connect Digital Coalition match-making that provides an opportunity for </w:t>
      </w:r>
      <w:r w:rsidR="0071734A" w:rsidRPr="009C309F">
        <w:rPr>
          <w:szCs w:val="24"/>
        </w:rPr>
        <w:t>stakeholders</w:t>
      </w:r>
      <w:r w:rsidR="003D281D" w:rsidRPr="009C309F">
        <w:rPr>
          <w:szCs w:val="24"/>
        </w:rPr>
        <w:t xml:space="preserve"> to express their commitments which could be based on the pledges that they have already made or new pledges aimed at addressing country needs with the aim of advancing digital development in the various regions.</w:t>
      </w:r>
      <w:r w:rsidR="00E91BE1" w:rsidRPr="009C309F">
        <w:rPr>
          <w:szCs w:val="24"/>
        </w:rPr>
        <w:t xml:space="preserve"> For more information on the Partner2Connect Digital Coali</w:t>
      </w:r>
      <w:r w:rsidR="00E91BE1" w:rsidRPr="00CE3F18">
        <w:rPr>
          <w:szCs w:val="24"/>
        </w:rPr>
        <w:t xml:space="preserve">tion, please refer </w:t>
      </w:r>
      <w:r w:rsidRPr="00CE3F18">
        <w:rPr>
          <w:szCs w:val="24"/>
        </w:rPr>
        <w:t>to TDAG</w:t>
      </w:r>
      <w:r w:rsidR="00CE3F18">
        <w:rPr>
          <w:szCs w:val="24"/>
        </w:rPr>
        <w:t>-23</w:t>
      </w:r>
      <w:r w:rsidRPr="00CE3F18">
        <w:rPr>
          <w:szCs w:val="24"/>
        </w:rPr>
        <w:t>/14</w:t>
      </w:r>
      <w:r w:rsidRPr="009C309F">
        <w:rPr>
          <w:szCs w:val="24"/>
        </w:rPr>
        <w:t xml:space="preserve"> </w:t>
      </w:r>
      <w:r w:rsidR="00E91BE1" w:rsidRPr="009C309F">
        <w:rPr>
          <w:szCs w:val="24"/>
        </w:rPr>
        <w:t>(ITU-</w:t>
      </w:r>
      <w:r w:rsidRPr="009C309F">
        <w:rPr>
          <w:szCs w:val="24"/>
        </w:rPr>
        <w:t>Special Initiatives</w:t>
      </w:r>
      <w:r w:rsidR="00E91BE1" w:rsidRPr="009C309F">
        <w:rPr>
          <w:szCs w:val="24"/>
        </w:rPr>
        <w:t>)</w:t>
      </w:r>
      <w:r w:rsidRPr="009C309F">
        <w:rPr>
          <w:szCs w:val="24"/>
        </w:rPr>
        <w:t>.</w:t>
      </w:r>
    </w:p>
    <w:p w14:paraId="542E9490" w14:textId="1EE5898B" w:rsidR="00022797" w:rsidRPr="009C309F" w:rsidRDefault="00022797" w:rsidP="009C309F">
      <w:pPr>
        <w:pStyle w:val="ListParagraph"/>
        <w:numPr>
          <w:ilvl w:val="0"/>
          <w:numId w:val="17"/>
        </w:numPr>
        <w:spacing w:after="120"/>
        <w:rPr>
          <w:b/>
          <w:bCs/>
          <w:szCs w:val="24"/>
        </w:rPr>
      </w:pPr>
      <w:r w:rsidRPr="009C309F">
        <w:rPr>
          <w:b/>
          <w:bCs/>
          <w:szCs w:val="24"/>
        </w:rPr>
        <w:t>Key Actions and Outcomes</w:t>
      </w:r>
    </w:p>
    <w:p w14:paraId="7A2F6D48" w14:textId="55781EC1" w:rsidR="00022797" w:rsidRPr="009C309F" w:rsidRDefault="00022797" w:rsidP="009C309F">
      <w:pPr>
        <w:tabs>
          <w:tab w:val="clear" w:pos="794"/>
          <w:tab w:val="clear" w:pos="1191"/>
          <w:tab w:val="clear" w:pos="1588"/>
          <w:tab w:val="clear" w:pos="1985"/>
        </w:tabs>
        <w:spacing w:after="120"/>
        <w:rPr>
          <w:szCs w:val="24"/>
        </w:rPr>
      </w:pPr>
      <w:r w:rsidRPr="009C309F">
        <w:rPr>
          <w:szCs w:val="24"/>
        </w:rPr>
        <w:t>BDT has been conducting a series of strategic actions</w:t>
      </w:r>
      <w:r w:rsidR="00013C64" w:rsidRPr="009C309F">
        <w:rPr>
          <w:szCs w:val="24"/>
        </w:rPr>
        <w:t>,</w:t>
      </w:r>
      <w:r w:rsidRPr="009C309F">
        <w:rPr>
          <w:szCs w:val="24"/>
        </w:rPr>
        <w:t xml:space="preserve"> including the development and enhancement of its internal products and external services to enhance partnerships and resource mobilization</w:t>
      </w:r>
      <w:r w:rsidR="004814B2" w:rsidRPr="009C309F">
        <w:rPr>
          <w:szCs w:val="24"/>
        </w:rPr>
        <w:t xml:space="preserve">, </w:t>
      </w:r>
      <w:r w:rsidR="00013C64" w:rsidRPr="009C309F">
        <w:rPr>
          <w:szCs w:val="24"/>
        </w:rPr>
        <w:t>which included</w:t>
      </w:r>
      <w:r w:rsidR="004814B2" w:rsidRPr="009C309F">
        <w:rPr>
          <w:szCs w:val="24"/>
        </w:rPr>
        <w:t>:</w:t>
      </w:r>
    </w:p>
    <w:p w14:paraId="04E0E03A" w14:textId="4CAAE5E6" w:rsidR="000144E3" w:rsidRPr="009C309F" w:rsidRDefault="004814B2" w:rsidP="009C309F">
      <w:pPr>
        <w:pStyle w:val="ListParagraph"/>
        <w:numPr>
          <w:ilvl w:val="0"/>
          <w:numId w:val="19"/>
        </w:numPr>
        <w:spacing w:before="60" w:after="60"/>
        <w:ind w:left="357" w:hanging="357"/>
        <w:contextualSpacing w:val="0"/>
        <w:rPr>
          <w:szCs w:val="24"/>
        </w:rPr>
      </w:pPr>
      <w:r w:rsidRPr="009C309F">
        <w:rPr>
          <w:b/>
          <w:bCs/>
          <w:szCs w:val="24"/>
        </w:rPr>
        <w:t xml:space="preserve">Cultivating/strengthening </w:t>
      </w:r>
      <w:r w:rsidR="00AB6F4D" w:rsidRPr="009C309F">
        <w:rPr>
          <w:b/>
          <w:bCs/>
          <w:szCs w:val="24"/>
        </w:rPr>
        <w:t xml:space="preserve">the </w:t>
      </w:r>
      <w:r w:rsidRPr="009C309F">
        <w:rPr>
          <w:b/>
          <w:bCs/>
          <w:szCs w:val="24"/>
        </w:rPr>
        <w:t>relationship with existing partners:</w:t>
      </w:r>
      <w:r w:rsidRPr="009C309F">
        <w:rPr>
          <w:szCs w:val="24"/>
        </w:rPr>
        <w:t xml:space="preserve"> </w:t>
      </w:r>
      <w:r w:rsidR="00D93A47" w:rsidRPr="009C309F">
        <w:rPr>
          <w:szCs w:val="24"/>
        </w:rPr>
        <w:t xml:space="preserve">Successful partnership and resource mobilization rely on the quality of the relationship with the partners. </w:t>
      </w:r>
      <w:r w:rsidR="004A300B" w:rsidRPr="009C309F">
        <w:rPr>
          <w:szCs w:val="24"/>
        </w:rPr>
        <w:t>They are primarily relationship</w:t>
      </w:r>
      <w:r w:rsidR="00013C64" w:rsidRPr="009C309F">
        <w:rPr>
          <w:szCs w:val="24"/>
        </w:rPr>
        <w:noBreakHyphen/>
      </w:r>
      <w:r w:rsidR="004A300B" w:rsidRPr="009C309F">
        <w:rPr>
          <w:szCs w:val="24"/>
        </w:rPr>
        <w:t>building activitie</w:t>
      </w:r>
      <w:r w:rsidR="004A300B" w:rsidRPr="00CE3F18">
        <w:rPr>
          <w:szCs w:val="24"/>
        </w:rPr>
        <w:t xml:space="preserve">s, anchored on trust, </w:t>
      </w:r>
      <w:r w:rsidR="000420B9" w:rsidRPr="00CE3F18">
        <w:rPr>
          <w:szCs w:val="24"/>
        </w:rPr>
        <w:t>confidence,</w:t>
      </w:r>
      <w:r w:rsidR="004A300B" w:rsidRPr="00CE3F18">
        <w:rPr>
          <w:szCs w:val="24"/>
        </w:rPr>
        <w:t xml:space="preserve"> and respect. </w:t>
      </w:r>
      <w:r w:rsidR="00433759" w:rsidRPr="00CE3F18">
        <w:rPr>
          <w:szCs w:val="24"/>
        </w:rPr>
        <w:t>N</w:t>
      </w:r>
      <w:r w:rsidR="00D93A47" w:rsidRPr="00CE3F18">
        <w:rPr>
          <w:szCs w:val="24"/>
        </w:rPr>
        <w:t>urturing and developing the relationship is fundamental to maintain</w:t>
      </w:r>
      <w:r w:rsidR="00AB6F4D" w:rsidRPr="00CE3F18">
        <w:rPr>
          <w:szCs w:val="24"/>
        </w:rPr>
        <w:t>ing</w:t>
      </w:r>
      <w:r w:rsidR="00D93A47" w:rsidRPr="00CE3F18">
        <w:rPr>
          <w:szCs w:val="24"/>
        </w:rPr>
        <w:t xml:space="preserve"> and sustain</w:t>
      </w:r>
      <w:r w:rsidR="00AB6F4D" w:rsidRPr="00CE3F18">
        <w:rPr>
          <w:szCs w:val="24"/>
        </w:rPr>
        <w:t xml:space="preserve">ing </w:t>
      </w:r>
      <w:r w:rsidR="00866DCD" w:rsidRPr="00CE3F18">
        <w:rPr>
          <w:szCs w:val="24"/>
        </w:rPr>
        <w:t xml:space="preserve">them </w:t>
      </w:r>
      <w:r w:rsidR="00D93A47" w:rsidRPr="00CE3F18">
        <w:rPr>
          <w:szCs w:val="24"/>
        </w:rPr>
        <w:t>on a long-term basis. Partnership and resource mobilization are not one-time activit</w:t>
      </w:r>
      <w:r w:rsidR="00866DCD" w:rsidRPr="00CE3F18">
        <w:rPr>
          <w:szCs w:val="24"/>
        </w:rPr>
        <w:t>ies</w:t>
      </w:r>
      <w:r w:rsidR="00D93A47" w:rsidRPr="00CE3F18">
        <w:rPr>
          <w:szCs w:val="24"/>
        </w:rPr>
        <w:t xml:space="preserve"> that ends once the support is received. Therefore, BDT pays </w:t>
      </w:r>
      <w:proofErr w:type="gramStart"/>
      <w:r w:rsidR="00D93A47" w:rsidRPr="00CE3F18">
        <w:rPr>
          <w:szCs w:val="24"/>
        </w:rPr>
        <w:t>particular attention</w:t>
      </w:r>
      <w:proofErr w:type="gramEnd"/>
      <w:r w:rsidR="00D93A47" w:rsidRPr="00CE3F18">
        <w:rPr>
          <w:szCs w:val="24"/>
        </w:rPr>
        <w:t xml:space="preserve"> at cultivating </w:t>
      </w:r>
      <w:r w:rsidR="001C10AD" w:rsidRPr="00CE3F18">
        <w:rPr>
          <w:szCs w:val="24"/>
        </w:rPr>
        <w:t xml:space="preserve">its relationship with </w:t>
      </w:r>
      <w:r w:rsidR="003C711A" w:rsidRPr="00CE3F18">
        <w:rPr>
          <w:szCs w:val="24"/>
        </w:rPr>
        <w:t xml:space="preserve">its </w:t>
      </w:r>
      <w:r w:rsidR="00A12702" w:rsidRPr="00CE3F18">
        <w:rPr>
          <w:szCs w:val="24"/>
        </w:rPr>
        <w:t xml:space="preserve">longstanding </w:t>
      </w:r>
      <w:r w:rsidR="001C10AD" w:rsidRPr="00CE3F18">
        <w:rPr>
          <w:szCs w:val="24"/>
        </w:rPr>
        <w:t xml:space="preserve">partners, </w:t>
      </w:r>
      <w:r w:rsidR="007B0E93" w:rsidRPr="00CE3F18">
        <w:rPr>
          <w:szCs w:val="24"/>
        </w:rPr>
        <w:t xml:space="preserve">including </w:t>
      </w:r>
      <w:r w:rsidR="005578A1" w:rsidRPr="00CE3F18">
        <w:rPr>
          <w:szCs w:val="24"/>
        </w:rPr>
        <w:t xml:space="preserve">those </w:t>
      </w:r>
      <w:r w:rsidR="00AE7815" w:rsidRPr="00CE3F18">
        <w:rPr>
          <w:szCs w:val="24"/>
        </w:rPr>
        <w:t>indicated under TDAG</w:t>
      </w:r>
      <w:r w:rsidR="00CE3F18">
        <w:rPr>
          <w:szCs w:val="24"/>
        </w:rPr>
        <w:t>-23/</w:t>
      </w:r>
      <w:r w:rsidR="00AE7815" w:rsidRPr="00CE3F18">
        <w:rPr>
          <w:szCs w:val="24"/>
        </w:rPr>
        <w:t>INF/1</w:t>
      </w:r>
      <w:r w:rsidR="00593EDD" w:rsidRPr="00CE3F18">
        <w:rPr>
          <w:szCs w:val="24"/>
        </w:rPr>
        <w:t>.</w:t>
      </w:r>
      <w:r w:rsidR="00593EDD" w:rsidRPr="009C309F">
        <w:rPr>
          <w:szCs w:val="24"/>
        </w:rPr>
        <w:t xml:space="preserve"> </w:t>
      </w:r>
    </w:p>
    <w:p w14:paraId="400521B2" w14:textId="27FBE084" w:rsidR="00593EDD" w:rsidRPr="009C309F" w:rsidRDefault="00593EDD" w:rsidP="009C309F">
      <w:pPr>
        <w:pStyle w:val="ListParagraph"/>
        <w:numPr>
          <w:ilvl w:val="0"/>
          <w:numId w:val="19"/>
        </w:numPr>
        <w:spacing w:before="60" w:after="60"/>
        <w:ind w:left="357" w:hanging="357"/>
        <w:contextualSpacing w:val="0"/>
        <w:rPr>
          <w:szCs w:val="24"/>
        </w:rPr>
      </w:pPr>
      <w:r w:rsidRPr="009C309F">
        <w:rPr>
          <w:b/>
          <w:bCs/>
          <w:szCs w:val="24"/>
        </w:rPr>
        <w:t>Outreach to new potential partners</w:t>
      </w:r>
      <w:r w:rsidRPr="009C309F">
        <w:rPr>
          <w:szCs w:val="24"/>
        </w:rPr>
        <w:t xml:space="preserve">: While BDT pays </w:t>
      </w:r>
      <w:proofErr w:type="gramStart"/>
      <w:r w:rsidRPr="009C309F">
        <w:rPr>
          <w:szCs w:val="24"/>
        </w:rPr>
        <w:t>particular attention</w:t>
      </w:r>
      <w:proofErr w:type="gramEnd"/>
      <w:r w:rsidRPr="009C309F">
        <w:rPr>
          <w:szCs w:val="24"/>
        </w:rPr>
        <w:t xml:space="preserve"> </w:t>
      </w:r>
      <w:r w:rsidR="00866DCD" w:rsidRPr="009C309F">
        <w:rPr>
          <w:szCs w:val="24"/>
        </w:rPr>
        <w:t xml:space="preserve">to </w:t>
      </w:r>
      <w:r w:rsidRPr="009C309F">
        <w:rPr>
          <w:szCs w:val="24"/>
        </w:rPr>
        <w:t xml:space="preserve">nurturing </w:t>
      </w:r>
      <w:r w:rsidR="00866DCD" w:rsidRPr="009C309F">
        <w:rPr>
          <w:szCs w:val="24"/>
        </w:rPr>
        <w:t xml:space="preserve">the </w:t>
      </w:r>
      <w:r w:rsidRPr="009C309F">
        <w:rPr>
          <w:szCs w:val="24"/>
        </w:rPr>
        <w:t xml:space="preserve">relationship with </w:t>
      </w:r>
      <w:r w:rsidR="00013C64" w:rsidRPr="009C309F">
        <w:rPr>
          <w:szCs w:val="24"/>
        </w:rPr>
        <w:t xml:space="preserve">its </w:t>
      </w:r>
      <w:r w:rsidRPr="009C309F">
        <w:rPr>
          <w:szCs w:val="24"/>
        </w:rPr>
        <w:t>existing partners and engaging them in a lasting relationship, BDT also recognizes the importance of widening and diversifying its pool of partners through outreaching activities towards</w:t>
      </w:r>
      <w:r w:rsidR="00866DCD" w:rsidRPr="009C309F">
        <w:rPr>
          <w:szCs w:val="24"/>
        </w:rPr>
        <w:t xml:space="preserve"> potential</w:t>
      </w:r>
      <w:r w:rsidRPr="009C309F">
        <w:rPr>
          <w:szCs w:val="24"/>
        </w:rPr>
        <w:t xml:space="preserve"> new partners. To do so and to ensure </w:t>
      </w:r>
      <w:r w:rsidR="00866DCD" w:rsidRPr="009C309F">
        <w:rPr>
          <w:szCs w:val="24"/>
        </w:rPr>
        <w:t xml:space="preserve">the </w:t>
      </w:r>
      <w:r w:rsidRPr="009C309F">
        <w:rPr>
          <w:szCs w:val="24"/>
        </w:rPr>
        <w:t>strategic approach, BDT has mapped</w:t>
      </w:r>
      <w:r w:rsidR="0013766A" w:rsidRPr="009C309F">
        <w:rPr>
          <w:szCs w:val="24"/>
        </w:rPr>
        <w:t xml:space="preserve">, </w:t>
      </w:r>
      <w:r w:rsidRPr="009C309F">
        <w:rPr>
          <w:szCs w:val="24"/>
        </w:rPr>
        <w:t xml:space="preserve">profiled </w:t>
      </w:r>
      <w:r w:rsidR="0013766A" w:rsidRPr="009C309F">
        <w:rPr>
          <w:szCs w:val="24"/>
        </w:rPr>
        <w:t xml:space="preserve">and reached out to </w:t>
      </w:r>
      <w:r w:rsidRPr="009C309F">
        <w:rPr>
          <w:szCs w:val="24"/>
        </w:rPr>
        <w:t>several prospects,</w:t>
      </w:r>
      <w:r w:rsidR="00E31AB4" w:rsidRPr="009C309F">
        <w:rPr>
          <w:szCs w:val="24"/>
        </w:rPr>
        <w:t xml:space="preserve"> </w:t>
      </w:r>
      <w:proofErr w:type="gramStart"/>
      <w:r w:rsidRPr="009C309F">
        <w:rPr>
          <w:szCs w:val="24"/>
        </w:rPr>
        <w:t xml:space="preserve">in particular </w:t>
      </w:r>
      <w:r w:rsidR="00BF06FC" w:rsidRPr="009C309F">
        <w:rPr>
          <w:szCs w:val="24"/>
        </w:rPr>
        <w:t>private</w:t>
      </w:r>
      <w:proofErr w:type="gramEnd"/>
      <w:r w:rsidR="00BF06FC" w:rsidRPr="009C309F">
        <w:rPr>
          <w:szCs w:val="24"/>
        </w:rPr>
        <w:t xml:space="preserve"> sector entities, including </w:t>
      </w:r>
      <w:r w:rsidRPr="009C309F">
        <w:rPr>
          <w:szCs w:val="24"/>
        </w:rPr>
        <w:t>foundations</w:t>
      </w:r>
      <w:r w:rsidR="00650FA5" w:rsidRPr="009C309F">
        <w:rPr>
          <w:szCs w:val="24"/>
        </w:rPr>
        <w:t xml:space="preserve">, in order </w:t>
      </w:r>
      <w:r w:rsidRPr="009C309F">
        <w:rPr>
          <w:szCs w:val="24"/>
        </w:rPr>
        <w:t>to raise ITU/BDT profile</w:t>
      </w:r>
      <w:r w:rsidR="00BF1E49" w:rsidRPr="009C309F">
        <w:rPr>
          <w:szCs w:val="24"/>
        </w:rPr>
        <w:t xml:space="preserve">, identify </w:t>
      </w:r>
      <w:r w:rsidR="00447D7A" w:rsidRPr="009C309F">
        <w:rPr>
          <w:szCs w:val="24"/>
        </w:rPr>
        <w:t>synergies</w:t>
      </w:r>
      <w:r w:rsidR="00BF1E49" w:rsidRPr="009C309F">
        <w:rPr>
          <w:szCs w:val="24"/>
        </w:rPr>
        <w:t>,</w:t>
      </w:r>
      <w:r w:rsidRPr="009C309F">
        <w:rPr>
          <w:szCs w:val="24"/>
        </w:rPr>
        <w:t xml:space="preserve"> and discuss </w:t>
      </w:r>
      <w:r w:rsidR="00013C64" w:rsidRPr="009C309F">
        <w:rPr>
          <w:szCs w:val="24"/>
        </w:rPr>
        <w:t xml:space="preserve">potential </w:t>
      </w:r>
      <w:r w:rsidRPr="009C309F">
        <w:rPr>
          <w:szCs w:val="24"/>
        </w:rPr>
        <w:t>partnerships opportunities</w:t>
      </w:r>
      <w:r w:rsidR="00DC359C" w:rsidRPr="009C309F">
        <w:rPr>
          <w:szCs w:val="24"/>
        </w:rPr>
        <w:t>.</w:t>
      </w:r>
    </w:p>
    <w:p w14:paraId="095D8EF8" w14:textId="7A4647FA" w:rsidR="00782CED" w:rsidRPr="009C309F" w:rsidRDefault="007757C1" w:rsidP="009C309F">
      <w:pPr>
        <w:pStyle w:val="ListParagraph"/>
        <w:numPr>
          <w:ilvl w:val="0"/>
          <w:numId w:val="19"/>
        </w:numPr>
        <w:spacing w:before="60" w:after="60"/>
        <w:ind w:left="357" w:hanging="357"/>
        <w:contextualSpacing w:val="0"/>
        <w:rPr>
          <w:szCs w:val="24"/>
        </w:rPr>
      </w:pPr>
      <w:r w:rsidRPr="009C309F">
        <w:rPr>
          <w:b/>
          <w:bCs/>
          <w:szCs w:val="24"/>
        </w:rPr>
        <w:t>Enhancing collaboration with UN agencies</w:t>
      </w:r>
      <w:r w:rsidRPr="009C309F">
        <w:rPr>
          <w:szCs w:val="24"/>
        </w:rPr>
        <w:t xml:space="preserve">: </w:t>
      </w:r>
      <w:r w:rsidR="00EF642A" w:rsidRPr="009C309F">
        <w:rPr>
          <w:szCs w:val="24"/>
        </w:rPr>
        <w:t xml:space="preserve">BDT continues to strengthen its collaboration with other UN agencies enhancing </w:t>
      </w:r>
      <w:r w:rsidR="0053514E" w:rsidRPr="009C309F">
        <w:rPr>
          <w:szCs w:val="24"/>
        </w:rPr>
        <w:t xml:space="preserve">its </w:t>
      </w:r>
      <w:r w:rsidR="00EF642A" w:rsidRPr="009C309F">
        <w:rPr>
          <w:szCs w:val="24"/>
        </w:rPr>
        <w:t>visibility, including ITU’s unique role as leading organization in the telecommunication/ICT landscape, increasing synergies and knowledge-sharing</w:t>
      </w:r>
      <w:r w:rsidR="00013C64" w:rsidRPr="009C309F">
        <w:rPr>
          <w:szCs w:val="24"/>
        </w:rPr>
        <w:t>,</w:t>
      </w:r>
      <w:r w:rsidR="00EF642A" w:rsidRPr="009C309F">
        <w:rPr>
          <w:szCs w:val="24"/>
        </w:rPr>
        <w:t xml:space="preserve"> and generating new and increased funding</w:t>
      </w:r>
      <w:r w:rsidR="00254D82" w:rsidRPr="009C309F">
        <w:rPr>
          <w:szCs w:val="24"/>
        </w:rPr>
        <w:t>,</w:t>
      </w:r>
      <w:r w:rsidR="00EF642A" w:rsidRPr="009C309F">
        <w:rPr>
          <w:szCs w:val="24"/>
        </w:rPr>
        <w:t xml:space="preserve"> leveraging multilateral convening power. These </w:t>
      </w:r>
      <w:r w:rsidR="00B30A4E" w:rsidRPr="009C309F">
        <w:rPr>
          <w:szCs w:val="24"/>
        </w:rPr>
        <w:t>collaboration</w:t>
      </w:r>
      <w:r w:rsidR="00EF642A" w:rsidRPr="009C309F">
        <w:rPr>
          <w:szCs w:val="24"/>
        </w:rPr>
        <w:t>s</w:t>
      </w:r>
      <w:r w:rsidR="00B30A4E" w:rsidRPr="009C309F">
        <w:rPr>
          <w:szCs w:val="24"/>
        </w:rPr>
        <w:t xml:space="preserve"> </w:t>
      </w:r>
      <w:r w:rsidR="0079131F" w:rsidRPr="009C309F">
        <w:rPr>
          <w:rFonts w:ascii="Calibri" w:eastAsia="Calibri" w:hAnsi="Calibri" w:cs="Calibri"/>
          <w:szCs w:val="24"/>
        </w:rPr>
        <w:t xml:space="preserve">provide </w:t>
      </w:r>
      <w:r w:rsidR="00251EEE" w:rsidRPr="009C309F">
        <w:rPr>
          <w:rFonts w:ascii="Calibri" w:eastAsia="Calibri" w:hAnsi="Calibri" w:cs="Calibri"/>
          <w:szCs w:val="24"/>
        </w:rPr>
        <w:t xml:space="preserve">increasing opportunities for BDT to work closely with UN sister agencies </w:t>
      </w:r>
      <w:r w:rsidR="00516D94" w:rsidRPr="009C309F">
        <w:rPr>
          <w:rFonts w:ascii="Calibri" w:eastAsia="Calibri" w:hAnsi="Calibri" w:cs="Calibri"/>
          <w:szCs w:val="24"/>
        </w:rPr>
        <w:t>and to access to funding for joint projects implementation at national, regional and global levels</w:t>
      </w:r>
      <w:r w:rsidR="00B174CE" w:rsidRPr="009C309F">
        <w:rPr>
          <w:rFonts w:ascii="Calibri" w:eastAsia="Calibri" w:hAnsi="Calibri" w:cs="Calibri"/>
          <w:szCs w:val="24"/>
        </w:rPr>
        <w:t xml:space="preserve"> towards the 2030 Agenda</w:t>
      </w:r>
      <w:r w:rsidR="00516D94" w:rsidRPr="009C309F">
        <w:rPr>
          <w:rFonts w:ascii="Calibri" w:eastAsia="Calibri" w:hAnsi="Calibri" w:cs="Calibri"/>
          <w:szCs w:val="24"/>
        </w:rPr>
        <w:t>.</w:t>
      </w:r>
    </w:p>
    <w:p w14:paraId="3EC2F068" w14:textId="6339B8EA" w:rsidR="00022797" w:rsidRPr="009C309F" w:rsidRDefault="00022797" w:rsidP="009C309F">
      <w:pPr>
        <w:pStyle w:val="ListParagraph"/>
        <w:keepNext/>
        <w:numPr>
          <w:ilvl w:val="0"/>
          <w:numId w:val="17"/>
        </w:numPr>
        <w:spacing w:after="120"/>
        <w:ind w:left="357" w:hanging="357"/>
        <w:rPr>
          <w:b/>
          <w:bCs/>
          <w:szCs w:val="24"/>
        </w:rPr>
      </w:pPr>
      <w:r w:rsidRPr="009C309F">
        <w:rPr>
          <w:b/>
          <w:bCs/>
          <w:szCs w:val="24"/>
        </w:rPr>
        <w:lastRenderedPageBreak/>
        <w:t>Way forward</w:t>
      </w:r>
    </w:p>
    <w:p w14:paraId="0E399BFD" w14:textId="77777777" w:rsidR="00B77DE9" w:rsidRDefault="00041421" w:rsidP="00B77DE9">
      <w:pPr>
        <w:tabs>
          <w:tab w:val="clear" w:pos="794"/>
          <w:tab w:val="clear" w:pos="1191"/>
          <w:tab w:val="clear" w:pos="1588"/>
          <w:tab w:val="clear" w:pos="1985"/>
        </w:tabs>
        <w:spacing w:before="0"/>
      </w:pPr>
      <w:r w:rsidRPr="009C309F">
        <w:t>BDT ac</w:t>
      </w:r>
      <w:r w:rsidR="00775B4B" w:rsidRPr="009C309F">
        <w:t>knowledg</w:t>
      </w:r>
      <w:r w:rsidRPr="009C309F">
        <w:t>es</w:t>
      </w:r>
      <w:r w:rsidR="00775B4B" w:rsidRPr="009C309F">
        <w:t xml:space="preserve"> and appreciat</w:t>
      </w:r>
      <w:r w:rsidRPr="009C309F">
        <w:t>es</w:t>
      </w:r>
      <w:r w:rsidR="00775B4B" w:rsidRPr="009C309F">
        <w:t xml:space="preserve"> </w:t>
      </w:r>
      <w:r w:rsidR="008A2F06" w:rsidRPr="009C309F">
        <w:t xml:space="preserve">its </w:t>
      </w:r>
      <w:r w:rsidR="00BF4576" w:rsidRPr="009C309F">
        <w:t xml:space="preserve">longstanding partners </w:t>
      </w:r>
      <w:r w:rsidR="008A2F06" w:rsidRPr="009C309F">
        <w:t xml:space="preserve">as well as </w:t>
      </w:r>
      <w:r w:rsidR="00BF4576" w:rsidRPr="009C309F">
        <w:t>new partners</w:t>
      </w:r>
      <w:r w:rsidR="008A2F06" w:rsidRPr="009C309F">
        <w:t xml:space="preserve"> </w:t>
      </w:r>
      <w:r w:rsidRPr="009C309F">
        <w:t>with whom it</w:t>
      </w:r>
      <w:r w:rsidR="007459FE" w:rsidRPr="009C309F">
        <w:t xml:space="preserve"> was made possible for BDT to implement projects and initiative across the globe. </w:t>
      </w:r>
      <w:r w:rsidR="007A5F31" w:rsidRPr="009C309F">
        <w:t xml:space="preserve">Taking </w:t>
      </w:r>
      <w:r w:rsidR="007459FE" w:rsidRPr="009C309F">
        <w:t xml:space="preserve">this and the </w:t>
      </w:r>
      <w:r w:rsidR="007A5F31" w:rsidRPr="009C309F">
        <w:t>above into consideration</w:t>
      </w:r>
      <w:r w:rsidR="00C934E1" w:rsidRPr="009C309F">
        <w:t xml:space="preserve"> and </w:t>
      </w:r>
      <w:r w:rsidR="0002004D" w:rsidRPr="009C309F">
        <w:t xml:space="preserve">as required by the Kigali Action plan, </w:t>
      </w:r>
      <w:r w:rsidR="00B77B9D" w:rsidRPr="009C309F">
        <w:t xml:space="preserve">the </w:t>
      </w:r>
      <w:r w:rsidR="00DE4BC4" w:rsidRPr="009C309F">
        <w:t xml:space="preserve">BDT will continue strengthening its </w:t>
      </w:r>
      <w:r w:rsidR="00861F9C" w:rsidRPr="009C309F">
        <w:t xml:space="preserve">collaboration </w:t>
      </w:r>
      <w:r w:rsidR="007500B7" w:rsidRPr="009C309F">
        <w:t xml:space="preserve">and coordination </w:t>
      </w:r>
      <w:r w:rsidR="00861F9C" w:rsidRPr="009C309F">
        <w:t xml:space="preserve">with </w:t>
      </w:r>
      <w:r w:rsidR="00345B3D" w:rsidRPr="009C309F">
        <w:t xml:space="preserve">the </w:t>
      </w:r>
      <w:r w:rsidR="00861F9C" w:rsidRPr="009C309F">
        <w:t xml:space="preserve">UN agencies </w:t>
      </w:r>
      <w:r w:rsidR="00793EC2" w:rsidRPr="009C309F">
        <w:t xml:space="preserve">and other </w:t>
      </w:r>
      <w:r w:rsidR="00624560" w:rsidRPr="009C309F">
        <w:t xml:space="preserve">international </w:t>
      </w:r>
      <w:r w:rsidR="00F04539" w:rsidRPr="009C309F">
        <w:t>organizations</w:t>
      </w:r>
      <w:r w:rsidR="00624560" w:rsidRPr="009C309F">
        <w:t xml:space="preserve"> regional telecommunications organizations, regional and global development </w:t>
      </w:r>
      <w:r w:rsidR="00AA7952" w:rsidRPr="009C309F">
        <w:t>institutions</w:t>
      </w:r>
      <w:r w:rsidR="008655A6" w:rsidRPr="009C309F">
        <w:t xml:space="preserve">, as well as </w:t>
      </w:r>
      <w:r w:rsidR="00992140" w:rsidRPr="009C309F">
        <w:t>strengthen</w:t>
      </w:r>
      <w:r w:rsidR="00667688" w:rsidRPr="009C309F">
        <w:t>ing</w:t>
      </w:r>
      <w:r w:rsidR="00992140" w:rsidRPr="009C309F">
        <w:t xml:space="preserve"> </w:t>
      </w:r>
      <w:r w:rsidR="008655A6" w:rsidRPr="009C309F">
        <w:t xml:space="preserve">the </w:t>
      </w:r>
      <w:r w:rsidR="00AA7952" w:rsidRPr="009C309F">
        <w:t xml:space="preserve">resource mobilization strategy and operational </w:t>
      </w:r>
      <w:r w:rsidR="005E77D1" w:rsidRPr="009C309F">
        <w:t xml:space="preserve">framework for building partnerships with all stakeholders </w:t>
      </w:r>
      <w:r w:rsidR="009A5F4E" w:rsidRPr="009C309F">
        <w:t xml:space="preserve">for </w:t>
      </w:r>
      <w:r w:rsidR="0095313C" w:rsidRPr="009C309F">
        <w:t xml:space="preserve">the implementation of </w:t>
      </w:r>
      <w:r w:rsidR="009A5F4E" w:rsidRPr="009C309F">
        <w:t xml:space="preserve">the Kigali Action Plan, including ITU-D priorities </w:t>
      </w:r>
      <w:r w:rsidR="00DA5BA0" w:rsidRPr="009C309F">
        <w:t>in achieving the 2030 sustainable development goals related to telecommunications/ICT development matters</w:t>
      </w:r>
      <w:r w:rsidR="0002004D" w:rsidRPr="009C309F">
        <w:t>.</w:t>
      </w:r>
    </w:p>
    <w:p w14:paraId="5A1B087C" w14:textId="69877FAA" w:rsidR="00243FF0" w:rsidRPr="00243FF0" w:rsidRDefault="003C58BF" w:rsidP="00B77DE9">
      <w:pPr>
        <w:tabs>
          <w:tab w:val="clear" w:pos="794"/>
          <w:tab w:val="clear" w:pos="1191"/>
          <w:tab w:val="clear" w:pos="1588"/>
          <w:tab w:val="clear" w:pos="1985"/>
        </w:tabs>
        <w:spacing w:before="0"/>
        <w:jc w:val="center"/>
        <w:rPr>
          <w:sz w:val="20"/>
          <w:lang w:val="en-US"/>
        </w:rPr>
      </w:pPr>
      <w:r>
        <w:t>____________</w:t>
      </w:r>
      <w:r w:rsidR="004122C5">
        <w:t>_</w:t>
      </w:r>
      <w:r w:rsidR="00922EC1">
        <w:t>_</w:t>
      </w:r>
    </w:p>
    <w:sectPr w:rsidR="00243FF0" w:rsidRPr="00243FF0" w:rsidSect="007247E9">
      <w:headerReference w:type="even" r:id="rId24"/>
      <w:headerReference w:type="default" r:id="rId25"/>
      <w:footerReference w:type="even" r:id="rId26"/>
      <w:footerReference w:type="default" r:id="rId27"/>
      <w:headerReference w:type="first" r:id="rId28"/>
      <w:footerReference w:type="first" r:id="rId29"/>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2C208" w14:textId="77777777" w:rsidR="00A74933" w:rsidRDefault="00A74933">
      <w:r>
        <w:separator/>
      </w:r>
    </w:p>
  </w:endnote>
  <w:endnote w:type="continuationSeparator" w:id="0">
    <w:p w14:paraId="0424022B" w14:textId="77777777" w:rsidR="00A74933" w:rsidRDefault="00A7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79121" w14:textId="77777777" w:rsidR="00CE3F18" w:rsidRDefault="00CE3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2763F" w14:textId="77777777" w:rsidR="00CE3F18" w:rsidRDefault="00CE3F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46C5955B" w:rsidR="0059420B" w:rsidRPr="00AF7A97" w:rsidRDefault="00002E89" w:rsidP="007E7EFD">
          <w:pPr>
            <w:pStyle w:val="FirstFooter"/>
            <w:tabs>
              <w:tab w:val="left" w:pos="2302"/>
            </w:tabs>
            <w:rPr>
              <w:sz w:val="18"/>
              <w:szCs w:val="18"/>
              <w:lang w:val="en-US"/>
            </w:rPr>
          </w:pPr>
          <w:proofErr w:type="spellStart"/>
          <w:r>
            <w:rPr>
              <w:sz w:val="18"/>
              <w:szCs w:val="18"/>
              <w:lang w:val="en-US"/>
            </w:rPr>
            <w:t>Ms</w:t>
          </w:r>
          <w:proofErr w:type="spellEnd"/>
          <w:r>
            <w:rPr>
              <w:sz w:val="18"/>
              <w:szCs w:val="18"/>
              <w:lang w:val="en-US"/>
            </w:rPr>
            <w:t xml:space="preserve"> </w:t>
          </w:r>
          <w:r w:rsidR="00631DCF">
            <w:rPr>
              <w:sz w:val="18"/>
              <w:szCs w:val="18"/>
              <w:lang w:val="en-US"/>
            </w:rPr>
            <w:t xml:space="preserve">Sandrine Guyot, Head </w:t>
          </w:r>
          <w:r w:rsidR="00175F36">
            <w:rPr>
              <w:sz w:val="18"/>
              <w:szCs w:val="18"/>
              <w:lang w:val="en-US"/>
            </w:rPr>
            <w:t>Partnerships and Resource Mobilization Service, Partnerships</w:t>
          </w:r>
          <w:r w:rsidR="006C3BD0">
            <w:rPr>
              <w:sz w:val="18"/>
              <w:szCs w:val="18"/>
              <w:lang w:val="en-US"/>
            </w:rPr>
            <w:t xml:space="preserve"> for Digital Development Department</w:t>
          </w:r>
          <w:r w:rsidR="007E7EFD">
            <w:rPr>
              <w:sz w:val="18"/>
              <w:szCs w:val="18"/>
              <w:lang w:val="en-US"/>
            </w:rPr>
            <w:t>, BDT</w:t>
          </w:r>
        </w:p>
      </w:tc>
      <w:bookmarkStart w:id="6" w:name="OrgName"/>
      <w:bookmarkEnd w:id="6"/>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145684B2" w:rsidR="0059420B" w:rsidRPr="00AF7A97" w:rsidRDefault="006C3BD0" w:rsidP="0059420B">
          <w:pPr>
            <w:pStyle w:val="FirstFooter"/>
            <w:tabs>
              <w:tab w:val="left" w:pos="2302"/>
            </w:tabs>
            <w:rPr>
              <w:sz w:val="18"/>
              <w:szCs w:val="18"/>
              <w:lang w:val="en-US"/>
            </w:rPr>
          </w:pPr>
          <w:r>
            <w:rPr>
              <w:sz w:val="18"/>
              <w:szCs w:val="18"/>
              <w:lang w:val="en-US"/>
            </w:rPr>
            <w:t>+41 22</w:t>
          </w:r>
          <w:r w:rsidR="00CB0A1D">
            <w:rPr>
              <w:sz w:val="18"/>
              <w:szCs w:val="18"/>
              <w:lang w:val="en-US"/>
            </w:rPr>
            <w:t xml:space="preserve"> 7</w:t>
          </w:r>
          <w:r w:rsidR="008F7C6F">
            <w:rPr>
              <w:sz w:val="18"/>
              <w:szCs w:val="18"/>
              <w:lang w:val="en-US"/>
            </w:rPr>
            <w:t>305100</w:t>
          </w:r>
        </w:p>
      </w:tc>
      <w:bookmarkStart w:id="7" w:name="PhoneNo"/>
      <w:bookmarkEnd w:id="7"/>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01C3776C" w:rsidR="0059420B" w:rsidRPr="00AF7A97" w:rsidRDefault="00CE3F18" w:rsidP="0059420B">
          <w:pPr>
            <w:pStyle w:val="FirstFooter"/>
            <w:tabs>
              <w:tab w:val="left" w:pos="2302"/>
            </w:tabs>
            <w:rPr>
              <w:sz w:val="18"/>
              <w:szCs w:val="18"/>
              <w:lang w:val="en-US"/>
            </w:rPr>
          </w:pPr>
          <w:hyperlink r:id="rId1" w:history="1">
            <w:r w:rsidR="008F7C6F" w:rsidRPr="00DC02DB">
              <w:rPr>
                <w:rStyle w:val="Hyperlink"/>
                <w:sz w:val="18"/>
                <w:szCs w:val="18"/>
                <w:lang w:val="en-US"/>
              </w:rPr>
              <w:t>sandrine.guyot@itu.int</w:t>
            </w:r>
          </w:hyperlink>
          <w:r w:rsidR="008F7C6F">
            <w:rPr>
              <w:sz w:val="18"/>
              <w:szCs w:val="18"/>
              <w:lang w:val="en-US"/>
            </w:rPr>
            <w:t xml:space="preserve"> </w:t>
          </w:r>
        </w:p>
      </w:tc>
      <w:bookmarkStart w:id="8" w:name="Email"/>
      <w:bookmarkEnd w:id="8"/>
    </w:tr>
  </w:tbl>
  <w:p w14:paraId="5AEFE7F9" w14:textId="77777777" w:rsidR="0059420B" w:rsidRDefault="0059420B" w:rsidP="00B80157">
    <w:pPr>
      <w:pStyle w:val="Footer"/>
      <w:jc w:val="center"/>
      <w:rPr>
        <w:lang w:val="en-GB"/>
      </w:rPr>
    </w:pPr>
  </w:p>
  <w:p w14:paraId="40A321D0" w14:textId="7377675F" w:rsidR="00721657" w:rsidRPr="00CC2735" w:rsidRDefault="00CE3F18" w:rsidP="00B80157">
    <w:pPr>
      <w:pStyle w:val="Footer"/>
      <w:jc w:val="center"/>
      <w:rPr>
        <w:lang w:val="fr-CH"/>
      </w:rPr>
    </w:pPr>
    <w:hyperlink r:id="rId2" w:history="1">
      <w:bookmarkStart w:id="9" w:name="_GoBack"/>
      <w:bookmarkEnd w:id="9"/>
      <w:r w:rsidR="009C309F" w:rsidRPr="009C309F">
        <w:rPr>
          <w:rStyle w:val="Hyperlink"/>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C912A" w14:textId="77777777" w:rsidR="00A74933" w:rsidRDefault="00A74933">
      <w:r>
        <w:t>____________________</w:t>
      </w:r>
    </w:p>
  </w:footnote>
  <w:footnote w:type="continuationSeparator" w:id="0">
    <w:p w14:paraId="1E7A6DF4" w14:textId="77777777" w:rsidR="00A74933" w:rsidRDefault="00A74933">
      <w:r>
        <w:continuationSeparator/>
      </w:r>
    </w:p>
  </w:footnote>
  <w:footnote w:id="1">
    <w:p w14:paraId="60DE6006" w14:textId="1FA2EE7E" w:rsidR="00B23E25" w:rsidRPr="009C309F" w:rsidRDefault="00B23E25" w:rsidP="009C309F">
      <w:pPr>
        <w:pStyle w:val="FootnoteText"/>
        <w:spacing w:before="0"/>
        <w:ind w:left="0" w:firstLine="0"/>
        <w:rPr>
          <w:sz w:val="20"/>
        </w:rPr>
      </w:pPr>
      <w:r w:rsidRPr="009C309F">
        <w:rPr>
          <w:rStyle w:val="FootnoteReference"/>
          <w:sz w:val="20"/>
          <w:szCs w:val="22"/>
        </w:rPr>
        <w:footnoteRef/>
      </w:r>
      <w:r w:rsidR="009C309F" w:rsidRPr="009C309F">
        <w:rPr>
          <w:sz w:val="20"/>
        </w:rPr>
        <w:t xml:space="preserve"> </w:t>
      </w:r>
      <w:r w:rsidRPr="009C309F">
        <w:rPr>
          <w:sz w:val="20"/>
        </w:rPr>
        <w:t>ADMIN: Administrations, REGINTORG: Regional and other International Organizations, ROA: Recognized Operating Agencies, SIO: Scientific Industrial Organizations, UNIVERS/RSRCH: U</w:t>
      </w:r>
      <w:r w:rsidRPr="009C309F">
        <w:rPr>
          <w:color w:val="2F2F2F"/>
          <w:sz w:val="20"/>
          <w:shd w:val="clear" w:color="auto" w:fill="F5FAFC"/>
        </w:rPr>
        <w:t>niversities, research institutes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F14AA" w14:textId="77777777" w:rsidR="00CE3F18" w:rsidRDefault="00CE3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5C579090"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336695">
      <w:rPr>
        <w:sz w:val="22"/>
        <w:szCs w:val="22"/>
        <w:lang w:val="de-CH"/>
      </w:rPr>
      <w:t>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B6E10" w14:textId="77777777" w:rsidR="00CE3F18" w:rsidRDefault="00CE3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E6EC6"/>
    <w:multiLevelType w:val="hybridMultilevel"/>
    <w:tmpl w:val="F88E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14A5EF98"/>
    <w:multiLevelType w:val="hybridMultilevel"/>
    <w:tmpl w:val="ADAE6F38"/>
    <w:lvl w:ilvl="0" w:tplc="5A42330A">
      <w:start w:val="1"/>
      <w:numFmt w:val="bullet"/>
      <w:lvlText w:val="·"/>
      <w:lvlJc w:val="left"/>
      <w:pPr>
        <w:ind w:left="720" w:hanging="360"/>
      </w:pPr>
      <w:rPr>
        <w:rFonts w:ascii="Symbol" w:hAnsi="Symbol" w:hint="default"/>
      </w:rPr>
    </w:lvl>
    <w:lvl w:ilvl="1" w:tplc="6D5CF88A">
      <w:start w:val="1"/>
      <w:numFmt w:val="bullet"/>
      <w:lvlText w:val="o"/>
      <w:lvlJc w:val="left"/>
      <w:pPr>
        <w:ind w:left="1440" w:hanging="360"/>
      </w:pPr>
      <w:rPr>
        <w:rFonts w:ascii="Courier New" w:hAnsi="Courier New" w:hint="default"/>
      </w:rPr>
    </w:lvl>
    <w:lvl w:ilvl="2" w:tplc="77987058">
      <w:start w:val="1"/>
      <w:numFmt w:val="bullet"/>
      <w:lvlText w:val=""/>
      <w:lvlJc w:val="left"/>
      <w:pPr>
        <w:ind w:left="2160" w:hanging="360"/>
      </w:pPr>
      <w:rPr>
        <w:rFonts w:ascii="Wingdings" w:hAnsi="Wingdings" w:hint="default"/>
      </w:rPr>
    </w:lvl>
    <w:lvl w:ilvl="3" w:tplc="80746D30">
      <w:start w:val="1"/>
      <w:numFmt w:val="bullet"/>
      <w:lvlText w:val=""/>
      <w:lvlJc w:val="left"/>
      <w:pPr>
        <w:ind w:left="2880" w:hanging="360"/>
      </w:pPr>
      <w:rPr>
        <w:rFonts w:ascii="Symbol" w:hAnsi="Symbol" w:hint="default"/>
      </w:rPr>
    </w:lvl>
    <w:lvl w:ilvl="4" w:tplc="22F6AE04">
      <w:start w:val="1"/>
      <w:numFmt w:val="bullet"/>
      <w:lvlText w:val="o"/>
      <w:lvlJc w:val="left"/>
      <w:pPr>
        <w:ind w:left="3600" w:hanging="360"/>
      </w:pPr>
      <w:rPr>
        <w:rFonts w:ascii="Courier New" w:hAnsi="Courier New" w:hint="default"/>
      </w:rPr>
    </w:lvl>
    <w:lvl w:ilvl="5" w:tplc="42F6384A">
      <w:start w:val="1"/>
      <w:numFmt w:val="bullet"/>
      <w:lvlText w:val=""/>
      <w:lvlJc w:val="left"/>
      <w:pPr>
        <w:ind w:left="4320" w:hanging="360"/>
      </w:pPr>
      <w:rPr>
        <w:rFonts w:ascii="Wingdings" w:hAnsi="Wingdings" w:hint="default"/>
      </w:rPr>
    </w:lvl>
    <w:lvl w:ilvl="6" w:tplc="C79C2718">
      <w:start w:val="1"/>
      <w:numFmt w:val="bullet"/>
      <w:lvlText w:val=""/>
      <w:lvlJc w:val="left"/>
      <w:pPr>
        <w:ind w:left="5040" w:hanging="360"/>
      </w:pPr>
      <w:rPr>
        <w:rFonts w:ascii="Symbol" w:hAnsi="Symbol" w:hint="default"/>
      </w:rPr>
    </w:lvl>
    <w:lvl w:ilvl="7" w:tplc="1228D654">
      <w:start w:val="1"/>
      <w:numFmt w:val="bullet"/>
      <w:lvlText w:val="o"/>
      <w:lvlJc w:val="left"/>
      <w:pPr>
        <w:ind w:left="5760" w:hanging="360"/>
      </w:pPr>
      <w:rPr>
        <w:rFonts w:ascii="Courier New" w:hAnsi="Courier New" w:hint="default"/>
      </w:rPr>
    </w:lvl>
    <w:lvl w:ilvl="8" w:tplc="E8EC3F62">
      <w:start w:val="1"/>
      <w:numFmt w:val="bullet"/>
      <w:lvlText w:val=""/>
      <w:lvlJc w:val="left"/>
      <w:pPr>
        <w:ind w:left="6480" w:hanging="360"/>
      </w:pPr>
      <w:rPr>
        <w:rFonts w:ascii="Wingdings" w:hAnsi="Wingdings" w:hint="default"/>
      </w:rPr>
    </w:lvl>
  </w:abstractNum>
  <w:abstractNum w:abstractNumId="3" w15:restartNumberingAfterBreak="0">
    <w:nsid w:val="14FCA3D2"/>
    <w:multiLevelType w:val="hybridMultilevel"/>
    <w:tmpl w:val="C3CE4EF0"/>
    <w:lvl w:ilvl="0" w:tplc="A10A7650">
      <w:start w:val="1"/>
      <w:numFmt w:val="bullet"/>
      <w:lvlText w:val="·"/>
      <w:lvlJc w:val="left"/>
      <w:pPr>
        <w:ind w:left="720" w:hanging="360"/>
      </w:pPr>
      <w:rPr>
        <w:rFonts w:ascii="Symbol" w:hAnsi="Symbol" w:hint="default"/>
      </w:rPr>
    </w:lvl>
    <w:lvl w:ilvl="1" w:tplc="547A3B20">
      <w:start w:val="1"/>
      <w:numFmt w:val="bullet"/>
      <w:lvlText w:val="o"/>
      <w:lvlJc w:val="left"/>
      <w:pPr>
        <w:ind w:left="1440" w:hanging="360"/>
      </w:pPr>
      <w:rPr>
        <w:rFonts w:ascii="Courier New" w:hAnsi="Courier New" w:hint="default"/>
      </w:rPr>
    </w:lvl>
    <w:lvl w:ilvl="2" w:tplc="86B67E2A">
      <w:start w:val="1"/>
      <w:numFmt w:val="bullet"/>
      <w:lvlText w:val=""/>
      <w:lvlJc w:val="left"/>
      <w:pPr>
        <w:ind w:left="2160" w:hanging="360"/>
      </w:pPr>
      <w:rPr>
        <w:rFonts w:ascii="Wingdings" w:hAnsi="Wingdings" w:hint="default"/>
      </w:rPr>
    </w:lvl>
    <w:lvl w:ilvl="3" w:tplc="791EDDB0">
      <w:start w:val="1"/>
      <w:numFmt w:val="bullet"/>
      <w:lvlText w:val=""/>
      <w:lvlJc w:val="left"/>
      <w:pPr>
        <w:ind w:left="2880" w:hanging="360"/>
      </w:pPr>
      <w:rPr>
        <w:rFonts w:ascii="Symbol" w:hAnsi="Symbol" w:hint="default"/>
      </w:rPr>
    </w:lvl>
    <w:lvl w:ilvl="4" w:tplc="3BEEA30A">
      <w:start w:val="1"/>
      <w:numFmt w:val="bullet"/>
      <w:lvlText w:val="o"/>
      <w:lvlJc w:val="left"/>
      <w:pPr>
        <w:ind w:left="3600" w:hanging="360"/>
      </w:pPr>
      <w:rPr>
        <w:rFonts w:ascii="Courier New" w:hAnsi="Courier New" w:hint="default"/>
      </w:rPr>
    </w:lvl>
    <w:lvl w:ilvl="5" w:tplc="3B6ADAAE">
      <w:start w:val="1"/>
      <w:numFmt w:val="bullet"/>
      <w:lvlText w:val=""/>
      <w:lvlJc w:val="left"/>
      <w:pPr>
        <w:ind w:left="4320" w:hanging="360"/>
      </w:pPr>
      <w:rPr>
        <w:rFonts w:ascii="Wingdings" w:hAnsi="Wingdings" w:hint="default"/>
      </w:rPr>
    </w:lvl>
    <w:lvl w:ilvl="6" w:tplc="E46ED200">
      <w:start w:val="1"/>
      <w:numFmt w:val="bullet"/>
      <w:lvlText w:val=""/>
      <w:lvlJc w:val="left"/>
      <w:pPr>
        <w:ind w:left="5040" w:hanging="360"/>
      </w:pPr>
      <w:rPr>
        <w:rFonts w:ascii="Symbol" w:hAnsi="Symbol" w:hint="default"/>
      </w:rPr>
    </w:lvl>
    <w:lvl w:ilvl="7" w:tplc="F422585C">
      <w:start w:val="1"/>
      <w:numFmt w:val="bullet"/>
      <w:lvlText w:val="o"/>
      <w:lvlJc w:val="left"/>
      <w:pPr>
        <w:ind w:left="5760" w:hanging="360"/>
      </w:pPr>
      <w:rPr>
        <w:rFonts w:ascii="Courier New" w:hAnsi="Courier New" w:hint="default"/>
      </w:rPr>
    </w:lvl>
    <w:lvl w:ilvl="8" w:tplc="5E2AD148">
      <w:start w:val="1"/>
      <w:numFmt w:val="bullet"/>
      <w:lvlText w:val=""/>
      <w:lvlJc w:val="left"/>
      <w:pPr>
        <w:ind w:left="6480" w:hanging="360"/>
      </w:pPr>
      <w:rPr>
        <w:rFonts w:ascii="Wingdings" w:hAnsi="Wingdings" w:hint="default"/>
      </w:rPr>
    </w:lvl>
  </w:abstractNum>
  <w:abstractNum w:abstractNumId="4" w15:restartNumberingAfterBreak="0">
    <w:nsid w:val="1AD513E2"/>
    <w:multiLevelType w:val="hybridMultilevel"/>
    <w:tmpl w:val="E2487E3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240E59"/>
    <w:multiLevelType w:val="hybridMultilevel"/>
    <w:tmpl w:val="760629D4"/>
    <w:lvl w:ilvl="0" w:tplc="175A613E">
      <w:start w:val="1"/>
      <w:numFmt w:val="bullet"/>
      <w:lvlText w:val="·"/>
      <w:lvlJc w:val="left"/>
      <w:pPr>
        <w:ind w:left="720" w:hanging="360"/>
      </w:pPr>
      <w:rPr>
        <w:rFonts w:ascii="Symbol" w:hAnsi="Symbol" w:hint="default"/>
      </w:rPr>
    </w:lvl>
    <w:lvl w:ilvl="1" w:tplc="19961726">
      <w:start w:val="1"/>
      <w:numFmt w:val="bullet"/>
      <w:lvlText w:val="o"/>
      <w:lvlJc w:val="left"/>
      <w:pPr>
        <w:ind w:left="1440" w:hanging="360"/>
      </w:pPr>
      <w:rPr>
        <w:rFonts w:ascii="Courier New" w:hAnsi="Courier New" w:hint="default"/>
      </w:rPr>
    </w:lvl>
    <w:lvl w:ilvl="2" w:tplc="9652334E">
      <w:start w:val="1"/>
      <w:numFmt w:val="bullet"/>
      <w:lvlText w:val=""/>
      <w:lvlJc w:val="left"/>
      <w:pPr>
        <w:ind w:left="2160" w:hanging="360"/>
      </w:pPr>
      <w:rPr>
        <w:rFonts w:ascii="Wingdings" w:hAnsi="Wingdings" w:hint="default"/>
      </w:rPr>
    </w:lvl>
    <w:lvl w:ilvl="3" w:tplc="A3D82290">
      <w:start w:val="1"/>
      <w:numFmt w:val="bullet"/>
      <w:lvlText w:val=""/>
      <w:lvlJc w:val="left"/>
      <w:pPr>
        <w:ind w:left="2880" w:hanging="360"/>
      </w:pPr>
      <w:rPr>
        <w:rFonts w:ascii="Symbol" w:hAnsi="Symbol" w:hint="default"/>
      </w:rPr>
    </w:lvl>
    <w:lvl w:ilvl="4" w:tplc="3D4E6D08">
      <w:start w:val="1"/>
      <w:numFmt w:val="bullet"/>
      <w:lvlText w:val="o"/>
      <w:lvlJc w:val="left"/>
      <w:pPr>
        <w:ind w:left="3600" w:hanging="360"/>
      </w:pPr>
      <w:rPr>
        <w:rFonts w:ascii="Courier New" w:hAnsi="Courier New" w:hint="default"/>
      </w:rPr>
    </w:lvl>
    <w:lvl w:ilvl="5" w:tplc="3A7E66BA">
      <w:start w:val="1"/>
      <w:numFmt w:val="bullet"/>
      <w:lvlText w:val=""/>
      <w:lvlJc w:val="left"/>
      <w:pPr>
        <w:ind w:left="4320" w:hanging="360"/>
      </w:pPr>
      <w:rPr>
        <w:rFonts w:ascii="Wingdings" w:hAnsi="Wingdings" w:hint="default"/>
      </w:rPr>
    </w:lvl>
    <w:lvl w:ilvl="6" w:tplc="873A4FD2">
      <w:start w:val="1"/>
      <w:numFmt w:val="bullet"/>
      <w:lvlText w:val=""/>
      <w:lvlJc w:val="left"/>
      <w:pPr>
        <w:ind w:left="5040" w:hanging="360"/>
      </w:pPr>
      <w:rPr>
        <w:rFonts w:ascii="Symbol" w:hAnsi="Symbol" w:hint="default"/>
      </w:rPr>
    </w:lvl>
    <w:lvl w:ilvl="7" w:tplc="A644FC58">
      <w:start w:val="1"/>
      <w:numFmt w:val="bullet"/>
      <w:lvlText w:val="o"/>
      <w:lvlJc w:val="left"/>
      <w:pPr>
        <w:ind w:left="5760" w:hanging="360"/>
      </w:pPr>
      <w:rPr>
        <w:rFonts w:ascii="Courier New" w:hAnsi="Courier New" w:hint="default"/>
      </w:rPr>
    </w:lvl>
    <w:lvl w:ilvl="8" w:tplc="48AA1920">
      <w:start w:val="1"/>
      <w:numFmt w:val="bullet"/>
      <w:lvlText w:val=""/>
      <w:lvlJc w:val="left"/>
      <w:pPr>
        <w:ind w:left="6480" w:hanging="360"/>
      </w:pPr>
      <w:rPr>
        <w:rFonts w:ascii="Wingdings" w:hAnsi="Wingdings" w:hint="default"/>
      </w:rPr>
    </w:lvl>
  </w:abstractNum>
  <w:abstractNum w:abstractNumId="6" w15:restartNumberingAfterBreak="0">
    <w:nsid w:val="20887D01"/>
    <w:multiLevelType w:val="hybridMultilevel"/>
    <w:tmpl w:val="7EE21C24"/>
    <w:lvl w:ilvl="0" w:tplc="0D20CEF8">
      <w:start w:val="1"/>
      <w:numFmt w:val="bullet"/>
      <w:lvlText w:val="·"/>
      <w:lvlJc w:val="left"/>
      <w:pPr>
        <w:ind w:left="720" w:hanging="360"/>
      </w:pPr>
      <w:rPr>
        <w:rFonts w:ascii="Symbol" w:hAnsi="Symbol" w:hint="default"/>
      </w:rPr>
    </w:lvl>
    <w:lvl w:ilvl="1" w:tplc="8862A0F2">
      <w:start w:val="1"/>
      <w:numFmt w:val="bullet"/>
      <w:lvlText w:val="o"/>
      <w:lvlJc w:val="left"/>
      <w:pPr>
        <w:ind w:left="1440" w:hanging="360"/>
      </w:pPr>
      <w:rPr>
        <w:rFonts w:ascii="Courier New" w:hAnsi="Courier New" w:hint="default"/>
      </w:rPr>
    </w:lvl>
    <w:lvl w:ilvl="2" w:tplc="D50CAAC8">
      <w:start w:val="1"/>
      <w:numFmt w:val="bullet"/>
      <w:lvlText w:val=""/>
      <w:lvlJc w:val="left"/>
      <w:pPr>
        <w:ind w:left="2160" w:hanging="360"/>
      </w:pPr>
      <w:rPr>
        <w:rFonts w:ascii="Wingdings" w:hAnsi="Wingdings" w:hint="default"/>
      </w:rPr>
    </w:lvl>
    <w:lvl w:ilvl="3" w:tplc="6E66C5B8">
      <w:start w:val="1"/>
      <w:numFmt w:val="bullet"/>
      <w:lvlText w:val=""/>
      <w:lvlJc w:val="left"/>
      <w:pPr>
        <w:ind w:left="2880" w:hanging="360"/>
      </w:pPr>
      <w:rPr>
        <w:rFonts w:ascii="Symbol" w:hAnsi="Symbol" w:hint="default"/>
      </w:rPr>
    </w:lvl>
    <w:lvl w:ilvl="4" w:tplc="C108F5A2">
      <w:start w:val="1"/>
      <w:numFmt w:val="bullet"/>
      <w:lvlText w:val="o"/>
      <w:lvlJc w:val="left"/>
      <w:pPr>
        <w:ind w:left="3600" w:hanging="360"/>
      </w:pPr>
      <w:rPr>
        <w:rFonts w:ascii="Courier New" w:hAnsi="Courier New" w:hint="default"/>
      </w:rPr>
    </w:lvl>
    <w:lvl w:ilvl="5" w:tplc="E5047F00">
      <w:start w:val="1"/>
      <w:numFmt w:val="bullet"/>
      <w:lvlText w:val=""/>
      <w:lvlJc w:val="left"/>
      <w:pPr>
        <w:ind w:left="4320" w:hanging="360"/>
      </w:pPr>
      <w:rPr>
        <w:rFonts w:ascii="Wingdings" w:hAnsi="Wingdings" w:hint="default"/>
      </w:rPr>
    </w:lvl>
    <w:lvl w:ilvl="6" w:tplc="A1188614">
      <w:start w:val="1"/>
      <w:numFmt w:val="bullet"/>
      <w:lvlText w:val=""/>
      <w:lvlJc w:val="left"/>
      <w:pPr>
        <w:ind w:left="5040" w:hanging="360"/>
      </w:pPr>
      <w:rPr>
        <w:rFonts w:ascii="Symbol" w:hAnsi="Symbol" w:hint="default"/>
      </w:rPr>
    </w:lvl>
    <w:lvl w:ilvl="7" w:tplc="1D523D9A">
      <w:start w:val="1"/>
      <w:numFmt w:val="bullet"/>
      <w:lvlText w:val="o"/>
      <w:lvlJc w:val="left"/>
      <w:pPr>
        <w:ind w:left="5760" w:hanging="360"/>
      </w:pPr>
      <w:rPr>
        <w:rFonts w:ascii="Courier New" w:hAnsi="Courier New" w:hint="default"/>
      </w:rPr>
    </w:lvl>
    <w:lvl w:ilvl="8" w:tplc="85C0886E">
      <w:start w:val="1"/>
      <w:numFmt w:val="bullet"/>
      <w:lvlText w:val=""/>
      <w:lvlJc w:val="left"/>
      <w:pPr>
        <w:ind w:left="6480" w:hanging="360"/>
      </w:pPr>
      <w:rPr>
        <w:rFonts w:ascii="Wingdings" w:hAnsi="Wingdings" w:hint="default"/>
      </w:rPr>
    </w:lvl>
  </w:abstractNum>
  <w:abstractNum w:abstractNumId="7" w15:restartNumberingAfterBreak="0">
    <w:nsid w:val="260D677B"/>
    <w:multiLevelType w:val="hybridMultilevel"/>
    <w:tmpl w:val="59267C94"/>
    <w:lvl w:ilvl="0" w:tplc="B8B47004">
      <w:start w:val="1"/>
      <w:numFmt w:val="bullet"/>
      <w:lvlText w:val="·"/>
      <w:lvlJc w:val="left"/>
      <w:pPr>
        <w:ind w:left="720" w:hanging="360"/>
      </w:pPr>
      <w:rPr>
        <w:rFonts w:ascii="Symbol" w:hAnsi="Symbol" w:hint="default"/>
      </w:rPr>
    </w:lvl>
    <w:lvl w:ilvl="1" w:tplc="B3E28254">
      <w:start w:val="1"/>
      <w:numFmt w:val="bullet"/>
      <w:lvlText w:val="o"/>
      <w:lvlJc w:val="left"/>
      <w:pPr>
        <w:ind w:left="1440" w:hanging="360"/>
      </w:pPr>
      <w:rPr>
        <w:rFonts w:ascii="Courier New" w:hAnsi="Courier New" w:hint="default"/>
      </w:rPr>
    </w:lvl>
    <w:lvl w:ilvl="2" w:tplc="62C6D45E">
      <w:start w:val="1"/>
      <w:numFmt w:val="bullet"/>
      <w:lvlText w:val=""/>
      <w:lvlJc w:val="left"/>
      <w:pPr>
        <w:ind w:left="2160" w:hanging="360"/>
      </w:pPr>
      <w:rPr>
        <w:rFonts w:ascii="Wingdings" w:hAnsi="Wingdings" w:hint="default"/>
      </w:rPr>
    </w:lvl>
    <w:lvl w:ilvl="3" w:tplc="A93AAE88">
      <w:start w:val="1"/>
      <w:numFmt w:val="bullet"/>
      <w:lvlText w:val=""/>
      <w:lvlJc w:val="left"/>
      <w:pPr>
        <w:ind w:left="2880" w:hanging="360"/>
      </w:pPr>
      <w:rPr>
        <w:rFonts w:ascii="Symbol" w:hAnsi="Symbol" w:hint="default"/>
      </w:rPr>
    </w:lvl>
    <w:lvl w:ilvl="4" w:tplc="26D88E76">
      <w:start w:val="1"/>
      <w:numFmt w:val="bullet"/>
      <w:lvlText w:val="o"/>
      <w:lvlJc w:val="left"/>
      <w:pPr>
        <w:ind w:left="3600" w:hanging="360"/>
      </w:pPr>
      <w:rPr>
        <w:rFonts w:ascii="Courier New" w:hAnsi="Courier New" w:hint="default"/>
      </w:rPr>
    </w:lvl>
    <w:lvl w:ilvl="5" w:tplc="B40A9B2C">
      <w:start w:val="1"/>
      <w:numFmt w:val="bullet"/>
      <w:lvlText w:val=""/>
      <w:lvlJc w:val="left"/>
      <w:pPr>
        <w:ind w:left="4320" w:hanging="360"/>
      </w:pPr>
      <w:rPr>
        <w:rFonts w:ascii="Wingdings" w:hAnsi="Wingdings" w:hint="default"/>
      </w:rPr>
    </w:lvl>
    <w:lvl w:ilvl="6" w:tplc="64741012">
      <w:start w:val="1"/>
      <w:numFmt w:val="bullet"/>
      <w:lvlText w:val=""/>
      <w:lvlJc w:val="left"/>
      <w:pPr>
        <w:ind w:left="5040" w:hanging="360"/>
      </w:pPr>
      <w:rPr>
        <w:rFonts w:ascii="Symbol" w:hAnsi="Symbol" w:hint="default"/>
      </w:rPr>
    </w:lvl>
    <w:lvl w:ilvl="7" w:tplc="C91A866C">
      <w:start w:val="1"/>
      <w:numFmt w:val="bullet"/>
      <w:lvlText w:val="o"/>
      <w:lvlJc w:val="left"/>
      <w:pPr>
        <w:ind w:left="5760" w:hanging="360"/>
      </w:pPr>
      <w:rPr>
        <w:rFonts w:ascii="Courier New" w:hAnsi="Courier New" w:hint="default"/>
      </w:rPr>
    </w:lvl>
    <w:lvl w:ilvl="8" w:tplc="4EB6FC44">
      <w:start w:val="1"/>
      <w:numFmt w:val="bullet"/>
      <w:lvlText w:val=""/>
      <w:lvlJc w:val="left"/>
      <w:pPr>
        <w:ind w:left="6480" w:hanging="360"/>
      </w:pPr>
      <w:rPr>
        <w:rFonts w:ascii="Wingdings" w:hAnsi="Wingdings" w:hint="default"/>
      </w:rPr>
    </w:lvl>
  </w:abstractNum>
  <w:abstractNum w:abstractNumId="8" w15:restartNumberingAfterBreak="0">
    <w:nsid w:val="261169F5"/>
    <w:multiLevelType w:val="hybridMultilevel"/>
    <w:tmpl w:val="B9766AB2"/>
    <w:lvl w:ilvl="0" w:tplc="C2F83CB4">
      <w:start w:val="1"/>
      <w:numFmt w:val="bullet"/>
      <w:lvlText w:val="-"/>
      <w:lvlJc w:val="left"/>
      <w:pPr>
        <w:ind w:left="720" w:hanging="360"/>
      </w:pPr>
      <w:rPr>
        <w:rFonts w:ascii="Calibri" w:hAnsi="Calibri" w:hint="default"/>
      </w:rPr>
    </w:lvl>
    <w:lvl w:ilvl="1" w:tplc="1F92A508">
      <w:start w:val="1"/>
      <w:numFmt w:val="bullet"/>
      <w:lvlText w:val="o"/>
      <w:lvlJc w:val="left"/>
      <w:pPr>
        <w:ind w:left="1440" w:hanging="360"/>
      </w:pPr>
      <w:rPr>
        <w:rFonts w:ascii="Courier New" w:hAnsi="Courier New" w:hint="default"/>
      </w:rPr>
    </w:lvl>
    <w:lvl w:ilvl="2" w:tplc="B2BEB724">
      <w:start w:val="1"/>
      <w:numFmt w:val="bullet"/>
      <w:lvlText w:val=""/>
      <w:lvlJc w:val="left"/>
      <w:pPr>
        <w:ind w:left="2160" w:hanging="360"/>
      </w:pPr>
      <w:rPr>
        <w:rFonts w:ascii="Wingdings" w:hAnsi="Wingdings" w:hint="default"/>
      </w:rPr>
    </w:lvl>
    <w:lvl w:ilvl="3" w:tplc="777649EA">
      <w:start w:val="1"/>
      <w:numFmt w:val="bullet"/>
      <w:lvlText w:val=""/>
      <w:lvlJc w:val="left"/>
      <w:pPr>
        <w:ind w:left="2880" w:hanging="360"/>
      </w:pPr>
      <w:rPr>
        <w:rFonts w:ascii="Symbol" w:hAnsi="Symbol" w:hint="default"/>
      </w:rPr>
    </w:lvl>
    <w:lvl w:ilvl="4" w:tplc="15083850">
      <w:start w:val="1"/>
      <w:numFmt w:val="bullet"/>
      <w:lvlText w:val="o"/>
      <w:lvlJc w:val="left"/>
      <w:pPr>
        <w:ind w:left="3600" w:hanging="360"/>
      </w:pPr>
      <w:rPr>
        <w:rFonts w:ascii="Courier New" w:hAnsi="Courier New" w:hint="default"/>
      </w:rPr>
    </w:lvl>
    <w:lvl w:ilvl="5" w:tplc="9ECA507E">
      <w:start w:val="1"/>
      <w:numFmt w:val="bullet"/>
      <w:lvlText w:val=""/>
      <w:lvlJc w:val="left"/>
      <w:pPr>
        <w:ind w:left="4320" w:hanging="360"/>
      </w:pPr>
      <w:rPr>
        <w:rFonts w:ascii="Wingdings" w:hAnsi="Wingdings" w:hint="default"/>
      </w:rPr>
    </w:lvl>
    <w:lvl w:ilvl="6" w:tplc="8ADED3DE">
      <w:start w:val="1"/>
      <w:numFmt w:val="bullet"/>
      <w:lvlText w:val=""/>
      <w:lvlJc w:val="left"/>
      <w:pPr>
        <w:ind w:left="5040" w:hanging="360"/>
      </w:pPr>
      <w:rPr>
        <w:rFonts w:ascii="Symbol" w:hAnsi="Symbol" w:hint="default"/>
      </w:rPr>
    </w:lvl>
    <w:lvl w:ilvl="7" w:tplc="67A812AA">
      <w:start w:val="1"/>
      <w:numFmt w:val="bullet"/>
      <w:lvlText w:val="o"/>
      <w:lvlJc w:val="left"/>
      <w:pPr>
        <w:ind w:left="5760" w:hanging="360"/>
      </w:pPr>
      <w:rPr>
        <w:rFonts w:ascii="Courier New" w:hAnsi="Courier New" w:hint="default"/>
      </w:rPr>
    </w:lvl>
    <w:lvl w:ilvl="8" w:tplc="4C46B0C6">
      <w:start w:val="1"/>
      <w:numFmt w:val="bullet"/>
      <w:lvlText w:val=""/>
      <w:lvlJc w:val="left"/>
      <w:pPr>
        <w:ind w:left="6480" w:hanging="360"/>
      </w:pPr>
      <w:rPr>
        <w:rFonts w:ascii="Wingdings" w:hAnsi="Wingdings" w:hint="default"/>
      </w:rPr>
    </w:lvl>
  </w:abstractNum>
  <w:abstractNum w:abstractNumId="9" w15:restartNumberingAfterBreak="0">
    <w:nsid w:val="31BAC73D"/>
    <w:multiLevelType w:val="hybridMultilevel"/>
    <w:tmpl w:val="CB0893C2"/>
    <w:lvl w:ilvl="0" w:tplc="FFFFFFFF">
      <w:start w:val="1"/>
      <w:numFmt w:val="bullet"/>
      <w:lvlText w:val="-"/>
      <w:lvlJc w:val="left"/>
      <w:pPr>
        <w:ind w:left="720" w:hanging="360"/>
      </w:pPr>
      <w:rPr>
        <w:rFonts w:ascii="Calibri" w:hAnsi="Calibri" w:hint="default"/>
      </w:rPr>
    </w:lvl>
    <w:lvl w:ilvl="1" w:tplc="9FFAEBA6">
      <w:start w:val="1"/>
      <w:numFmt w:val="bullet"/>
      <w:lvlText w:val="o"/>
      <w:lvlJc w:val="left"/>
      <w:pPr>
        <w:ind w:left="1440" w:hanging="360"/>
      </w:pPr>
      <w:rPr>
        <w:rFonts w:ascii="Courier New" w:hAnsi="Courier New" w:hint="default"/>
      </w:rPr>
    </w:lvl>
    <w:lvl w:ilvl="2" w:tplc="F16C7772">
      <w:start w:val="1"/>
      <w:numFmt w:val="bullet"/>
      <w:lvlText w:val=""/>
      <w:lvlJc w:val="left"/>
      <w:pPr>
        <w:ind w:left="2160" w:hanging="360"/>
      </w:pPr>
      <w:rPr>
        <w:rFonts w:ascii="Wingdings" w:hAnsi="Wingdings" w:hint="default"/>
      </w:rPr>
    </w:lvl>
    <w:lvl w:ilvl="3" w:tplc="E9CE497E">
      <w:start w:val="1"/>
      <w:numFmt w:val="bullet"/>
      <w:lvlText w:val=""/>
      <w:lvlJc w:val="left"/>
      <w:pPr>
        <w:ind w:left="2880" w:hanging="360"/>
      </w:pPr>
      <w:rPr>
        <w:rFonts w:ascii="Symbol" w:hAnsi="Symbol" w:hint="default"/>
      </w:rPr>
    </w:lvl>
    <w:lvl w:ilvl="4" w:tplc="F99ECAA8">
      <w:start w:val="1"/>
      <w:numFmt w:val="bullet"/>
      <w:lvlText w:val="o"/>
      <w:lvlJc w:val="left"/>
      <w:pPr>
        <w:ind w:left="3600" w:hanging="360"/>
      </w:pPr>
      <w:rPr>
        <w:rFonts w:ascii="Courier New" w:hAnsi="Courier New" w:hint="default"/>
      </w:rPr>
    </w:lvl>
    <w:lvl w:ilvl="5" w:tplc="4BB85226">
      <w:start w:val="1"/>
      <w:numFmt w:val="bullet"/>
      <w:lvlText w:val=""/>
      <w:lvlJc w:val="left"/>
      <w:pPr>
        <w:ind w:left="4320" w:hanging="360"/>
      </w:pPr>
      <w:rPr>
        <w:rFonts w:ascii="Wingdings" w:hAnsi="Wingdings" w:hint="default"/>
      </w:rPr>
    </w:lvl>
    <w:lvl w:ilvl="6" w:tplc="E95023F4">
      <w:start w:val="1"/>
      <w:numFmt w:val="bullet"/>
      <w:lvlText w:val=""/>
      <w:lvlJc w:val="left"/>
      <w:pPr>
        <w:ind w:left="5040" w:hanging="360"/>
      </w:pPr>
      <w:rPr>
        <w:rFonts w:ascii="Symbol" w:hAnsi="Symbol" w:hint="default"/>
      </w:rPr>
    </w:lvl>
    <w:lvl w:ilvl="7" w:tplc="9C5CF1FA">
      <w:start w:val="1"/>
      <w:numFmt w:val="bullet"/>
      <w:lvlText w:val="o"/>
      <w:lvlJc w:val="left"/>
      <w:pPr>
        <w:ind w:left="5760" w:hanging="360"/>
      </w:pPr>
      <w:rPr>
        <w:rFonts w:ascii="Courier New" w:hAnsi="Courier New" w:hint="default"/>
      </w:rPr>
    </w:lvl>
    <w:lvl w:ilvl="8" w:tplc="C804C576">
      <w:start w:val="1"/>
      <w:numFmt w:val="bullet"/>
      <w:lvlText w:val=""/>
      <w:lvlJc w:val="left"/>
      <w:pPr>
        <w:ind w:left="6480" w:hanging="360"/>
      </w:pPr>
      <w:rPr>
        <w:rFonts w:ascii="Wingdings" w:hAnsi="Wingdings" w:hint="default"/>
      </w:rPr>
    </w:lvl>
  </w:abstractNum>
  <w:abstractNum w:abstractNumId="10" w15:restartNumberingAfterBreak="0">
    <w:nsid w:val="3A3A14CF"/>
    <w:multiLevelType w:val="hybridMultilevel"/>
    <w:tmpl w:val="5520221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E66243"/>
    <w:multiLevelType w:val="hybridMultilevel"/>
    <w:tmpl w:val="80944C5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18C1C4"/>
    <w:multiLevelType w:val="hybridMultilevel"/>
    <w:tmpl w:val="EE42FBD2"/>
    <w:lvl w:ilvl="0" w:tplc="6C9AA7CE">
      <w:start w:val="1"/>
      <w:numFmt w:val="bullet"/>
      <w:lvlText w:val="·"/>
      <w:lvlJc w:val="left"/>
      <w:pPr>
        <w:ind w:left="720" w:hanging="360"/>
      </w:pPr>
      <w:rPr>
        <w:rFonts w:ascii="Symbol" w:hAnsi="Symbol" w:hint="default"/>
      </w:rPr>
    </w:lvl>
    <w:lvl w:ilvl="1" w:tplc="2A1499D6">
      <w:start w:val="1"/>
      <w:numFmt w:val="bullet"/>
      <w:lvlText w:val="o"/>
      <w:lvlJc w:val="left"/>
      <w:pPr>
        <w:ind w:left="1440" w:hanging="360"/>
      </w:pPr>
      <w:rPr>
        <w:rFonts w:ascii="Courier New" w:hAnsi="Courier New" w:hint="default"/>
      </w:rPr>
    </w:lvl>
    <w:lvl w:ilvl="2" w:tplc="43A47D6E">
      <w:start w:val="1"/>
      <w:numFmt w:val="bullet"/>
      <w:lvlText w:val=""/>
      <w:lvlJc w:val="left"/>
      <w:pPr>
        <w:ind w:left="2160" w:hanging="360"/>
      </w:pPr>
      <w:rPr>
        <w:rFonts w:ascii="Wingdings" w:hAnsi="Wingdings" w:hint="default"/>
      </w:rPr>
    </w:lvl>
    <w:lvl w:ilvl="3" w:tplc="41CED65E">
      <w:start w:val="1"/>
      <w:numFmt w:val="bullet"/>
      <w:lvlText w:val=""/>
      <w:lvlJc w:val="left"/>
      <w:pPr>
        <w:ind w:left="2880" w:hanging="360"/>
      </w:pPr>
      <w:rPr>
        <w:rFonts w:ascii="Symbol" w:hAnsi="Symbol" w:hint="default"/>
      </w:rPr>
    </w:lvl>
    <w:lvl w:ilvl="4" w:tplc="53B4AE46">
      <w:start w:val="1"/>
      <w:numFmt w:val="bullet"/>
      <w:lvlText w:val="o"/>
      <w:lvlJc w:val="left"/>
      <w:pPr>
        <w:ind w:left="3600" w:hanging="360"/>
      </w:pPr>
      <w:rPr>
        <w:rFonts w:ascii="Courier New" w:hAnsi="Courier New" w:hint="default"/>
      </w:rPr>
    </w:lvl>
    <w:lvl w:ilvl="5" w:tplc="32DA3F78">
      <w:start w:val="1"/>
      <w:numFmt w:val="bullet"/>
      <w:lvlText w:val=""/>
      <w:lvlJc w:val="left"/>
      <w:pPr>
        <w:ind w:left="4320" w:hanging="360"/>
      </w:pPr>
      <w:rPr>
        <w:rFonts w:ascii="Wingdings" w:hAnsi="Wingdings" w:hint="default"/>
      </w:rPr>
    </w:lvl>
    <w:lvl w:ilvl="6" w:tplc="4294B4DA">
      <w:start w:val="1"/>
      <w:numFmt w:val="bullet"/>
      <w:lvlText w:val=""/>
      <w:lvlJc w:val="left"/>
      <w:pPr>
        <w:ind w:left="5040" w:hanging="360"/>
      </w:pPr>
      <w:rPr>
        <w:rFonts w:ascii="Symbol" w:hAnsi="Symbol" w:hint="default"/>
      </w:rPr>
    </w:lvl>
    <w:lvl w:ilvl="7" w:tplc="A600BA3A">
      <w:start w:val="1"/>
      <w:numFmt w:val="bullet"/>
      <w:lvlText w:val="o"/>
      <w:lvlJc w:val="left"/>
      <w:pPr>
        <w:ind w:left="5760" w:hanging="360"/>
      </w:pPr>
      <w:rPr>
        <w:rFonts w:ascii="Courier New" w:hAnsi="Courier New" w:hint="default"/>
      </w:rPr>
    </w:lvl>
    <w:lvl w:ilvl="8" w:tplc="D1681396">
      <w:start w:val="1"/>
      <w:numFmt w:val="bullet"/>
      <w:lvlText w:val=""/>
      <w:lvlJc w:val="left"/>
      <w:pPr>
        <w:ind w:left="6480" w:hanging="360"/>
      </w:pPr>
      <w:rPr>
        <w:rFonts w:ascii="Wingdings" w:hAnsi="Wingdings" w:hint="default"/>
      </w:rPr>
    </w:lvl>
  </w:abstractNum>
  <w:abstractNum w:abstractNumId="13" w15:restartNumberingAfterBreak="0">
    <w:nsid w:val="560BDED2"/>
    <w:multiLevelType w:val="hybridMultilevel"/>
    <w:tmpl w:val="9200820C"/>
    <w:lvl w:ilvl="0" w:tplc="6C0681D0">
      <w:start w:val="1"/>
      <w:numFmt w:val="bullet"/>
      <w:lvlText w:val="·"/>
      <w:lvlJc w:val="left"/>
      <w:pPr>
        <w:ind w:left="720" w:hanging="360"/>
      </w:pPr>
      <w:rPr>
        <w:rFonts w:ascii="Symbol" w:hAnsi="Symbol" w:hint="default"/>
      </w:rPr>
    </w:lvl>
    <w:lvl w:ilvl="1" w:tplc="90ACACA0">
      <w:start w:val="1"/>
      <w:numFmt w:val="bullet"/>
      <w:lvlText w:val="o"/>
      <w:lvlJc w:val="left"/>
      <w:pPr>
        <w:ind w:left="1440" w:hanging="360"/>
      </w:pPr>
      <w:rPr>
        <w:rFonts w:ascii="Courier New" w:hAnsi="Courier New" w:hint="default"/>
      </w:rPr>
    </w:lvl>
    <w:lvl w:ilvl="2" w:tplc="E05A7E90">
      <w:start w:val="1"/>
      <w:numFmt w:val="bullet"/>
      <w:lvlText w:val=""/>
      <w:lvlJc w:val="left"/>
      <w:pPr>
        <w:ind w:left="2160" w:hanging="360"/>
      </w:pPr>
      <w:rPr>
        <w:rFonts w:ascii="Wingdings" w:hAnsi="Wingdings" w:hint="default"/>
      </w:rPr>
    </w:lvl>
    <w:lvl w:ilvl="3" w:tplc="E4A087B8">
      <w:start w:val="1"/>
      <w:numFmt w:val="bullet"/>
      <w:lvlText w:val=""/>
      <w:lvlJc w:val="left"/>
      <w:pPr>
        <w:ind w:left="2880" w:hanging="360"/>
      </w:pPr>
      <w:rPr>
        <w:rFonts w:ascii="Symbol" w:hAnsi="Symbol" w:hint="default"/>
      </w:rPr>
    </w:lvl>
    <w:lvl w:ilvl="4" w:tplc="05EA35D0">
      <w:start w:val="1"/>
      <w:numFmt w:val="bullet"/>
      <w:lvlText w:val="o"/>
      <w:lvlJc w:val="left"/>
      <w:pPr>
        <w:ind w:left="3600" w:hanging="360"/>
      </w:pPr>
      <w:rPr>
        <w:rFonts w:ascii="Courier New" w:hAnsi="Courier New" w:hint="default"/>
      </w:rPr>
    </w:lvl>
    <w:lvl w:ilvl="5" w:tplc="C7603E54">
      <w:start w:val="1"/>
      <w:numFmt w:val="bullet"/>
      <w:lvlText w:val=""/>
      <w:lvlJc w:val="left"/>
      <w:pPr>
        <w:ind w:left="4320" w:hanging="360"/>
      </w:pPr>
      <w:rPr>
        <w:rFonts w:ascii="Wingdings" w:hAnsi="Wingdings" w:hint="default"/>
      </w:rPr>
    </w:lvl>
    <w:lvl w:ilvl="6" w:tplc="9CE44AC6">
      <w:start w:val="1"/>
      <w:numFmt w:val="bullet"/>
      <w:lvlText w:val=""/>
      <w:lvlJc w:val="left"/>
      <w:pPr>
        <w:ind w:left="5040" w:hanging="360"/>
      </w:pPr>
      <w:rPr>
        <w:rFonts w:ascii="Symbol" w:hAnsi="Symbol" w:hint="default"/>
      </w:rPr>
    </w:lvl>
    <w:lvl w:ilvl="7" w:tplc="021A2150">
      <w:start w:val="1"/>
      <w:numFmt w:val="bullet"/>
      <w:lvlText w:val="o"/>
      <w:lvlJc w:val="left"/>
      <w:pPr>
        <w:ind w:left="5760" w:hanging="360"/>
      </w:pPr>
      <w:rPr>
        <w:rFonts w:ascii="Courier New" w:hAnsi="Courier New" w:hint="default"/>
      </w:rPr>
    </w:lvl>
    <w:lvl w:ilvl="8" w:tplc="4364D46E">
      <w:start w:val="1"/>
      <w:numFmt w:val="bullet"/>
      <w:lvlText w:val=""/>
      <w:lvlJc w:val="left"/>
      <w:pPr>
        <w:ind w:left="648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665F00EE"/>
    <w:multiLevelType w:val="hybridMultilevel"/>
    <w:tmpl w:val="446C7004"/>
    <w:lvl w:ilvl="0" w:tplc="C512BD38">
      <w:start w:val="1"/>
      <w:numFmt w:val="bullet"/>
      <w:lvlText w:val="·"/>
      <w:lvlJc w:val="left"/>
      <w:pPr>
        <w:ind w:left="720" w:hanging="360"/>
      </w:pPr>
      <w:rPr>
        <w:rFonts w:ascii="Symbol" w:hAnsi="Symbol" w:hint="default"/>
      </w:rPr>
    </w:lvl>
    <w:lvl w:ilvl="1" w:tplc="BB36B452">
      <w:start w:val="1"/>
      <w:numFmt w:val="bullet"/>
      <w:lvlText w:val="o"/>
      <w:lvlJc w:val="left"/>
      <w:pPr>
        <w:ind w:left="1440" w:hanging="360"/>
      </w:pPr>
      <w:rPr>
        <w:rFonts w:ascii="Courier New" w:hAnsi="Courier New" w:hint="default"/>
      </w:rPr>
    </w:lvl>
    <w:lvl w:ilvl="2" w:tplc="59F6B0EC">
      <w:start w:val="1"/>
      <w:numFmt w:val="bullet"/>
      <w:lvlText w:val=""/>
      <w:lvlJc w:val="left"/>
      <w:pPr>
        <w:ind w:left="2160" w:hanging="360"/>
      </w:pPr>
      <w:rPr>
        <w:rFonts w:ascii="Wingdings" w:hAnsi="Wingdings" w:hint="default"/>
      </w:rPr>
    </w:lvl>
    <w:lvl w:ilvl="3" w:tplc="C82A850C">
      <w:start w:val="1"/>
      <w:numFmt w:val="bullet"/>
      <w:lvlText w:val=""/>
      <w:lvlJc w:val="left"/>
      <w:pPr>
        <w:ind w:left="2880" w:hanging="360"/>
      </w:pPr>
      <w:rPr>
        <w:rFonts w:ascii="Symbol" w:hAnsi="Symbol" w:hint="default"/>
      </w:rPr>
    </w:lvl>
    <w:lvl w:ilvl="4" w:tplc="830A9A54">
      <w:start w:val="1"/>
      <w:numFmt w:val="bullet"/>
      <w:lvlText w:val="o"/>
      <w:lvlJc w:val="left"/>
      <w:pPr>
        <w:ind w:left="3600" w:hanging="360"/>
      </w:pPr>
      <w:rPr>
        <w:rFonts w:ascii="Courier New" w:hAnsi="Courier New" w:hint="default"/>
      </w:rPr>
    </w:lvl>
    <w:lvl w:ilvl="5" w:tplc="060690EE">
      <w:start w:val="1"/>
      <w:numFmt w:val="bullet"/>
      <w:lvlText w:val=""/>
      <w:lvlJc w:val="left"/>
      <w:pPr>
        <w:ind w:left="4320" w:hanging="360"/>
      </w:pPr>
      <w:rPr>
        <w:rFonts w:ascii="Wingdings" w:hAnsi="Wingdings" w:hint="default"/>
      </w:rPr>
    </w:lvl>
    <w:lvl w:ilvl="6" w:tplc="A7920FA0">
      <w:start w:val="1"/>
      <w:numFmt w:val="bullet"/>
      <w:lvlText w:val=""/>
      <w:lvlJc w:val="left"/>
      <w:pPr>
        <w:ind w:left="5040" w:hanging="360"/>
      </w:pPr>
      <w:rPr>
        <w:rFonts w:ascii="Symbol" w:hAnsi="Symbol" w:hint="default"/>
      </w:rPr>
    </w:lvl>
    <w:lvl w:ilvl="7" w:tplc="DC9AAB14">
      <w:start w:val="1"/>
      <w:numFmt w:val="bullet"/>
      <w:lvlText w:val="o"/>
      <w:lvlJc w:val="left"/>
      <w:pPr>
        <w:ind w:left="5760" w:hanging="360"/>
      </w:pPr>
      <w:rPr>
        <w:rFonts w:ascii="Courier New" w:hAnsi="Courier New" w:hint="default"/>
      </w:rPr>
    </w:lvl>
    <w:lvl w:ilvl="8" w:tplc="A2A87BCC">
      <w:start w:val="1"/>
      <w:numFmt w:val="bullet"/>
      <w:lvlText w:val=""/>
      <w:lvlJc w:val="left"/>
      <w:pPr>
        <w:ind w:left="6480" w:hanging="360"/>
      </w:pPr>
      <w:rPr>
        <w:rFonts w:ascii="Wingdings" w:hAnsi="Wingdings" w:hint="default"/>
      </w:rPr>
    </w:lvl>
  </w:abstractNum>
  <w:abstractNum w:abstractNumId="16" w15:restartNumberingAfterBreak="0">
    <w:nsid w:val="6697027D"/>
    <w:multiLevelType w:val="hybridMultilevel"/>
    <w:tmpl w:val="E6CEFAFA"/>
    <w:lvl w:ilvl="0" w:tplc="F0DE0206">
      <w:start w:val="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1726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3B5C8F"/>
    <w:multiLevelType w:val="hybridMultilevel"/>
    <w:tmpl w:val="D6344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7"/>
  </w:num>
  <w:num w:numId="5">
    <w:abstractNumId w:val="12"/>
  </w:num>
  <w:num w:numId="6">
    <w:abstractNumId w:val="2"/>
  </w:num>
  <w:num w:numId="7">
    <w:abstractNumId w:val="13"/>
  </w:num>
  <w:num w:numId="8">
    <w:abstractNumId w:val="9"/>
  </w:num>
  <w:num w:numId="9">
    <w:abstractNumId w:val="15"/>
  </w:num>
  <w:num w:numId="10">
    <w:abstractNumId w:val="6"/>
  </w:num>
  <w:num w:numId="11">
    <w:abstractNumId w:val="14"/>
  </w:num>
  <w:num w:numId="12">
    <w:abstractNumId w:val="0"/>
  </w:num>
  <w:num w:numId="13">
    <w:abstractNumId w:val="10"/>
  </w:num>
  <w:num w:numId="14">
    <w:abstractNumId w:val="1"/>
  </w:num>
  <w:num w:numId="15">
    <w:abstractNumId w:val="11"/>
  </w:num>
  <w:num w:numId="16">
    <w:abstractNumId w:val="16"/>
  </w:num>
  <w:num w:numId="17">
    <w:abstractNumId w:val="17"/>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E75"/>
    <w:rsid w:val="000011FA"/>
    <w:rsid w:val="00002716"/>
    <w:rsid w:val="00002E89"/>
    <w:rsid w:val="00003C43"/>
    <w:rsid w:val="00005791"/>
    <w:rsid w:val="00006D2E"/>
    <w:rsid w:val="00010827"/>
    <w:rsid w:val="00012223"/>
    <w:rsid w:val="00013BCF"/>
    <w:rsid w:val="00013C64"/>
    <w:rsid w:val="000144E3"/>
    <w:rsid w:val="00014EFC"/>
    <w:rsid w:val="00014F56"/>
    <w:rsid w:val="00015089"/>
    <w:rsid w:val="0002004D"/>
    <w:rsid w:val="0002083F"/>
    <w:rsid w:val="00022797"/>
    <w:rsid w:val="00024DAC"/>
    <w:rsid w:val="0002520B"/>
    <w:rsid w:val="0003007B"/>
    <w:rsid w:val="00032B2E"/>
    <w:rsid w:val="0003668E"/>
    <w:rsid w:val="00037A9E"/>
    <w:rsid w:val="00037F91"/>
    <w:rsid w:val="00041421"/>
    <w:rsid w:val="000420B9"/>
    <w:rsid w:val="00043E15"/>
    <w:rsid w:val="00045EB6"/>
    <w:rsid w:val="00046E19"/>
    <w:rsid w:val="00050477"/>
    <w:rsid w:val="00050CED"/>
    <w:rsid w:val="00050DE7"/>
    <w:rsid w:val="000523FC"/>
    <w:rsid w:val="000539F1"/>
    <w:rsid w:val="00054747"/>
    <w:rsid w:val="000549FA"/>
    <w:rsid w:val="00054EB4"/>
    <w:rsid w:val="00055A2A"/>
    <w:rsid w:val="00056D35"/>
    <w:rsid w:val="000615C1"/>
    <w:rsid w:val="00061675"/>
    <w:rsid w:val="0006209C"/>
    <w:rsid w:val="00065084"/>
    <w:rsid w:val="0006582C"/>
    <w:rsid w:val="0007124C"/>
    <w:rsid w:val="000734A4"/>
    <w:rsid w:val="000743AA"/>
    <w:rsid w:val="00074746"/>
    <w:rsid w:val="00075522"/>
    <w:rsid w:val="0008311F"/>
    <w:rsid w:val="00086169"/>
    <w:rsid w:val="0009076F"/>
    <w:rsid w:val="00090896"/>
    <w:rsid w:val="00090F75"/>
    <w:rsid w:val="00091D4F"/>
    <w:rsid w:val="00091EC4"/>
    <w:rsid w:val="0009225C"/>
    <w:rsid w:val="0009324D"/>
    <w:rsid w:val="0009351D"/>
    <w:rsid w:val="0009726B"/>
    <w:rsid w:val="000A17C4"/>
    <w:rsid w:val="000A21EF"/>
    <w:rsid w:val="000A2B10"/>
    <w:rsid w:val="000A31DB"/>
    <w:rsid w:val="000A36A4"/>
    <w:rsid w:val="000A47A2"/>
    <w:rsid w:val="000A60E5"/>
    <w:rsid w:val="000A6A4A"/>
    <w:rsid w:val="000B17BD"/>
    <w:rsid w:val="000B1AAB"/>
    <w:rsid w:val="000B2352"/>
    <w:rsid w:val="000B36BF"/>
    <w:rsid w:val="000B5E9A"/>
    <w:rsid w:val="000C03EB"/>
    <w:rsid w:val="000C0A5E"/>
    <w:rsid w:val="000C237C"/>
    <w:rsid w:val="000C37D9"/>
    <w:rsid w:val="000C7B84"/>
    <w:rsid w:val="000D1ECD"/>
    <w:rsid w:val="000D261B"/>
    <w:rsid w:val="000D56D7"/>
    <w:rsid w:val="000D58A3"/>
    <w:rsid w:val="000E3D94"/>
    <w:rsid w:val="000E3ED4"/>
    <w:rsid w:val="000E3F9C"/>
    <w:rsid w:val="000E5C7F"/>
    <w:rsid w:val="000E6380"/>
    <w:rsid w:val="000F1550"/>
    <w:rsid w:val="000F2011"/>
    <w:rsid w:val="000F230D"/>
    <w:rsid w:val="000F251B"/>
    <w:rsid w:val="000F4500"/>
    <w:rsid w:val="000F4789"/>
    <w:rsid w:val="000F5FE8"/>
    <w:rsid w:val="000F6644"/>
    <w:rsid w:val="000F719B"/>
    <w:rsid w:val="00100323"/>
    <w:rsid w:val="00100833"/>
    <w:rsid w:val="00100FC4"/>
    <w:rsid w:val="00102F72"/>
    <w:rsid w:val="00105305"/>
    <w:rsid w:val="00105B16"/>
    <w:rsid w:val="00106E35"/>
    <w:rsid w:val="00107E85"/>
    <w:rsid w:val="00111704"/>
    <w:rsid w:val="00111CD8"/>
    <w:rsid w:val="00113B62"/>
    <w:rsid w:val="00113EE8"/>
    <w:rsid w:val="0011455A"/>
    <w:rsid w:val="00114A65"/>
    <w:rsid w:val="00125E0F"/>
    <w:rsid w:val="00130392"/>
    <w:rsid w:val="00130AE9"/>
    <w:rsid w:val="00131C53"/>
    <w:rsid w:val="001321E7"/>
    <w:rsid w:val="00133061"/>
    <w:rsid w:val="00134F08"/>
    <w:rsid w:val="00134FA9"/>
    <w:rsid w:val="0013524C"/>
    <w:rsid w:val="00135701"/>
    <w:rsid w:val="001367FD"/>
    <w:rsid w:val="00137609"/>
    <w:rsid w:val="0013766A"/>
    <w:rsid w:val="00141699"/>
    <w:rsid w:val="00144C13"/>
    <w:rsid w:val="00147000"/>
    <w:rsid w:val="0015281D"/>
    <w:rsid w:val="00155B3B"/>
    <w:rsid w:val="001626AF"/>
    <w:rsid w:val="00163091"/>
    <w:rsid w:val="001645CB"/>
    <w:rsid w:val="00166305"/>
    <w:rsid w:val="00167184"/>
    <w:rsid w:val="00167545"/>
    <w:rsid w:val="001703C6"/>
    <w:rsid w:val="00171BEB"/>
    <w:rsid w:val="00173781"/>
    <w:rsid w:val="00175ADF"/>
    <w:rsid w:val="00175B3D"/>
    <w:rsid w:val="00175CAE"/>
    <w:rsid w:val="00175F36"/>
    <w:rsid w:val="001763C7"/>
    <w:rsid w:val="00182756"/>
    <w:rsid w:val="001828DB"/>
    <w:rsid w:val="001850FE"/>
    <w:rsid w:val="00185135"/>
    <w:rsid w:val="001856F8"/>
    <w:rsid w:val="0019037C"/>
    <w:rsid w:val="001905A9"/>
    <w:rsid w:val="00190938"/>
    <w:rsid w:val="00191273"/>
    <w:rsid w:val="00191B08"/>
    <w:rsid w:val="00192587"/>
    <w:rsid w:val="00192CAF"/>
    <w:rsid w:val="001942A7"/>
    <w:rsid w:val="00194502"/>
    <w:rsid w:val="0019587B"/>
    <w:rsid w:val="001A163D"/>
    <w:rsid w:val="001A1C16"/>
    <w:rsid w:val="001A3C40"/>
    <w:rsid w:val="001A3EA9"/>
    <w:rsid w:val="001A4211"/>
    <w:rsid w:val="001A441E"/>
    <w:rsid w:val="001A5744"/>
    <w:rsid w:val="001A6733"/>
    <w:rsid w:val="001A6A83"/>
    <w:rsid w:val="001B357F"/>
    <w:rsid w:val="001B36C0"/>
    <w:rsid w:val="001B4B28"/>
    <w:rsid w:val="001B7BC3"/>
    <w:rsid w:val="001C10AD"/>
    <w:rsid w:val="001C2CFA"/>
    <w:rsid w:val="001C3444"/>
    <w:rsid w:val="001C3702"/>
    <w:rsid w:val="001C4656"/>
    <w:rsid w:val="001C46BC"/>
    <w:rsid w:val="001D1E06"/>
    <w:rsid w:val="001D4080"/>
    <w:rsid w:val="001D498A"/>
    <w:rsid w:val="001D7E30"/>
    <w:rsid w:val="001E0F43"/>
    <w:rsid w:val="001E34EF"/>
    <w:rsid w:val="001E3680"/>
    <w:rsid w:val="001F0D65"/>
    <w:rsid w:val="001F23E6"/>
    <w:rsid w:val="001F4238"/>
    <w:rsid w:val="0020045F"/>
    <w:rsid w:val="002006CD"/>
    <w:rsid w:val="00200A38"/>
    <w:rsid w:val="00200A46"/>
    <w:rsid w:val="00202345"/>
    <w:rsid w:val="00211B6F"/>
    <w:rsid w:val="00213F06"/>
    <w:rsid w:val="00217CC3"/>
    <w:rsid w:val="00220AB6"/>
    <w:rsid w:val="0022120F"/>
    <w:rsid w:val="0022301F"/>
    <w:rsid w:val="002241AE"/>
    <w:rsid w:val="0022635C"/>
    <w:rsid w:val="00226CB0"/>
    <w:rsid w:val="0022754A"/>
    <w:rsid w:val="0023114E"/>
    <w:rsid w:val="002339AF"/>
    <w:rsid w:val="00234657"/>
    <w:rsid w:val="00235700"/>
    <w:rsid w:val="00236560"/>
    <w:rsid w:val="0023662E"/>
    <w:rsid w:val="00236D4A"/>
    <w:rsid w:val="002378F7"/>
    <w:rsid w:val="00243D50"/>
    <w:rsid w:val="00243FF0"/>
    <w:rsid w:val="0024524A"/>
    <w:rsid w:val="00245D0F"/>
    <w:rsid w:val="00251B7A"/>
    <w:rsid w:val="00251EEE"/>
    <w:rsid w:val="002548C3"/>
    <w:rsid w:val="00254A77"/>
    <w:rsid w:val="00254D82"/>
    <w:rsid w:val="0025598C"/>
    <w:rsid w:val="00257ACD"/>
    <w:rsid w:val="00261417"/>
    <w:rsid w:val="00262908"/>
    <w:rsid w:val="00262BD3"/>
    <w:rsid w:val="00264969"/>
    <w:rsid w:val="002650F4"/>
    <w:rsid w:val="00266081"/>
    <w:rsid w:val="00267C06"/>
    <w:rsid w:val="002715FD"/>
    <w:rsid w:val="0027170C"/>
    <w:rsid w:val="00274B79"/>
    <w:rsid w:val="00275A54"/>
    <w:rsid w:val="00276BF6"/>
    <w:rsid w:val="002770B1"/>
    <w:rsid w:val="00277C97"/>
    <w:rsid w:val="00280244"/>
    <w:rsid w:val="00280EB9"/>
    <w:rsid w:val="00280EDA"/>
    <w:rsid w:val="00283BB7"/>
    <w:rsid w:val="00283EA3"/>
    <w:rsid w:val="00284536"/>
    <w:rsid w:val="00285B33"/>
    <w:rsid w:val="002864E8"/>
    <w:rsid w:val="00287A3C"/>
    <w:rsid w:val="0029011F"/>
    <w:rsid w:val="00290357"/>
    <w:rsid w:val="00291BD1"/>
    <w:rsid w:val="002931B1"/>
    <w:rsid w:val="00293901"/>
    <w:rsid w:val="00295C0B"/>
    <w:rsid w:val="002A0E15"/>
    <w:rsid w:val="002A2BE0"/>
    <w:rsid w:val="002A2FC6"/>
    <w:rsid w:val="002A3A97"/>
    <w:rsid w:val="002A5BD1"/>
    <w:rsid w:val="002A6603"/>
    <w:rsid w:val="002A6E66"/>
    <w:rsid w:val="002B068E"/>
    <w:rsid w:val="002B7904"/>
    <w:rsid w:val="002C071F"/>
    <w:rsid w:val="002C0ED2"/>
    <w:rsid w:val="002C1EC7"/>
    <w:rsid w:val="002C3015"/>
    <w:rsid w:val="002C4342"/>
    <w:rsid w:val="002C44A8"/>
    <w:rsid w:val="002C7027"/>
    <w:rsid w:val="002C7EA3"/>
    <w:rsid w:val="002D20AE"/>
    <w:rsid w:val="002D33DE"/>
    <w:rsid w:val="002D597E"/>
    <w:rsid w:val="002D6A2B"/>
    <w:rsid w:val="002D6BAF"/>
    <w:rsid w:val="002D6C61"/>
    <w:rsid w:val="002E15FC"/>
    <w:rsid w:val="002E1DD1"/>
    <w:rsid w:val="002E2104"/>
    <w:rsid w:val="002E2DAC"/>
    <w:rsid w:val="002E6963"/>
    <w:rsid w:val="002E6F8F"/>
    <w:rsid w:val="002F05D8"/>
    <w:rsid w:val="002F1F1C"/>
    <w:rsid w:val="002F2DE0"/>
    <w:rsid w:val="002F5E25"/>
    <w:rsid w:val="0030353C"/>
    <w:rsid w:val="003102D9"/>
    <w:rsid w:val="003125C3"/>
    <w:rsid w:val="00312AE6"/>
    <w:rsid w:val="00315A41"/>
    <w:rsid w:val="00317D1A"/>
    <w:rsid w:val="00320908"/>
    <w:rsid w:val="003211FF"/>
    <w:rsid w:val="00323764"/>
    <w:rsid w:val="003242AB"/>
    <w:rsid w:val="00324A71"/>
    <w:rsid w:val="003253F3"/>
    <w:rsid w:val="00327247"/>
    <w:rsid w:val="00327A9D"/>
    <w:rsid w:val="00327C5B"/>
    <w:rsid w:val="003306A8"/>
    <w:rsid w:val="0033130E"/>
    <w:rsid w:val="003318F8"/>
    <w:rsid w:val="0033269C"/>
    <w:rsid w:val="00334743"/>
    <w:rsid w:val="00336695"/>
    <w:rsid w:val="003417DD"/>
    <w:rsid w:val="003435D5"/>
    <w:rsid w:val="00345B3D"/>
    <w:rsid w:val="00351C79"/>
    <w:rsid w:val="00352131"/>
    <w:rsid w:val="0035516C"/>
    <w:rsid w:val="00355A4C"/>
    <w:rsid w:val="00355DAC"/>
    <w:rsid w:val="003570DD"/>
    <w:rsid w:val="003604FB"/>
    <w:rsid w:val="00360B73"/>
    <w:rsid w:val="00366367"/>
    <w:rsid w:val="0036643D"/>
    <w:rsid w:val="00370CF5"/>
    <w:rsid w:val="00374AF7"/>
    <w:rsid w:val="003761BB"/>
    <w:rsid w:val="00376EE8"/>
    <w:rsid w:val="00380B71"/>
    <w:rsid w:val="00382BD0"/>
    <w:rsid w:val="0038365A"/>
    <w:rsid w:val="0038516A"/>
    <w:rsid w:val="00386378"/>
    <w:rsid w:val="00386A89"/>
    <w:rsid w:val="00395EB6"/>
    <w:rsid w:val="0039648E"/>
    <w:rsid w:val="003976F6"/>
    <w:rsid w:val="00397760"/>
    <w:rsid w:val="003A0617"/>
    <w:rsid w:val="003A5AFE"/>
    <w:rsid w:val="003A5D5F"/>
    <w:rsid w:val="003A6A82"/>
    <w:rsid w:val="003A7FFE"/>
    <w:rsid w:val="003B0A63"/>
    <w:rsid w:val="003B50E1"/>
    <w:rsid w:val="003B591C"/>
    <w:rsid w:val="003B66B0"/>
    <w:rsid w:val="003B66B8"/>
    <w:rsid w:val="003C1245"/>
    <w:rsid w:val="003C1746"/>
    <w:rsid w:val="003C2AA9"/>
    <w:rsid w:val="003C436A"/>
    <w:rsid w:val="003C58BF"/>
    <w:rsid w:val="003C5A92"/>
    <w:rsid w:val="003C711A"/>
    <w:rsid w:val="003C7D49"/>
    <w:rsid w:val="003D03AF"/>
    <w:rsid w:val="003D281D"/>
    <w:rsid w:val="003D344D"/>
    <w:rsid w:val="003D3DD7"/>
    <w:rsid w:val="003D451D"/>
    <w:rsid w:val="003D7311"/>
    <w:rsid w:val="003D7834"/>
    <w:rsid w:val="003D7B70"/>
    <w:rsid w:val="003E091D"/>
    <w:rsid w:val="003E1143"/>
    <w:rsid w:val="003E1D92"/>
    <w:rsid w:val="003E27D4"/>
    <w:rsid w:val="003E63D2"/>
    <w:rsid w:val="003E6468"/>
    <w:rsid w:val="003F12B0"/>
    <w:rsid w:val="003F2595"/>
    <w:rsid w:val="003F2DD8"/>
    <w:rsid w:val="003F3F2D"/>
    <w:rsid w:val="003F50B2"/>
    <w:rsid w:val="003F7148"/>
    <w:rsid w:val="00400CCF"/>
    <w:rsid w:val="00401BFF"/>
    <w:rsid w:val="00404424"/>
    <w:rsid w:val="00404A11"/>
    <w:rsid w:val="00406C4F"/>
    <w:rsid w:val="004100C7"/>
    <w:rsid w:val="004104C8"/>
    <w:rsid w:val="004110D7"/>
    <w:rsid w:val="0041156B"/>
    <w:rsid w:val="004122C5"/>
    <w:rsid w:val="004129B9"/>
    <w:rsid w:val="004138FC"/>
    <w:rsid w:val="00413A05"/>
    <w:rsid w:val="00413B50"/>
    <w:rsid w:val="00413B78"/>
    <w:rsid w:val="00415529"/>
    <w:rsid w:val="00416DDE"/>
    <w:rsid w:val="00417229"/>
    <w:rsid w:val="00417355"/>
    <w:rsid w:val="0042097F"/>
    <w:rsid w:val="00425D53"/>
    <w:rsid w:val="00426FB9"/>
    <w:rsid w:val="00433759"/>
    <w:rsid w:val="00436707"/>
    <w:rsid w:val="00440851"/>
    <w:rsid w:val="00440925"/>
    <w:rsid w:val="0044411E"/>
    <w:rsid w:val="00447D7A"/>
    <w:rsid w:val="004526BA"/>
    <w:rsid w:val="00452F09"/>
    <w:rsid w:val="00453435"/>
    <w:rsid w:val="00457D17"/>
    <w:rsid w:val="00460089"/>
    <w:rsid w:val="004614E2"/>
    <w:rsid w:val="00466398"/>
    <w:rsid w:val="0047306D"/>
    <w:rsid w:val="00473791"/>
    <w:rsid w:val="00476D6B"/>
    <w:rsid w:val="00476E48"/>
    <w:rsid w:val="00477B50"/>
    <w:rsid w:val="00480CE2"/>
    <w:rsid w:val="004814B2"/>
    <w:rsid w:val="00481DE9"/>
    <w:rsid w:val="00484C81"/>
    <w:rsid w:val="00486A9B"/>
    <w:rsid w:val="004878BF"/>
    <w:rsid w:val="0049128B"/>
    <w:rsid w:val="00492574"/>
    <w:rsid w:val="00493B49"/>
    <w:rsid w:val="004940F6"/>
    <w:rsid w:val="00495501"/>
    <w:rsid w:val="004A070A"/>
    <w:rsid w:val="004A1845"/>
    <w:rsid w:val="004A2AC8"/>
    <w:rsid w:val="004A300B"/>
    <w:rsid w:val="004A320E"/>
    <w:rsid w:val="004A3997"/>
    <w:rsid w:val="004A4E9C"/>
    <w:rsid w:val="004A650C"/>
    <w:rsid w:val="004A67DE"/>
    <w:rsid w:val="004B01BF"/>
    <w:rsid w:val="004B1A3C"/>
    <w:rsid w:val="004B1B1B"/>
    <w:rsid w:val="004B1F91"/>
    <w:rsid w:val="004B4002"/>
    <w:rsid w:val="004B481B"/>
    <w:rsid w:val="004C0AC5"/>
    <w:rsid w:val="004C43E9"/>
    <w:rsid w:val="004C5245"/>
    <w:rsid w:val="004C65CF"/>
    <w:rsid w:val="004C767E"/>
    <w:rsid w:val="004D0838"/>
    <w:rsid w:val="004D0B25"/>
    <w:rsid w:val="004D29F3"/>
    <w:rsid w:val="004D2CC3"/>
    <w:rsid w:val="004D35CB"/>
    <w:rsid w:val="004D4FFF"/>
    <w:rsid w:val="004D7500"/>
    <w:rsid w:val="004D7DAB"/>
    <w:rsid w:val="004E20E5"/>
    <w:rsid w:val="004E64EA"/>
    <w:rsid w:val="004E6A54"/>
    <w:rsid w:val="004E722F"/>
    <w:rsid w:val="004E7828"/>
    <w:rsid w:val="004F0341"/>
    <w:rsid w:val="004F407C"/>
    <w:rsid w:val="004F46AA"/>
    <w:rsid w:val="004F54ED"/>
    <w:rsid w:val="004F69EA"/>
    <w:rsid w:val="004F6A70"/>
    <w:rsid w:val="00500AD7"/>
    <w:rsid w:val="005010FE"/>
    <w:rsid w:val="00502ABF"/>
    <w:rsid w:val="00503968"/>
    <w:rsid w:val="00503BF0"/>
    <w:rsid w:val="005041CC"/>
    <w:rsid w:val="00504DB0"/>
    <w:rsid w:val="005060F4"/>
    <w:rsid w:val="00507BAD"/>
    <w:rsid w:val="00507C35"/>
    <w:rsid w:val="00510735"/>
    <w:rsid w:val="00511BA9"/>
    <w:rsid w:val="00511D2C"/>
    <w:rsid w:val="00513FA0"/>
    <w:rsid w:val="00514D2F"/>
    <w:rsid w:val="00515F8F"/>
    <w:rsid w:val="00516D94"/>
    <w:rsid w:val="0052012C"/>
    <w:rsid w:val="0052788E"/>
    <w:rsid w:val="00527FFD"/>
    <w:rsid w:val="00531EB4"/>
    <w:rsid w:val="00532B16"/>
    <w:rsid w:val="00534D6A"/>
    <w:rsid w:val="0053514E"/>
    <w:rsid w:val="005377AE"/>
    <w:rsid w:val="0054202E"/>
    <w:rsid w:val="005427E2"/>
    <w:rsid w:val="0054420E"/>
    <w:rsid w:val="00544D1B"/>
    <w:rsid w:val="00545DC0"/>
    <w:rsid w:val="00545F6C"/>
    <w:rsid w:val="005477D9"/>
    <w:rsid w:val="00547BA0"/>
    <w:rsid w:val="00550B66"/>
    <w:rsid w:val="0055720C"/>
    <w:rsid w:val="005578A1"/>
    <w:rsid w:val="00561796"/>
    <w:rsid w:val="00562545"/>
    <w:rsid w:val="005632DD"/>
    <w:rsid w:val="0056423B"/>
    <w:rsid w:val="00564A1E"/>
    <w:rsid w:val="00573424"/>
    <w:rsid w:val="0057402F"/>
    <w:rsid w:val="00581653"/>
    <w:rsid w:val="00582CF9"/>
    <w:rsid w:val="005841A0"/>
    <w:rsid w:val="005849D6"/>
    <w:rsid w:val="00584E43"/>
    <w:rsid w:val="00585367"/>
    <w:rsid w:val="005871A1"/>
    <w:rsid w:val="0058737E"/>
    <w:rsid w:val="00587FED"/>
    <w:rsid w:val="005907BB"/>
    <w:rsid w:val="00590BBF"/>
    <w:rsid w:val="00592518"/>
    <w:rsid w:val="00592E87"/>
    <w:rsid w:val="00593EDD"/>
    <w:rsid w:val="0059420B"/>
    <w:rsid w:val="00594C4D"/>
    <w:rsid w:val="00595F51"/>
    <w:rsid w:val="005A33B0"/>
    <w:rsid w:val="005A433F"/>
    <w:rsid w:val="005A5F14"/>
    <w:rsid w:val="005A7327"/>
    <w:rsid w:val="005B227A"/>
    <w:rsid w:val="005B2C81"/>
    <w:rsid w:val="005B3FA0"/>
    <w:rsid w:val="005B5F2B"/>
    <w:rsid w:val="005B7519"/>
    <w:rsid w:val="005C2DC2"/>
    <w:rsid w:val="005C304A"/>
    <w:rsid w:val="005C3D69"/>
    <w:rsid w:val="005C5232"/>
    <w:rsid w:val="005C5A93"/>
    <w:rsid w:val="005C7C98"/>
    <w:rsid w:val="005D1FBA"/>
    <w:rsid w:val="005D29DF"/>
    <w:rsid w:val="005D2C3A"/>
    <w:rsid w:val="005D3F8A"/>
    <w:rsid w:val="005D55A4"/>
    <w:rsid w:val="005D57C8"/>
    <w:rsid w:val="005D664F"/>
    <w:rsid w:val="005D7761"/>
    <w:rsid w:val="005E0278"/>
    <w:rsid w:val="005E090D"/>
    <w:rsid w:val="005E2BE4"/>
    <w:rsid w:val="005E3CA0"/>
    <w:rsid w:val="005E44B1"/>
    <w:rsid w:val="005E5E2C"/>
    <w:rsid w:val="005E67B0"/>
    <w:rsid w:val="005E7047"/>
    <w:rsid w:val="005E777F"/>
    <w:rsid w:val="005E77D1"/>
    <w:rsid w:val="005F1A7E"/>
    <w:rsid w:val="005F1CA7"/>
    <w:rsid w:val="005F35D7"/>
    <w:rsid w:val="005F43DD"/>
    <w:rsid w:val="005F51A9"/>
    <w:rsid w:val="005F6BE1"/>
    <w:rsid w:val="005F7416"/>
    <w:rsid w:val="0060006B"/>
    <w:rsid w:val="006005E2"/>
    <w:rsid w:val="00600C11"/>
    <w:rsid w:val="00600C86"/>
    <w:rsid w:val="0060119D"/>
    <w:rsid w:val="00601DB6"/>
    <w:rsid w:val="00601E97"/>
    <w:rsid w:val="006060E0"/>
    <w:rsid w:val="00606B89"/>
    <w:rsid w:val="00606F08"/>
    <w:rsid w:val="00610329"/>
    <w:rsid w:val="00611B0E"/>
    <w:rsid w:val="00611EAF"/>
    <w:rsid w:val="00615427"/>
    <w:rsid w:val="006169C6"/>
    <w:rsid w:val="00617959"/>
    <w:rsid w:val="00620173"/>
    <w:rsid w:val="00623F30"/>
    <w:rsid w:val="00624560"/>
    <w:rsid w:val="00625FB8"/>
    <w:rsid w:val="006261BD"/>
    <w:rsid w:val="00627BEF"/>
    <w:rsid w:val="00631DCF"/>
    <w:rsid w:val="00632657"/>
    <w:rsid w:val="006328F8"/>
    <w:rsid w:val="00635EDB"/>
    <w:rsid w:val="00636755"/>
    <w:rsid w:val="00636973"/>
    <w:rsid w:val="00645210"/>
    <w:rsid w:val="006460D6"/>
    <w:rsid w:val="0064734E"/>
    <w:rsid w:val="00650137"/>
    <w:rsid w:val="006509D7"/>
    <w:rsid w:val="00650FA5"/>
    <w:rsid w:val="00650FFB"/>
    <w:rsid w:val="00651CE8"/>
    <w:rsid w:val="00651E0F"/>
    <w:rsid w:val="006539A0"/>
    <w:rsid w:val="0065521B"/>
    <w:rsid w:val="006567AC"/>
    <w:rsid w:val="0066016C"/>
    <w:rsid w:val="006670EB"/>
    <w:rsid w:val="00667688"/>
    <w:rsid w:val="00670DEF"/>
    <w:rsid w:val="00670EA6"/>
    <w:rsid w:val="00670FBD"/>
    <w:rsid w:val="00671436"/>
    <w:rsid w:val="00671EF6"/>
    <w:rsid w:val="0067205B"/>
    <w:rsid w:val="00673012"/>
    <w:rsid w:val="00674218"/>
    <w:rsid w:val="006748F8"/>
    <w:rsid w:val="00680489"/>
    <w:rsid w:val="00683C32"/>
    <w:rsid w:val="0068659D"/>
    <w:rsid w:val="00686BDA"/>
    <w:rsid w:val="0068748D"/>
    <w:rsid w:val="00690BB2"/>
    <w:rsid w:val="00693D09"/>
    <w:rsid w:val="00693E0F"/>
    <w:rsid w:val="006965C2"/>
    <w:rsid w:val="00696C53"/>
    <w:rsid w:val="006A0F68"/>
    <w:rsid w:val="006A162B"/>
    <w:rsid w:val="006A1B80"/>
    <w:rsid w:val="006A3F67"/>
    <w:rsid w:val="006A49E4"/>
    <w:rsid w:val="006A6549"/>
    <w:rsid w:val="006A66D6"/>
    <w:rsid w:val="006A7710"/>
    <w:rsid w:val="006A7A61"/>
    <w:rsid w:val="006B1E59"/>
    <w:rsid w:val="006B2FFB"/>
    <w:rsid w:val="006B3863"/>
    <w:rsid w:val="006B48B5"/>
    <w:rsid w:val="006B6710"/>
    <w:rsid w:val="006B7C50"/>
    <w:rsid w:val="006C08F3"/>
    <w:rsid w:val="006C0D12"/>
    <w:rsid w:val="006C10A2"/>
    <w:rsid w:val="006C1F18"/>
    <w:rsid w:val="006C26C5"/>
    <w:rsid w:val="006C298A"/>
    <w:rsid w:val="006C3BD0"/>
    <w:rsid w:val="006C4751"/>
    <w:rsid w:val="006D0CC7"/>
    <w:rsid w:val="006D3B59"/>
    <w:rsid w:val="006D40D5"/>
    <w:rsid w:val="006D666D"/>
    <w:rsid w:val="006E0135"/>
    <w:rsid w:val="006E2BF8"/>
    <w:rsid w:val="006E3F4D"/>
    <w:rsid w:val="006E640F"/>
    <w:rsid w:val="006E7530"/>
    <w:rsid w:val="006F009A"/>
    <w:rsid w:val="006F3D93"/>
    <w:rsid w:val="006F79FB"/>
    <w:rsid w:val="006F7C70"/>
    <w:rsid w:val="007019B1"/>
    <w:rsid w:val="00702B85"/>
    <w:rsid w:val="00706DCE"/>
    <w:rsid w:val="0071215E"/>
    <w:rsid w:val="00712641"/>
    <w:rsid w:val="0071734A"/>
    <w:rsid w:val="007200AB"/>
    <w:rsid w:val="00721657"/>
    <w:rsid w:val="007247E9"/>
    <w:rsid w:val="007279A8"/>
    <w:rsid w:val="00727B1A"/>
    <w:rsid w:val="00727C34"/>
    <w:rsid w:val="00727CE4"/>
    <w:rsid w:val="00727EF4"/>
    <w:rsid w:val="007321E1"/>
    <w:rsid w:val="007343C7"/>
    <w:rsid w:val="00741337"/>
    <w:rsid w:val="007422BD"/>
    <w:rsid w:val="00743174"/>
    <w:rsid w:val="00744F2B"/>
    <w:rsid w:val="00745634"/>
    <w:rsid w:val="007459FE"/>
    <w:rsid w:val="0074758D"/>
    <w:rsid w:val="007500B7"/>
    <w:rsid w:val="00752258"/>
    <w:rsid w:val="007529E1"/>
    <w:rsid w:val="007546A9"/>
    <w:rsid w:val="00757DEC"/>
    <w:rsid w:val="00762880"/>
    <w:rsid w:val="00762AD6"/>
    <w:rsid w:val="00762E02"/>
    <w:rsid w:val="00767D4F"/>
    <w:rsid w:val="00772290"/>
    <w:rsid w:val="00773307"/>
    <w:rsid w:val="0077345A"/>
    <w:rsid w:val="00774E3D"/>
    <w:rsid w:val="007757C1"/>
    <w:rsid w:val="00775B4B"/>
    <w:rsid w:val="00775BC1"/>
    <w:rsid w:val="00777265"/>
    <w:rsid w:val="00777640"/>
    <w:rsid w:val="007805E7"/>
    <w:rsid w:val="007809DE"/>
    <w:rsid w:val="00782207"/>
    <w:rsid w:val="0078222A"/>
    <w:rsid w:val="00782CED"/>
    <w:rsid w:val="00782F99"/>
    <w:rsid w:val="00784CA8"/>
    <w:rsid w:val="00785778"/>
    <w:rsid w:val="00786510"/>
    <w:rsid w:val="00787D48"/>
    <w:rsid w:val="00791057"/>
    <w:rsid w:val="0079131F"/>
    <w:rsid w:val="007916FA"/>
    <w:rsid w:val="00793EC2"/>
    <w:rsid w:val="00795294"/>
    <w:rsid w:val="007957C1"/>
    <w:rsid w:val="007A16B5"/>
    <w:rsid w:val="007A3422"/>
    <w:rsid w:val="007A4E50"/>
    <w:rsid w:val="007A5F31"/>
    <w:rsid w:val="007A7534"/>
    <w:rsid w:val="007B0E93"/>
    <w:rsid w:val="007B1052"/>
    <w:rsid w:val="007B18A7"/>
    <w:rsid w:val="007B2348"/>
    <w:rsid w:val="007B250E"/>
    <w:rsid w:val="007B30AB"/>
    <w:rsid w:val="007B404D"/>
    <w:rsid w:val="007B4A3E"/>
    <w:rsid w:val="007B517B"/>
    <w:rsid w:val="007C2694"/>
    <w:rsid w:val="007C27FC"/>
    <w:rsid w:val="007C389F"/>
    <w:rsid w:val="007C51FF"/>
    <w:rsid w:val="007C720B"/>
    <w:rsid w:val="007D0F14"/>
    <w:rsid w:val="007D4803"/>
    <w:rsid w:val="007D50E4"/>
    <w:rsid w:val="007E0EE4"/>
    <w:rsid w:val="007E11B2"/>
    <w:rsid w:val="007E2DC5"/>
    <w:rsid w:val="007E61EA"/>
    <w:rsid w:val="007E7CE8"/>
    <w:rsid w:val="007E7EFD"/>
    <w:rsid w:val="007F03CF"/>
    <w:rsid w:val="007F1CC7"/>
    <w:rsid w:val="007F212E"/>
    <w:rsid w:val="007F63C5"/>
    <w:rsid w:val="007F6844"/>
    <w:rsid w:val="0080004A"/>
    <w:rsid w:val="008027AC"/>
    <w:rsid w:val="008028CE"/>
    <w:rsid w:val="00802958"/>
    <w:rsid w:val="0080332E"/>
    <w:rsid w:val="008040DC"/>
    <w:rsid w:val="008116BC"/>
    <w:rsid w:val="00813AC8"/>
    <w:rsid w:val="008141E0"/>
    <w:rsid w:val="008152B0"/>
    <w:rsid w:val="008157CC"/>
    <w:rsid w:val="008164A1"/>
    <w:rsid w:val="00816EE1"/>
    <w:rsid w:val="00816F88"/>
    <w:rsid w:val="00820707"/>
    <w:rsid w:val="00821996"/>
    <w:rsid w:val="00822323"/>
    <w:rsid w:val="00827BC6"/>
    <w:rsid w:val="008300AD"/>
    <w:rsid w:val="00833024"/>
    <w:rsid w:val="00833915"/>
    <w:rsid w:val="00835C4F"/>
    <w:rsid w:val="008419B1"/>
    <w:rsid w:val="0084291B"/>
    <w:rsid w:val="008436BF"/>
    <w:rsid w:val="00844A56"/>
    <w:rsid w:val="00845B11"/>
    <w:rsid w:val="00847190"/>
    <w:rsid w:val="00850F02"/>
    <w:rsid w:val="00852081"/>
    <w:rsid w:val="0085574E"/>
    <w:rsid w:val="008605E9"/>
    <w:rsid w:val="0086101A"/>
    <w:rsid w:val="00861F9C"/>
    <w:rsid w:val="00862CEA"/>
    <w:rsid w:val="008655A6"/>
    <w:rsid w:val="00866B8C"/>
    <w:rsid w:val="00866DCD"/>
    <w:rsid w:val="0087030F"/>
    <w:rsid w:val="00872B6E"/>
    <w:rsid w:val="0087330C"/>
    <w:rsid w:val="00874122"/>
    <w:rsid w:val="00874DFD"/>
    <w:rsid w:val="00875FCA"/>
    <w:rsid w:val="00877D44"/>
    <w:rsid w:val="00877F4C"/>
    <w:rsid w:val="0088010B"/>
    <w:rsid w:val="008802F9"/>
    <w:rsid w:val="0088293C"/>
    <w:rsid w:val="00882EC2"/>
    <w:rsid w:val="00883086"/>
    <w:rsid w:val="008853FD"/>
    <w:rsid w:val="008879FD"/>
    <w:rsid w:val="00894C37"/>
    <w:rsid w:val="00894E9D"/>
    <w:rsid w:val="00896558"/>
    <w:rsid w:val="00897AB1"/>
    <w:rsid w:val="008A00EA"/>
    <w:rsid w:val="008A2B01"/>
    <w:rsid w:val="008A2F06"/>
    <w:rsid w:val="008A3F93"/>
    <w:rsid w:val="008A470C"/>
    <w:rsid w:val="008A6236"/>
    <w:rsid w:val="008A6E1C"/>
    <w:rsid w:val="008A72FD"/>
    <w:rsid w:val="008B0AFD"/>
    <w:rsid w:val="008B2239"/>
    <w:rsid w:val="008B2EDF"/>
    <w:rsid w:val="008B47C7"/>
    <w:rsid w:val="008B54CB"/>
    <w:rsid w:val="008B5A3D"/>
    <w:rsid w:val="008B65E5"/>
    <w:rsid w:val="008B767B"/>
    <w:rsid w:val="008B7AA5"/>
    <w:rsid w:val="008C1AEA"/>
    <w:rsid w:val="008C32D2"/>
    <w:rsid w:val="008C4010"/>
    <w:rsid w:val="008C4FDF"/>
    <w:rsid w:val="008C6B1F"/>
    <w:rsid w:val="008D0287"/>
    <w:rsid w:val="008D06AC"/>
    <w:rsid w:val="008D3E9E"/>
    <w:rsid w:val="008D5794"/>
    <w:rsid w:val="008D5E4F"/>
    <w:rsid w:val="008D660E"/>
    <w:rsid w:val="008E34F0"/>
    <w:rsid w:val="008E3B3A"/>
    <w:rsid w:val="008E5915"/>
    <w:rsid w:val="008E68F7"/>
    <w:rsid w:val="008E6DE1"/>
    <w:rsid w:val="008F14F5"/>
    <w:rsid w:val="008F3D54"/>
    <w:rsid w:val="008F4DC8"/>
    <w:rsid w:val="008F71C1"/>
    <w:rsid w:val="008F7C6F"/>
    <w:rsid w:val="00902D41"/>
    <w:rsid w:val="00902F49"/>
    <w:rsid w:val="00903845"/>
    <w:rsid w:val="00904230"/>
    <w:rsid w:val="00904574"/>
    <w:rsid w:val="0090786C"/>
    <w:rsid w:val="00907CEB"/>
    <w:rsid w:val="00914004"/>
    <w:rsid w:val="009149B1"/>
    <w:rsid w:val="009165D9"/>
    <w:rsid w:val="009211C0"/>
    <w:rsid w:val="00922EC1"/>
    <w:rsid w:val="00922F00"/>
    <w:rsid w:val="00923CF1"/>
    <w:rsid w:val="009278F4"/>
    <w:rsid w:val="009301F1"/>
    <w:rsid w:val="009307DF"/>
    <w:rsid w:val="00930E28"/>
    <w:rsid w:val="00931972"/>
    <w:rsid w:val="0093396D"/>
    <w:rsid w:val="009359B8"/>
    <w:rsid w:val="00935FF0"/>
    <w:rsid w:val="009379AD"/>
    <w:rsid w:val="00942CC3"/>
    <w:rsid w:val="009431F8"/>
    <w:rsid w:val="009433D7"/>
    <w:rsid w:val="0094660D"/>
    <w:rsid w:val="00947A35"/>
    <w:rsid w:val="00950BC8"/>
    <w:rsid w:val="00952859"/>
    <w:rsid w:val="0095313C"/>
    <w:rsid w:val="00957573"/>
    <w:rsid w:val="0096201B"/>
    <w:rsid w:val="00962081"/>
    <w:rsid w:val="00964263"/>
    <w:rsid w:val="00964C33"/>
    <w:rsid w:val="009654D8"/>
    <w:rsid w:val="00966CB5"/>
    <w:rsid w:val="00967ECC"/>
    <w:rsid w:val="00970325"/>
    <w:rsid w:val="009719D3"/>
    <w:rsid w:val="00975786"/>
    <w:rsid w:val="00981CB7"/>
    <w:rsid w:val="009820B7"/>
    <w:rsid w:val="00982DBB"/>
    <w:rsid w:val="00983E1F"/>
    <w:rsid w:val="009869AF"/>
    <w:rsid w:val="00987FD4"/>
    <w:rsid w:val="0099048A"/>
    <w:rsid w:val="0099089F"/>
    <w:rsid w:val="0099104F"/>
    <w:rsid w:val="00992140"/>
    <w:rsid w:val="00993F46"/>
    <w:rsid w:val="00994FC5"/>
    <w:rsid w:val="00997358"/>
    <w:rsid w:val="009A08C7"/>
    <w:rsid w:val="009A3C51"/>
    <w:rsid w:val="009A452B"/>
    <w:rsid w:val="009A4CFC"/>
    <w:rsid w:val="009A5F4E"/>
    <w:rsid w:val="009B050C"/>
    <w:rsid w:val="009B087F"/>
    <w:rsid w:val="009B2AF4"/>
    <w:rsid w:val="009B4693"/>
    <w:rsid w:val="009B6276"/>
    <w:rsid w:val="009C110B"/>
    <w:rsid w:val="009C309F"/>
    <w:rsid w:val="009C5441"/>
    <w:rsid w:val="009D119F"/>
    <w:rsid w:val="009D2F0A"/>
    <w:rsid w:val="009D3D31"/>
    <w:rsid w:val="009D49A2"/>
    <w:rsid w:val="009E23E2"/>
    <w:rsid w:val="009F2261"/>
    <w:rsid w:val="009F3940"/>
    <w:rsid w:val="009F3EB2"/>
    <w:rsid w:val="009F5B30"/>
    <w:rsid w:val="009F5DB1"/>
    <w:rsid w:val="009F6502"/>
    <w:rsid w:val="009F6EB1"/>
    <w:rsid w:val="00A00E15"/>
    <w:rsid w:val="00A01293"/>
    <w:rsid w:val="00A035D9"/>
    <w:rsid w:val="00A049B9"/>
    <w:rsid w:val="00A0520A"/>
    <w:rsid w:val="00A10BCB"/>
    <w:rsid w:val="00A111E5"/>
    <w:rsid w:val="00A11D05"/>
    <w:rsid w:val="00A12702"/>
    <w:rsid w:val="00A13162"/>
    <w:rsid w:val="00A14953"/>
    <w:rsid w:val="00A1726B"/>
    <w:rsid w:val="00A20267"/>
    <w:rsid w:val="00A22F7A"/>
    <w:rsid w:val="00A23F26"/>
    <w:rsid w:val="00A25CE2"/>
    <w:rsid w:val="00A3158C"/>
    <w:rsid w:val="00A3238F"/>
    <w:rsid w:val="00A32DF3"/>
    <w:rsid w:val="00A33E32"/>
    <w:rsid w:val="00A35E20"/>
    <w:rsid w:val="00A36ED9"/>
    <w:rsid w:val="00A36F6D"/>
    <w:rsid w:val="00A36F79"/>
    <w:rsid w:val="00A42C87"/>
    <w:rsid w:val="00A472E1"/>
    <w:rsid w:val="00A479C9"/>
    <w:rsid w:val="00A50CA0"/>
    <w:rsid w:val="00A52523"/>
    <w:rsid w:val="00A525CC"/>
    <w:rsid w:val="00A52F6B"/>
    <w:rsid w:val="00A53E7C"/>
    <w:rsid w:val="00A5524E"/>
    <w:rsid w:val="00A56FED"/>
    <w:rsid w:val="00A5751D"/>
    <w:rsid w:val="00A60087"/>
    <w:rsid w:val="00A60114"/>
    <w:rsid w:val="00A60EB4"/>
    <w:rsid w:val="00A652B6"/>
    <w:rsid w:val="00A65C7F"/>
    <w:rsid w:val="00A668A8"/>
    <w:rsid w:val="00A705E8"/>
    <w:rsid w:val="00A721F4"/>
    <w:rsid w:val="00A74933"/>
    <w:rsid w:val="00A772B1"/>
    <w:rsid w:val="00A808CF"/>
    <w:rsid w:val="00A82CC4"/>
    <w:rsid w:val="00A82F66"/>
    <w:rsid w:val="00A83CA0"/>
    <w:rsid w:val="00A8449E"/>
    <w:rsid w:val="00A84A91"/>
    <w:rsid w:val="00A84B56"/>
    <w:rsid w:val="00A8708D"/>
    <w:rsid w:val="00A90D6E"/>
    <w:rsid w:val="00A92AA9"/>
    <w:rsid w:val="00A9392C"/>
    <w:rsid w:val="00A93BCB"/>
    <w:rsid w:val="00A93D79"/>
    <w:rsid w:val="00A9462B"/>
    <w:rsid w:val="00A96A0E"/>
    <w:rsid w:val="00A97D59"/>
    <w:rsid w:val="00AA13AC"/>
    <w:rsid w:val="00AA1AB9"/>
    <w:rsid w:val="00AA3E09"/>
    <w:rsid w:val="00AA448A"/>
    <w:rsid w:val="00AA4BEF"/>
    <w:rsid w:val="00AA7952"/>
    <w:rsid w:val="00AB06E1"/>
    <w:rsid w:val="00AB0737"/>
    <w:rsid w:val="00AB1659"/>
    <w:rsid w:val="00AB4962"/>
    <w:rsid w:val="00AB4CD5"/>
    <w:rsid w:val="00AB554B"/>
    <w:rsid w:val="00AB6F4D"/>
    <w:rsid w:val="00AB734E"/>
    <w:rsid w:val="00AB740F"/>
    <w:rsid w:val="00AB7CC2"/>
    <w:rsid w:val="00AC1B0C"/>
    <w:rsid w:val="00AC439B"/>
    <w:rsid w:val="00AC6F14"/>
    <w:rsid w:val="00AC7221"/>
    <w:rsid w:val="00AD0989"/>
    <w:rsid w:val="00AD12D9"/>
    <w:rsid w:val="00AD1A1D"/>
    <w:rsid w:val="00AD256A"/>
    <w:rsid w:val="00AD40E0"/>
    <w:rsid w:val="00AD4677"/>
    <w:rsid w:val="00AD50BE"/>
    <w:rsid w:val="00AE1583"/>
    <w:rsid w:val="00AE2C14"/>
    <w:rsid w:val="00AE353C"/>
    <w:rsid w:val="00AE4C6C"/>
    <w:rsid w:val="00AE5551"/>
    <w:rsid w:val="00AE5961"/>
    <w:rsid w:val="00AE7815"/>
    <w:rsid w:val="00AF0745"/>
    <w:rsid w:val="00AF4971"/>
    <w:rsid w:val="00AF4ACF"/>
    <w:rsid w:val="00AF5276"/>
    <w:rsid w:val="00AF7C86"/>
    <w:rsid w:val="00AF7F35"/>
    <w:rsid w:val="00B01046"/>
    <w:rsid w:val="00B0656F"/>
    <w:rsid w:val="00B1042D"/>
    <w:rsid w:val="00B1221B"/>
    <w:rsid w:val="00B15D8B"/>
    <w:rsid w:val="00B17026"/>
    <w:rsid w:val="00B17484"/>
    <w:rsid w:val="00B174CE"/>
    <w:rsid w:val="00B239BB"/>
    <w:rsid w:val="00B23E25"/>
    <w:rsid w:val="00B25363"/>
    <w:rsid w:val="00B25D57"/>
    <w:rsid w:val="00B25ED0"/>
    <w:rsid w:val="00B2735E"/>
    <w:rsid w:val="00B276E2"/>
    <w:rsid w:val="00B3043A"/>
    <w:rsid w:val="00B30A4E"/>
    <w:rsid w:val="00B30D3B"/>
    <w:rsid w:val="00B310F9"/>
    <w:rsid w:val="00B377A5"/>
    <w:rsid w:val="00B37866"/>
    <w:rsid w:val="00B412FB"/>
    <w:rsid w:val="00B41381"/>
    <w:rsid w:val="00B4392D"/>
    <w:rsid w:val="00B45449"/>
    <w:rsid w:val="00B4576B"/>
    <w:rsid w:val="00B46350"/>
    <w:rsid w:val="00B46DF3"/>
    <w:rsid w:val="00B50479"/>
    <w:rsid w:val="00B516ED"/>
    <w:rsid w:val="00B528DB"/>
    <w:rsid w:val="00B5543B"/>
    <w:rsid w:val="00B57A35"/>
    <w:rsid w:val="00B61192"/>
    <w:rsid w:val="00B623F4"/>
    <w:rsid w:val="00B648C7"/>
    <w:rsid w:val="00B66E8F"/>
    <w:rsid w:val="00B67399"/>
    <w:rsid w:val="00B709B4"/>
    <w:rsid w:val="00B71F5E"/>
    <w:rsid w:val="00B721BB"/>
    <w:rsid w:val="00B7340E"/>
    <w:rsid w:val="00B77B9D"/>
    <w:rsid w:val="00B77DE9"/>
    <w:rsid w:val="00B80157"/>
    <w:rsid w:val="00B80962"/>
    <w:rsid w:val="00B83D5E"/>
    <w:rsid w:val="00B8460A"/>
    <w:rsid w:val="00B8650D"/>
    <w:rsid w:val="00B879B4"/>
    <w:rsid w:val="00B90F07"/>
    <w:rsid w:val="00B929E8"/>
    <w:rsid w:val="00B95306"/>
    <w:rsid w:val="00B97BB9"/>
    <w:rsid w:val="00BA0009"/>
    <w:rsid w:val="00BA2EF5"/>
    <w:rsid w:val="00BA682B"/>
    <w:rsid w:val="00BB02B5"/>
    <w:rsid w:val="00BB042F"/>
    <w:rsid w:val="00BB1863"/>
    <w:rsid w:val="00BB25EE"/>
    <w:rsid w:val="00BB2A60"/>
    <w:rsid w:val="00BB363A"/>
    <w:rsid w:val="00BB5E8F"/>
    <w:rsid w:val="00BB66A5"/>
    <w:rsid w:val="00BB7ABB"/>
    <w:rsid w:val="00BB7C71"/>
    <w:rsid w:val="00BC10A0"/>
    <w:rsid w:val="00BC478C"/>
    <w:rsid w:val="00BC5DD0"/>
    <w:rsid w:val="00BC7B88"/>
    <w:rsid w:val="00BC7BA2"/>
    <w:rsid w:val="00BD0C73"/>
    <w:rsid w:val="00BD182F"/>
    <w:rsid w:val="00BD2135"/>
    <w:rsid w:val="00BD2158"/>
    <w:rsid w:val="00BD2571"/>
    <w:rsid w:val="00BD426B"/>
    <w:rsid w:val="00BD5C98"/>
    <w:rsid w:val="00BD79F0"/>
    <w:rsid w:val="00BE1D28"/>
    <w:rsid w:val="00BE2B4D"/>
    <w:rsid w:val="00BE3101"/>
    <w:rsid w:val="00BE4A81"/>
    <w:rsid w:val="00BF06FC"/>
    <w:rsid w:val="00BF1E49"/>
    <w:rsid w:val="00BF3F39"/>
    <w:rsid w:val="00BF416A"/>
    <w:rsid w:val="00BF4576"/>
    <w:rsid w:val="00BF60A9"/>
    <w:rsid w:val="00BF72A7"/>
    <w:rsid w:val="00C01039"/>
    <w:rsid w:val="00C015F8"/>
    <w:rsid w:val="00C02C2A"/>
    <w:rsid w:val="00C02CBA"/>
    <w:rsid w:val="00C05834"/>
    <w:rsid w:val="00C063C8"/>
    <w:rsid w:val="00C06FCF"/>
    <w:rsid w:val="00C07AA7"/>
    <w:rsid w:val="00C07E26"/>
    <w:rsid w:val="00C1011C"/>
    <w:rsid w:val="00C12F94"/>
    <w:rsid w:val="00C172EB"/>
    <w:rsid w:val="00C177C5"/>
    <w:rsid w:val="00C203C5"/>
    <w:rsid w:val="00C2214D"/>
    <w:rsid w:val="00C25F65"/>
    <w:rsid w:val="00C27FEC"/>
    <w:rsid w:val="00C3176E"/>
    <w:rsid w:val="00C32A69"/>
    <w:rsid w:val="00C34EC3"/>
    <w:rsid w:val="00C36A41"/>
    <w:rsid w:val="00C4038C"/>
    <w:rsid w:val="00C42767"/>
    <w:rsid w:val="00C42BA2"/>
    <w:rsid w:val="00C44066"/>
    <w:rsid w:val="00C44E13"/>
    <w:rsid w:val="00C45623"/>
    <w:rsid w:val="00C51FD4"/>
    <w:rsid w:val="00C5437A"/>
    <w:rsid w:val="00C57F12"/>
    <w:rsid w:val="00C60A41"/>
    <w:rsid w:val="00C61D57"/>
    <w:rsid w:val="00C628ED"/>
    <w:rsid w:val="00C62AB7"/>
    <w:rsid w:val="00C62DE8"/>
    <w:rsid w:val="00C62DFB"/>
    <w:rsid w:val="00C630E6"/>
    <w:rsid w:val="00C63812"/>
    <w:rsid w:val="00C638C7"/>
    <w:rsid w:val="00C63BE5"/>
    <w:rsid w:val="00C64AF3"/>
    <w:rsid w:val="00C663DE"/>
    <w:rsid w:val="00C66F4D"/>
    <w:rsid w:val="00C67BB5"/>
    <w:rsid w:val="00C70A05"/>
    <w:rsid w:val="00C72713"/>
    <w:rsid w:val="00C731D3"/>
    <w:rsid w:val="00C774A3"/>
    <w:rsid w:val="00C77D6A"/>
    <w:rsid w:val="00C8039E"/>
    <w:rsid w:val="00C83D32"/>
    <w:rsid w:val="00C848EF"/>
    <w:rsid w:val="00C86286"/>
    <w:rsid w:val="00C86600"/>
    <w:rsid w:val="00C87BCA"/>
    <w:rsid w:val="00C87EED"/>
    <w:rsid w:val="00C92258"/>
    <w:rsid w:val="00C934E1"/>
    <w:rsid w:val="00C938A6"/>
    <w:rsid w:val="00C942C9"/>
    <w:rsid w:val="00C94506"/>
    <w:rsid w:val="00C95147"/>
    <w:rsid w:val="00C954BC"/>
    <w:rsid w:val="00CA1D6D"/>
    <w:rsid w:val="00CA1F0B"/>
    <w:rsid w:val="00CA4356"/>
    <w:rsid w:val="00CA43A3"/>
    <w:rsid w:val="00CA6BAE"/>
    <w:rsid w:val="00CA7358"/>
    <w:rsid w:val="00CB0A1D"/>
    <w:rsid w:val="00CB110F"/>
    <w:rsid w:val="00CB2A2E"/>
    <w:rsid w:val="00CB338A"/>
    <w:rsid w:val="00CB4D8B"/>
    <w:rsid w:val="00CB6C42"/>
    <w:rsid w:val="00CB79C5"/>
    <w:rsid w:val="00CC0680"/>
    <w:rsid w:val="00CC1355"/>
    <w:rsid w:val="00CC1FF7"/>
    <w:rsid w:val="00CC2735"/>
    <w:rsid w:val="00CC411F"/>
    <w:rsid w:val="00CC4B75"/>
    <w:rsid w:val="00CC57C8"/>
    <w:rsid w:val="00CC732E"/>
    <w:rsid w:val="00CD2FCD"/>
    <w:rsid w:val="00CD3C6D"/>
    <w:rsid w:val="00CD5544"/>
    <w:rsid w:val="00CD7207"/>
    <w:rsid w:val="00CE0422"/>
    <w:rsid w:val="00CE0DBE"/>
    <w:rsid w:val="00CE3F18"/>
    <w:rsid w:val="00CE4E1C"/>
    <w:rsid w:val="00CE516F"/>
    <w:rsid w:val="00CE5E4D"/>
    <w:rsid w:val="00CE780B"/>
    <w:rsid w:val="00CF02C4"/>
    <w:rsid w:val="00CF167F"/>
    <w:rsid w:val="00CF43F3"/>
    <w:rsid w:val="00CF5477"/>
    <w:rsid w:val="00CF55B4"/>
    <w:rsid w:val="00CF72E5"/>
    <w:rsid w:val="00D013EE"/>
    <w:rsid w:val="00D01F54"/>
    <w:rsid w:val="00D040F7"/>
    <w:rsid w:val="00D04A6E"/>
    <w:rsid w:val="00D04A76"/>
    <w:rsid w:val="00D05536"/>
    <w:rsid w:val="00D07CF5"/>
    <w:rsid w:val="00D10FC7"/>
    <w:rsid w:val="00D14790"/>
    <w:rsid w:val="00D1519F"/>
    <w:rsid w:val="00D17B56"/>
    <w:rsid w:val="00D20E99"/>
    <w:rsid w:val="00D214FC"/>
    <w:rsid w:val="00D21C83"/>
    <w:rsid w:val="00D23022"/>
    <w:rsid w:val="00D2412A"/>
    <w:rsid w:val="00D2533F"/>
    <w:rsid w:val="00D27525"/>
    <w:rsid w:val="00D30A21"/>
    <w:rsid w:val="00D30ED9"/>
    <w:rsid w:val="00D32DA7"/>
    <w:rsid w:val="00D356E3"/>
    <w:rsid w:val="00D35BDD"/>
    <w:rsid w:val="00D37BD3"/>
    <w:rsid w:val="00D40218"/>
    <w:rsid w:val="00D42161"/>
    <w:rsid w:val="00D422AA"/>
    <w:rsid w:val="00D43996"/>
    <w:rsid w:val="00D468F7"/>
    <w:rsid w:val="00D47066"/>
    <w:rsid w:val="00D53339"/>
    <w:rsid w:val="00D53718"/>
    <w:rsid w:val="00D57C5A"/>
    <w:rsid w:val="00D60011"/>
    <w:rsid w:val="00D6203C"/>
    <w:rsid w:val="00D62392"/>
    <w:rsid w:val="00D63006"/>
    <w:rsid w:val="00D65F6C"/>
    <w:rsid w:val="00D70AC5"/>
    <w:rsid w:val="00D72301"/>
    <w:rsid w:val="00D72CB0"/>
    <w:rsid w:val="00D76441"/>
    <w:rsid w:val="00D7676A"/>
    <w:rsid w:val="00D827A4"/>
    <w:rsid w:val="00D83AAA"/>
    <w:rsid w:val="00D84406"/>
    <w:rsid w:val="00D87058"/>
    <w:rsid w:val="00D90A79"/>
    <w:rsid w:val="00D911DE"/>
    <w:rsid w:val="00D91B97"/>
    <w:rsid w:val="00D93A47"/>
    <w:rsid w:val="00D93ACC"/>
    <w:rsid w:val="00D93C08"/>
    <w:rsid w:val="00D95DAC"/>
    <w:rsid w:val="00DA00D1"/>
    <w:rsid w:val="00DA031D"/>
    <w:rsid w:val="00DA094E"/>
    <w:rsid w:val="00DA0B53"/>
    <w:rsid w:val="00DA3BC7"/>
    <w:rsid w:val="00DA42DF"/>
    <w:rsid w:val="00DA5BA0"/>
    <w:rsid w:val="00DB06A9"/>
    <w:rsid w:val="00DB1171"/>
    <w:rsid w:val="00DB1519"/>
    <w:rsid w:val="00DB2840"/>
    <w:rsid w:val="00DB788F"/>
    <w:rsid w:val="00DC1BD3"/>
    <w:rsid w:val="00DC26F8"/>
    <w:rsid w:val="00DC2C1A"/>
    <w:rsid w:val="00DC359C"/>
    <w:rsid w:val="00DC59BE"/>
    <w:rsid w:val="00DC6340"/>
    <w:rsid w:val="00DC6887"/>
    <w:rsid w:val="00DD195C"/>
    <w:rsid w:val="00DD5F5E"/>
    <w:rsid w:val="00DD66B4"/>
    <w:rsid w:val="00DD7506"/>
    <w:rsid w:val="00DE04AA"/>
    <w:rsid w:val="00DE1972"/>
    <w:rsid w:val="00DE27AB"/>
    <w:rsid w:val="00DE2F06"/>
    <w:rsid w:val="00DE4BC4"/>
    <w:rsid w:val="00DE7621"/>
    <w:rsid w:val="00DF2AB3"/>
    <w:rsid w:val="00DF7250"/>
    <w:rsid w:val="00E00CAA"/>
    <w:rsid w:val="00E01FE8"/>
    <w:rsid w:val="00E03EBF"/>
    <w:rsid w:val="00E05209"/>
    <w:rsid w:val="00E0559C"/>
    <w:rsid w:val="00E05AC1"/>
    <w:rsid w:val="00E06569"/>
    <w:rsid w:val="00E1109D"/>
    <w:rsid w:val="00E11BCF"/>
    <w:rsid w:val="00E11FA5"/>
    <w:rsid w:val="00E21CED"/>
    <w:rsid w:val="00E2258E"/>
    <w:rsid w:val="00E24676"/>
    <w:rsid w:val="00E25F12"/>
    <w:rsid w:val="00E260C2"/>
    <w:rsid w:val="00E305AE"/>
    <w:rsid w:val="00E30FA2"/>
    <w:rsid w:val="00E31AB4"/>
    <w:rsid w:val="00E32596"/>
    <w:rsid w:val="00E3368E"/>
    <w:rsid w:val="00E351D2"/>
    <w:rsid w:val="00E368F7"/>
    <w:rsid w:val="00E36EB8"/>
    <w:rsid w:val="00E37FB8"/>
    <w:rsid w:val="00E407CF"/>
    <w:rsid w:val="00E40B07"/>
    <w:rsid w:val="00E42326"/>
    <w:rsid w:val="00E43544"/>
    <w:rsid w:val="00E44D89"/>
    <w:rsid w:val="00E46333"/>
    <w:rsid w:val="00E46542"/>
    <w:rsid w:val="00E477EA"/>
    <w:rsid w:val="00E529A0"/>
    <w:rsid w:val="00E529AB"/>
    <w:rsid w:val="00E52AFC"/>
    <w:rsid w:val="00E53F03"/>
    <w:rsid w:val="00E54C72"/>
    <w:rsid w:val="00E55807"/>
    <w:rsid w:val="00E56556"/>
    <w:rsid w:val="00E56633"/>
    <w:rsid w:val="00E639B6"/>
    <w:rsid w:val="00E63B14"/>
    <w:rsid w:val="00E65CA0"/>
    <w:rsid w:val="00E66CAE"/>
    <w:rsid w:val="00E66E54"/>
    <w:rsid w:val="00E67BC0"/>
    <w:rsid w:val="00E70D9F"/>
    <w:rsid w:val="00E77674"/>
    <w:rsid w:val="00E807C4"/>
    <w:rsid w:val="00E81629"/>
    <w:rsid w:val="00E83810"/>
    <w:rsid w:val="00E86933"/>
    <w:rsid w:val="00E86D72"/>
    <w:rsid w:val="00E91BE1"/>
    <w:rsid w:val="00E926C5"/>
    <w:rsid w:val="00E9605B"/>
    <w:rsid w:val="00E97298"/>
    <w:rsid w:val="00E97753"/>
    <w:rsid w:val="00EA0C51"/>
    <w:rsid w:val="00EA35C9"/>
    <w:rsid w:val="00EA367E"/>
    <w:rsid w:val="00EA5CE5"/>
    <w:rsid w:val="00EA7573"/>
    <w:rsid w:val="00EA7DE7"/>
    <w:rsid w:val="00EB045A"/>
    <w:rsid w:val="00EB0A0E"/>
    <w:rsid w:val="00EB29FE"/>
    <w:rsid w:val="00EB5D5B"/>
    <w:rsid w:val="00EB6A01"/>
    <w:rsid w:val="00EB7A8A"/>
    <w:rsid w:val="00EC14B4"/>
    <w:rsid w:val="00EC2839"/>
    <w:rsid w:val="00EC3322"/>
    <w:rsid w:val="00EC3F0E"/>
    <w:rsid w:val="00EC6FED"/>
    <w:rsid w:val="00EC7508"/>
    <w:rsid w:val="00EC7F3B"/>
    <w:rsid w:val="00ED107C"/>
    <w:rsid w:val="00ED1D20"/>
    <w:rsid w:val="00ED3B48"/>
    <w:rsid w:val="00ED4306"/>
    <w:rsid w:val="00ED4F85"/>
    <w:rsid w:val="00ED5299"/>
    <w:rsid w:val="00ED58AD"/>
    <w:rsid w:val="00ED680B"/>
    <w:rsid w:val="00EE06D1"/>
    <w:rsid w:val="00EE3A64"/>
    <w:rsid w:val="00EE50E5"/>
    <w:rsid w:val="00EE5AA4"/>
    <w:rsid w:val="00EF01CF"/>
    <w:rsid w:val="00EF02A4"/>
    <w:rsid w:val="00EF2157"/>
    <w:rsid w:val="00EF3D02"/>
    <w:rsid w:val="00EF642A"/>
    <w:rsid w:val="00EF698B"/>
    <w:rsid w:val="00F00271"/>
    <w:rsid w:val="00F00756"/>
    <w:rsid w:val="00F01BDD"/>
    <w:rsid w:val="00F02361"/>
    <w:rsid w:val="00F03590"/>
    <w:rsid w:val="00F03622"/>
    <w:rsid w:val="00F04539"/>
    <w:rsid w:val="00F05B1D"/>
    <w:rsid w:val="00F077FD"/>
    <w:rsid w:val="00F1096D"/>
    <w:rsid w:val="00F10ED4"/>
    <w:rsid w:val="00F1224F"/>
    <w:rsid w:val="00F15512"/>
    <w:rsid w:val="00F16011"/>
    <w:rsid w:val="00F204F3"/>
    <w:rsid w:val="00F218AB"/>
    <w:rsid w:val="00F22C56"/>
    <w:rsid w:val="00F238B3"/>
    <w:rsid w:val="00F23EA0"/>
    <w:rsid w:val="00F244F9"/>
    <w:rsid w:val="00F24FED"/>
    <w:rsid w:val="00F25586"/>
    <w:rsid w:val="00F2651D"/>
    <w:rsid w:val="00F26AB3"/>
    <w:rsid w:val="00F27362"/>
    <w:rsid w:val="00F27920"/>
    <w:rsid w:val="00F279FD"/>
    <w:rsid w:val="00F27E94"/>
    <w:rsid w:val="00F31498"/>
    <w:rsid w:val="00F31830"/>
    <w:rsid w:val="00F32FEF"/>
    <w:rsid w:val="00F3329E"/>
    <w:rsid w:val="00F3569E"/>
    <w:rsid w:val="00F374D9"/>
    <w:rsid w:val="00F41779"/>
    <w:rsid w:val="00F41B1C"/>
    <w:rsid w:val="00F42749"/>
    <w:rsid w:val="00F42E13"/>
    <w:rsid w:val="00F42F1C"/>
    <w:rsid w:val="00F43B44"/>
    <w:rsid w:val="00F440E5"/>
    <w:rsid w:val="00F448F6"/>
    <w:rsid w:val="00F455C9"/>
    <w:rsid w:val="00F46A3E"/>
    <w:rsid w:val="00F50F82"/>
    <w:rsid w:val="00F52613"/>
    <w:rsid w:val="00F52741"/>
    <w:rsid w:val="00F53D8A"/>
    <w:rsid w:val="00F5545E"/>
    <w:rsid w:val="00F55AD2"/>
    <w:rsid w:val="00F62285"/>
    <w:rsid w:val="00F626F7"/>
    <w:rsid w:val="00F6271A"/>
    <w:rsid w:val="00F62DAD"/>
    <w:rsid w:val="00F64419"/>
    <w:rsid w:val="00F736F9"/>
    <w:rsid w:val="00F73833"/>
    <w:rsid w:val="00F76DC6"/>
    <w:rsid w:val="00F81D43"/>
    <w:rsid w:val="00F81DAD"/>
    <w:rsid w:val="00F8607C"/>
    <w:rsid w:val="00F907BC"/>
    <w:rsid w:val="00F9211C"/>
    <w:rsid w:val="00F942B8"/>
    <w:rsid w:val="00F946AE"/>
    <w:rsid w:val="00F9731A"/>
    <w:rsid w:val="00F97A8D"/>
    <w:rsid w:val="00F97D38"/>
    <w:rsid w:val="00FA095D"/>
    <w:rsid w:val="00FA0AD4"/>
    <w:rsid w:val="00FA2081"/>
    <w:rsid w:val="00FA611E"/>
    <w:rsid w:val="00FA6C8B"/>
    <w:rsid w:val="00FA6CDA"/>
    <w:rsid w:val="00FA7C89"/>
    <w:rsid w:val="00FB16E0"/>
    <w:rsid w:val="00FB37EC"/>
    <w:rsid w:val="00FB386C"/>
    <w:rsid w:val="00FB4139"/>
    <w:rsid w:val="00FB476E"/>
    <w:rsid w:val="00FC0D90"/>
    <w:rsid w:val="00FC0F5E"/>
    <w:rsid w:val="00FC128E"/>
    <w:rsid w:val="00FC2F6B"/>
    <w:rsid w:val="00FC5110"/>
    <w:rsid w:val="00FC7D8C"/>
    <w:rsid w:val="00FD00C3"/>
    <w:rsid w:val="00FD383E"/>
    <w:rsid w:val="00FD3980"/>
    <w:rsid w:val="00FD431E"/>
    <w:rsid w:val="00FD5A2C"/>
    <w:rsid w:val="00FE0064"/>
    <w:rsid w:val="00FE0D47"/>
    <w:rsid w:val="00FE1D5C"/>
    <w:rsid w:val="00FE2481"/>
    <w:rsid w:val="00FE2F8B"/>
    <w:rsid w:val="00FE3669"/>
    <w:rsid w:val="00FE3A81"/>
    <w:rsid w:val="00FE487E"/>
    <w:rsid w:val="00FE5204"/>
    <w:rsid w:val="00FE69D8"/>
    <w:rsid w:val="00FF287F"/>
    <w:rsid w:val="00FF2BDC"/>
    <w:rsid w:val="00FF3527"/>
    <w:rsid w:val="00FF5B44"/>
    <w:rsid w:val="00FF65A5"/>
    <w:rsid w:val="00FF74A8"/>
    <w:rsid w:val="00FF7AB4"/>
    <w:rsid w:val="021F7459"/>
    <w:rsid w:val="031DDD54"/>
    <w:rsid w:val="03832833"/>
    <w:rsid w:val="038B8FA0"/>
    <w:rsid w:val="04C0206B"/>
    <w:rsid w:val="060A8C5F"/>
    <w:rsid w:val="061128C3"/>
    <w:rsid w:val="06FEE465"/>
    <w:rsid w:val="0759A00F"/>
    <w:rsid w:val="098D1ED8"/>
    <w:rsid w:val="0A8DFCC0"/>
    <w:rsid w:val="0B28EF39"/>
    <w:rsid w:val="10706102"/>
    <w:rsid w:val="1112C37B"/>
    <w:rsid w:val="11C51530"/>
    <w:rsid w:val="12FEFE02"/>
    <w:rsid w:val="130F6FBE"/>
    <w:rsid w:val="1323768F"/>
    <w:rsid w:val="1358F49B"/>
    <w:rsid w:val="1435D7BA"/>
    <w:rsid w:val="1499E7FA"/>
    <w:rsid w:val="167A021C"/>
    <w:rsid w:val="1815D27D"/>
    <w:rsid w:val="19CE35C3"/>
    <w:rsid w:val="1A260D43"/>
    <w:rsid w:val="1BDB31CD"/>
    <w:rsid w:val="1BEDE27A"/>
    <w:rsid w:val="1C8CB7EB"/>
    <w:rsid w:val="1D1DFBD7"/>
    <w:rsid w:val="1DB57DFA"/>
    <w:rsid w:val="1E01853B"/>
    <w:rsid w:val="1E642C19"/>
    <w:rsid w:val="221EBE26"/>
    <w:rsid w:val="22C98556"/>
    <w:rsid w:val="22F36886"/>
    <w:rsid w:val="251AC742"/>
    <w:rsid w:val="2757FF8A"/>
    <w:rsid w:val="28502333"/>
    <w:rsid w:val="29FA39DC"/>
    <w:rsid w:val="2E9F500B"/>
    <w:rsid w:val="2F057187"/>
    <w:rsid w:val="304D7EA0"/>
    <w:rsid w:val="30F3ED61"/>
    <w:rsid w:val="32C871A9"/>
    <w:rsid w:val="3442D0CE"/>
    <w:rsid w:val="35C57F8E"/>
    <w:rsid w:val="35DEA12F"/>
    <w:rsid w:val="37319481"/>
    <w:rsid w:val="378E9871"/>
    <w:rsid w:val="3D093E83"/>
    <w:rsid w:val="4491A7E3"/>
    <w:rsid w:val="46CF5F8F"/>
    <w:rsid w:val="474269E1"/>
    <w:rsid w:val="480AA6C9"/>
    <w:rsid w:val="488EA3C8"/>
    <w:rsid w:val="4DB1AB65"/>
    <w:rsid w:val="52C30245"/>
    <w:rsid w:val="52F743CA"/>
    <w:rsid w:val="53A981E1"/>
    <w:rsid w:val="53D66A88"/>
    <w:rsid w:val="5551FBD7"/>
    <w:rsid w:val="57B107AC"/>
    <w:rsid w:val="59B90A07"/>
    <w:rsid w:val="5C32EB39"/>
    <w:rsid w:val="5CF33689"/>
    <w:rsid w:val="5FC44385"/>
    <w:rsid w:val="6259F193"/>
    <w:rsid w:val="641DFAEA"/>
    <w:rsid w:val="64AC4EB0"/>
    <w:rsid w:val="655B75EE"/>
    <w:rsid w:val="66F0DF02"/>
    <w:rsid w:val="6ACE7078"/>
    <w:rsid w:val="6DD48AEB"/>
    <w:rsid w:val="7311CAA8"/>
    <w:rsid w:val="73ECA2A7"/>
    <w:rsid w:val="764858F2"/>
    <w:rsid w:val="76CB8CFA"/>
    <w:rsid w:val="77244369"/>
    <w:rsid w:val="7E434979"/>
    <w:rsid w:val="7EF345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8F7C6F"/>
    <w:rPr>
      <w:color w:val="605E5C"/>
      <w:shd w:val="clear" w:color="auto" w:fill="E1DFDD"/>
    </w:rPr>
  </w:style>
  <w:style w:type="paragraph" w:styleId="Revision">
    <w:name w:val="Revision"/>
    <w:hidden/>
    <w:uiPriority w:val="99"/>
    <w:semiHidden/>
    <w:rsid w:val="00FB16E0"/>
    <w:rPr>
      <w:rFonts w:asciiTheme="minorHAnsi" w:hAnsiTheme="minorHAnsi"/>
      <w:sz w:val="24"/>
      <w:lang w:val="en-GB" w:eastAsia="en-US"/>
    </w:rPr>
  </w:style>
  <w:style w:type="paragraph" w:customStyle="1" w:styleId="Default">
    <w:name w:val="Default"/>
    <w:rsid w:val="00C06FCF"/>
    <w:pPr>
      <w:autoSpaceDE w:val="0"/>
      <w:autoSpaceDN w:val="0"/>
      <w:adjustRightInd w:val="0"/>
    </w:pPr>
    <w:rPr>
      <w:rFonts w:ascii="Calibri" w:hAnsi="Calibri" w:cs="Calibri"/>
      <w:color w:val="000000"/>
      <w:sz w:val="24"/>
      <w:szCs w:val="24"/>
      <w:lang w:val="en-GB"/>
    </w:rPr>
  </w:style>
  <w:style w:type="character" w:styleId="CommentReference">
    <w:name w:val="annotation reference"/>
    <w:basedOn w:val="DefaultParagraphFont"/>
    <w:semiHidden/>
    <w:unhideWhenUsed/>
    <w:rsid w:val="006A162B"/>
    <w:rPr>
      <w:sz w:val="16"/>
      <w:szCs w:val="16"/>
    </w:rPr>
  </w:style>
  <w:style w:type="paragraph" w:styleId="CommentText">
    <w:name w:val="annotation text"/>
    <w:basedOn w:val="Normal"/>
    <w:link w:val="CommentTextChar"/>
    <w:unhideWhenUsed/>
    <w:rsid w:val="006A162B"/>
    <w:rPr>
      <w:sz w:val="20"/>
    </w:rPr>
  </w:style>
  <w:style w:type="character" w:customStyle="1" w:styleId="CommentTextChar">
    <w:name w:val="Comment Text Char"/>
    <w:basedOn w:val="DefaultParagraphFont"/>
    <w:link w:val="CommentText"/>
    <w:rsid w:val="006A162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A162B"/>
    <w:rPr>
      <w:b/>
      <w:bCs/>
    </w:rPr>
  </w:style>
  <w:style w:type="character" w:customStyle="1" w:styleId="CommentSubjectChar">
    <w:name w:val="Comment Subject Char"/>
    <w:basedOn w:val="CommentTextChar"/>
    <w:link w:val="CommentSubject"/>
    <w:semiHidden/>
    <w:rsid w:val="006A162B"/>
    <w:rPr>
      <w:rFonts w:asciiTheme="minorHAnsi" w:hAnsiTheme="minorHAnsi"/>
      <w:b/>
      <w:bCs/>
      <w:lang w:val="en-GB" w:eastAsia="en-US"/>
    </w:rPr>
  </w:style>
  <w:style w:type="character" w:customStyle="1" w:styleId="ListParagraphChar">
    <w:name w:val="List Paragraph Char"/>
    <w:basedOn w:val="DefaultParagraphFont"/>
    <w:link w:val="ListParagraph"/>
    <w:uiPriority w:val="34"/>
    <w:locked/>
    <w:rsid w:val="00D32DA7"/>
    <w:rPr>
      <w:rFonts w:asciiTheme="minorHAnsi" w:hAnsiTheme="minorHAnsi"/>
      <w:sz w:val="24"/>
      <w:lang w:val="en-GB" w:eastAsia="en-US"/>
    </w:rPr>
  </w:style>
  <w:style w:type="paragraph" w:customStyle="1" w:styleId="CEOParagraph1">
    <w:name w:val="CEO_Paragraph1."/>
    <w:basedOn w:val="Normal"/>
    <w:rsid w:val="00782207"/>
    <w:pPr>
      <w:keepNext/>
      <w:numPr>
        <w:numId w:val="14"/>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paragraph" w:styleId="PlainText">
    <w:name w:val="Plain Text"/>
    <w:basedOn w:val="Normal"/>
    <w:link w:val="PlainTextChar"/>
    <w:uiPriority w:val="99"/>
    <w:semiHidden/>
    <w:unhideWhenUsed/>
    <w:rsid w:val="00531EB4"/>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531EB4"/>
    <w:rPr>
      <w:rFonts w:ascii="Calibri" w:eastAsiaTheme="minorHAnsi" w:hAnsi="Calibri" w:cstheme="minorBidi"/>
      <w:kern w:val="2"/>
      <w:sz w:val="22"/>
      <w:szCs w:val="21"/>
      <w:lang w:val="en-GB" w:eastAsia="en-US"/>
      <w14:ligatures w14:val="standardContextual"/>
    </w:rPr>
  </w:style>
  <w:style w:type="paragraph" w:customStyle="1" w:styleId="h4">
    <w:name w:val="h4"/>
    <w:basedOn w:val="Normal"/>
    <w:rsid w:val="0023570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CEONormal">
    <w:name w:val="CEO_Normal"/>
    <w:link w:val="CEONormalChar"/>
    <w:rsid w:val="00EB5D5B"/>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EB5D5B"/>
    <w:rPr>
      <w:rFonts w:ascii="Calibri" w:eastAsia="SimSun" w:hAnsi="Calibri" w:cs="Simplified Arabic"/>
      <w:sz w:val="22"/>
      <w:szCs w:val="19"/>
      <w:lang w:val="en-GB" w:eastAsia="en-US"/>
    </w:rPr>
  </w:style>
  <w:style w:type="character" w:customStyle="1" w:styleId="ui-provider">
    <w:name w:val="ui-provider"/>
    <w:basedOn w:val="DefaultParagraphFont"/>
    <w:rsid w:val="0087030F"/>
  </w:style>
  <w:style w:type="character" w:styleId="Strong">
    <w:name w:val="Strong"/>
    <w:basedOn w:val="DefaultParagraphFont"/>
    <w:uiPriority w:val="22"/>
    <w:qFormat/>
    <w:rsid w:val="00D30A21"/>
    <w:rPr>
      <w:b/>
      <w:bCs/>
    </w:rPr>
  </w:style>
  <w:style w:type="paragraph" w:styleId="BalloonText">
    <w:name w:val="Balloon Text"/>
    <w:basedOn w:val="Normal"/>
    <w:link w:val="BalloonTextChar"/>
    <w:semiHidden/>
    <w:unhideWhenUsed/>
    <w:rsid w:val="009C309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C309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045560">
      <w:bodyDiv w:val="1"/>
      <w:marLeft w:val="0"/>
      <w:marRight w:val="0"/>
      <w:marTop w:val="0"/>
      <w:marBottom w:val="0"/>
      <w:divBdr>
        <w:top w:val="none" w:sz="0" w:space="0" w:color="auto"/>
        <w:left w:val="none" w:sz="0" w:space="0" w:color="auto"/>
        <w:bottom w:val="none" w:sz="0" w:space="0" w:color="auto"/>
        <w:right w:val="none" w:sz="0" w:space="0" w:color="auto"/>
      </w:divBdr>
    </w:div>
    <w:div w:id="694767914">
      <w:bodyDiv w:val="1"/>
      <w:marLeft w:val="0"/>
      <w:marRight w:val="0"/>
      <w:marTop w:val="0"/>
      <w:marBottom w:val="0"/>
      <w:divBdr>
        <w:top w:val="none" w:sz="0" w:space="0" w:color="auto"/>
        <w:left w:val="none" w:sz="0" w:space="0" w:color="auto"/>
        <w:bottom w:val="none" w:sz="0" w:space="0" w:color="auto"/>
        <w:right w:val="none" w:sz="0" w:space="0" w:color="auto"/>
      </w:divBdr>
      <w:divsChild>
        <w:div w:id="154879229">
          <w:marLeft w:val="0"/>
          <w:marRight w:val="0"/>
          <w:marTop w:val="0"/>
          <w:marBottom w:val="0"/>
          <w:divBdr>
            <w:top w:val="none" w:sz="0" w:space="0" w:color="auto"/>
            <w:left w:val="none" w:sz="0" w:space="0" w:color="auto"/>
            <w:bottom w:val="none" w:sz="0" w:space="0" w:color="auto"/>
            <w:right w:val="none" w:sz="0" w:space="0" w:color="auto"/>
          </w:divBdr>
        </w:div>
      </w:divsChild>
    </w:div>
    <w:div w:id="740980060">
      <w:bodyDiv w:val="1"/>
      <w:marLeft w:val="0"/>
      <w:marRight w:val="0"/>
      <w:marTop w:val="0"/>
      <w:marBottom w:val="0"/>
      <w:divBdr>
        <w:top w:val="none" w:sz="0" w:space="0" w:color="auto"/>
        <w:left w:val="none" w:sz="0" w:space="0" w:color="auto"/>
        <w:bottom w:val="none" w:sz="0" w:space="0" w:color="auto"/>
        <w:right w:val="none" w:sz="0" w:space="0" w:color="auto"/>
      </w:divBdr>
    </w:div>
    <w:div w:id="771507818">
      <w:bodyDiv w:val="1"/>
      <w:marLeft w:val="0"/>
      <w:marRight w:val="0"/>
      <w:marTop w:val="0"/>
      <w:marBottom w:val="0"/>
      <w:divBdr>
        <w:top w:val="none" w:sz="0" w:space="0" w:color="auto"/>
        <w:left w:val="none" w:sz="0" w:space="0" w:color="auto"/>
        <w:bottom w:val="none" w:sz="0" w:space="0" w:color="auto"/>
        <w:right w:val="none" w:sz="0" w:space="0" w:color="auto"/>
      </w:divBdr>
    </w:div>
    <w:div w:id="1271545906">
      <w:bodyDiv w:val="1"/>
      <w:marLeft w:val="0"/>
      <w:marRight w:val="0"/>
      <w:marTop w:val="0"/>
      <w:marBottom w:val="0"/>
      <w:divBdr>
        <w:top w:val="none" w:sz="0" w:space="0" w:color="auto"/>
        <w:left w:val="none" w:sz="0" w:space="0" w:color="auto"/>
        <w:bottom w:val="none" w:sz="0" w:space="0" w:color="auto"/>
        <w:right w:val="none" w:sz="0" w:space="0" w:color="auto"/>
      </w:divBdr>
    </w:div>
    <w:div w:id="1659067619">
      <w:bodyDiv w:val="1"/>
      <w:marLeft w:val="0"/>
      <w:marRight w:val="0"/>
      <w:marTop w:val="0"/>
      <w:marBottom w:val="0"/>
      <w:divBdr>
        <w:top w:val="none" w:sz="0" w:space="0" w:color="auto"/>
        <w:left w:val="none" w:sz="0" w:space="0" w:color="auto"/>
        <w:bottom w:val="none" w:sz="0" w:space="0" w:color="auto"/>
        <w:right w:val="none" w:sz="0" w:space="0" w:color="auto"/>
      </w:divBdr>
    </w:div>
    <w:div w:id="1889107287">
      <w:bodyDiv w:val="1"/>
      <w:marLeft w:val="0"/>
      <w:marRight w:val="0"/>
      <w:marTop w:val="0"/>
      <w:marBottom w:val="0"/>
      <w:divBdr>
        <w:top w:val="none" w:sz="0" w:space="0" w:color="auto"/>
        <w:left w:val="none" w:sz="0" w:space="0" w:color="auto"/>
        <w:bottom w:val="none" w:sz="0" w:space="0" w:color="auto"/>
        <w:right w:val="none" w:sz="0" w:space="0" w:color="auto"/>
      </w:divBdr>
    </w:div>
    <w:div w:id="196989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4/relationships/chartEx" Target="charts/chartEx2.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ettings" Target="settings.xml"/><Relationship Id="rId12" Type="http://schemas.microsoft.com/office/2014/relationships/chartEx" Target="charts/chartEx1.xml"/><Relationship Id="rId17" Type="http://schemas.openxmlformats.org/officeDocument/2006/relationships/chart" Target="charts/chart4.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8.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7.xm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TDAGHTTP://WWW.ITU.INT/EN/ITU-D/CONFERENCES/TDAG/PAGES/DEFAULT.ASPX" TargetMode="External"/><Relationship Id="rId1" Type="http://schemas.openxmlformats.org/officeDocument/2006/relationships/hyperlink" Target="mailto:sandrine.guyot@itu.i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TDAG/2022/Copy%20of%20Agreement%202022%20TDAG_FINAL.xlsx"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Copy%20of%20Agreement%202022%20TDAG_FINAL.xlsx" TargetMode="External"/><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Copy%20of%20Agreement%202022%20TDAG_FINAL.xlsx" TargetMode="External"/><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Quaterly_Report/2023/Copy%20of%20Agreements%202023%20May.xlsx" TargetMode="External"/><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TDAG/2022/Copy%20of%20Agreements%202023%20May_1.xlsx" TargetMode="External"/><Relationship Id="rId2" Type="http://schemas.microsoft.com/office/2011/relationships/chartColorStyle" Target="colors7.xml"/><Relationship Id="rId1" Type="http://schemas.microsoft.com/office/2011/relationships/chartStyle" Target="style7.xml"/></Relationships>
</file>

<file path=word/charts/_rels/chart6.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TDAG/2022/Copy%20of%20Agreements%202023%20May_1.xlsx" TargetMode="External"/><Relationship Id="rId2" Type="http://schemas.microsoft.com/office/2011/relationships/chartColorStyle" Target="colors8.xml"/><Relationship Id="rId1" Type="http://schemas.microsoft.com/office/2011/relationships/chartStyle" Target="style8.xml"/></Relationships>
</file>

<file path=word/charts/_rels/chart7.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Quaterly_Report/2023/Copy%20of%20Agreements%202023%20May.xlsx" TargetMode="External"/><Relationship Id="rId2" Type="http://schemas.microsoft.com/office/2011/relationships/chartColorStyle" Target="colors9.xml"/><Relationship Id="rId1" Type="http://schemas.microsoft.com/office/2011/relationships/chartStyle" Target="style9.xml"/></Relationships>
</file>

<file path=word/charts/_rels/chart8.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Quaterly_Report/2023/Copy%20of%20Agreements%202023%20May.xlsx" TargetMode="External"/><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ituint-my.sharepoint.com/personal/sandrine_guyot_itu_int/Documents/Quaterly_Report/2022/Q4_2022_TDAG22.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https://ituint-my.sharepoint.com/personal/sandrine_guyot_itu_int/Documents/TDAG/2022/Copy%20of%20Agreements%202023%20May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i="0" baseline="0">
                <a:effectLst/>
              </a:rPr>
              <a:t>BDT Partners' financial contributions per type (2022)</a:t>
            </a:r>
          </a:p>
        </c:rich>
      </c:tx>
      <c:layout>
        <c:manualLayout>
          <c:xMode val="edge"/>
          <c:yMode val="edge"/>
          <c:x val="0.20826600585541336"/>
          <c:y val="2.751031636863823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0596343054883501"/>
          <c:y val="0.25441635766610349"/>
          <c:w val="0.20401162610725801"/>
          <c:h val="0.6781211753620205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F10-4A42-8C66-3EE216B3B8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F10-4A42-8C66-3EE216B3B8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F10-4A42-8C66-3EE216B3B8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F10-4A42-8C66-3EE216B3B8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F10-4A42-8C66-3EE216B3B82C}"/>
              </c:ext>
            </c:extLst>
          </c:dPt>
          <c:dLbls>
            <c:dLbl>
              <c:idx val="0"/>
              <c:tx>
                <c:rich>
                  <a:bodyPr/>
                  <a:lstStyle/>
                  <a:p>
                    <a:r>
                      <a:rPr lang="en-US"/>
                      <a:t>0.2%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10-4A42-8C66-3EE216B3B82C}"/>
                </c:ext>
              </c:extLst>
            </c:dLbl>
            <c:dLbl>
              <c:idx val="1"/>
              <c:layout>
                <c:manualLayout>
                  <c:x val="-7.6613945137677164E-2"/>
                  <c:y val="-0.18467983040581465"/>
                </c:manualLayout>
              </c:layout>
              <c:tx>
                <c:rich>
                  <a:bodyPr/>
                  <a:lstStyle/>
                  <a:p>
                    <a:r>
                      <a:rPr lang="en-US">
                        <a:solidFill>
                          <a:schemeClr val="bg1"/>
                        </a:solidFill>
                      </a:rPr>
                      <a:t>74.5%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10-4A42-8C66-3EE216B3B82C}"/>
                </c:ext>
              </c:extLst>
            </c:dLbl>
            <c:dLbl>
              <c:idx val="2"/>
              <c:tx>
                <c:rich>
                  <a:bodyPr/>
                  <a:lstStyle/>
                  <a:p>
                    <a:r>
                      <a:rPr lang="en-US"/>
                      <a:t>1.6%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F10-4A42-8C66-3EE216B3B82C}"/>
                </c:ext>
              </c:extLst>
            </c:dLbl>
            <c:dLbl>
              <c:idx val="3"/>
              <c:tx>
                <c:rich>
                  <a:bodyPr/>
                  <a:lstStyle/>
                  <a:p>
                    <a:r>
                      <a:rPr lang="en-US"/>
                      <a:t>5.3%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F10-4A42-8C66-3EE216B3B82C}"/>
                </c:ext>
              </c:extLst>
            </c:dLbl>
            <c:dLbl>
              <c:idx val="4"/>
              <c:layout>
                <c:manualLayout>
                  <c:x val="-1.6723933716851502E-3"/>
                  <c:y val="4.2731427828742868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r>
                      <a:rPr lang="en-US" sz="1000">
                        <a:solidFill>
                          <a:schemeClr val="tx1">
                            <a:lumMod val="75000"/>
                            <a:lumOff val="25000"/>
                          </a:schemeClr>
                        </a:solidFill>
                      </a:rPr>
                      <a:t>18.5%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F10-4A42-8C66-3EE216B3B82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'Types partner'!$G$5:$G$9</c:f>
              <c:strCache>
                <c:ptCount val="5"/>
                <c:pt idx="0">
                  <c:v>Foundations</c:v>
                </c:pt>
                <c:pt idx="1">
                  <c:v>Governmental entities </c:v>
                </c:pt>
                <c:pt idx="2">
                  <c:v>Other</c:v>
                </c:pt>
                <c:pt idx="3">
                  <c:v>Private  Sector entities</c:v>
                </c:pt>
                <c:pt idx="4">
                  <c:v>UN organizations </c:v>
                </c:pt>
              </c:strCache>
            </c:strRef>
          </c:cat>
          <c:val>
            <c:numRef>
              <c:f>'Types partner'!$H$5:$H$9</c:f>
              <c:numCache>
                <c:formatCode>0.0%</c:formatCode>
                <c:ptCount val="5"/>
                <c:pt idx="0">
                  <c:v>1.7172596154231437E-3</c:v>
                </c:pt>
                <c:pt idx="1">
                  <c:v>0.75591283968683143</c:v>
                </c:pt>
                <c:pt idx="2">
                  <c:v>1.5684304487531379E-2</c:v>
                </c:pt>
                <c:pt idx="3">
                  <c:v>4.2139604734919796E-2</c:v>
                </c:pt>
                <c:pt idx="4">
                  <c:v>0.1845459914752943</c:v>
                </c:pt>
              </c:numCache>
            </c:numRef>
          </c:val>
          <c:extLst>
            <c:ext xmlns:c16="http://schemas.microsoft.com/office/drawing/2014/chart" uri="{C3380CC4-5D6E-409C-BE32-E72D297353CC}">
              <c16:uniqueId val="{0000000A-9F10-4A42-8C66-3EE216B3B82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9040569183973046"/>
          <c:y val="0.26328467834801278"/>
          <c:w val="0.21093873973388336"/>
          <c:h val="0.56780343574146097"/>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100" b="1"/>
              <a:t>Distribution of</a:t>
            </a:r>
            <a:r>
              <a:rPr lang="en-US" sz="1100" b="1" baseline="0"/>
              <a:t> agreements </a:t>
            </a:r>
            <a:r>
              <a:rPr lang="en-US" sz="1100" b="1"/>
              <a:t>signed </a:t>
            </a:r>
            <a:r>
              <a:rPr lang="en-US" sz="1100" b="1" i="0" u="none" strike="noStrike" baseline="0">
                <a:effectLst/>
              </a:rPr>
              <a:t>per regions</a:t>
            </a:r>
            <a:r>
              <a:rPr lang="en-US" sz="1100" b="1"/>
              <a:t> (2022)</a:t>
            </a:r>
          </a:p>
        </c:rich>
      </c:tx>
      <c:layout>
        <c:manualLayout>
          <c:xMode val="edge"/>
          <c:yMode val="edge"/>
          <c:x val="0.25574545513099206"/>
          <c:y val="2.9360961458765024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Regions!$I$43</c:f>
              <c:strCache>
                <c:ptCount val="1"/>
                <c:pt idx="0">
                  <c:v>Number of agreements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Regions!$H$44:$H$50</c:f>
              <c:strCache>
                <c:ptCount val="7"/>
                <c:pt idx="0">
                  <c:v>Africa</c:v>
                </c:pt>
                <c:pt idx="1">
                  <c:v>Americas</c:v>
                </c:pt>
                <c:pt idx="2">
                  <c:v>Arab states</c:v>
                </c:pt>
                <c:pt idx="3">
                  <c:v>Asia-Pacific</c:v>
                </c:pt>
                <c:pt idx="4">
                  <c:v>CIS</c:v>
                </c:pt>
                <c:pt idx="5">
                  <c:v>Europe </c:v>
                </c:pt>
                <c:pt idx="6">
                  <c:v>Multi-regions</c:v>
                </c:pt>
              </c:strCache>
            </c:strRef>
          </c:cat>
          <c:val>
            <c:numRef>
              <c:f>Regions!$I$44:$I$50</c:f>
              <c:numCache>
                <c:formatCode>0%</c:formatCode>
                <c:ptCount val="7"/>
                <c:pt idx="0">
                  <c:v>0.12676056338028169</c:v>
                </c:pt>
                <c:pt idx="1">
                  <c:v>8.4507042253521125E-2</c:v>
                </c:pt>
                <c:pt idx="2">
                  <c:v>8.4507042253521125E-2</c:v>
                </c:pt>
                <c:pt idx="3">
                  <c:v>0.23943661971830985</c:v>
                </c:pt>
                <c:pt idx="4">
                  <c:v>2.8169014084507043E-2</c:v>
                </c:pt>
                <c:pt idx="5">
                  <c:v>4.2253521126760563E-2</c:v>
                </c:pt>
                <c:pt idx="6">
                  <c:v>0.39436619718309857</c:v>
                </c:pt>
              </c:numCache>
            </c:numRef>
          </c:val>
          <c:extLst>
            <c:ext xmlns:c16="http://schemas.microsoft.com/office/drawing/2014/chart" uri="{C3380CC4-5D6E-409C-BE32-E72D297353CC}">
              <c16:uniqueId val="{00000000-C57D-44CE-9E1D-9079F2C993F9}"/>
            </c:ext>
          </c:extLst>
        </c:ser>
        <c:ser>
          <c:idx val="1"/>
          <c:order val="1"/>
          <c:tx>
            <c:strRef>
              <c:f>Regions!$J$43</c:f>
              <c:strCache>
                <c:ptCount val="1"/>
                <c:pt idx="0">
                  <c:v>Funds signed (2022)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Regions!$H$44:$H$50</c:f>
              <c:strCache>
                <c:ptCount val="7"/>
                <c:pt idx="0">
                  <c:v>Africa</c:v>
                </c:pt>
                <c:pt idx="1">
                  <c:v>Americas</c:v>
                </c:pt>
                <c:pt idx="2">
                  <c:v>Arab states</c:v>
                </c:pt>
                <c:pt idx="3">
                  <c:v>Asia-Pacific</c:v>
                </c:pt>
                <c:pt idx="4">
                  <c:v>CIS</c:v>
                </c:pt>
                <c:pt idx="5">
                  <c:v>Europe </c:v>
                </c:pt>
                <c:pt idx="6">
                  <c:v>Multi-regions</c:v>
                </c:pt>
              </c:strCache>
            </c:strRef>
          </c:cat>
          <c:val>
            <c:numRef>
              <c:f>Regions!$J$44:$J$50</c:f>
              <c:numCache>
                <c:formatCode>0%</c:formatCode>
                <c:ptCount val="7"/>
                <c:pt idx="0">
                  <c:v>6.6484097710276691E-2</c:v>
                </c:pt>
                <c:pt idx="1">
                  <c:v>2.0108025308975777E-2</c:v>
                </c:pt>
                <c:pt idx="2">
                  <c:v>3.8320349054801812E-2</c:v>
                </c:pt>
                <c:pt idx="3">
                  <c:v>0.43300187770734178</c:v>
                </c:pt>
                <c:pt idx="4">
                  <c:v>9.4441740140485224E-3</c:v>
                </c:pt>
                <c:pt idx="5">
                  <c:v>2.4056722749690763E-2</c:v>
                </c:pt>
                <c:pt idx="6">
                  <c:v>0.40858475345486467</c:v>
                </c:pt>
              </c:numCache>
            </c:numRef>
          </c:val>
          <c:extLst>
            <c:ext xmlns:c16="http://schemas.microsoft.com/office/drawing/2014/chart" uri="{C3380CC4-5D6E-409C-BE32-E72D297353CC}">
              <c16:uniqueId val="{00000001-C57D-44CE-9E1D-9079F2C993F9}"/>
            </c:ext>
          </c:extLst>
        </c:ser>
        <c:dLbls>
          <c:showLegendKey val="0"/>
          <c:showVal val="0"/>
          <c:showCatName val="0"/>
          <c:showSerName val="0"/>
          <c:showPercent val="0"/>
          <c:showBubbleSize val="0"/>
        </c:dLbls>
        <c:gapWidth val="219"/>
        <c:overlap val="-27"/>
        <c:axId val="1041306456"/>
        <c:axId val="671119464"/>
      </c:barChart>
      <c:catAx>
        <c:axId val="10413064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71119464"/>
        <c:crosses val="autoZero"/>
        <c:auto val="1"/>
        <c:lblAlgn val="ctr"/>
        <c:lblOffset val="100"/>
        <c:noMultiLvlLbl val="0"/>
      </c:catAx>
      <c:valAx>
        <c:axId val="67111946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41306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i="0" u="none" strike="noStrike" baseline="0">
                <a:effectLst/>
              </a:rPr>
              <a:t>Distribution of agreements signed per thematic priorities (2022)</a:t>
            </a:r>
            <a:endParaRPr lang="en-GB" sz="1100"/>
          </a:p>
        </c:rich>
      </c:tx>
      <c:layout>
        <c:manualLayout>
          <c:xMode val="edge"/>
          <c:yMode val="edge"/>
          <c:x val="0.17217783241139115"/>
          <c:y val="2.513615416841223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TP!$H$52</c:f>
              <c:strCache>
                <c:ptCount val="1"/>
                <c:pt idx="0">
                  <c:v>Funds signed</c:v>
                </c:pt>
              </c:strCache>
            </c:strRef>
          </c:tx>
          <c:spPr>
            <a:solidFill>
              <a:schemeClr val="accent1"/>
            </a:solidFill>
            <a:ln>
              <a:noFill/>
            </a:ln>
            <a:effectLst/>
          </c:spPr>
          <c:invertIfNegative val="0"/>
          <c:cat>
            <c:strRef>
              <c:f>TP!$G$53:$G$62</c:f>
              <c:strCache>
                <c:ptCount val="10"/>
                <c:pt idx="0">
                  <c:v>Multi-thematic </c:v>
                </c:pt>
                <c:pt idx="1">
                  <c:v>Statistics</c:v>
                </c:pt>
                <c:pt idx="2">
                  <c:v>Network &amp; Digital Infrast.</c:v>
                </c:pt>
                <c:pt idx="3">
                  <c:v>Environment </c:v>
                </c:pt>
                <c:pt idx="4">
                  <c:v>Emergency  Telecom</c:v>
                </c:pt>
                <c:pt idx="5">
                  <c:v>Digital Services &amp; App</c:v>
                </c:pt>
                <c:pt idx="6">
                  <c:v>Digital Innovation Ecosystem</c:v>
                </c:pt>
                <c:pt idx="7">
                  <c:v>Digital Inclusion </c:v>
                </c:pt>
                <c:pt idx="8">
                  <c:v>Cybersecurity </c:v>
                </c:pt>
                <c:pt idx="9">
                  <c:v>Capacit Development </c:v>
                </c:pt>
              </c:strCache>
            </c:strRef>
          </c:cat>
          <c:val>
            <c:numRef>
              <c:f>TP!$H$53:$H$62</c:f>
              <c:numCache>
                <c:formatCode>0%</c:formatCode>
                <c:ptCount val="10"/>
                <c:pt idx="0">
                  <c:v>0.35391262109516347</c:v>
                </c:pt>
                <c:pt idx="1">
                  <c:v>0</c:v>
                </c:pt>
                <c:pt idx="2">
                  <c:v>0.38858779592608761</c:v>
                </c:pt>
                <c:pt idx="3">
                  <c:v>3.4126971569440477E-3</c:v>
                </c:pt>
                <c:pt idx="4">
                  <c:v>2.1820578791369515E-2</c:v>
                </c:pt>
                <c:pt idx="5">
                  <c:v>4.6728304113923688E-2</c:v>
                </c:pt>
                <c:pt idx="6">
                  <c:v>2.5026445817589681E-2</c:v>
                </c:pt>
                <c:pt idx="7">
                  <c:v>0.15523480338882897</c:v>
                </c:pt>
                <c:pt idx="8">
                  <c:v>0</c:v>
                </c:pt>
                <c:pt idx="9">
                  <c:v>5.2767537100930307E-3</c:v>
                </c:pt>
              </c:numCache>
            </c:numRef>
          </c:val>
          <c:extLst>
            <c:ext xmlns:c16="http://schemas.microsoft.com/office/drawing/2014/chart" uri="{C3380CC4-5D6E-409C-BE32-E72D297353CC}">
              <c16:uniqueId val="{00000000-917C-467C-82EF-B957D5DA367B}"/>
            </c:ext>
          </c:extLst>
        </c:ser>
        <c:ser>
          <c:idx val="1"/>
          <c:order val="1"/>
          <c:tx>
            <c:strRef>
              <c:f>TP!$I$52</c:f>
              <c:strCache>
                <c:ptCount val="1"/>
                <c:pt idx="0">
                  <c:v>Number of agreements</c:v>
                </c:pt>
              </c:strCache>
            </c:strRef>
          </c:tx>
          <c:spPr>
            <a:solidFill>
              <a:schemeClr val="accent2"/>
            </a:solidFill>
            <a:ln>
              <a:noFill/>
            </a:ln>
            <a:effectLst/>
          </c:spPr>
          <c:invertIfNegative val="0"/>
          <c:cat>
            <c:strRef>
              <c:f>TP!$G$53:$G$62</c:f>
              <c:strCache>
                <c:ptCount val="10"/>
                <c:pt idx="0">
                  <c:v>Multi-thematic </c:v>
                </c:pt>
                <c:pt idx="1">
                  <c:v>Statistics</c:v>
                </c:pt>
                <c:pt idx="2">
                  <c:v>Network &amp; Digital Infrast.</c:v>
                </c:pt>
                <c:pt idx="3">
                  <c:v>Environment </c:v>
                </c:pt>
                <c:pt idx="4">
                  <c:v>Emergency  Telecom</c:v>
                </c:pt>
                <c:pt idx="5">
                  <c:v>Digital Services &amp; App</c:v>
                </c:pt>
                <c:pt idx="6">
                  <c:v>Digital Innovation Ecosystem</c:v>
                </c:pt>
                <c:pt idx="7">
                  <c:v>Digital Inclusion </c:v>
                </c:pt>
                <c:pt idx="8">
                  <c:v>Cybersecurity </c:v>
                </c:pt>
                <c:pt idx="9">
                  <c:v>Capacit Development </c:v>
                </c:pt>
              </c:strCache>
            </c:strRef>
          </c:cat>
          <c:val>
            <c:numRef>
              <c:f>TP!$I$53:$I$62</c:f>
              <c:numCache>
                <c:formatCode>0%</c:formatCode>
                <c:ptCount val="10"/>
                <c:pt idx="0">
                  <c:v>0.15492957746478872</c:v>
                </c:pt>
                <c:pt idx="1">
                  <c:v>1.4084507042253521E-2</c:v>
                </c:pt>
                <c:pt idx="2">
                  <c:v>0.12676056338028169</c:v>
                </c:pt>
                <c:pt idx="3">
                  <c:v>2.8169014084507043E-2</c:v>
                </c:pt>
                <c:pt idx="4">
                  <c:v>7.0422535211267609E-2</c:v>
                </c:pt>
                <c:pt idx="5">
                  <c:v>4.2253521126760563E-2</c:v>
                </c:pt>
                <c:pt idx="6">
                  <c:v>0.15492957746478872</c:v>
                </c:pt>
                <c:pt idx="7">
                  <c:v>0.25352112676056338</c:v>
                </c:pt>
                <c:pt idx="8">
                  <c:v>1.4084507042253521E-2</c:v>
                </c:pt>
                <c:pt idx="9">
                  <c:v>0.14084507042253522</c:v>
                </c:pt>
              </c:numCache>
            </c:numRef>
          </c:val>
          <c:extLst>
            <c:ext xmlns:c16="http://schemas.microsoft.com/office/drawing/2014/chart" uri="{C3380CC4-5D6E-409C-BE32-E72D297353CC}">
              <c16:uniqueId val="{00000001-917C-467C-82EF-B957D5DA367B}"/>
            </c:ext>
          </c:extLst>
        </c:ser>
        <c:dLbls>
          <c:showLegendKey val="0"/>
          <c:showVal val="0"/>
          <c:showCatName val="0"/>
          <c:showSerName val="0"/>
          <c:showPercent val="0"/>
          <c:showBubbleSize val="0"/>
        </c:dLbls>
        <c:gapWidth val="182"/>
        <c:axId val="1404828271"/>
        <c:axId val="1347088719"/>
      </c:barChart>
      <c:catAx>
        <c:axId val="1404828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347088719"/>
        <c:crosses val="autoZero"/>
        <c:auto val="1"/>
        <c:lblAlgn val="ctr"/>
        <c:lblOffset val="100"/>
        <c:noMultiLvlLbl val="0"/>
      </c:catAx>
      <c:valAx>
        <c:axId val="1347088719"/>
        <c:scaling>
          <c:orientation val="minMax"/>
          <c:max val="0.4"/>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04828271"/>
        <c:crosses val="autoZero"/>
        <c:crossBetween val="between"/>
      </c:valAx>
      <c:spPr>
        <a:noFill/>
        <a:ln cmpd="dbl">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i="0" baseline="0">
                <a:effectLst/>
              </a:rPr>
              <a:t>Co-financing arrangements</a:t>
            </a:r>
          </a:p>
          <a:p>
            <a:pPr>
              <a:defRPr/>
            </a:pPr>
            <a:r>
              <a:rPr lang="en-US" sz="1100" b="1" i="0" baseline="0">
                <a:effectLst/>
              </a:rPr>
              <a:t> (1 Jan. - 30 Apr. 2023)</a:t>
            </a:r>
            <a:endParaRPr lang="en-GB" sz="1000"/>
          </a:p>
        </c:rich>
      </c:tx>
      <c:layout>
        <c:manualLayout>
          <c:xMode val="edge"/>
          <c:yMode val="edge"/>
          <c:x val="8.6026791200688207E-2"/>
          <c:y val="8.305571320729765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1603707262319454"/>
          <c:y val="0.10361411261660872"/>
          <c:w val="0.27159295870033617"/>
          <c:h val="0.7546255021131455"/>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8C-4233-B37C-184F463A61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8C-4233-B37C-184F463A61A4}"/>
              </c:ext>
            </c:extLst>
          </c:dPt>
          <c:dLbls>
            <c:dLbl>
              <c:idx val="0"/>
              <c:layout>
                <c:manualLayout>
                  <c:x val="6.0445787684170763E-2"/>
                  <c:y val="-0.12596221133659902"/>
                </c:manualLayout>
              </c:layout>
              <c:tx>
                <c:rich>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r>
                      <a:rPr lang="en-US" sz="1050"/>
                      <a:t>2%</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8C-4233-B37C-184F463A61A4}"/>
                </c:ext>
              </c:extLst>
            </c:dLbl>
            <c:dLbl>
              <c:idx val="1"/>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r>
                      <a:rPr lang="en-US" sz="1050"/>
                      <a:t>98%</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8C-4233-B37C-184F463A61A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 ITU vs partners'!$A$7:$A$8</c:f>
              <c:strCache>
                <c:ptCount val="2"/>
                <c:pt idx="0">
                  <c:v>ITU component</c:v>
                </c:pt>
                <c:pt idx="1">
                  <c:v>Partner's component </c:v>
                </c:pt>
              </c:strCache>
            </c:strRef>
          </c:cat>
          <c:val>
            <c:numRef>
              <c:f>'% ITU vs partners'!$B$7:$B$8</c:f>
              <c:numCache>
                <c:formatCode>0.0%</c:formatCode>
                <c:ptCount val="2"/>
                <c:pt idx="0">
                  <c:v>1.6018473406189643E-2</c:v>
                </c:pt>
                <c:pt idx="1">
                  <c:v>0.98398152659381033</c:v>
                </c:pt>
              </c:numCache>
            </c:numRef>
          </c:val>
          <c:extLst>
            <c:ext xmlns:c16="http://schemas.microsoft.com/office/drawing/2014/chart" uri="{C3380CC4-5D6E-409C-BE32-E72D297353CC}">
              <c16:uniqueId val="{00000004-2F8C-4233-B37C-184F463A61A4}"/>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1583500026716278"/>
          <c:y val="0.41469724436999617"/>
          <c:w val="0.25794590479815399"/>
          <c:h val="0.2432133609391630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i="0" baseline="0">
                <a:effectLst/>
              </a:rPr>
              <a:t>Distribution of agreements signed per regions (1 Jan. - 30 Apr.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Regions!$D$27</c:f>
              <c:strCache>
                <c:ptCount val="1"/>
                <c:pt idx="0">
                  <c:v>Number of agreements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Regions!$C$28:$C$32</c:f>
              <c:strCache>
                <c:ptCount val="5"/>
                <c:pt idx="0">
                  <c:v>Africa</c:v>
                </c:pt>
                <c:pt idx="1">
                  <c:v>Americas</c:v>
                </c:pt>
                <c:pt idx="2">
                  <c:v>Asia-Pacific</c:v>
                </c:pt>
                <c:pt idx="3">
                  <c:v>Europe </c:v>
                </c:pt>
                <c:pt idx="4">
                  <c:v>Multi-regions</c:v>
                </c:pt>
              </c:strCache>
            </c:strRef>
          </c:cat>
          <c:val>
            <c:numRef>
              <c:f>Regions!$D$28:$D$32</c:f>
              <c:numCache>
                <c:formatCode>0%</c:formatCode>
                <c:ptCount val="5"/>
                <c:pt idx="0">
                  <c:v>0.2</c:v>
                </c:pt>
                <c:pt idx="1">
                  <c:v>0.13333333333333333</c:v>
                </c:pt>
                <c:pt idx="2">
                  <c:v>0.3</c:v>
                </c:pt>
                <c:pt idx="3">
                  <c:v>0.13333333333333333</c:v>
                </c:pt>
                <c:pt idx="4">
                  <c:v>0.23333333333333334</c:v>
                </c:pt>
              </c:numCache>
            </c:numRef>
          </c:val>
          <c:extLst>
            <c:ext xmlns:c16="http://schemas.microsoft.com/office/drawing/2014/chart" uri="{C3380CC4-5D6E-409C-BE32-E72D297353CC}">
              <c16:uniqueId val="{00000000-D58F-407C-A5FB-453982FDCEF2}"/>
            </c:ext>
          </c:extLst>
        </c:ser>
        <c:ser>
          <c:idx val="1"/>
          <c:order val="1"/>
          <c:tx>
            <c:strRef>
              <c:f>Regions!$E$27</c:f>
              <c:strCache>
                <c:ptCount val="1"/>
                <c:pt idx="0">
                  <c:v>Funds signed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Regions!$C$28:$C$32</c:f>
              <c:strCache>
                <c:ptCount val="5"/>
                <c:pt idx="0">
                  <c:v>Africa</c:v>
                </c:pt>
                <c:pt idx="1">
                  <c:v>Americas</c:v>
                </c:pt>
                <c:pt idx="2">
                  <c:v>Asia-Pacific</c:v>
                </c:pt>
                <c:pt idx="3">
                  <c:v>Europe </c:v>
                </c:pt>
                <c:pt idx="4">
                  <c:v>Multi-regions</c:v>
                </c:pt>
              </c:strCache>
            </c:strRef>
          </c:cat>
          <c:val>
            <c:numRef>
              <c:f>Regions!$E$28:$E$32</c:f>
              <c:numCache>
                <c:formatCode>0%</c:formatCode>
                <c:ptCount val="5"/>
                <c:pt idx="0">
                  <c:v>5.1380640731537412E-2</c:v>
                </c:pt>
                <c:pt idx="1">
                  <c:v>2.0191970120552884E-2</c:v>
                </c:pt>
                <c:pt idx="2">
                  <c:v>2.9387979633972335E-2</c:v>
                </c:pt>
                <c:pt idx="3">
                  <c:v>0</c:v>
                </c:pt>
                <c:pt idx="4">
                  <c:v>0.89903940951393735</c:v>
                </c:pt>
              </c:numCache>
            </c:numRef>
          </c:val>
          <c:extLst>
            <c:ext xmlns:c16="http://schemas.microsoft.com/office/drawing/2014/chart" uri="{C3380CC4-5D6E-409C-BE32-E72D297353CC}">
              <c16:uniqueId val="{00000001-D58F-407C-A5FB-453982FDCEF2}"/>
            </c:ext>
          </c:extLst>
        </c:ser>
        <c:dLbls>
          <c:showLegendKey val="0"/>
          <c:showVal val="0"/>
          <c:showCatName val="0"/>
          <c:showSerName val="0"/>
          <c:showPercent val="0"/>
          <c:showBubbleSize val="0"/>
        </c:dLbls>
        <c:gapWidth val="219"/>
        <c:overlap val="-27"/>
        <c:axId val="1266623760"/>
        <c:axId val="1260863824"/>
      </c:barChart>
      <c:catAx>
        <c:axId val="126662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60863824"/>
        <c:crosses val="autoZero"/>
        <c:auto val="1"/>
        <c:lblAlgn val="ctr"/>
        <c:lblOffset val="100"/>
        <c:noMultiLvlLbl val="0"/>
      </c:catAx>
      <c:valAx>
        <c:axId val="126086382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26662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i="0" baseline="0">
                <a:effectLst/>
              </a:rPr>
              <a:t>Distribution of agreements signed per ITU-D priorities (1 Jan. - 30 Apr. 2023)</a:t>
            </a:r>
            <a:endParaRPr lang="en-GB" sz="1100"/>
          </a:p>
        </c:rich>
      </c:tx>
      <c:layout>
        <c:manualLayout>
          <c:xMode val="edge"/>
          <c:yMode val="edge"/>
          <c:x val="0.14454681497634408"/>
          <c:y val="3.84355613421588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TP!$G$25</c:f>
              <c:strCache>
                <c:ptCount val="1"/>
                <c:pt idx="0">
                  <c:v>number of agreements</c:v>
                </c:pt>
              </c:strCache>
            </c:strRef>
          </c:tx>
          <c:spPr>
            <a:solidFill>
              <a:schemeClr val="accent1"/>
            </a:solidFill>
            <a:ln>
              <a:noFill/>
            </a:ln>
            <a:effectLst/>
          </c:spPr>
          <c:invertIfNegative val="0"/>
          <c:cat>
            <c:strRef>
              <c:f>TP!$F$26:$F$30</c:f>
              <c:strCache>
                <c:ptCount val="5"/>
                <c:pt idx="0">
                  <c:v>Multi-priorities </c:v>
                </c:pt>
                <c:pt idx="1">
                  <c:v>Inclusive &amp; secure telecom/ICTs for sustainable dev.</c:v>
                </c:pt>
                <c:pt idx="2">
                  <c:v>Enabling policy &amp; regulatory envir.</c:v>
                </c:pt>
                <c:pt idx="3">
                  <c:v>Digital transformation </c:v>
                </c:pt>
                <c:pt idx="4">
                  <c:v>Affordable connectivity</c:v>
                </c:pt>
              </c:strCache>
            </c:strRef>
          </c:cat>
          <c:val>
            <c:numRef>
              <c:f>TP!$G$26:$G$30</c:f>
              <c:numCache>
                <c:formatCode>0%</c:formatCode>
                <c:ptCount val="5"/>
                <c:pt idx="0">
                  <c:v>0.16666666666666666</c:v>
                </c:pt>
                <c:pt idx="1">
                  <c:v>0.13333333333333333</c:v>
                </c:pt>
                <c:pt idx="2">
                  <c:v>0.46666666666666667</c:v>
                </c:pt>
                <c:pt idx="3">
                  <c:v>0.13333333333333333</c:v>
                </c:pt>
                <c:pt idx="4">
                  <c:v>0.1</c:v>
                </c:pt>
              </c:numCache>
            </c:numRef>
          </c:val>
          <c:extLst>
            <c:ext xmlns:c16="http://schemas.microsoft.com/office/drawing/2014/chart" uri="{C3380CC4-5D6E-409C-BE32-E72D297353CC}">
              <c16:uniqueId val="{00000000-BBB5-4BE1-8C44-0D4F77523460}"/>
            </c:ext>
          </c:extLst>
        </c:ser>
        <c:ser>
          <c:idx val="1"/>
          <c:order val="1"/>
          <c:tx>
            <c:strRef>
              <c:f>TP!$H$25</c:f>
              <c:strCache>
                <c:ptCount val="1"/>
                <c:pt idx="0">
                  <c:v>Funds signed </c:v>
                </c:pt>
              </c:strCache>
            </c:strRef>
          </c:tx>
          <c:spPr>
            <a:solidFill>
              <a:schemeClr val="accent2"/>
            </a:solidFill>
            <a:ln>
              <a:noFill/>
            </a:ln>
            <a:effectLst/>
          </c:spPr>
          <c:invertIfNegative val="0"/>
          <c:cat>
            <c:strRef>
              <c:f>TP!$F$26:$F$30</c:f>
              <c:strCache>
                <c:ptCount val="5"/>
                <c:pt idx="0">
                  <c:v>Multi-priorities </c:v>
                </c:pt>
                <c:pt idx="1">
                  <c:v>Inclusive &amp; secure telecom/ICTs for sustainable dev.</c:v>
                </c:pt>
                <c:pt idx="2">
                  <c:v>Enabling policy &amp; regulatory envir.</c:v>
                </c:pt>
                <c:pt idx="3">
                  <c:v>Digital transformation </c:v>
                </c:pt>
                <c:pt idx="4">
                  <c:v>Affordable connectivity</c:v>
                </c:pt>
              </c:strCache>
            </c:strRef>
          </c:cat>
          <c:val>
            <c:numRef>
              <c:f>TP!$H$26:$H$30</c:f>
              <c:numCache>
                <c:formatCode>0%</c:formatCode>
                <c:ptCount val="5"/>
                <c:pt idx="0">
                  <c:v>5.1380640731537412E-2</c:v>
                </c:pt>
                <c:pt idx="1">
                  <c:v>2.5267014633781813E-2</c:v>
                </c:pt>
                <c:pt idx="2">
                  <c:v>0.62965566941126372</c:v>
                </c:pt>
                <c:pt idx="3">
                  <c:v>0.23265630312130867</c:v>
                </c:pt>
                <c:pt idx="4">
                  <c:v>6.1040372102108331E-2</c:v>
                </c:pt>
              </c:numCache>
            </c:numRef>
          </c:val>
          <c:extLst>
            <c:ext xmlns:c16="http://schemas.microsoft.com/office/drawing/2014/chart" uri="{C3380CC4-5D6E-409C-BE32-E72D297353CC}">
              <c16:uniqueId val="{00000001-BBB5-4BE1-8C44-0D4F77523460}"/>
            </c:ext>
          </c:extLst>
        </c:ser>
        <c:dLbls>
          <c:showLegendKey val="0"/>
          <c:showVal val="0"/>
          <c:showCatName val="0"/>
          <c:showSerName val="0"/>
          <c:showPercent val="0"/>
          <c:showBubbleSize val="0"/>
        </c:dLbls>
        <c:gapWidth val="182"/>
        <c:axId val="1254547536"/>
        <c:axId val="1265098768"/>
      </c:barChart>
      <c:catAx>
        <c:axId val="1254547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65098768"/>
        <c:crosses val="autoZero"/>
        <c:auto val="1"/>
        <c:lblAlgn val="ctr"/>
        <c:lblOffset val="100"/>
        <c:noMultiLvlLbl val="0"/>
      </c:catAx>
      <c:valAx>
        <c:axId val="12650987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5454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Number of Agreements signed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'2022 vs 2023'!$C$10</c:f>
              <c:strCache>
                <c:ptCount val="1"/>
                <c:pt idx="0">
                  <c:v>Jan-Apr 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vs 2023'!$D$9</c:f>
              <c:strCache>
                <c:ptCount val="1"/>
                <c:pt idx="0">
                  <c:v>Number of Agreements signed</c:v>
                </c:pt>
              </c:strCache>
            </c:strRef>
          </c:cat>
          <c:val>
            <c:numRef>
              <c:f>'2022 vs 2023'!$D$10</c:f>
              <c:numCache>
                <c:formatCode>General</c:formatCode>
                <c:ptCount val="1"/>
                <c:pt idx="0">
                  <c:v>33</c:v>
                </c:pt>
              </c:numCache>
            </c:numRef>
          </c:val>
          <c:extLst>
            <c:ext xmlns:c16="http://schemas.microsoft.com/office/drawing/2014/chart" uri="{C3380CC4-5D6E-409C-BE32-E72D297353CC}">
              <c16:uniqueId val="{00000000-EC57-493C-8D5B-BDAB9B8994C2}"/>
            </c:ext>
          </c:extLst>
        </c:ser>
        <c:ser>
          <c:idx val="1"/>
          <c:order val="1"/>
          <c:tx>
            <c:strRef>
              <c:f>'2022 vs 2023'!$C$11</c:f>
              <c:strCache>
                <c:ptCount val="1"/>
                <c:pt idx="0">
                  <c:v>Jan-Apr 2023</c:v>
                </c:pt>
              </c:strCache>
            </c:strRef>
          </c:tx>
          <c:spPr>
            <a:solidFill>
              <a:schemeClr val="accent2"/>
            </a:solidFill>
            <a:ln>
              <a:noFill/>
            </a:ln>
            <a:effectLst/>
          </c:spPr>
          <c:invertIfNegative val="0"/>
          <c:dLbls>
            <c:dLbl>
              <c:idx val="0"/>
              <c:tx>
                <c:rich>
                  <a:bodyPr/>
                  <a:lstStyle/>
                  <a:p>
                    <a:r>
                      <a:rPr lang="en-US"/>
                      <a:t>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B4-44B5-97C8-D8D3312C26C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vs 2023'!$D$9</c:f>
              <c:strCache>
                <c:ptCount val="1"/>
                <c:pt idx="0">
                  <c:v>Number of Agreements signed</c:v>
                </c:pt>
              </c:strCache>
            </c:strRef>
          </c:cat>
          <c:val>
            <c:numRef>
              <c:f>'2022 vs 2023'!$D$11</c:f>
              <c:numCache>
                <c:formatCode>General</c:formatCode>
                <c:ptCount val="1"/>
                <c:pt idx="0">
                  <c:v>28</c:v>
                </c:pt>
              </c:numCache>
            </c:numRef>
          </c:val>
          <c:extLst>
            <c:ext xmlns:c16="http://schemas.microsoft.com/office/drawing/2014/chart" uri="{C3380CC4-5D6E-409C-BE32-E72D297353CC}">
              <c16:uniqueId val="{00000001-EC57-493C-8D5B-BDAB9B8994C2}"/>
            </c:ext>
          </c:extLst>
        </c:ser>
        <c:dLbls>
          <c:dLblPos val="outEnd"/>
          <c:showLegendKey val="0"/>
          <c:showVal val="1"/>
          <c:showCatName val="0"/>
          <c:showSerName val="0"/>
          <c:showPercent val="0"/>
          <c:showBubbleSize val="0"/>
        </c:dLbls>
        <c:gapWidth val="219"/>
        <c:overlap val="-27"/>
        <c:axId val="1768531023"/>
        <c:axId val="1768531983"/>
      </c:barChart>
      <c:catAx>
        <c:axId val="1768531023"/>
        <c:scaling>
          <c:orientation val="minMax"/>
        </c:scaling>
        <c:delete val="1"/>
        <c:axPos val="b"/>
        <c:numFmt formatCode="General" sourceLinked="1"/>
        <c:majorTickMark val="out"/>
        <c:minorTickMark val="none"/>
        <c:tickLblPos val="nextTo"/>
        <c:crossAx val="1768531983"/>
        <c:crosses val="autoZero"/>
        <c:auto val="1"/>
        <c:lblAlgn val="ctr"/>
        <c:lblOffset val="100"/>
        <c:noMultiLvlLbl val="0"/>
      </c:catAx>
      <c:valAx>
        <c:axId val="1768531983"/>
        <c:scaling>
          <c:orientation val="minMax"/>
        </c:scaling>
        <c:delete val="1"/>
        <c:axPos val="l"/>
        <c:numFmt formatCode="General" sourceLinked="1"/>
        <c:majorTickMark val="out"/>
        <c:minorTickMark val="none"/>
        <c:tickLblPos val="nextTo"/>
        <c:crossAx val="1768531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a:t>Funds signed (in USD</a:t>
            </a:r>
            <a:r>
              <a:rPr lang="en-GB" sz="1100" b="1" baseline="0"/>
              <a:t> million</a:t>
            </a:r>
            <a:r>
              <a:rPr lang="en-GB" sz="1100" baseline="0"/>
              <a:t>)</a:t>
            </a:r>
            <a:endParaRPr lang="en-GB"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'2022 vs 2023'!$F$16</c:f>
              <c:strCache>
                <c:ptCount val="1"/>
                <c:pt idx="0">
                  <c:v>Jan-Apr 2022</c:v>
                </c:pt>
              </c:strCache>
            </c:strRef>
          </c:tx>
          <c:spPr>
            <a:solidFill>
              <a:schemeClr val="accent1"/>
            </a:solidFill>
            <a:ln>
              <a:noFill/>
            </a:ln>
            <a:effectLst/>
          </c:spPr>
          <c:invertIfNegative val="0"/>
          <c:dLbls>
            <c:dLbl>
              <c:idx val="0"/>
              <c:tx>
                <c:rich>
                  <a:bodyPr/>
                  <a:lstStyle/>
                  <a:p>
                    <a:r>
                      <a:rPr lang="en-US"/>
                      <a:t>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CC-44F2-87DC-8866B6ED1A9B}"/>
                </c:ext>
              </c:extLst>
            </c:dLbl>
            <c:dLbl>
              <c:idx val="1"/>
              <c:tx>
                <c:rich>
                  <a:bodyPr/>
                  <a:lstStyle/>
                  <a:p>
                    <a:r>
                      <a:rPr lang="en-US"/>
                      <a:t>0.5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CC-44F2-87DC-8866B6ED1A9B}"/>
                </c:ext>
              </c:extLst>
            </c:dLbl>
            <c:dLbl>
              <c:idx val="2"/>
              <c:tx>
                <c:rich>
                  <a:bodyPr/>
                  <a:lstStyle/>
                  <a:p>
                    <a:r>
                      <a:rPr lang="en-US"/>
                      <a:t>3.9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CC-44F2-87DC-8866B6ED1A9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vs 2023'!$G$15:$I$15</c:f>
              <c:strCache>
                <c:ptCount val="3"/>
                <c:pt idx="0">
                  <c:v>Partners</c:v>
                </c:pt>
                <c:pt idx="1">
                  <c:v>ITU </c:v>
                </c:pt>
                <c:pt idx="2">
                  <c:v>Total </c:v>
                </c:pt>
              </c:strCache>
              <c:extLst/>
            </c:strRef>
          </c:cat>
          <c:val>
            <c:numRef>
              <c:f>'2022 vs 2023'!$G$16:$I$16</c:f>
              <c:numCache>
                <c:formatCode>0.00</c:formatCode>
                <c:ptCount val="3"/>
                <c:pt idx="0">
                  <c:v>3.43</c:v>
                </c:pt>
                <c:pt idx="1">
                  <c:v>0.46</c:v>
                </c:pt>
                <c:pt idx="2">
                  <c:v>3.89</c:v>
                </c:pt>
              </c:numCache>
            </c:numRef>
          </c:val>
          <c:extLst>
            <c:ext xmlns:c16="http://schemas.microsoft.com/office/drawing/2014/chart" uri="{C3380CC4-5D6E-409C-BE32-E72D297353CC}">
              <c16:uniqueId val="{00000000-D7CC-44F2-87DC-8866B6ED1A9B}"/>
            </c:ext>
          </c:extLst>
        </c:ser>
        <c:ser>
          <c:idx val="1"/>
          <c:order val="1"/>
          <c:tx>
            <c:strRef>
              <c:f>'2022 vs 2023'!$F$17</c:f>
              <c:strCache>
                <c:ptCount val="1"/>
                <c:pt idx="0">
                  <c:v>Jan-Apr 2023</c:v>
                </c:pt>
              </c:strCache>
            </c:strRef>
          </c:tx>
          <c:spPr>
            <a:solidFill>
              <a:schemeClr val="accent2"/>
            </a:solidFill>
            <a:ln>
              <a:noFill/>
            </a:ln>
            <a:effectLst/>
          </c:spPr>
          <c:invertIfNegative val="0"/>
          <c:dLbls>
            <c:dLbl>
              <c:idx val="0"/>
              <c:tx>
                <c:rich>
                  <a:bodyPr/>
                  <a:lstStyle/>
                  <a:p>
                    <a:r>
                      <a:rPr lang="en-US"/>
                      <a:t>5.3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CC-44F2-87DC-8866B6ED1A9B}"/>
                </c:ext>
              </c:extLst>
            </c:dLbl>
            <c:dLbl>
              <c:idx val="1"/>
              <c:tx>
                <c:rich>
                  <a:bodyPr/>
                  <a:lstStyle/>
                  <a:p>
                    <a:r>
                      <a:rPr lang="en-US"/>
                      <a:t>0.1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CC-44F2-87DC-8866B6ED1A9B}"/>
                </c:ext>
              </c:extLst>
            </c:dLbl>
            <c:dLbl>
              <c:idx val="2"/>
              <c:tx>
                <c:rich>
                  <a:bodyPr/>
                  <a:lstStyle/>
                  <a:p>
                    <a:r>
                      <a:rPr lang="en-US"/>
                      <a:t>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7CC-44F2-87DC-8866B6ED1A9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vs 2023'!$G$15:$I$15</c:f>
              <c:strCache>
                <c:ptCount val="3"/>
                <c:pt idx="0">
                  <c:v>Partners</c:v>
                </c:pt>
                <c:pt idx="1">
                  <c:v>ITU </c:v>
                </c:pt>
                <c:pt idx="2">
                  <c:v>Total </c:v>
                </c:pt>
              </c:strCache>
              <c:extLst/>
            </c:strRef>
          </c:cat>
          <c:val>
            <c:numRef>
              <c:f>'2022 vs 2023'!$G$17:$I$17</c:f>
              <c:numCache>
                <c:formatCode>0.00</c:formatCode>
                <c:ptCount val="3"/>
                <c:pt idx="0">
                  <c:v>5.32</c:v>
                </c:pt>
                <c:pt idx="1">
                  <c:v>0.09</c:v>
                </c:pt>
                <c:pt idx="2">
                  <c:v>5.41</c:v>
                </c:pt>
              </c:numCache>
            </c:numRef>
          </c:val>
          <c:extLst>
            <c:ext xmlns:c16="http://schemas.microsoft.com/office/drawing/2014/chart" uri="{C3380CC4-5D6E-409C-BE32-E72D297353CC}">
              <c16:uniqueId val="{00000001-D7CC-44F2-87DC-8866B6ED1A9B}"/>
            </c:ext>
          </c:extLst>
        </c:ser>
        <c:dLbls>
          <c:dLblPos val="outEnd"/>
          <c:showLegendKey val="0"/>
          <c:showVal val="1"/>
          <c:showCatName val="0"/>
          <c:showSerName val="0"/>
          <c:showPercent val="0"/>
          <c:showBubbleSize val="0"/>
        </c:dLbls>
        <c:gapWidth val="219"/>
        <c:overlap val="-27"/>
        <c:axId val="237898464"/>
        <c:axId val="1245599344"/>
      </c:barChart>
      <c:catAx>
        <c:axId val="23789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45599344"/>
        <c:crosses val="autoZero"/>
        <c:auto val="1"/>
        <c:lblAlgn val="ctr"/>
        <c:lblOffset val="100"/>
        <c:noMultiLvlLbl val="0"/>
      </c:catAx>
      <c:valAx>
        <c:axId val="124559934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3789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'2022'!$C$77:$C$78</cx:f>
        <cx:lvl ptCount="2">
          <cx:pt idx="0">ITU component</cx:pt>
          <cx:pt idx="1">Partners' component</cx:pt>
        </cx:lvl>
      </cx:strDim>
      <cx:numDim type="size">
        <cx:f>'2022'!$D$77:$D$78</cx:f>
        <cx:lvl ptCount="2" formatCode="0%">
          <cx:pt idx="0">0.096685183573763822</cx:pt>
          <cx:pt idx="1">0.90331481642623634</cx:pt>
        </cx:lvl>
      </cx:numDim>
    </cx:data>
  </cx:chartData>
  <cx:chart>
    <cx:title pos="t" align="ctr" overlay="0">
      <cx:tx>
        <cx:txData>
          <cx:v>Co-financing arrangements  (2022)</cx:v>
        </cx:txData>
      </cx:tx>
      <cx:txPr>
        <a:bodyPr spcFirstLastPara="1" vertOverflow="ellipsis" horzOverflow="overflow" wrap="square" lIns="0" tIns="0" rIns="0" bIns="0" anchor="ctr" anchorCtr="1"/>
        <a:lstStyle/>
        <a:p>
          <a:pPr algn="ctr" rtl="0">
            <a:defRPr sz="1100">
              <a:solidFill>
                <a:schemeClr val="tx1">
                  <a:lumMod val="75000"/>
                  <a:lumOff val="25000"/>
                </a:schemeClr>
              </a:solidFill>
            </a:defRPr>
          </a:pPr>
          <a:r>
            <a:rPr lang="en-US" sz="1100" b="1" i="0" u="none" strike="noStrike" baseline="0">
              <a:solidFill>
                <a:schemeClr val="tx1">
                  <a:lumMod val="75000"/>
                  <a:lumOff val="25000"/>
                </a:schemeClr>
              </a:solidFill>
              <a:latin typeface="Calibri" panose="020F0502020204030204"/>
            </a:rPr>
            <a:t>Co-financing arrangements  (2022)</a:t>
          </a:r>
        </a:p>
      </cx:txPr>
    </cx:title>
    <cx:plotArea>
      <cx:plotAreaRegion>
        <cx:series layoutId="treemap" uniqueId="{02A70587-0A48-4FC3-8964-E639A99D8903}">
          <cx:dataLabels pos="inEnd">
            <cx:txPr>
              <a:bodyPr spcFirstLastPara="1" vertOverflow="ellipsis" horzOverflow="overflow" wrap="square" lIns="0" tIns="0" rIns="0" bIns="0" anchor="ctr" anchorCtr="1"/>
              <a:lstStyle/>
              <a:p>
                <a:pPr algn="ctr" rtl="0">
                  <a:defRPr sz="1100" b="1"/>
                </a:pPr>
                <a:endParaRPr lang="en-US" sz="1100" b="1" i="0" u="none" strike="noStrike" baseline="0">
                  <a:solidFill>
                    <a:sysClr val="window" lastClr="FFFFFF"/>
                  </a:solidFill>
                  <a:latin typeface="Calibri"/>
                </a:endParaRPr>
              </a:p>
            </cx:txPr>
            <cx:visibility seriesName="0" categoryName="0" value="1"/>
            <cx:separator>, </cx:separator>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b="1">
              <a:solidFill>
                <a:schemeClr val="tx1"/>
              </a:solidFill>
            </a:defRPr>
          </a:pPr>
          <a:endParaRPr lang="en-US" sz="900" b="1" i="0" u="none" strike="noStrike" baseline="0">
            <a:solidFill>
              <a:schemeClr val="tx1"/>
            </a:solidFill>
            <a:latin typeface="Calibri"/>
          </a:endParaRPr>
        </a:p>
      </cx:txPr>
    </cx:legend>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'Types partner'!$B$29:$B$32</cx:f>
        <cx:lvl ptCount="4">
          <cx:pt idx="0">Financial Institutions</cx:pt>
          <cx:pt idx="1">Governmental entities </cx:pt>
          <cx:pt idx="2">Private Sector entities </cx:pt>
          <cx:pt idx="3">UN organizations </cx:pt>
        </cx:lvl>
      </cx:strDim>
      <cx:numDim type="size">
        <cx:f>'Types partner'!$C$29:$C$32</cx:f>
        <cx:lvl ptCount="4" formatCode="0%">
          <cx:pt idx="0">0.61143761497449645</cx:pt>
          <cx:pt idx="1">0.3091815300908442</cx:pt>
          <cx:pt idx="2">0.02298625212372675</cx:pt>
          <cx:pt idx="3">0.05639460281093258</cx:pt>
        </cx:lvl>
      </cx:numDim>
    </cx:data>
  </cx:chartData>
  <cx:chart>
    <cx:title pos="t" align="ctr" overlay="0">
      <cx:tx>
        <cx:txData>
          <cx:v>BDT Partners' financial contributions per type (1 Jan. - 30 Apr. 2023)</cx:v>
        </cx:txData>
      </cx:tx>
      <cx:txPr>
        <a:bodyPr spcFirstLastPara="1" vertOverflow="ellipsis" horzOverflow="overflow" wrap="square" lIns="0" tIns="0" rIns="0" bIns="0" anchor="ctr" anchorCtr="1"/>
        <a:lstStyle/>
        <a:p>
          <a:pPr rtl="0" fontAlgn="base"/>
          <a:r>
            <a:rPr lang="en-US" sz="1100" b="1" i="0" baseline="0">
              <a:solidFill>
                <a:schemeClr val="tx1">
                  <a:lumMod val="65000"/>
                  <a:lumOff val="35000"/>
                </a:schemeClr>
              </a:solidFill>
              <a:effectLst/>
              <a:latin typeface="+mn-lt"/>
            </a:rPr>
            <a:t>BDT Partners' financial contributions per type (1 Jan. - 30 Apr. 2023)</a:t>
          </a:r>
        </a:p>
      </cx:txPr>
    </cx:title>
    <cx:plotArea>
      <cx:plotAreaRegion>
        <cx:series layoutId="treemap" uniqueId="{4A76A414-86C1-474D-9F82-146896780B65}">
          <cx:tx>
            <cx:txData>
              <cx:f>'Types partner'!$C$28</cx:f>
              <cx:v>Funds signed</cx:v>
            </cx:txData>
          </cx:tx>
          <cx:dataLabels pos="inEnd">
            <cx:txPr>
              <a:bodyPr spcFirstLastPara="1" vertOverflow="ellipsis" horzOverflow="overflow" wrap="square" lIns="0" tIns="0" rIns="0" bIns="0" anchor="ctr" anchorCtr="1"/>
              <a:lstStyle/>
              <a:p>
                <a:pPr algn="ctr" rtl="0">
                  <a:defRPr sz="1050" b="1"/>
                </a:pPr>
                <a:endParaRPr lang="en-US" sz="1050" b="1" i="0" u="none" strike="noStrike" baseline="0">
                  <a:solidFill>
                    <a:sysClr val="window" lastClr="FFFFFF"/>
                  </a:solidFill>
                  <a:latin typeface="Calibri"/>
                </a:endParaRPr>
              </a:p>
            </cx:txPr>
            <cx:visibility seriesName="0" categoryName="0" value="1"/>
            <cx:separator>, </cx:separator>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b="1"/>
          </a:pPr>
          <a:endParaRPr lang="en-US" sz="900" b="1" i="0" u="none" strike="noStrike" baseline="0">
            <a:solidFill>
              <a:sysClr val="windowText" lastClr="000000">
                <a:lumMod val="65000"/>
                <a:lumOff val="35000"/>
              </a:sysClr>
            </a:solidFill>
            <a:latin typeface="Calibri"/>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5BF46-F933-4D58-A458-E00AC119AF27}">
  <ds:schemaRefs>
    <ds:schemaRef ds:uri="http://schemas.microsoft.com/sharepoint/v3/contenttype/forms"/>
  </ds:schemaRefs>
</ds:datastoreItem>
</file>

<file path=customXml/itemProps2.xml><?xml version="1.0" encoding="utf-8"?>
<ds:datastoreItem xmlns:ds="http://schemas.openxmlformats.org/officeDocument/2006/customXml" ds:itemID="{5A16BFEE-B118-4907-9EFF-6B703ADBC5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AB0FEB-7DA8-4488-8BD1-8979029FB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2A08A-29CE-428D-A4AC-3F0F4A3E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1401</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4</cp:revision>
  <cp:lastPrinted>2023-05-03T12:08:00Z</cp:lastPrinted>
  <dcterms:created xsi:type="dcterms:W3CDTF">2023-05-11T08:28:00Z</dcterms:created>
  <dcterms:modified xsi:type="dcterms:W3CDTF">2023-05-11T08:29:00Z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