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5C5A93" w14:paraId="3F0E9EC4" w14:textId="77777777" w:rsidTr="005C5A93">
        <w:trPr>
          <w:cantSplit/>
          <w:trHeight w:val="1134"/>
        </w:trPr>
        <w:tc>
          <w:tcPr>
            <w:tcW w:w="6379" w:type="dxa"/>
          </w:tcPr>
          <w:p w14:paraId="1570562D" w14:textId="77777777" w:rsidR="005C5A93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11A6CB66" w:rsidR="005C5A93" w:rsidRPr="00844A56" w:rsidRDefault="005C5A93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1428984F" w:rsidR="005C5A93" w:rsidRPr="00683C32" w:rsidRDefault="005C5A93" w:rsidP="005C5A93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56158A9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5C5A93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D01DC7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4E5CF6D9" w:rsidR="00683C32" w:rsidRPr="007F1CC7" w:rsidRDefault="00D850CC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5</w:t>
            </w:r>
            <w:r w:rsidR="00321234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May</w:t>
            </w:r>
            <w:bookmarkStart w:id="3" w:name="_GoBack"/>
            <w:bookmarkEnd w:id="3"/>
            <w:r w:rsidR="00CE0422" w:rsidRPr="0050680B">
              <w:rPr>
                <w:b/>
                <w:bCs/>
                <w:szCs w:val="28"/>
              </w:rPr>
              <w:t xml:space="preserve"> 20</w:t>
            </w:r>
            <w:r w:rsidR="00B648C7" w:rsidRPr="0050680B">
              <w:rPr>
                <w:b/>
                <w:bCs/>
                <w:szCs w:val="28"/>
              </w:rPr>
              <w:t>2</w:t>
            </w:r>
            <w:r w:rsidR="005C5A93" w:rsidRPr="0050680B">
              <w:rPr>
                <w:b/>
                <w:bCs/>
                <w:szCs w:val="28"/>
              </w:rPr>
              <w:t>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4" w:name="Original"/>
            <w:bookmarkEnd w:id="4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8B46CD4" w:rsidR="00A13162" w:rsidRPr="0030353C" w:rsidRDefault="00B70970" w:rsidP="0030353C">
            <w:pPr>
              <w:pStyle w:val="Source"/>
            </w:pPr>
            <w:bookmarkStart w:id="5" w:name="Source"/>
            <w:bookmarkEnd w:id="5"/>
            <w:r w:rsidRPr="00B70970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D2E3527" w:rsidR="00AC6F14" w:rsidRPr="0030353C" w:rsidRDefault="00791DBE" w:rsidP="00791DBE">
            <w:pPr>
              <w:pStyle w:val="Title1"/>
            </w:pPr>
            <w:bookmarkStart w:id="6" w:name="Title"/>
            <w:bookmarkEnd w:id="6"/>
            <w:r>
              <w:t xml:space="preserve">Report on the work of the Expert Group on </w:t>
            </w:r>
            <w:r w:rsidR="00B70970">
              <w:t xml:space="preserve">International Telecommunication Regulations (EG-ITRs) to TDAG 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31B5835" w14:textId="6BF7624C" w:rsidR="00B70970" w:rsidRPr="004A34BD" w:rsidRDefault="00B70970" w:rsidP="00B70970">
            <w:pPr>
              <w:rPr>
                <w:bCs/>
                <w:szCs w:val="24"/>
              </w:rPr>
            </w:pPr>
            <w:r w:rsidRPr="004A34BD">
              <w:rPr>
                <w:szCs w:val="24"/>
              </w:rPr>
              <w:t xml:space="preserve">This progress report presents the </w:t>
            </w:r>
            <w:r>
              <w:rPr>
                <w:szCs w:val="24"/>
              </w:rPr>
              <w:t>situation of the</w:t>
            </w:r>
            <w:r w:rsidRPr="004A34BD">
              <w:rPr>
                <w:szCs w:val="24"/>
              </w:rPr>
              <w:t xml:space="preserve"> International Telecommunication Regulations (ITRs), </w:t>
            </w:r>
            <w:r>
              <w:rPr>
                <w:szCs w:val="24"/>
              </w:rPr>
              <w:t xml:space="preserve">as a follow up to Resolution 146 </w:t>
            </w:r>
            <w:r w:rsidRPr="00B70970">
              <w:rPr>
                <w:szCs w:val="24"/>
              </w:rPr>
              <w:t>(Rev. Bucharest, 2022): Periodic Review of the International Telecommunication Regulations</w:t>
            </w:r>
            <w:r>
              <w:t>.</w:t>
            </w:r>
          </w:p>
          <w:p w14:paraId="76A1C541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321A756D" w14:textId="54EAA4A8" w:rsidR="002E0D4A" w:rsidRDefault="002E0D4A" w:rsidP="008F6D49">
            <w:pPr>
              <w:rPr>
                <w:iCs/>
                <w:lang w:val="en-US"/>
              </w:rPr>
            </w:pPr>
            <w:r>
              <w:rPr>
                <w:bCs/>
                <w:szCs w:val="24"/>
              </w:rPr>
              <w:t xml:space="preserve">Pursuant to </w:t>
            </w:r>
            <w:r w:rsidRPr="00247585">
              <w:rPr>
                <w:iCs/>
              </w:rPr>
              <w:t>Resolution 146 (Rev. Bucharest, 2022)</w:t>
            </w:r>
            <w:r>
              <w:rPr>
                <w:iCs/>
              </w:rPr>
              <w:t xml:space="preserve"> which</w:t>
            </w:r>
            <w:r w:rsidRPr="00247585">
              <w:rPr>
                <w:iCs/>
              </w:rPr>
              <w:t xml:space="preserve"> </w:t>
            </w:r>
            <w:r w:rsidR="00F83711">
              <w:rPr>
                <w:iCs/>
              </w:rPr>
              <w:t>“</w:t>
            </w:r>
            <w:r w:rsidR="00F83711" w:rsidRPr="0051120E">
              <w:rPr>
                <w:i/>
              </w:rPr>
              <w:t xml:space="preserve">instructs the </w:t>
            </w:r>
            <w:r w:rsidR="00F83711" w:rsidRPr="0051120E">
              <w:rPr>
                <w:i/>
                <w:lang w:val="en-US"/>
              </w:rPr>
              <w:t xml:space="preserve">Directors of the Bureaux </w:t>
            </w:r>
            <w:r w:rsidR="00F83711" w:rsidRPr="0051120E">
              <w:rPr>
                <w:i/>
              </w:rPr>
              <w:t>each within their field of competence, with advice from the relevant advisory group, to contribute to the activities of EG-ITR, recognizing that the ITU Telecommunication Standardization Sector has most of the work relevant to the ITRs</w:t>
            </w:r>
            <w:r w:rsidR="00F83711">
              <w:t>.</w:t>
            </w:r>
            <w:r>
              <w:rPr>
                <w:iCs/>
                <w:lang w:val="en-US"/>
              </w:rPr>
              <w:t xml:space="preserve">” </w:t>
            </w:r>
          </w:p>
          <w:p w14:paraId="0D1EBEA1" w14:textId="1A88667C" w:rsidR="002E0D4A" w:rsidRDefault="002E0D4A" w:rsidP="002E0D4A">
            <w:r w:rsidRPr="004A34BD">
              <w:rPr>
                <w:bCs/>
                <w:szCs w:val="24"/>
              </w:rPr>
              <w:t xml:space="preserve">TDAG is invited to </w:t>
            </w:r>
            <w:r w:rsidR="00946925">
              <w:rPr>
                <w:bCs/>
                <w:szCs w:val="24"/>
              </w:rPr>
              <w:t xml:space="preserve">take </w:t>
            </w:r>
            <w:r w:rsidRPr="004A34BD">
              <w:rPr>
                <w:bCs/>
                <w:szCs w:val="24"/>
              </w:rPr>
              <w:t xml:space="preserve">note </w:t>
            </w:r>
            <w:r w:rsidR="00946925">
              <w:rPr>
                <w:bCs/>
                <w:szCs w:val="24"/>
              </w:rPr>
              <w:t xml:space="preserve">of </w:t>
            </w:r>
            <w:r w:rsidRPr="004A34BD">
              <w:rPr>
                <w:bCs/>
                <w:szCs w:val="24"/>
              </w:rPr>
              <w:t xml:space="preserve">this document </w:t>
            </w:r>
            <w:r>
              <w:t>at its 30</w:t>
            </w:r>
            <w:r w:rsidRPr="002E0D4A">
              <w:rPr>
                <w:vertAlign w:val="superscript"/>
              </w:rPr>
              <w:t>th</w:t>
            </w:r>
            <w:r>
              <w:t xml:space="preserve"> meeting in June 2023. </w:t>
            </w:r>
          </w:p>
          <w:p w14:paraId="622ACB8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1ECDD20E" w14:textId="614625C0" w:rsidR="00A721F4" w:rsidRPr="00D9621A" w:rsidRDefault="002E0D4A" w:rsidP="00EA0C51">
            <w:pPr>
              <w:spacing w:after="120"/>
            </w:pPr>
            <w:r>
              <w:t>Resolution 146 (Rev. Bucharest, 2022): Periodic Review of the International Telecommunication Regulations.</w:t>
            </w:r>
          </w:p>
        </w:tc>
      </w:tr>
    </w:tbl>
    <w:p w14:paraId="77CF718B" w14:textId="77777777" w:rsidR="00AC6F14" w:rsidRDefault="00AC6F14" w:rsidP="00EA0C51">
      <w:pPr>
        <w:spacing w:after="120"/>
      </w:pPr>
    </w:p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6625B49" w14:textId="5D99EF39" w:rsidR="00087206" w:rsidRDefault="00087206" w:rsidP="00321234">
      <w:pPr>
        <w:pStyle w:val="ListParagraph"/>
        <w:numPr>
          <w:ilvl w:val="0"/>
          <w:numId w:val="2"/>
        </w:numPr>
        <w:snapToGrid w:val="0"/>
        <w:spacing w:before="360" w:after="120"/>
        <w:ind w:left="357" w:hanging="357"/>
        <w:jc w:val="both"/>
        <w:rPr>
          <w:b/>
          <w:bCs/>
        </w:rPr>
      </w:pPr>
      <w:r>
        <w:rPr>
          <w:b/>
          <w:bCs/>
        </w:rPr>
        <w:lastRenderedPageBreak/>
        <w:t>Background</w:t>
      </w:r>
    </w:p>
    <w:p w14:paraId="26504781" w14:textId="77777777" w:rsidR="00AE49DD" w:rsidRDefault="00443D8C" w:rsidP="00AE49DD">
      <w:pPr>
        <w:snapToGrid w:val="0"/>
        <w:spacing w:after="120"/>
        <w:jc w:val="both"/>
        <w:rPr>
          <w:lang w:val="en-US"/>
        </w:rPr>
      </w:pPr>
      <w:r>
        <w:t xml:space="preserve">The objective of this </w:t>
      </w:r>
      <w:r w:rsidR="00F76524">
        <w:t>document</w:t>
      </w:r>
      <w:r>
        <w:t xml:space="preserve"> is to</w:t>
      </w:r>
      <w:r w:rsidR="00AE49DD">
        <w:t xml:space="preserve"> </w:t>
      </w:r>
      <w:r w:rsidR="00AE49DD">
        <w:rPr>
          <w:szCs w:val="24"/>
        </w:rPr>
        <w:t>present</w:t>
      </w:r>
      <w:r w:rsidR="00AE49DD">
        <w:rPr>
          <w:rFonts w:eastAsia="Arial Unicode MS" w:cstheme="minorHAnsi"/>
        </w:rPr>
        <w:t xml:space="preserve"> the instructions received from the 2022 Plenipotentiary Conference on the p</w:t>
      </w:r>
      <w:r w:rsidR="00AE49DD" w:rsidRPr="00BE15FE">
        <w:t xml:space="preserve">eriodic review of the </w:t>
      </w:r>
      <w:r w:rsidRPr="00AE49DD">
        <w:t>International Telecommunication Regulations (ITRs),</w:t>
      </w:r>
      <w:r>
        <w:t xml:space="preserve"> as mandated by the </w:t>
      </w:r>
      <w:r w:rsidR="00F73B85">
        <w:t>ITU</w:t>
      </w:r>
      <w:r w:rsidR="00946925">
        <w:t xml:space="preserve"> </w:t>
      </w:r>
      <w:r w:rsidR="00B57F75" w:rsidRPr="00B57F75">
        <w:t>Plenipotentiary Conference</w:t>
      </w:r>
      <w:r w:rsidR="00B57F75">
        <w:t xml:space="preserve"> (</w:t>
      </w:r>
      <w:r w:rsidR="00896806">
        <w:t xml:space="preserve">Bucharest, </w:t>
      </w:r>
      <w:r w:rsidR="00B57F75" w:rsidRPr="00B57F75">
        <w:t>26 September to 14 October 2022</w:t>
      </w:r>
      <w:r w:rsidR="00B57F75">
        <w:t xml:space="preserve">) </w:t>
      </w:r>
      <w:r>
        <w:t xml:space="preserve">following the approval of </w:t>
      </w:r>
      <w:r w:rsidR="00B57F75">
        <w:t xml:space="preserve">Resolution 146 (Rev. Bucharest, 2022) on </w:t>
      </w:r>
      <w:r w:rsidR="00B57F75" w:rsidRPr="00324E28">
        <w:t>Periodic review of the ITRs</w:t>
      </w:r>
      <w:r w:rsidR="00F73B85">
        <w:t xml:space="preserve">. </w:t>
      </w:r>
      <w:r>
        <w:t xml:space="preserve">Resolution 146 (Rev. Bucharest, 2022) </w:t>
      </w:r>
      <w:r w:rsidR="00B57F75">
        <w:t xml:space="preserve">resolved </w:t>
      </w:r>
      <w:r w:rsidR="00B57F75" w:rsidRPr="00247585">
        <w:t xml:space="preserve">to continue </w:t>
      </w:r>
      <w:r w:rsidR="00B57F75">
        <w:t xml:space="preserve">with the </w:t>
      </w:r>
      <w:r w:rsidR="00B57F75" w:rsidRPr="00247585">
        <w:t>consideration of issues relating to the ITRs, including their review</w:t>
      </w:r>
      <w:r w:rsidR="00B57F75" w:rsidRPr="00B57F75">
        <w:rPr>
          <w:lang w:val="en-US"/>
        </w:rPr>
        <w:t>.</w:t>
      </w:r>
      <w:r w:rsidR="00F76524">
        <w:rPr>
          <w:lang w:val="en-US"/>
        </w:rPr>
        <w:t xml:space="preserve"> </w:t>
      </w:r>
    </w:p>
    <w:p w14:paraId="63499F28" w14:textId="4DB4A5FA" w:rsidR="00087206" w:rsidRPr="0026045A" w:rsidRDefault="00087206" w:rsidP="00321234">
      <w:pPr>
        <w:pStyle w:val="ListParagraph"/>
        <w:numPr>
          <w:ilvl w:val="0"/>
          <w:numId w:val="2"/>
        </w:numPr>
        <w:snapToGrid w:val="0"/>
        <w:spacing w:before="360" w:after="120"/>
        <w:ind w:left="357" w:hanging="357"/>
        <w:jc w:val="both"/>
        <w:rPr>
          <w:b/>
          <w:bCs/>
        </w:rPr>
      </w:pPr>
      <w:r w:rsidRPr="0026045A">
        <w:rPr>
          <w:b/>
          <w:bCs/>
        </w:rPr>
        <w:t>Periodic review of the ITRs</w:t>
      </w:r>
    </w:p>
    <w:p w14:paraId="32A67E76" w14:textId="3F4E592A" w:rsidR="00087206" w:rsidRPr="008D5713" w:rsidRDefault="00087206" w:rsidP="00087206">
      <w:pPr>
        <w:snapToGrid w:val="0"/>
        <w:spacing w:after="120"/>
        <w:jc w:val="both"/>
        <w:rPr>
          <w:lang w:val="en-US"/>
        </w:rPr>
      </w:pPr>
      <w:r>
        <w:t xml:space="preserve">Resolution 146 (Rev. Bucharest, 2022) </w:t>
      </w:r>
      <w:r w:rsidRPr="00A728A8">
        <w:rPr>
          <w:lang w:val="en-US"/>
        </w:rPr>
        <w:t>instructs the Secretary-General</w:t>
      </w:r>
      <w:r>
        <w:rPr>
          <w:lang w:val="en-US"/>
        </w:rPr>
        <w:t xml:space="preserve"> </w:t>
      </w:r>
      <w:r w:rsidRPr="00A728A8">
        <w:rPr>
          <w:lang w:val="en-US"/>
        </w:rPr>
        <w:t>to</w:t>
      </w:r>
      <w:r w:rsidRPr="00247585">
        <w:t xml:space="preserve"> reconvene an EG</w:t>
      </w:r>
      <w:r w:rsidRPr="00247585">
        <w:rPr>
          <w:rFonts w:ascii="Cambria Math" w:hAnsi="Cambria Math" w:cs="Cambria Math"/>
        </w:rPr>
        <w:t>‑</w:t>
      </w:r>
      <w:r w:rsidRPr="00247585">
        <w:t>ITR, open to the ITU Member States and Sector Members, with terms</w:t>
      </w:r>
      <w:r>
        <w:t xml:space="preserve"> </w:t>
      </w:r>
      <w:r w:rsidRPr="00247585">
        <w:t xml:space="preserve">of reference and working methods established by the ITU </w:t>
      </w:r>
      <w:r w:rsidRPr="008D5713">
        <w:t>Council</w:t>
      </w:r>
      <w:r w:rsidR="008D5713" w:rsidRPr="008D5713">
        <w:t xml:space="preserve"> and to submit the report of EG</w:t>
      </w:r>
      <w:r w:rsidR="008D5713" w:rsidRPr="008D5713">
        <w:noBreakHyphen/>
        <w:t>ITR on the outcome of the review to the Council for consideration, publication and subsequent submission to the 2026 plenipotentiary conference.</w:t>
      </w:r>
      <w:r w:rsidRPr="008D5713">
        <w:rPr>
          <w:lang w:val="en-US"/>
        </w:rPr>
        <w:t xml:space="preserve"> </w:t>
      </w:r>
    </w:p>
    <w:p w14:paraId="384E4A70" w14:textId="167B5925" w:rsidR="00087206" w:rsidRPr="008D5713" w:rsidRDefault="008F6D49" w:rsidP="008D5713">
      <w:pPr>
        <w:snapToGrid w:val="0"/>
        <w:spacing w:after="120"/>
        <w:jc w:val="both"/>
        <w:rPr>
          <w:lang w:val="en-US"/>
        </w:rPr>
      </w:pPr>
      <w:r w:rsidRPr="008D5713">
        <w:t xml:space="preserve">In this sense, </w:t>
      </w:r>
      <w:r w:rsidR="001C7520" w:rsidRPr="008D5713">
        <w:t>R</w:t>
      </w:r>
      <w:r w:rsidRPr="008D5713">
        <w:t xml:space="preserve">esolution </w:t>
      </w:r>
      <w:r w:rsidR="001C7520" w:rsidRPr="008D5713">
        <w:t xml:space="preserve">146 </w:t>
      </w:r>
      <w:r w:rsidRPr="008D5713">
        <w:t xml:space="preserve">also </w:t>
      </w:r>
      <w:r w:rsidR="00087206" w:rsidRPr="008D5713">
        <w:rPr>
          <w:lang w:val="en-US"/>
        </w:rPr>
        <w:t xml:space="preserve">instructs the </w:t>
      </w:r>
      <w:r w:rsidR="008D5713" w:rsidRPr="008D5713">
        <w:rPr>
          <w:lang w:val="en-US"/>
        </w:rPr>
        <w:t xml:space="preserve">ITU </w:t>
      </w:r>
      <w:r w:rsidR="00087206" w:rsidRPr="008D5713">
        <w:rPr>
          <w:lang w:val="en-US"/>
        </w:rPr>
        <w:t>Council to review and revise</w:t>
      </w:r>
      <w:r w:rsidRPr="008D5713">
        <w:rPr>
          <w:lang w:val="en-US"/>
        </w:rPr>
        <w:t xml:space="preserve"> the terms of reference for EG</w:t>
      </w:r>
      <w:r w:rsidRPr="008D5713">
        <w:rPr>
          <w:lang w:val="en-US"/>
        </w:rPr>
        <w:noBreakHyphen/>
        <w:t>ITR</w:t>
      </w:r>
      <w:r w:rsidR="00087206" w:rsidRPr="008D5713">
        <w:rPr>
          <w:lang w:val="en-US"/>
        </w:rPr>
        <w:t>, at its 2023 session</w:t>
      </w:r>
      <w:r w:rsidRPr="008D5713">
        <w:rPr>
          <w:lang w:val="en-US"/>
        </w:rPr>
        <w:t xml:space="preserve"> </w:t>
      </w:r>
      <w:r w:rsidR="00B27670">
        <w:rPr>
          <w:lang w:val="en-US"/>
        </w:rPr>
        <w:t>(</w:t>
      </w:r>
      <w:r w:rsidRPr="008D5713">
        <w:rPr>
          <w:lang w:val="en-US"/>
        </w:rPr>
        <w:t>to be held from 11 to 21 June</w:t>
      </w:r>
      <w:r w:rsidR="00B27670">
        <w:rPr>
          <w:lang w:val="en-US"/>
        </w:rPr>
        <w:t>)</w:t>
      </w:r>
      <w:r w:rsidRPr="008D5713">
        <w:rPr>
          <w:lang w:val="en-US"/>
        </w:rPr>
        <w:t>,</w:t>
      </w:r>
      <w:r w:rsidR="00087206" w:rsidRPr="008D5713">
        <w:rPr>
          <w:lang w:val="en-US"/>
        </w:rPr>
        <w:t xml:space="preserve"> to examine the reports of </w:t>
      </w:r>
      <w:r w:rsidR="00087206" w:rsidRPr="008D5713">
        <w:rPr>
          <w:rFonts w:cs="TimesNewRoman,Italic"/>
          <w:szCs w:val="24"/>
          <w:lang w:val="en-US" w:eastAsia="zh-CN"/>
        </w:rPr>
        <w:t>EG</w:t>
      </w:r>
      <w:r w:rsidR="00087206" w:rsidRPr="008D5713">
        <w:rPr>
          <w:rFonts w:cs="TimesNewRoman,Italic"/>
          <w:szCs w:val="24"/>
          <w:lang w:val="en-US" w:eastAsia="zh-CN"/>
        </w:rPr>
        <w:noBreakHyphen/>
        <w:t>ITR</w:t>
      </w:r>
      <w:r w:rsidR="00087206" w:rsidRPr="008D5713">
        <w:rPr>
          <w:lang w:val="en-US"/>
        </w:rPr>
        <w:t xml:space="preserve"> at its annual sessions</w:t>
      </w:r>
      <w:r w:rsidR="008D5713" w:rsidRPr="008D5713">
        <w:rPr>
          <w:lang w:val="en-US"/>
        </w:rPr>
        <w:t xml:space="preserve"> and submit the final report of EG-ITR to the 2026 plenipotentiary conference with the Council's comments.</w:t>
      </w:r>
    </w:p>
    <w:p w14:paraId="01435E04" w14:textId="5285A122" w:rsidR="00B57F75" w:rsidRDefault="008F6D49" w:rsidP="00321234">
      <w:r>
        <w:rPr>
          <w:lang w:val="en-US"/>
        </w:rPr>
        <w:t xml:space="preserve">It is important to highlight </w:t>
      </w:r>
      <w:r w:rsidR="001C7520">
        <w:rPr>
          <w:lang w:val="en-US"/>
        </w:rPr>
        <w:t>that this resolution</w:t>
      </w:r>
      <w:r w:rsidR="00087206" w:rsidRPr="00247585">
        <w:rPr>
          <w:iCs/>
        </w:rPr>
        <w:t xml:space="preserve"> </w:t>
      </w:r>
      <w:r w:rsidR="00F83711">
        <w:rPr>
          <w:iCs/>
        </w:rPr>
        <w:t>“</w:t>
      </w:r>
      <w:r w:rsidR="00225369" w:rsidRPr="00225369">
        <w:rPr>
          <w:i/>
          <w:lang w:val="en-US"/>
        </w:rPr>
        <w:t>instructs the Directors of the Bureaux 1) each within their field of competence, with advice from the relevant advisory group, to contribute to the activities of EG-ITR, recognizing that the ITU Telecommunication Standardization Sector has most of the work relevant to the ITRs; 2) to submit the results of their work to EG</w:t>
      </w:r>
      <w:r w:rsidR="00225369" w:rsidRPr="00225369">
        <w:rPr>
          <w:rFonts w:ascii="Cambria Math" w:hAnsi="Cambria Math" w:cs="Cambria Math"/>
          <w:i/>
          <w:lang w:val="en-US"/>
        </w:rPr>
        <w:t>‑</w:t>
      </w:r>
      <w:r w:rsidR="00225369" w:rsidRPr="00225369">
        <w:rPr>
          <w:i/>
          <w:lang w:val="en-US"/>
        </w:rPr>
        <w:t>ITR; 3) to consider providing fellowships, where resources are available, for developing</w:t>
      </w:r>
      <w:r w:rsidR="00896806">
        <w:rPr>
          <w:rStyle w:val="FootnoteReference"/>
          <w:i/>
          <w:lang w:val="en-US"/>
        </w:rPr>
        <w:footnoteReference w:id="1"/>
      </w:r>
      <w:r w:rsidR="00225369" w:rsidRPr="00225369">
        <w:rPr>
          <w:i/>
          <w:lang w:val="en-US"/>
        </w:rPr>
        <w:t xml:space="preserve"> and least developed countries according to the list established by the United Nations, in order to widen their participation in the expert group</w:t>
      </w:r>
      <w:r w:rsidR="00F83711">
        <w:rPr>
          <w:rFonts w:cs="TimesNewRoman,Italic"/>
          <w:iCs/>
          <w:szCs w:val="24"/>
          <w:lang w:val="en-US" w:eastAsia="zh-CN"/>
        </w:rPr>
        <w:t>”</w:t>
      </w:r>
      <w:r w:rsidR="00087206">
        <w:rPr>
          <w:iCs/>
          <w:lang w:val="en-US"/>
        </w:rPr>
        <w:t xml:space="preserve">. </w:t>
      </w:r>
      <w:bookmarkStart w:id="7" w:name="Proposal"/>
      <w:bookmarkEnd w:id="7"/>
    </w:p>
    <w:p w14:paraId="7759C759" w14:textId="7BF80B39" w:rsidR="00821996" w:rsidRDefault="003C58BF" w:rsidP="0032123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03893" w14:textId="77777777" w:rsidR="00C70376" w:rsidRDefault="00C70376">
      <w:r>
        <w:separator/>
      </w:r>
    </w:p>
  </w:endnote>
  <w:endnote w:type="continuationSeparator" w:id="0">
    <w:p w14:paraId="1433E4FA" w14:textId="77777777" w:rsidR="00C70376" w:rsidRDefault="00C7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0CA59F1A" w:rsidR="0059420B" w:rsidRPr="00896806" w:rsidRDefault="0089680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Ms Carmen Prado-Wagner</w:t>
          </w:r>
          <w:r w:rsidRPr="00896806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Senior Officer, Regulatory and Market Environment (RME),</w:t>
          </w:r>
          <w:r w:rsidRPr="00896806">
            <w:rPr>
              <w:sz w:val="18"/>
              <w:szCs w:val="18"/>
              <w:lang w:val="en-US"/>
            </w:rPr>
            <w:t xml:space="preserve"> Telecommunication Development Bureau</w:t>
          </w:r>
        </w:p>
      </w:tc>
      <w:bookmarkStart w:id="8" w:name="OrgName"/>
      <w:bookmarkEnd w:id="8"/>
    </w:tr>
    <w:tr w:rsidR="0059420B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0757CB9C" w:rsidR="0059420B" w:rsidRPr="00AF7A97" w:rsidRDefault="0089680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+4122 730 6350</w:t>
          </w:r>
        </w:p>
      </w:tc>
      <w:bookmarkStart w:id="9" w:name="PhoneNo"/>
      <w:bookmarkEnd w:id="9"/>
    </w:tr>
    <w:tr w:rsidR="0059420B" w:rsidRPr="004D495C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7590D5AD" w:rsidR="0059420B" w:rsidRPr="00AF7A97" w:rsidRDefault="0089680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</w:t>
          </w:r>
          <w:r w:rsidRPr="00896806">
            <w:rPr>
              <w:sz w:val="18"/>
              <w:szCs w:val="18"/>
              <w:lang w:val="en-US"/>
            </w:rPr>
            <w:t>ar</w:t>
          </w:r>
          <w:r>
            <w:rPr>
              <w:sz w:val="18"/>
              <w:szCs w:val="18"/>
              <w:lang w:val="en-US"/>
            </w:rPr>
            <w:t>men.prado@itu.int</w:t>
          </w:r>
        </w:p>
      </w:tc>
      <w:bookmarkStart w:id="10" w:name="Email"/>
      <w:bookmarkEnd w:id="10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D850CC" w:rsidP="00B80157">
    <w:pPr>
      <w:pStyle w:val="Footer"/>
      <w:jc w:val="center"/>
      <w:rPr>
        <w:lang w:val="en-GB"/>
      </w:rPr>
    </w:pPr>
    <w:hyperlink r:id="rId1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15F19" w14:textId="77777777" w:rsidR="00C70376" w:rsidRDefault="00C70376">
      <w:r>
        <w:t>____________________</w:t>
      </w:r>
    </w:p>
  </w:footnote>
  <w:footnote w:type="continuationSeparator" w:id="0">
    <w:p w14:paraId="0CBE74A3" w14:textId="77777777" w:rsidR="00C70376" w:rsidRDefault="00C70376">
      <w:r>
        <w:continuationSeparator/>
      </w:r>
    </w:p>
  </w:footnote>
  <w:footnote w:id="1">
    <w:p w14:paraId="6126E4C5" w14:textId="4552ED8F" w:rsidR="00896806" w:rsidRPr="00515F01" w:rsidRDefault="00896806" w:rsidP="00515F01">
      <w:pPr>
        <w:pStyle w:val="FootnoteText"/>
        <w:spacing w:before="0"/>
        <w:ind w:left="0" w:firstLine="0"/>
        <w:rPr>
          <w:sz w:val="20"/>
          <w:lang w:val="en-US"/>
        </w:rPr>
      </w:pPr>
      <w:r w:rsidRPr="00515F01">
        <w:rPr>
          <w:rStyle w:val="FootnoteReference"/>
          <w:sz w:val="20"/>
        </w:rPr>
        <w:footnoteRef/>
      </w:r>
      <w:r w:rsidRPr="00515F01">
        <w:rPr>
          <w:sz w:val="20"/>
        </w:rPr>
        <w:t xml:space="preserve"> These include the least developed countries, small island developing states, landlocked 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70966593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5C5A93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321234">
      <w:rPr>
        <w:sz w:val="22"/>
        <w:szCs w:val="22"/>
        <w:lang w:val="de-CH"/>
      </w:rPr>
      <w:t>3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7637CA4"/>
    <w:multiLevelType w:val="hybridMultilevel"/>
    <w:tmpl w:val="179E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87206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7520"/>
    <w:rsid w:val="001D1E06"/>
    <w:rsid w:val="001F23E6"/>
    <w:rsid w:val="001F4238"/>
    <w:rsid w:val="00200A38"/>
    <w:rsid w:val="00200A46"/>
    <w:rsid w:val="0020148F"/>
    <w:rsid w:val="00211B6F"/>
    <w:rsid w:val="002143A3"/>
    <w:rsid w:val="00217CC3"/>
    <w:rsid w:val="00220AB6"/>
    <w:rsid w:val="0022120F"/>
    <w:rsid w:val="00225369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0D4A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1234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3D8C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1E78"/>
    <w:rsid w:val="004E20E5"/>
    <w:rsid w:val="004E64EA"/>
    <w:rsid w:val="004E7828"/>
    <w:rsid w:val="004F46AA"/>
    <w:rsid w:val="004F6A70"/>
    <w:rsid w:val="00500AD7"/>
    <w:rsid w:val="00502ABF"/>
    <w:rsid w:val="00504DB0"/>
    <w:rsid w:val="0050680B"/>
    <w:rsid w:val="00507C35"/>
    <w:rsid w:val="00510735"/>
    <w:rsid w:val="0051120E"/>
    <w:rsid w:val="00514D2F"/>
    <w:rsid w:val="00515F01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59F5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1DBE"/>
    <w:rsid w:val="00795294"/>
    <w:rsid w:val="007A1763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77467"/>
    <w:rsid w:val="008802F9"/>
    <w:rsid w:val="00883086"/>
    <w:rsid w:val="008879FD"/>
    <w:rsid w:val="00894C37"/>
    <w:rsid w:val="00896806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713"/>
    <w:rsid w:val="008D5E4F"/>
    <w:rsid w:val="008E34F0"/>
    <w:rsid w:val="008F14F5"/>
    <w:rsid w:val="008F4DC8"/>
    <w:rsid w:val="008F6D49"/>
    <w:rsid w:val="008F71C1"/>
    <w:rsid w:val="00902D41"/>
    <w:rsid w:val="00902F49"/>
    <w:rsid w:val="00904230"/>
    <w:rsid w:val="00914004"/>
    <w:rsid w:val="00914336"/>
    <w:rsid w:val="00922EC1"/>
    <w:rsid w:val="00923CF1"/>
    <w:rsid w:val="009301F1"/>
    <w:rsid w:val="009307DF"/>
    <w:rsid w:val="009359B8"/>
    <w:rsid w:val="00935FF0"/>
    <w:rsid w:val="009431F8"/>
    <w:rsid w:val="00946925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49DD"/>
    <w:rsid w:val="00AE5961"/>
    <w:rsid w:val="00AF0745"/>
    <w:rsid w:val="00AF4971"/>
    <w:rsid w:val="00AF5276"/>
    <w:rsid w:val="00AF7C86"/>
    <w:rsid w:val="00B01046"/>
    <w:rsid w:val="00B27670"/>
    <w:rsid w:val="00B27BEF"/>
    <w:rsid w:val="00B310F9"/>
    <w:rsid w:val="00B37866"/>
    <w:rsid w:val="00B412FB"/>
    <w:rsid w:val="00B4576B"/>
    <w:rsid w:val="00B46350"/>
    <w:rsid w:val="00B46DF3"/>
    <w:rsid w:val="00B57F75"/>
    <w:rsid w:val="00B648C7"/>
    <w:rsid w:val="00B66E8F"/>
    <w:rsid w:val="00B70970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7EF9"/>
    <w:rsid w:val="00C60A41"/>
    <w:rsid w:val="00C62DE8"/>
    <w:rsid w:val="00C62DFB"/>
    <w:rsid w:val="00C630E6"/>
    <w:rsid w:val="00C63812"/>
    <w:rsid w:val="00C64AF3"/>
    <w:rsid w:val="00C66F4D"/>
    <w:rsid w:val="00C67BB5"/>
    <w:rsid w:val="00C70376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DC7"/>
    <w:rsid w:val="00D01F54"/>
    <w:rsid w:val="00D040F7"/>
    <w:rsid w:val="00D04A76"/>
    <w:rsid w:val="00D10FC7"/>
    <w:rsid w:val="00D1519F"/>
    <w:rsid w:val="00D20E99"/>
    <w:rsid w:val="00D21C83"/>
    <w:rsid w:val="00D32FB0"/>
    <w:rsid w:val="00D35BDD"/>
    <w:rsid w:val="00D5334D"/>
    <w:rsid w:val="00D63006"/>
    <w:rsid w:val="00D72301"/>
    <w:rsid w:val="00D850CC"/>
    <w:rsid w:val="00D911DE"/>
    <w:rsid w:val="00D91B97"/>
    <w:rsid w:val="00D93ACC"/>
    <w:rsid w:val="00D93C08"/>
    <w:rsid w:val="00D95DAC"/>
    <w:rsid w:val="00DA0B53"/>
    <w:rsid w:val="00DA42DF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2157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27D1E"/>
    <w:rsid w:val="00F31498"/>
    <w:rsid w:val="00F32FEF"/>
    <w:rsid w:val="00F33B68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60B2"/>
    <w:rsid w:val="00F736F9"/>
    <w:rsid w:val="00F73833"/>
    <w:rsid w:val="00F73B85"/>
    <w:rsid w:val="00F76524"/>
    <w:rsid w:val="00F83711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B70970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32F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2F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2F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2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2FB0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2B6D-8D62-49FF-A515-395AF9426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3A3F6-5887-44AA-9267-F027DFC61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83E3-BC5C-42D3-A1DC-FC47AEB6F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FC031-56CA-4D95-A6D3-CB0A2A50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446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11</cp:revision>
  <cp:lastPrinted>2014-11-04T09:22:00Z</cp:lastPrinted>
  <dcterms:created xsi:type="dcterms:W3CDTF">2023-04-25T08:09:00Z</dcterms:created>
  <dcterms:modified xsi:type="dcterms:W3CDTF">2023-05-05T09:44:00Z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