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28D771B9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5622DD82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1298A077" w14:textId="77777777" w:rsidR="0094065A" w:rsidRPr="0093577B" w:rsidRDefault="0094065A" w:rsidP="00C85CB5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93577B">
              <w:rPr>
                <w:b/>
                <w:bCs/>
                <w:sz w:val="26"/>
                <w:szCs w:val="26"/>
                <w:rtl/>
                <w:lang w:bidi="ar-EG"/>
              </w:rPr>
              <w:t>الاجتماع</w:t>
            </w:r>
            <w:r w:rsidRPr="009357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الثلاثون، جنيف، سويسرا، </w:t>
            </w:r>
            <w:r w:rsidRPr="0093577B">
              <w:rPr>
                <w:b/>
                <w:bCs/>
                <w:sz w:val="26"/>
                <w:szCs w:val="26"/>
                <w:lang w:bidi="ar-EG"/>
              </w:rPr>
              <w:t>23-19</w:t>
            </w:r>
            <w:r w:rsidRPr="009357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يونيو </w:t>
            </w:r>
            <w:r w:rsidRPr="0093577B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0450BFB7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0D325D89" wp14:editId="603B1B5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761123D2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6C32A06B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D411D62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657FD89C" w14:textId="77777777" w:rsidTr="00F77022">
        <w:trPr>
          <w:cantSplit/>
          <w:jc w:val="center"/>
        </w:trPr>
        <w:tc>
          <w:tcPr>
            <w:tcW w:w="6548" w:type="dxa"/>
          </w:tcPr>
          <w:p w14:paraId="0A982CCC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0AFB4B2E" w14:textId="55D26B2D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93577B">
              <w:rPr>
                <w:b/>
                <w:bCs/>
                <w:lang w:bidi="ar-EG"/>
              </w:rPr>
              <w:t>3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D03E365" w14:textId="77777777" w:rsidTr="00F77022">
        <w:trPr>
          <w:cantSplit/>
          <w:jc w:val="center"/>
        </w:trPr>
        <w:tc>
          <w:tcPr>
            <w:tcW w:w="6548" w:type="dxa"/>
          </w:tcPr>
          <w:p w14:paraId="74A5BBA6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51CCD7D" w14:textId="4D18B3CB" w:rsidR="00783A69" w:rsidRPr="00C85CB5" w:rsidRDefault="0093577B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93577B">
              <w:rPr>
                <w:b/>
                <w:bCs/>
                <w:lang w:bidi="ar-EG"/>
              </w:rPr>
              <w:t>5</w:t>
            </w:r>
            <w:r w:rsidR="00783A69" w:rsidRPr="0093577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3577B"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153471" w:rsidRPr="0093577B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22A04EDF" w14:textId="77777777" w:rsidTr="00F77022">
        <w:trPr>
          <w:cantSplit/>
          <w:jc w:val="center"/>
        </w:trPr>
        <w:tc>
          <w:tcPr>
            <w:tcW w:w="6548" w:type="dxa"/>
          </w:tcPr>
          <w:p w14:paraId="693748E5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08F463AB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0F96A7C6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7AFE79E1" w14:textId="770746EB" w:rsidR="00783A69" w:rsidRPr="00783A69" w:rsidRDefault="0093577B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54AA7862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1AF144C" w14:textId="57A2BD97" w:rsidR="00783A69" w:rsidRPr="00783A69" w:rsidRDefault="00694A7A" w:rsidP="00EE5CF2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مقدم إلى الفريق الاستشاري لتنمية الاتصالات </w:t>
            </w:r>
            <w:r>
              <w:rPr>
                <w:lang w:bidi="ar-EG"/>
              </w:rPr>
              <w:t>(TDAG)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 xml:space="preserve">بشأن عمل فريق الخبراء المعني بلوائح الاتصالات الدولية </w:t>
            </w:r>
            <w:r>
              <w:rPr>
                <w:lang w:bidi="ar-EG"/>
              </w:rPr>
              <w:t>(EG-ITR)</w:t>
            </w:r>
          </w:p>
        </w:tc>
      </w:tr>
    </w:tbl>
    <w:p w14:paraId="2AD91A19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74919835" w14:textId="77777777" w:rsidTr="0093577B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0A65" w14:textId="77777777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6D1AA0CA" w14:textId="1B7CDFE8" w:rsidR="00783A69" w:rsidRPr="00BA5BDC" w:rsidRDefault="00694A7A" w:rsidP="00BA5BDC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يعرض هذا التقرير المرحلي حالة</w:t>
            </w:r>
            <w:r w:rsidR="0093577B">
              <w:rPr>
                <w:rFonts w:hint="cs"/>
                <w:rtl/>
                <w:lang w:bidi="ar-SY"/>
              </w:rPr>
              <w:t xml:space="preserve"> </w:t>
            </w:r>
            <w:r w:rsidR="0093577B" w:rsidRPr="0093577B">
              <w:rPr>
                <w:rtl/>
                <w:lang w:bidi="ar-SY"/>
              </w:rPr>
              <w:t>لوائح الاتصالات الدولية</w:t>
            </w:r>
            <w:r w:rsidR="00EB3014">
              <w:rPr>
                <w:rFonts w:hint="cs"/>
                <w:rtl/>
                <w:lang w:bidi="ar-EG"/>
              </w:rPr>
              <w:t xml:space="preserve"> </w:t>
            </w:r>
            <w:r w:rsidR="00EB3014">
              <w:rPr>
                <w:lang w:bidi="ar-EG"/>
              </w:rPr>
              <w:t>(ITR)</w:t>
            </w:r>
            <w:r>
              <w:rPr>
                <w:rFonts w:hint="cs"/>
                <w:rtl/>
                <w:lang w:bidi="ar-SY"/>
              </w:rPr>
              <w:t xml:space="preserve">، كمتابعة </w:t>
            </w:r>
            <w:r w:rsidR="00BA5BDC">
              <w:rPr>
                <w:rFonts w:hint="cs"/>
                <w:rtl/>
                <w:lang w:bidi="ar-SY"/>
              </w:rPr>
              <w:t xml:space="preserve">للقرار </w:t>
            </w:r>
            <w:r w:rsidR="00BA5BDC">
              <w:t>146</w:t>
            </w:r>
            <w:r w:rsidR="00BA5BDC">
              <w:rPr>
                <w:rFonts w:hint="cs"/>
                <w:rtl/>
                <w:lang w:bidi="ar-EG"/>
              </w:rPr>
              <w:t xml:space="preserve"> (المراجَع في بوخارست، </w:t>
            </w:r>
            <w:r w:rsidR="00BA5BDC">
              <w:rPr>
                <w:lang w:bidi="ar-EG"/>
              </w:rPr>
              <w:t>2022</w:t>
            </w:r>
            <w:r w:rsidR="00BA5BDC">
              <w:rPr>
                <w:rFonts w:hint="cs"/>
                <w:rtl/>
                <w:lang w:bidi="ar-EG"/>
              </w:rPr>
              <w:t xml:space="preserve">): </w:t>
            </w:r>
            <w:r w:rsidR="00BA5BDC" w:rsidRPr="0093577B">
              <w:rPr>
                <w:rtl/>
                <w:lang w:bidi="ar-SY"/>
              </w:rPr>
              <w:t>استعراض لوائح الاتصالات الدولية دورياً</w:t>
            </w:r>
            <w:r w:rsidR="00BA5BDC">
              <w:rPr>
                <w:rFonts w:hint="cs"/>
                <w:rtl/>
                <w:lang w:bidi="ar-SY"/>
              </w:rPr>
              <w:t xml:space="preserve"> الذي </w:t>
            </w:r>
            <w:r w:rsidR="0093577B" w:rsidRPr="0093577B">
              <w:rPr>
                <w:rFonts w:hint="cs"/>
                <w:i/>
                <w:iCs/>
                <w:rtl/>
                <w:lang w:bidi="ar-EG"/>
              </w:rPr>
              <w:t>"</w:t>
            </w:r>
            <w:r w:rsidR="0093577B" w:rsidRPr="0093577B">
              <w:rPr>
                <w:i/>
                <w:iCs/>
                <w:rtl/>
                <w:lang w:bidi="ar-EG"/>
              </w:rPr>
              <w:t>يكلف مديري المكاتب، كل في مجال اختصاصه، وبمشورة من الفريق الاستشاري ذي الصلة، بالمساهمة في أنشطة فريق الخبراء علماً بأن عمل قطاع تقييس الاتصالات بالاتحاد (</w:t>
            </w:r>
            <w:r w:rsidR="0093577B" w:rsidRPr="0093577B">
              <w:rPr>
                <w:i/>
                <w:iCs/>
                <w:lang w:bidi="ar-EG"/>
              </w:rPr>
              <w:t>ITU-T</w:t>
            </w:r>
            <w:r w:rsidR="0093577B" w:rsidRPr="0093577B">
              <w:rPr>
                <w:i/>
                <w:iCs/>
                <w:rtl/>
                <w:lang w:bidi="ar-EG"/>
              </w:rPr>
              <w:t>) هو الأقرب صلة بلوائح الاتصالات الدولية.</w:t>
            </w:r>
            <w:r w:rsidR="0093577B" w:rsidRPr="0093577B">
              <w:rPr>
                <w:rFonts w:hint="cs"/>
                <w:i/>
                <w:iCs/>
                <w:rtl/>
                <w:lang w:bidi="ar-EG"/>
              </w:rPr>
              <w:t>"</w:t>
            </w:r>
          </w:p>
          <w:p w14:paraId="3A849E76" w14:textId="77777777" w:rsidR="00694A7A" w:rsidRPr="00153471" w:rsidRDefault="00694A7A" w:rsidP="00694A7A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المطلوب:</w:t>
            </w:r>
          </w:p>
          <w:p w14:paraId="022E050E" w14:textId="3DFD7669" w:rsidR="00694A7A" w:rsidRPr="0093577B" w:rsidRDefault="00694A7A" w:rsidP="00EE5CF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يرجى من الفريق الاستشاري لتنمية الاتصالات أن يحيط علماً بهذه الوثيقة في اجتماعه الثلاثين الذي سيُعقد في يونيو 2023.</w:t>
            </w:r>
          </w:p>
          <w:p w14:paraId="319749CA" w14:textId="0F8CBEC8" w:rsidR="00783A69" w:rsidRPr="00153471" w:rsidRDefault="00FD0C06" w:rsidP="00EE5CF2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المراجِع</w:t>
            </w:r>
            <w:r w:rsidR="005874F2" w:rsidRPr="00153471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3F68D26" w14:textId="278D13AD" w:rsidR="00783A69" w:rsidRPr="00153471" w:rsidRDefault="0093577B" w:rsidP="0093577B">
            <w:pPr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القرار </w:t>
            </w:r>
            <w:r>
              <w:t>146</w:t>
            </w:r>
            <w:r>
              <w:rPr>
                <w:rFonts w:hint="cs"/>
                <w:rtl/>
                <w:lang w:bidi="ar-EG"/>
              </w:rPr>
              <w:t xml:space="preserve"> (المراجَع في بوخارست، </w:t>
            </w:r>
            <w:r>
              <w:rPr>
                <w:lang w:bidi="ar-EG"/>
              </w:rPr>
              <w:t>2022</w:t>
            </w:r>
            <w:r>
              <w:rPr>
                <w:rFonts w:hint="cs"/>
                <w:rtl/>
                <w:lang w:bidi="ar-EG"/>
              </w:rPr>
              <w:t xml:space="preserve">): </w:t>
            </w:r>
            <w:r w:rsidRPr="0093577B">
              <w:rPr>
                <w:rtl/>
                <w:lang w:bidi="ar-SY"/>
              </w:rPr>
              <w:t>استعراض لوائح الاتصالات الدولية دورياً</w:t>
            </w:r>
            <w:r w:rsidR="00694A7A">
              <w:rPr>
                <w:rFonts w:hint="cs"/>
                <w:rtl/>
                <w:lang w:bidi="ar-SY"/>
              </w:rPr>
              <w:t>.</w:t>
            </w:r>
          </w:p>
        </w:tc>
      </w:tr>
    </w:tbl>
    <w:p w14:paraId="0F1E0823" w14:textId="3B8C9164" w:rsidR="0006468A" w:rsidRDefault="0006468A" w:rsidP="0006468A">
      <w:pPr>
        <w:rPr>
          <w:rtl/>
          <w:lang w:bidi="ar-EG"/>
        </w:rPr>
      </w:pPr>
    </w:p>
    <w:p w14:paraId="1AB274C9" w14:textId="77777777" w:rsidR="0093577B" w:rsidRDefault="0093577B" w:rsidP="0006468A">
      <w:pPr>
        <w:rPr>
          <w:rtl/>
          <w:lang w:bidi="ar-EG"/>
        </w:rPr>
      </w:pPr>
    </w:p>
    <w:p w14:paraId="0E2AED73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0CCF5840" w14:textId="38EB84AB" w:rsidR="0019128D" w:rsidRDefault="0093577B" w:rsidP="0093577B">
      <w:pPr>
        <w:pStyle w:val="Heading1"/>
        <w:rPr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خلفية</w:t>
      </w:r>
    </w:p>
    <w:p w14:paraId="36D871D8" w14:textId="14AAF5E3" w:rsidR="0093577B" w:rsidRDefault="00BA5BDC" w:rsidP="0093577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الهدف من هذه الوثيقة هو عرض التعليمات الصادرة عن مؤتمر المندوبين المفوضين لعام 2022 بشأن </w:t>
      </w:r>
      <w:r w:rsidRPr="0093577B">
        <w:rPr>
          <w:rtl/>
          <w:lang w:bidi="ar-SY"/>
        </w:rPr>
        <w:t>استعراض لوائح الاتصالات الدولية دورياً</w:t>
      </w:r>
      <w:r>
        <w:rPr>
          <w:rFonts w:hint="cs"/>
          <w:rtl/>
          <w:lang w:bidi="ar-SY"/>
        </w:rPr>
        <w:t xml:space="preserve">، على نحو ما كلَّف به مؤتمر الاتحاد للمندوبين المفوضين (بوخارست، 26 سبتمبر 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14 أكتوبر 2022) بعد الموافقة على القرار 146 </w:t>
      </w:r>
      <w:r w:rsidR="002273BC">
        <w:rPr>
          <w:rFonts w:hint="cs"/>
          <w:rtl/>
          <w:lang w:bidi="ar-SY"/>
        </w:rPr>
        <w:t xml:space="preserve">(المراجَع في بوخارست، 2022) </w:t>
      </w:r>
      <w:r>
        <w:rPr>
          <w:rFonts w:hint="cs"/>
          <w:rtl/>
          <w:lang w:bidi="ar-SY"/>
        </w:rPr>
        <w:t>بشأن استعراض لوائح الاتصالات الدولية</w:t>
      </w:r>
      <w:r w:rsidR="002273BC">
        <w:rPr>
          <w:rFonts w:hint="cs"/>
          <w:rtl/>
          <w:lang w:bidi="ar-SY"/>
        </w:rPr>
        <w:t xml:space="preserve"> دورياً</w:t>
      </w:r>
      <w:r>
        <w:rPr>
          <w:rFonts w:hint="cs"/>
          <w:rtl/>
          <w:lang w:bidi="ar-SY"/>
        </w:rPr>
        <w:t>.</w:t>
      </w:r>
      <w:r w:rsidR="002273BC">
        <w:rPr>
          <w:rFonts w:hint="cs"/>
          <w:rtl/>
          <w:lang w:bidi="ar-SY"/>
        </w:rPr>
        <w:t xml:space="preserve"> وتقرر في</w:t>
      </w:r>
      <w:r w:rsidR="00757CCC">
        <w:rPr>
          <w:rFonts w:hint="eastAsia"/>
          <w:rtl/>
          <w:lang w:bidi="ar-SY"/>
        </w:rPr>
        <w:t> </w:t>
      </w:r>
      <w:r w:rsidR="002273BC">
        <w:rPr>
          <w:rFonts w:hint="cs"/>
          <w:rtl/>
          <w:lang w:bidi="ar-SY"/>
        </w:rPr>
        <w:t>القرار</w:t>
      </w:r>
      <w:r w:rsidR="00757CCC">
        <w:rPr>
          <w:rFonts w:hint="eastAsia"/>
          <w:rtl/>
          <w:lang w:bidi="ar-SY"/>
        </w:rPr>
        <w:t> </w:t>
      </w:r>
      <w:r w:rsidR="002273BC">
        <w:rPr>
          <w:rFonts w:hint="cs"/>
          <w:rtl/>
          <w:lang w:bidi="ar-SY"/>
        </w:rPr>
        <w:t xml:space="preserve">146 </w:t>
      </w:r>
      <w:r w:rsidR="0093577B" w:rsidRPr="0093577B">
        <w:rPr>
          <w:rtl/>
          <w:lang w:bidi="ar-EG"/>
        </w:rPr>
        <w:t>مواصلة النظر في القضايا المتعلقة بلوائح الاتصالات الدولية، بما في ذلك استعراضها</w:t>
      </w:r>
      <w:r w:rsidR="0093577B">
        <w:rPr>
          <w:rFonts w:hint="cs"/>
          <w:rtl/>
          <w:lang w:bidi="ar-EG"/>
        </w:rPr>
        <w:t>.</w:t>
      </w:r>
    </w:p>
    <w:p w14:paraId="69FE46D9" w14:textId="6271BBE0" w:rsidR="0093577B" w:rsidRDefault="0093577B" w:rsidP="0093577B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Pr="0093577B">
        <w:rPr>
          <w:rtl/>
          <w:lang w:bidi="ar-EG"/>
        </w:rPr>
        <w:t>مراجعة لوائح الاتصالات الدولية دورياً</w:t>
      </w:r>
    </w:p>
    <w:p w14:paraId="404168AD" w14:textId="7D3B6DC9" w:rsidR="0093577B" w:rsidRDefault="004F1F4C" w:rsidP="009D260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يكلف </w:t>
      </w:r>
      <w:r w:rsidR="009D2608">
        <w:rPr>
          <w:rFonts w:hint="cs"/>
          <w:rtl/>
          <w:lang w:bidi="ar-EG"/>
        </w:rPr>
        <w:t xml:space="preserve">القرار 146 </w:t>
      </w:r>
      <w:r w:rsidR="0093577B">
        <w:rPr>
          <w:rtl/>
          <w:lang w:bidi="ar-EG"/>
        </w:rPr>
        <w:t>الأمين العام</w:t>
      </w:r>
      <w:r w:rsidR="009D2608">
        <w:rPr>
          <w:lang w:bidi="ar-EG"/>
        </w:rPr>
        <w:t xml:space="preserve"> </w:t>
      </w:r>
      <w:r w:rsidR="0093577B">
        <w:rPr>
          <w:rtl/>
          <w:lang w:bidi="ar-EG"/>
        </w:rPr>
        <w:t xml:space="preserve">بمعاودة الدعوة </w:t>
      </w:r>
      <w:r w:rsidR="00CC4E20">
        <w:rPr>
          <w:rFonts w:hint="cs"/>
          <w:rtl/>
          <w:lang w:bidi="ar-EG"/>
        </w:rPr>
        <w:t>إلى اجتماع</w:t>
      </w:r>
      <w:r w:rsidR="0093577B">
        <w:rPr>
          <w:rtl/>
          <w:lang w:bidi="ar-EG"/>
        </w:rPr>
        <w:t xml:space="preserve"> فريق خبراء معني بلوائح الاتصالات الدولية (</w:t>
      </w:r>
      <w:r w:rsidR="0093577B">
        <w:rPr>
          <w:lang w:bidi="ar-EG"/>
        </w:rPr>
        <w:t>EG-ITR</w:t>
      </w:r>
      <w:r w:rsidR="0093577B">
        <w:rPr>
          <w:rtl/>
          <w:lang w:bidi="ar-EG"/>
        </w:rPr>
        <w:t>)، يكون مفتوحاً للدول الأعضاء وأعضاء القطاعات في الاتحاد، ويحدد مجلس الاتحاد اختصاصاته وأساليب عمله؛</w:t>
      </w:r>
      <w:r w:rsidR="009D2608">
        <w:rPr>
          <w:rFonts w:hint="cs"/>
          <w:rtl/>
          <w:lang w:bidi="ar-EG"/>
        </w:rPr>
        <w:t xml:space="preserve"> و</w:t>
      </w:r>
      <w:r w:rsidR="009D2608" w:rsidRPr="009D2608">
        <w:rPr>
          <w:rFonts w:hint="cs"/>
          <w:rtl/>
          <w:lang w:bidi="ar-EG"/>
        </w:rPr>
        <w:t>بتقديم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تقرير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فريق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الخبراء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المعني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بلوائح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الاتصالات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الدولية</w:t>
      </w:r>
      <w:r w:rsidR="009D2608" w:rsidRPr="009D2608">
        <w:rPr>
          <w:rtl/>
          <w:lang w:bidi="ar-EG"/>
        </w:rPr>
        <w:t xml:space="preserve"> بشأن </w:t>
      </w:r>
      <w:r w:rsidR="009D2608" w:rsidRPr="009D2608">
        <w:rPr>
          <w:rFonts w:hint="cs"/>
          <w:rtl/>
          <w:lang w:bidi="ar-EG"/>
        </w:rPr>
        <w:t>نتائج</w:t>
      </w:r>
      <w:r w:rsidR="009D2608" w:rsidRPr="009D2608">
        <w:rPr>
          <w:rtl/>
          <w:lang w:bidi="ar-EG"/>
        </w:rPr>
        <w:t xml:space="preserve"> الاستعراض </w:t>
      </w:r>
      <w:r w:rsidR="009D2608" w:rsidRPr="009D2608">
        <w:rPr>
          <w:rFonts w:hint="cs"/>
          <w:rtl/>
          <w:lang w:bidi="ar-EG"/>
        </w:rPr>
        <w:t>إلى المجلس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للنظر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فيه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ونشره وتقديمه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لاحقاً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إلى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مؤتمر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المندوبين</w:t>
      </w:r>
      <w:r w:rsidR="009D2608" w:rsidRPr="009D2608">
        <w:rPr>
          <w:rtl/>
          <w:lang w:bidi="ar-EG"/>
        </w:rPr>
        <w:t xml:space="preserve"> </w:t>
      </w:r>
      <w:r w:rsidR="009D2608" w:rsidRPr="009D2608">
        <w:rPr>
          <w:rFonts w:hint="cs"/>
          <w:rtl/>
          <w:lang w:bidi="ar-EG"/>
        </w:rPr>
        <w:t>المفوضين لعام </w:t>
      </w:r>
      <w:r w:rsidR="009D2608" w:rsidRPr="009D2608">
        <w:rPr>
          <w:rtl/>
          <w:lang w:bidi="ar-EG"/>
        </w:rPr>
        <w:t>2026</w:t>
      </w:r>
      <w:r w:rsidR="009D2608">
        <w:rPr>
          <w:rFonts w:hint="cs"/>
          <w:rtl/>
          <w:lang w:bidi="ar-EG"/>
        </w:rPr>
        <w:t>.</w:t>
      </w:r>
    </w:p>
    <w:p w14:paraId="7C49A375" w14:textId="780E02F8" w:rsidR="009D2608" w:rsidRPr="00F10596" w:rsidRDefault="004F1F4C" w:rsidP="009D2608">
      <w:pPr>
        <w:rPr>
          <w:rtl/>
          <w:lang w:bidi="ar-EG"/>
        </w:rPr>
      </w:pPr>
      <w:r w:rsidRPr="00F10596">
        <w:rPr>
          <w:rFonts w:hint="cs"/>
          <w:rtl/>
          <w:lang w:bidi="ar-EG"/>
        </w:rPr>
        <w:t xml:space="preserve">وبالمثل، </w:t>
      </w:r>
      <w:r w:rsidR="009D2608" w:rsidRPr="00F10596">
        <w:rPr>
          <w:rFonts w:hint="cs"/>
          <w:rtl/>
          <w:lang w:bidi="ar-EG"/>
        </w:rPr>
        <w:t>يكلف</w:t>
      </w:r>
      <w:r w:rsidR="00F10596" w:rsidRPr="00F10596">
        <w:rPr>
          <w:rFonts w:hint="cs"/>
          <w:rtl/>
          <w:lang w:bidi="ar-EG"/>
        </w:rPr>
        <w:t xml:space="preserve"> القرار 146</w:t>
      </w:r>
      <w:r w:rsidR="009D2608" w:rsidRPr="00F10596">
        <w:rPr>
          <w:rFonts w:hint="cs"/>
          <w:rtl/>
          <w:lang w:bidi="ar-EG"/>
        </w:rPr>
        <w:t xml:space="preserve"> مجلس الاتحاد</w:t>
      </w:r>
      <w:r w:rsidR="00F10596" w:rsidRPr="00F10596">
        <w:rPr>
          <w:rFonts w:hint="cs"/>
          <w:rtl/>
          <w:lang w:bidi="ar-EG"/>
        </w:rPr>
        <w:t xml:space="preserve"> أيضاً</w:t>
      </w:r>
      <w:r w:rsidR="009D2608" w:rsidRPr="00F10596">
        <w:rPr>
          <w:rFonts w:hint="cs"/>
          <w:rtl/>
          <w:lang w:bidi="ar-EG"/>
        </w:rPr>
        <w:t xml:space="preserve"> </w:t>
      </w:r>
      <w:r w:rsidR="009D2608" w:rsidRPr="00F10596">
        <w:rPr>
          <w:rtl/>
          <w:lang w:bidi="ar-EG"/>
        </w:rPr>
        <w:t xml:space="preserve">بأن يقوم في دورته لعام </w:t>
      </w:r>
      <w:r w:rsidR="009D2608" w:rsidRPr="00F10596">
        <w:rPr>
          <w:rFonts w:hint="cs"/>
          <w:rtl/>
          <w:lang w:bidi="ar-EG"/>
        </w:rPr>
        <w:t>2023</w:t>
      </w:r>
      <w:r w:rsidR="009D2608" w:rsidRPr="00F10596">
        <w:rPr>
          <w:rtl/>
          <w:lang w:bidi="ar-EG"/>
        </w:rPr>
        <w:t xml:space="preserve"> </w:t>
      </w:r>
      <w:r w:rsidR="00F10596">
        <w:rPr>
          <w:rFonts w:hint="cs"/>
          <w:rtl/>
          <w:lang w:bidi="ar-EG"/>
        </w:rPr>
        <w:t xml:space="preserve">(التي ستُعقد في الفترة من 11 إلى 21 يوليو) </w:t>
      </w:r>
      <w:r w:rsidR="009D2608" w:rsidRPr="00F10596">
        <w:rPr>
          <w:rtl/>
          <w:lang w:bidi="ar-EG"/>
        </w:rPr>
        <w:t>باستعراض ومراجعة اختصاصات فريق الخبراء المعني بلوائح الاتصالات الدولية</w:t>
      </w:r>
      <w:r w:rsidR="00775BC3">
        <w:rPr>
          <w:rFonts w:hint="cs"/>
          <w:rtl/>
          <w:lang w:bidi="ar-EG"/>
        </w:rPr>
        <w:t>،</w:t>
      </w:r>
      <w:r w:rsidR="009D2608" w:rsidRPr="00F10596">
        <w:rPr>
          <w:rFonts w:hint="cs"/>
          <w:rtl/>
          <w:lang w:bidi="ar-EG"/>
        </w:rPr>
        <w:t xml:space="preserve"> </w:t>
      </w:r>
      <w:r w:rsidR="00CA7EBF">
        <w:rPr>
          <w:rFonts w:hint="cs"/>
          <w:rtl/>
          <w:lang w:bidi="ar-EG"/>
        </w:rPr>
        <w:t>و</w:t>
      </w:r>
      <w:r w:rsidR="009D2608" w:rsidRPr="00F10596">
        <w:rPr>
          <w:rFonts w:hint="cs"/>
          <w:rtl/>
          <w:lang w:bidi="ar-EG"/>
        </w:rPr>
        <w:t>بدراسة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تق</w:t>
      </w:r>
      <w:r w:rsidR="009D2608" w:rsidRPr="00F10596">
        <w:rPr>
          <w:rtl/>
          <w:lang w:bidi="ar-EG"/>
        </w:rPr>
        <w:t>ا</w:t>
      </w:r>
      <w:r w:rsidR="009D2608" w:rsidRPr="00F10596">
        <w:rPr>
          <w:rFonts w:hint="cs"/>
          <w:rtl/>
          <w:lang w:bidi="ar-EG"/>
        </w:rPr>
        <w:t>رير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فريق الخبراء المعني بلوائح الاتصالات الدولية في دور</w:t>
      </w:r>
      <w:r w:rsidR="009D2608" w:rsidRPr="00F10596">
        <w:rPr>
          <w:rtl/>
          <w:lang w:bidi="ar-EG"/>
        </w:rPr>
        <w:t>ا</w:t>
      </w:r>
      <w:r w:rsidR="009D2608" w:rsidRPr="00F10596">
        <w:rPr>
          <w:rFonts w:hint="cs"/>
          <w:rtl/>
          <w:lang w:bidi="ar-EG"/>
        </w:rPr>
        <w:t>ته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السنوية وتقديم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التقرير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النهائي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لفريق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الخبراء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المعني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بلوائح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الاتصالات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الدولية إلى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مؤتمر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المندوبين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المفوضين لعام</w:t>
      </w:r>
      <w:r w:rsidR="009D2608" w:rsidRPr="00F10596">
        <w:rPr>
          <w:rFonts w:hint="eastAsia"/>
          <w:rtl/>
          <w:lang w:bidi="ar-EG"/>
        </w:rPr>
        <w:t> </w:t>
      </w:r>
      <w:r w:rsidR="009D2608" w:rsidRPr="00F10596">
        <w:rPr>
          <w:rtl/>
          <w:lang w:bidi="ar-EG"/>
        </w:rPr>
        <w:t>2026</w:t>
      </w:r>
      <w:r w:rsidR="009D2608" w:rsidRPr="00F10596">
        <w:rPr>
          <w:rFonts w:hint="eastAsia"/>
          <w:rtl/>
          <w:lang w:bidi="ar-EG"/>
        </w:rPr>
        <w:t> </w:t>
      </w:r>
      <w:r w:rsidR="009D2608" w:rsidRPr="00F10596">
        <w:rPr>
          <w:rFonts w:hint="cs"/>
          <w:rtl/>
          <w:lang w:bidi="ar-EG"/>
        </w:rPr>
        <w:t>مشفوعاً</w:t>
      </w:r>
      <w:r w:rsidR="009D2608" w:rsidRPr="00F10596">
        <w:rPr>
          <w:rtl/>
          <w:lang w:bidi="ar-EG"/>
        </w:rPr>
        <w:t xml:space="preserve"> </w:t>
      </w:r>
      <w:r w:rsidR="00CA7EBF">
        <w:rPr>
          <w:rFonts w:hint="cs"/>
          <w:rtl/>
          <w:lang w:bidi="ar-EG"/>
        </w:rPr>
        <w:t>بتعليقات</w:t>
      </w:r>
      <w:r w:rsidR="009D2608" w:rsidRPr="00F10596">
        <w:rPr>
          <w:rtl/>
          <w:lang w:bidi="ar-EG"/>
        </w:rPr>
        <w:t xml:space="preserve"> </w:t>
      </w:r>
      <w:r w:rsidR="009D2608" w:rsidRPr="00F10596">
        <w:rPr>
          <w:rFonts w:hint="cs"/>
          <w:rtl/>
          <w:lang w:bidi="ar-EG"/>
        </w:rPr>
        <w:t>المجلس</w:t>
      </w:r>
      <w:r w:rsidR="00CA7EBF">
        <w:rPr>
          <w:rFonts w:hint="cs"/>
          <w:rtl/>
          <w:lang w:bidi="ar-EG"/>
        </w:rPr>
        <w:t>.</w:t>
      </w:r>
    </w:p>
    <w:p w14:paraId="2AEE9CCA" w14:textId="60B6E113" w:rsidR="009D2608" w:rsidRPr="009D2608" w:rsidRDefault="00CA7EBF" w:rsidP="009D2608">
      <w:pPr>
        <w:rPr>
          <w:i/>
          <w:iCs/>
          <w:rtl/>
          <w:lang w:bidi="ar-EG"/>
        </w:rPr>
      </w:pPr>
      <w:r w:rsidRPr="00CA7EBF">
        <w:rPr>
          <w:rFonts w:hint="cs"/>
          <w:rtl/>
          <w:lang w:bidi="ar-EG"/>
        </w:rPr>
        <w:t>ومن المهم تسليط الضوء على أن هذا القرار</w:t>
      </w:r>
      <w:r w:rsidR="009D2608" w:rsidRPr="009D2608">
        <w:rPr>
          <w:rFonts w:hint="cs"/>
          <w:i/>
          <w:iCs/>
          <w:rtl/>
          <w:lang w:bidi="ar-EG"/>
        </w:rPr>
        <w:t xml:space="preserve"> </w:t>
      </w:r>
      <w:r w:rsidR="009D2608">
        <w:rPr>
          <w:rFonts w:hint="cs"/>
          <w:i/>
          <w:iCs/>
          <w:rtl/>
          <w:lang w:bidi="ar-EG"/>
        </w:rPr>
        <w:t>"</w:t>
      </w:r>
      <w:r w:rsidR="009D2608" w:rsidRPr="009D2608">
        <w:rPr>
          <w:rFonts w:hint="cs"/>
          <w:i/>
          <w:iCs/>
          <w:rtl/>
          <w:lang w:bidi="ar-EG"/>
        </w:rPr>
        <w:t xml:space="preserve">يكلف مديري المكاتب </w:t>
      </w:r>
      <w:r w:rsidR="009D2608" w:rsidRPr="009D2608">
        <w:rPr>
          <w:i/>
          <w:iCs/>
          <w:lang w:bidi="ar-EG"/>
        </w:rPr>
        <w:t>(</w:t>
      </w:r>
      <w:r w:rsidR="009D2608" w:rsidRPr="009D2608">
        <w:rPr>
          <w:i/>
          <w:iCs/>
          <w:lang w:val="en-GB" w:bidi="ar-EG"/>
        </w:rPr>
        <w:t>1</w:t>
      </w:r>
      <w:r w:rsidR="009D2608" w:rsidRPr="009D2608">
        <w:rPr>
          <w:rFonts w:hint="cs"/>
          <w:i/>
          <w:iCs/>
          <w:rtl/>
          <w:lang w:bidi="ar-EG"/>
        </w:rPr>
        <w:t xml:space="preserve"> بالمساهمة،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كل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في</w:t>
      </w:r>
      <w:r w:rsidR="009D2608" w:rsidRPr="009D2608">
        <w:rPr>
          <w:rFonts w:hint="eastAsia"/>
          <w:i/>
          <w:iCs/>
          <w:rtl/>
          <w:lang w:bidi="ar-EG"/>
        </w:rPr>
        <w:t> </w:t>
      </w:r>
      <w:r w:rsidR="009D2608" w:rsidRPr="009D2608">
        <w:rPr>
          <w:rFonts w:hint="cs"/>
          <w:i/>
          <w:iCs/>
          <w:rtl/>
          <w:lang w:bidi="ar-EG"/>
        </w:rPr>
        <w:t>مجال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اختصاصه،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وبمشورة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من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الفريق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الاستشاري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ذي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الصلة،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في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أنشطة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فريق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الخبراء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المعني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بلوائح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الاتصالات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الدولية،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علماً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بأن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عمل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قطاع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تقييس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الاتصالات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بالاتحاد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i/>
          <w:iCs/>
          <w:lang w:val="en-GB" w:bidi="ar-EG"/>
        </w:rPr>
        <w:t>(ITU</w:t>
      </w:r>
      <w:r w:rsidR="009D2608" w:rsidRPr="009D2608">
        <w:rPr>
          <w:i/>
          <w:iCs/>
          <w:lang w:val="en-GB" w:bidi="ar-EG"/>
        </w:rPr>
        <w:noBreakHyphen/>
        <w:t>T)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هو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الأقرب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صلة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بلوائح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>الاتصالات</w:t>
      </w:r>
      <w:r w:rsidR="009D2608" w:rsidRPr="009D2608">
        <w:rPr>
          <w:i/>
          <w:iCs/>
          <w:rtl/>
          <w:lang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 xml:space="preserve">الدولية؛ </w:t>
      </w:r>
      <w:r w:rsidR="009D2608" w:rsidRPr="009D2608">
        <w:rPr>
          <w:i/>
          <w:iCs/>
          <w:lang w:bidi="ar-EG"/>
        </w:rPr>
        <w:t>(</w:t>
      </w:r>
      <w:r w:rsidR="009D2608" w:rsidRPr="009D2608">
        <w:rPr>
          <w:i/>
          <w:iCs/>
          <w:lang w:val="en-GB" w:bidi="ar-EG"/>
        </w:rPr>
        <w:t>2</w:t>
      </w:r>
      <w:r w:rsidR="009D2608" w:rsidRPr="009D2608">
        <w:rPr>
          <w:rFonts w:hint="cs"/>
          <w:i/>
          <w:iCs/>
          <w:rtl/>
          <w:lang w:val="en-GB" w:bidi="ar-EG"/>
        </w:rPr>
        <w:t xml:space="preserve"> </w:t>
      </w:r>
      <w:r w:rsidR="009D2608" w:rsidRPr="009D2608">
        <w:rPr>
          <w:rFonts w:hint="cs"/>
          <w:i/>
          <w:iCs/>
          <w:rtl/>
          <w:lang w:bidi="ar-EG"/>
        </w:rPr>
        <w:t xml:space="preserve">بتقديم نتائج أعمالهم إلى فريق الخبراء المعني بلوائح الاتصالات الدولية؛ </w:t>
      </w:r>
      <w:r w:rsidR="009D2608" w:rsidRPr="009D2608">
        <w:rPr>
          <w:i/>
          <w:iCs/>
          <w:lang w:bidi="ar-EG"/>
        </w:rPr>
        <w:t>(</w:t>
      </w:r>
      <w:r w:rsidR="009D2608" w:rsidRPr="009D2608">
        <w:rPr>
          <w:i/>
          <w:iCs/>
          <w:lang w:val="en-GB" w:bidi="ar-EG"/>
        </w:rPr>
        <w:t>3</w:t>
      </w:r>
      <w:r w:rsidR="009D2608" w:rsidRPr="009D2608">
        <w:rPr>
          <w:rFonts w:hint="cs"/>
          <w:i/>
          <w:iCs/>
          <w:rtl/>
          <w:lang w:bidi="ar-EG"/>
        </w:rPr>
        <w:t xml:space="preserve"> بالنظر في تقديم منح، حسب الموارد المتاحة، إلى البلدان النامية</w:t>
      </w:r>
      <w:r w:rsidR="009D2608" w:rsidRPr="00853823">
        <w:rPr>
          <w:i/>
          <w:iCs/>
          <w:position w:val="6"/>
          <w:rtl/>
          <w:lang w:bidi="ar-EG"/>
        </w:rPr>
        <w:footnoteReference w:customMarkFollows="1" w:id="1"/>
        <w:t>1</w:t>
      </w:r>
      <w:r w:rsidR="009D2608" w:rsidRPr="009D2608">
        <w:rPr>
          <w:rFonts w:hint="cs"/>
          <w:i/>
          <w:iCs/>
          <w:rtl/>
          <w:lang w:bidi="ar-EG"/>
        </w:rPr>
        <w:t xml:space="preserve"> وأقل البلدان نمواً وفقاً للقائمة التي وضعتها الأمم المتحدة</w:t>
      </w:r>
      <w:r>
        <w:rPr>
          <w:rFonts w:hint="cs"/>
          <w:i/>
          <w:iCs/>
          <w:rtl/>
          <w:lang w:bidi="ar-EG"/>
        </w:rPr>
        <w:t>،</w:t>
      </w:r>
      <w:r w:rsidR="009D2608" w:rsidRPr="009D2608">
        <w:rPr>
          <w:rFonts w:hint="cs"/>
          <w:i/>
          <w:iCs/>
          <w:rtl/>
          <w:lang w:bidi="ar-EG"/>
        </w:rPr>
        <w:t xml:space="preserve"> من أجل توسيع مشاركتها في فريق الخبراء</w:t>
      </w:r>
      <w:r>
        <w:rPr>
          <w:rFonts w:hint="cs"/>
          <w:i/>
          <w:iCs/>
          <w:rtl/>
          <w:lang w:bidi="ar-EG"/>
        </w:rPr>
        <w:t>".</w:t>
      </w:r>
    </w:p>
    <w:p w14:paraId="09794AAC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A683" w14:textId="77777777" w:rsidR="0093577B" w:rsidRDefault="0093577B" w:rsidP="006C3242">
      <w:pPr>
        <w:spacing w:before="0" w:line="240" w:lineRule="auto"/>
      </w:pPr>
      <w:r>
        <w:separator/>
      </w:r>
    </w:p>
  </w:endnote>
  <w:endnote w:type="continuationSeparator" w:id="0">
    <w:p w14:paraId="7A78C3A1" w14:textId="77777777" w:rsidR="0093577B" w:rsidRDefault="0093577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856C" w14:textId="5F7EBE4A" w:rsidR="006C3242" w:rsidRPr="00301B8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301B82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301B82" w:rsidRPr="00301B82">
      <w:rPr>
        <w:noProof/>
        <w:sz w:val="16"/>
        <w:szCs w:val="16"/>
        <w:lang w:val="pt-PT"/>
      </w:rPr>
      <w:t>P:\ARA\ITU-D\CONF-D\TDAG23\TDAG23-30\000\003A.docx</w:t>
    </w:r>
    <w:r w:rsidRPr="0026373E">
      <w:rPr>
        <w:sz w:val="16"/>
        <w:szCs w:val="16"/>
      </w:rPr>
      <w:fldChar w:fldCharType="end"/>
    </w:r>
    <w:r w:rsidRPr="00301B82">
      <w:rPr>
        <w:sz w:val="16"/>
        <w:szCs w:val="16"/>
        <w:lang w:val="pt-PT"/>
      </w:rPr>
      <w:t xml:space="preserve">   </w:t>
    </w:r>
    <w:r w:rsidRPr="00301B82">
      <w:rPr>
        <w:sz w:val="16"/>
        <w:szCs w:val="16"/>
        <w:lang w:val="pt-PT"/>
      </w:rPr>
      <w:t>(</w:t>
    </w:r>
    <w:r w:rsidR="00E43D72" w:rsidRPr="00301B82">
      <w:rPr>
        <w:sz w:val="16"/>
        <w:szCs w:val="16"/>
        <w:lang w:val="pt-PT"/>
      </w:rPr>
      <w:t>520115</w:t>
    </w:r>
    <w:r w:rsidRPr="00301B82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3E3D070F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17D46C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E119F6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51E15F5" w14:textId="6F1F9570" w:rsidR="00882A17" w:rsidRPr="00A126A4" w:rsidRDefault="0093577B" w:rsidP="00BA5BDC">
          <w:pPr>
            <w:spacing w:before="60" w:after="40" w:line="260" w:lineRule="exact"/>
            <w:jc w:val="left"/>
            <w:rPr>
              <w:spacing w:val="-6"/>
              <w:position w:val="2"/>
              <w:sz w:val="18"/>
              <w:szCs w:val="18"/>
              <w:rtl/>
              <w:lang w:val="en-GB" w:bidi="ar-EG"/>
            </w:rPr>
          </w:pPr>
          <w:r w:rsidRPr="00A126A4">
            <w:rPr>
              <w:spacing w:val="-6"/>
              <w:position w:val="2"/>
              <w:sz w:val="18"/>
              <w:szCs w:val="18"/>
              <w:rtl/>
              <w:lang w:val="en-GB" w:bidi="ar-EG"/>
            </w:rPr>
            <w:t>السيدة كارمن برادو-</w:t>
          </w:r>
          <w:proofErr w:type="spellStart"/>
          <w:r w:rsidRPr="00A126A4">
            <w:rPr>
              <w:spacing w:val="-6"/>
              <w:position w:val="2"/>
              <w:sz w:val="18"/>
              <w:szCs w:val="18"/>
              <w:rtl/>
              <w:lang w:val="en-GB" w:bidi="ar-EG"/>
            </w:rPr>
            <w:t>فاغنر</w:t>
          </w:r>
          <w:proofErr w:type="spellEnd"/>
          <w:r w:rsidRPr="00A126A4">
            <w:rPr>
              <w:spacing w:val="-6"/>
              <w:position w:val="2"/>
              <w:sz w:val="18"/>
              <w:szCs w:val="18"/>
              <w:rtl/>
              <w:lang w:val="en-GB" w:bidi="ar-EG"/>
            </w:rPr>
            <w:t xml:space="preserve">، مسؤولة </w:t>
          </w:r>
          <w:r w:rsidR="00BA5BDC" w:rsidRPr="00A126A4">
            <w:rPr>
              <w:rFonts w:hint="cs"/>
              <w:spacing w:val="-6"/>
              <w:position w:val="2"/>
              <w:sz w:val="18"/>
              <w:szCs w:val="18"/>
              <w:rtl/>
              <w:lang w:val="en-GB" w:bidi="ar-EG"/>
            </w:rPr>
            <w:t>أولى</w:t>
          </w:r>
          <w:r w:rsidRPr="00A126A4">
            <w:rPr>
              <w:spacing w:val="-6"/>
              <w:position w:val="2"/>
              <w:sz w:val="18"/>
              <w:szCs w:val="18"/>
              <w:rtl/>
              <w:lang w:val="en-GB" w:bidi="ar-EG"/>
            </w:rPr>
            <w:t>، شعبة التنظيم وبيئة الأسواق</w:t>
          </w:r>
          <w:r w:rsidR="00A126A4" w:rsidRPr="00A126A4">
            <w:rPr>
              <w:rFonts w:hint="cs"/>
              <w:spacing w:val="-6"/>
              <w:position w:val="2"/>
              <w:sz w:val="18"/>
              <w:szCs w:val="18"/>
              <w:rtl/>
              <w:lang w:val="en-GB" w:bidi="ar-EG"/>
            </w:rPr>
            <w:t xml:space="preserve"> </w:t>
          </w:r>
          <w:r w:rsidR="00A126A4" w:rsidRPr="00A126A4">
            <w:rPr>
              <w:spacing w:val="-6"/>
              <w:position w:val="2"/>
              <w:sz w:val="18"/>
              <w:szCs w:val="18"/>
              <w:lang w:bidi="ar-EG"/>
            </w:rPr>
            <w:t>(RME)</w:t>
          </w:r>
          <w:r w:rsidRPr="00A126A4">
            <w:rPr>
              <w:spacing w:val="-6"/>
              <w:position w:val="2"/>
              <w:sz w:val="18"/>
              <w:szCs w:val="18"/>
              <w:rtl/>
              <w:lang w:val="en-GB" w:bidi="ar-EG"/>
            </w:rPr>
            <w:t>، مكتب تنمية الاتصالات.</w:t>
          </w:r>
        </w:p>
      </w:tc>
    </w:tr>
    <w:tr w:rsidR="00882A17" w:rsidRPr="005874F2" w14:paraId="2D978859" w14:textId="77777777" w:rsidTr="00F03E94">
      <w:tc>
        <w:tcPr>
          <w:tcW w:w="991" w:type="dxa"/>
        </w:tcPr>
        <w:p w14:paraId="4644A6F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52C6F7E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621110A" w14:textId="3F3C5F90" w:rsidR="00882A17" w:rsidRPr="005874F2" w:rsidRDefault="0093577B" w:rsidP="0093577B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3577B">
            <w:rPr>
              <w:position w:val="2"/>
              <w:sz w:val="18"/>
              <w:szCs w:val="18"/>
            </w:rPr>
            <w:t>+4122 730 6350</w:t>
          </w:r>
        </w:p>
      </w:tc>
    </w:tr>
    <w:tr w:rsidR="00882A17" w:rsidRPr="005874F2" w14:paraId="5978CEC8" w14:textId="77777777" w:rsidTr="00F03E94">
      <w:tc>
        <w:tcPr>
          <w:tcW w:w="991" w:type="dxa"/>
        </w:tcPr>
        <w:p w14:paraId="29567E66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763BCE2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F603908" w14:textId="38B10A61" w:rsidR="00882A17" w:rsidRPr="005874F2" w:rsidRDefault="00853823" w:rsidP="0093577B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93577B" w:rsidRPr="00616C1D">
              <w:rPr>
                <w:rStyle w:val="Hyperlink"/>
                <w:position w:val="2"/>
                <w:sz w:val="18"/>
                <w:szCs w:val="18"/>
                <w:lang w:bidi="ar-EG"/>
              </w:rPr>
              <w:t>carmen.prado@itu.int</w:t>
            </w:r>
          </w:hyperlink>
          <w:r w:rsidR="0093577B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 </w:t>
          </w:r>
        </w:p>
      </w:tc>
    </w:tr>
  </w:tbl>
  <w:p w14:paraId="0AA1B7A2" w14:textId="77777777" w:rsidR="0006468A" w:rsidRPr="003971E3" w:rsidRDefault="00853823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0EBA" w14:textId="77777777" w:rsidR="0093577B" w:rsidRDefault="0093577B" w:rsidP="006C3242">
      <w:pPr>
        <w:spacing w:before="0" w:line="240" w:lineRule="auto"/>
      </w:pPr>
      <w:r>
        <w:separator/>
      </w:r>
    </w:p>
  </w:footnote>
  <w:footnote w:type="continuationSeparator" w:id="0">
    <w:p w14:paraId="3E630748" w14:textId="77777777" w:rsidR="0093577B" w:rsidRDefault="0093577B" w:rsidP="006C3242">
      <w:pPr>
        <w:spacing w:before="0" w:line="240" w:lineRule="auto"/>
      </w:pPr>
      <w:r>
        <w:continuationSeparator/>
      </w:r>
    </w:p>
  </w:footnote>
  <w:footnote w:id="1">
    <w:p w14:paraId="5A572663" w14:textId="77777777" w:rsidR="009D2608" w:rsidRPr="005B030C" w:rsidRDefault="009D2608" w:rsidP="009D260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ab/>
      </w:r>
      <w:r w:rsidRPr="000021B7">
        <w:rPr>
          <w:rtl/>
          <w:lang w:val="en-GB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5748946" w14:textId="16DEBB83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</w:t>
        </w:r>
        <w:r w:rsidR="00153471">
          <w:rPr>
            <w:sz w:val="20"/>
            <w:szCs w:val="20"/>
            <w:lang w:val="es-ES_tradnl"/>
          </w:rPr>
          <w:t>3</w:t>
        </w:r>
        <w:bookmarkStart w:id="1" w:name="DocNo2"/>
        <w:bookmarkEnd w:id="1"/>
        <w:r w:rsidR="00D8311F">
          <w:rPr>
            <w:sz w:val="20"/>
            <w:szCs w:val="20"/>
            <w:lang w:val="es-ES_tradnl"/>
          </w:rPr>
          <w:t>/</w:t>
        </w:r>
        <w:r w:rsidR="0093577B">
          <w:rPr>
            <w:sz w:val="20"/>
            <w:szCs w:val="20"/>
            <w:lang w:val="es-ES_tradnl"/>
          </w:rPr>
          <w:t>3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B"/>
    <w:rsid w:val="00026D7C"/>
    <w:rsid w:val="000301C9"/>
    <w:rsid w:val="00035D9B"/>
    <w:rsid w:val="0006468A"/>
    <w:rsid w:val="00090574"/>
    <w:rsid w:val="000C1C0E"/>
    <w:rsid w:val="000C548A"/>
    <w:rsid w:val="00153471"/>
    <w:rsid w:val="0019128D"/>
    <w:rsid w:val="001B2D0D"/>
    <w:rsid w:val="001C0169"/>
    <w:rsid w:val="001D1D50"/>
    <w:rsid w:val="001D6745"/>
    <w:rsid w:val="001E446E"/>
    <w:rsid w:val="00200423"/>
    <w:rsid w:val="0021016E"/>
    <w:rsid w:val="002154EE"/>
    <w:rsid w:val="002273BC"/>
    <w:rsid w:val="002276D2"/>
    <w:rsid w:val="0023283D"/>
    <w:rsid w:val="0026373E"/>
    <w:rsid w:val="00271C43"/>
    <w:rsid w:val="00290728"/>
    <w:rsid w:val="002978F4"/>
    <w:rsid w:val="002B028D"/>
    <w:rsid w:val="002E6541"/>
    <w:rsid w:val="00301B82"/>
    <w:rsid w:val="00317741"/>
    <w:rsid w:val="00334924"/>
    <w:rsid w:val="003409BC"/>
    <w:rsid w:val="00357185"/>
    <w:rsid w:val="00377EA7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E11DC"/>
    <w:rsid w:val="004F1F4C"/>
    <w:rsid w:val="004F3C48"/>
    <w:rsid w:val="00506E94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94A7A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57CCC"/>
    <w:rsid w:val="00775BC3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1665E"/>
    <w:rsid w:val="0082358A"/>
    <w:rsid w:val="008235CD"/>
    <w:rsid w:val="008247DE"/>
    <w:rsid w:val="00840B10"/>
    <w:rsid w:val="008513CB"/>
    <w:rsid w:val="00853823"/>
    <w:rsid w:val="008562F3"/>
    <w:rsid w:val="00874F08"/>
    <w:rsid w:val="00882A17"/>
    <w:rsid w:val="008A7F84"/>
    <w:rsid w:val="0091702E"/>
    <w:rsid w:val="00923B0C"/>
    <w:rsid w:val="0093577B"/>
    <w:rsid w:val="0094021C"/>
    <w:rsid w:val="0094065A"/>
    <w:rsid w:val="00952F86"/>
    <w:rsid w:val="00982B28"/>
    <w:rsid w:val="009D2608"/>
    <w:rsid w:val="009D313F"/>
    <w:rsid w:val="00A126A4"/>
    <w:rsid w:val="00A15FFC"/>
    <w:rsid w:val="00A24359"/>
    <w:rsid w:val="00A47A5A"/>
    <w:rsid w:val="00A6683B"/>
    <w:rsid w:val="00A97F94"/>
    <w:rsid w:val="00AA7EA2"/>
    <w:rsid w:val="00B03099"/>
    <w:rsid w:val="00B05BC8"/>
    <w:rsid w:val="00B64B47"/>
    <w:rsid w:val="00B93B7B"/>
    <w:rsid w:val="00BA5BDC"/>
    <w:rsid w:val="00C002DE"/>
    <w:rsid w:val="00C53BF8"/>
    <w:rsid w:val="00C66157"/>
    <w:rsid w:val="00C674FE"/>
    <w:rsid w:val="00C67501"/>
    <w:rsid w:val="00C75633"/>
    <w:rsid w:val="00C85CB5"/>
    <w:rsid w:val="00CA0391"/>
    <w:rsid w:val="00CA08BA"/>
    <w:rsid w:val="00CA7EBF"/>
    <w:rsid w:val="00CC4E20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B0E48"/>
    <w:rsid w:val="00DC1E02"/>
    <w:rsid w:val="00DC24B4"/>
    <w:rsid w:val="00DC5FB0"/>
    <w:rsid w:val="00DF16DC"/>
    <w:rsid w:val="00E43D72"/>
    <w:rsid w:val="00E45211"/>
    <w:rsid w:val="00E473C5"/>
    <w:rsid w:val="00E92863"/>
    <w:rsid w:val="00EB3014"/>
    <w:rsid w:val="00EB796D"/>
    <w:rsid w:val="00EE5CF2"/>
    <w:rsid w:val="00F058DC"/>
    <w:rsid w:val="00F10596"/>
    <w:rsid w:val="00F24FC4"/>
    <w:rsid w:val="00F2676C"/>
    <w:rsid w:val="00F77022"/>
    <w:rsid w:val="00F84366"/>
    <w:rsid w:val="00F85089"/>
    <w:rsid w:val="00F974C5"/>
    <w:rsid w:val="00FA6F46"/>
    <w:rsid w:val="00FD0C0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6C7CA"/>
  <w15:chartTrackingRefBased/>
  <w15:docId w15:val="{2F2F64B1-B5CA-4CCE-A7BA-F283B6F4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D2608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608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armen.prad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Arabic-SA</cp:lastModifiedBy>
  <cp:revision>18</cp:revision>
  <dcterms:created xsi:type="dcterms:W3CDTF">2023-05-12T16:27:00Z</dcterms:created>
  <dcterms:modified xsi:type="dcterms:W3CDTF">2023-05-12T16:36:00Z</dcterms:modified>
</cp:coreProperties>
</file>