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40DF0044"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B406B4">
              <w:rPr>
                <w:b/>
                <w:bCs/>
                <w:lang w:val="en-US"/>
              </w:rPr>
              <w:t>2</w:t>
            </w:r>
            <w:r w:rsidR="006F717A">
              <w:rPr>
                <w:b/>
                <w:bCs/>
                <w:lang w:val="en-US"/>
              </w:rPr>
              <w:t>(</w:t>
            </w:r>
            <w:r w:rsidR="00B406B4">
              <w:rPr>
                <w:b/>
                <w:bCs/>
                <w:lang w:val="en-US"/>
              </w:rPr>
              <w:t>Add.1</w:t>
            </w:r>
            <w:r w:rsidR="006F717A">
              <w:rPr>
                <w:b/>
                <w:bCs/>
                <w:lang w:val="en-US"/>
              </w:rPr>
              <w:t>)</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7AB24A65" w:rsidR="00683C32" w:rsidRPr="007F1CC7" w:rsidRDefault="00E13128" w:rsidP="00B648C7">
            <w:pPr>
              <w:spacing w:before="0"/>
              <w:rPr>
                <w:b/>
                <w:szCs w:val="24"/>
              </w:rPr>
            </w:pPr>
            <w:bookmarkStart w:id="2" w:name="CreationDate"/>
            <w:bookmarkEnd w:id="2"/>
            <w:r w:rsidRPr="00E13128">
              <w:rPr>
                <w:b/>
                <w:bCs/>
                <w:szCs w:val="28"/>
              </w:rPr>
              <w:t>22</w:t>
            </w:r>
            <w:r w:rsidR="00B406B4" w:rsidRPr="00E13128">
              <w:rPr>
                <w:b/>
                <w:bCs/>
                <w:szCs w:val="28"/>
              </w:rPr>
              <w:t xml:space="preserve"> May</w:t>
            </w:r>
            <w:r w:rsidR="00CE0422" w:rsidRPr="00E13128">
              <w:rPr>
                <w:b/>
                <w:bCs/>
                <w:szCs w:val="28"/>
              </w:rPr>
              <w:t xml:space="preserve"> 20</w:t>
            </w:r>
            <w:r w:rsidR="00B648C7" w:rsidRPr="00E13128">
              <w:rPr>
                <w:b/>
                <w:bCs/>
                <w:szCs w:val="28"/>
              </w:rPr>
              <w:t>2</w:t>
            </w:r>
            <w:r w:rsidR="005C5A93" w:rsidRPr="00E13128">
              <w:rPr>
                <w:b/>
                <w:bCs/>
                <w:szCs w:val="28"/>
              </w:rPr>
              <w:t>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B406B4" w14:paraId="31656E31" w14:textId="77777777" w:rsidTr="00107E85">
        <w:trPr>
          <w:cantSplit/>
          <w:trHeight w:val="852"/>
        </w:trPr>
        <w:tc>
          <w:tcPr>
            <w:tcW w:w="9888" w:type="dxa"/>
            <w:gridSpan w:val="2"/>
          </w:tcPr>
          <w:p w14:paraId="512FCA01" w14:textId="43C8372F" w:rsidR="00B406B4" w:rsidRPr="0030353C" w:rsidRDefault="00B406B4" w:rsidP="00B406B4">
            <w:pPr>
              <w:pStyle w:val="Source"/>
            </w:pPr>
            <w:bookmarkStart w:id="4" w:name="Source"/>
            <w:bookmarkEnd w:id="4"/>
            <w:r>
              <w:t>Director, Telecommunication Development Bureau</w:t>
            </w:r>
          </w:p>
        </w:tc>
      </w:tr>
      <w:tr w:rsidR="00B406B4" w:rsidRPr="002E6963" w14:paraId="2CBD3A36" w14:textId="77777777" w:rsidTr="00107E85">
        <w:trPr>
          <w:cantSplit/>
        </w:trPr>
        <w:tc>
          <w:tcPr>
            <w:tcW w:w="9888" w:type="dxa"/>
            <w:gridSpan w:val="2"/>
          </w:tcPr>
          <w:p w14:paraId="1B4121DF" w14:textId="0B252113" w:rsidR="00B406B4" w:rsidRPr="0030353C" w:rsidRDefault="00B406B4" w:rsidP="00B406B4">
            <w:pPr>
              <w:pStyle w:val="Title1"/>
            </w:pPr>
            <w:bookmarkStart w:id="5" w:name="Title"/>
            <w:bookmarkEnd w:id="5"/>
            <w:r w:rsidRPr="00B406B4">
              <w:t>U</w:t>
            </w:r>
            <w:r w:rsidR="00E13128">
              <w:t xml:space="preserve">pdate on the Report on implementation of the </w:t>
            </w:r>
            <w:r w:rsidR="00E13128">
              <w:br/>
              <w:t xml:space="preserve">Buenos Aires Action Plan </w:t>
            </w:r>
            <w:r w:rsidRPr="00B406B4">
              <w:t>(BAAP) 2018-2022</w:t>
            </w:r>
          </w:p>
        </w:tc>
      </w:tr>
      <w:tr w:rsidR="00B406B4" w:rsidRPr="002E6963" w14:paraId="23A30231" w14:textId="77777777" w:rsidTr="00A721F4">
        <w:trPr>
          <w:cantSplit/>
        </w:trPr>
        <w:tc>
          <w:tcPr>
            <w:tcW w:w="9888" w:type="dxa"/>
            <w:gridSpan w:val="2"/>
            <w:tcBorders>
              <w:bottom w:val="single" w:sz="4" w:space="0" w:color="auto"/>
            </w:tcBorders>
          </w:tcPr>
          <w:p w14:paraId="726EE70E" w14:textId="77777777" w:rsidR="00B406B4" w:rsidRPr="00A721F4" w:rsidRDefault="00B406B4" w:rsidP="00B406B4"/>
        </w:tc>
      </w:tr>
      <w:tr w:rsidR="00B406B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B406B4" w:rsidRPr="00D9621A" w:rsidRDefault="00B406B4" w:rsidP="00E13128">
            <w:pPr>
              <w:spacing w:after="120"/>
              <w:rPr>
                <w:b/>
                <w:bCs/>
                <w:szCs w:val="24"/>
              </w:rPr>
            </w:pPr>
            <w:r w:rsidRPr="00D9621A">
              <w:rPr>
                <w:b/>
                <w:bCs/>
                <w:szCs w:val="24"/>
              </w:rPr>
              <w:t>Summary:</w:t>
            </w:r>
          </w:p>
          <w:p w14:paraId="68ADA8F8" w14:textId="5D76A02C" w:rsidR="00B406B4" w:rsidRPr="00B406B4" w:rsidRDefault="00B406B4" w:rsidP="00E13128">
            <w:pPr>
              <w:spacing w:after="120"/>
            </w:pPr>
            <w:r w:rsidRPr="00B406B4">
              <w:rPr>
                <w:bCs/>
              </w:rPr>
              <w:t xml:space="preserve">This document provides an update to </w:t>
            </w:r>
            <w:hyperlink r:id="rId12" w:history="1">
              <w:r w:rsidRPr="00B406B4">
                <w:rPr>
                  <w:rStyle w:val="Hyperlink"/>
                  <w:bCs/>
                </w:rPr>
                <w:t>WTDC-22 Document 2</w:t>
              </w:r>
            </w:hyperlink>
            <w:r w:rsidRPr="00B406B4">
              <w:rPr>
                <w:bCs/>
              </w:rPr>
              <w:t xml:space="preserve"> on the implementation of the </w:t>
            </w:r>
            <w:r w:rsidR="00CE078F">
              <w:rPr>
                <w:bCs/>
              </w:rPr>
              <w:t>Buenos Aires Action Plan (</w:t>
            </w:r>
            <w:r w:rsidRPr="00B406B4">
              <w:rPr>
                <w:bCs/>
              </w:rPr>
              <w:t>BAAP</w:t>
            </w:r>
            <w:r w:rsidR="00CE078F">
              <w:rPr>
                <w:bCs/>
              </w:rPr>
              <w:t>)</w:t>
            </w:r>
            <w:r w:rsidRPr="00B406B4">
              <w:rPr>
                <w:bCs/>
              </w:rPr>
              <w:t xml:space="preserve"> and covers the period </w:t>
            </w:r>
            <w:r w:rsidR="0083376D">
              <w:rPr>
                <w:bCs/>
              </w:rPr>
              <w:t>May</w:t>
            </w:r>
            <w:r w:rsidR="002845FE">
              <w:rPr>
                <w:bCs/>
              </w:rPr>
              <w:t>-</w:t>
            </w:r>
            <w:r w:rsidRPr="00B406B4">
              <w:rPr>
                <w:bCs/>
              </w:rPr>
              <w:t xml:space="preserve">December 2022. In addition to activities undertaken under the Operational Plan </w:t>
            </w:r>
            <w:r w:rsidR="00CE078F">
              <w:rPr>
                <w:bCs/>
              </w:rPr>
              <w:t xml:space="preserve">of the </w:t>
            </w:r>
            <w:r w:rsidR="00CE078F" w:rsidRPr="00CE078F">
              <w:rPr>
                <w:bCs/>
              </w:rPr>
              <w:t>Telecommunication Development Bureau (BDT)</w:t>
            </w:r>
            <w:r w:rsidR="00CE078F">
              <w:rPr>
                <w:bCs/>
              </w:rPr>
              <w:t xml:space="preserve"> </w:t>
            </w:r>
            <w:r w:rsidRPr="00B406B4">
              <w:rPr>
                <w:bCs/>
              </w:rPr>
              <w:t>and extra-budgetary projects. E</w:t>
            </w:r>
            <w:r w:rsidRPr="00B406B4">
              <w:t xml:space="preserve">mphasis is put on the results achieved during the implementation of the objectives, outcomes and outputs of the Sector as well as on </w:t>
            </w:r>
            <w:r>
              <w:t>key</w:t>
            </w:r>
            <w:r w:rsidRPr="00B406B4">
              <w:t xml:space="preserve"> performance indicators.</w:t>
            </w:r>
          </w:p>
          <w:p w14:paraId="6B39637A" w14:textId="77777777" w:rsidR="00B406B4" w:rsidRPr="00D9621A" w:rsidRDefault="00B406B4" w:rsidP="00E13128">
            <w:pPr>
              <w:spacing w:after="120"/>
              <w:rPr>
                <w:b/>
                <w:bCs/>
                <w:szCs w:val="24"/>
              </w:rPr>
            </w:pPr>
            <w:r w:rsidRPr="005E090D">
              <w:rPr>
                <w:b/>
                <w:bCs/>
              </w:rPr>
              <w:t>Action required:</w:t>
            </w:r>
          </w:p>
          <w:p w14:paraId="066B04BF" w14:textId="517DFB77" w:rsidR="00B406B4" w:rsidRPr="006E76D8" w:rsidRDefault="00B406B4" w:rsidP="00E13128">
            <w:pPr>
              <w:spacing w:after="120"/>
            </w:pPr>
            <w:r w:rsidRPr="006E76D8">
              <w:t>TDAG is invited to note this document.</w:t>
            </w:r>
          </w:p>
          <w:p w14:paraId="52A1D6E5" w14:textId="77777777" w:rsidR="00B406B4" w:rsidRPr="006E76D8" w:rsidRDefault="00B406B4" w:rsidP="00E13128">
            <w:pPr>
              <w:spacing w:after="120"/>
              <w:rPr>
                <w:b/>
                <w:bCs/>
                <w:szCs w:val="24"/>
                <w:lang w:val="fr-FR"/>
              </w:rPr>
            </w:pPr>
            <w:proofErr w:type="spellStart"/>
            <w:r w:rsidRPr="006E76D8">
              <w:rPr>
                <w:b/>
                <w:bCs/>
                <w:szCs w:val="24"/>
                <w:lang w:val="fr-FR"/>
              </w:rPr>
              <w:t>References</w:t>
            </w:r>
            <w:proofErr w:type="spellEnd"/>
            <w:r w:rsidRPr="006E76D8">
              <w:rPr>
                <w:b/>
                <w:bCs/>
                <w:szCs w:val="24"/>
                <w:lang w:val="fr-FR"/>
              </w:rPr>
              <w:t>:</w:t>
            </w:r>
          </w:p>
          <w:p w14:paraId="25BE0248" w14:textId="77777777" w:rsidR="00B406B4" w:rsidRDefault="00B406B4" w:rsidP="00E13128">
            <w:pPr>
              <w:spacing w:after="120"/>
              <w:rPr>
                <w:lang w:val="fr-FR"/>
              </w:rPr>
            </w:pPr>
            <w:r w:rsidRPr="006E76D8">
              <w:rPr>
                <w:lang w:val="fr-FR"/>
              </w:rPr>
              <w:t>Document 2, TDAG-23</w:t>
            </w:r>
          </w:p>
          <w:p w14:paraId="056A5E00" w14:textId="77777777" w:rsidR="00B406B4" w:rsidRPr="005D3E15" w:rsidRDefault="00B406B4" w:rsidP="00E13128">
            <w:pPr>
              <w:spacing w:after="120"/>
              <w:rPr>
                <w:lang w:val="fr-FR"/>
              </w:rPr>
            </w:pPr>
            <w:r w:rsidRPr="005D3E15">
              <w:rPr>
                <w:lang w:val="fr-FR"/>
              </w:rPr>
              <w:t>WTDC-22 Kigali Action Plan</w:t>
            </w:r>
          </w:p>
          <w:p w14:paraId="1ECDD20E" w14:textId="5CA4D14F" w:rsidR="00B406B4" w:rsidRPr="00D9621A" w:rsidRDefault="00B406B4" w:rsidP="00E13128">
            <w:pPr>
              <w:spacing w:after="120"/>
            </w:pPr>
            <w:r w:rsidRPr="005D3E15">
              <w:rPr>
                <w:lang w:val="fr-FR"/>
              </w:rPr>
              <w:t>Document 2, WTDC-17</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6CB972DF" w14:textId="41C3CEA9" w:rsidR="00B406B4" w:rsidRPr="00E13128" w:rsidRDefault="00B406B4" w:rsidP="00E13128">
      <w:pPr>
        <w:pStyle w:val="Heading1"/>
        <w:numPr>
          <w:ilvl w:val="0"/>
          <w:numId w:val="22"/>
        </w:numPr>
        <w:spacing w:before="120" w:after="120"/>
        <w:ind w:left="357" w:hanging="357"/>
        <w:rPr>
          <w:sz w:val="24"/>
          <w:szCs w:val="24"/>
          <w:lang w:val="en-US"/>
        </w:rPr>
      </w:pPr>
      <w:r w:rsidRPr="00E13128">
        <w:rPr>
          <w:sz w:val="24"/>
          <w:szCs w:val="24"/>
          <w:lang w:val="en-US"/>
        </w:rPr>
        <w:lastRenderedPageBreak/>
        <w:t>Introduction</w:t>
      </w:r>
    </w:p>
    <w:p w14:paraId="2178C2C9" w14:textId="758088D9" w:rsidR="00B406B4" w:rsidRPr="00E13128" w:rsidRDefault="00B406B4" w:rsidP="00E13128">
      <w:pPr>
        <w:spacing w:after="120"/>
        <w:rPr>
          <w:rFonts w:cstheme="minorHAnsi"/>
          <w:szCs w:val="24"/>
        </w:rPr>
      </w:pPr>
      <w:r w:rsidRPr="00E13128">
        <w:rPr>
          <w:rFonts w:cstheme="minorHAnsi"/>
          <w:szCs w:val="24"/>
        </w:rPr>
        <w:t>The 2017 ITU World Telecommunication Development Conference (WTDC-17) convened in Buenos Aires, Argentina, from 9 to 20 October 2017 and adopted the Buenos Aires Action Plan (BAAP). The plan, which includes the ITU-D programmes, a set of regional initiatives, and new and revised resolutions, recommendations and Study Group Questions, defined the mandate, objectives and priorities of the ITU Development Sector (ITU-D) for the period 2018-2021. It also aligned the work of the Development Sector with the strategic objectives of ITU to allow countries to harness the full benefits of ICTs. Due to the postponement of WTDC-21, the implementation of BAAP has spanned until December 2022.</w:t>
      </w:r>
      <w:r w:rsidR="005E75F3">
        <w:rPr>
          <w:rFonts w:cstheme="minorHAnsi"/>
          <w:szCs w:val="24"/>
        </w:rPr>
        <w:t xml:space="preserve"> </w:t>
      </w:r>
    </w:p>
    <w:p w14:paraId="027FAED4" w14:textId="2AA7D8EE" w:rsidR="00B406B4" w:rsidRPr="00E13128" w:rsidRDefault="00B406B4" w:rsidP="00E13128">
      <w:pPr>
        <w:spacing w:after="120"/>
        <w:rPr>
          <w:rFonts w:cstheme="minorHAnsi"/>
          <w:bCs/>
          <w:szCs w:val="24"/>
        </w:rPr>
      </w:pPr>
      <w:r w:rsidRPr="00E13128">
        <w:rPr>
          <w:rFonts w:cstheme="minorHAnsi"/>
          <w:bCs/>
          <w:szCs w:val="24"/>
        </w:rPr>
        <w:t xml:space="preserve">This document provides an update to </w:t>
      </w:r>
      <w:hyperlink r:id="rId13" w:history="1">
        <w:r w:rsidRPr="00E13128">
          <w:rPr>
            <w:rStyle w:val="Hyperlink"/>
            <w:rFonts w:cstheme="minorHAnsi"/>
            <w:bCs/>
            <w:color w:val="auto"/>
            <w:szCs w:val="24"/>
          </w:rPr>
          <w:t>WTDC-22 Document 2</w:t>
        </w:r>
      </w:hyperlink>
      <w:r w:rsidRPr="00E13128">
        <w:rPr>
          <w:rFonts w:cstheme="minorHAnsi"/>
          <w:bCs/>
          <w:szCs w:val="24"/>
        </w:rPr>
        <w:t xml:space="preserve"> on the implementation of the BAAP and covers the period </w:t>
      </w:r>
      <w:r w:rsidR="0083376D" w:rsidRPr="00E13128">
        <w:rPr>
          <w:rFonts w:cstheme="minorHAnsi"/>
          <w:bCs/>
          <w:szCs w:val="24"/>
        </w:rPr>
        <w:t>May</w:t>
      </w:r>
      <w:r w:rsidR="002845FE">
        <w:rPr>
          <w:rFonts w:cstheme="minorHAnsi"/>
          <w:bCs/>
          <w:szCs w:val="24"/>
        </w:rPr>
        <w:t>-</w:t>
      </w:r>
      <w:r w:rsidRPr="00E13128">
        <w:rPr>
          <w:rFonts w:cstheme="minorHAnsi"/>
          <w:bCs/>
          <w:szCs w:val="24"/>
        </w:rPr>
        <w:t>December 2022. In addition to activities undertaken under the BDT Operational Plan in the framework of the 11 Thematic Priorities and extra-budgetary projects, it highlights BDT’s contribution to the implementation of the WSIS Plan of Action and the Sustainable Development Goals (SDGs).</w:t>
      </w:r>
    </w:p>
    <w:p w14:paraId="7762B5AE" w14:textId="4F529EA8" w:rsidR="00B406B4" w:rsidRPr="00E13128" w:rsidRDefault="00B406B4" w:rsidP="00E13128">
      <w:pPr>
        <w:pStyle w:val="Heading1"/>
        <w:numPr>
          <w:ilvl w:val="0"/>
          <w:numId w:val="22"/>
        </w:numPr>
        <w:spacing w:before="120" w:after="120"/>
        <w:ind w:left="357" w:hanging="357"/>
        <w:rPr>
          <w:sz w:val="24"/>
          <w:szCs w:val="24"/>
          <w:lang w:val="en-US"/>
        </w:rPr>
      </w:pPr>
      <w:r w:rsidRPr="00E13128">
        <w:rPr>
          <w:sz w:val="24"/>
          <w:szCs w:val="24"/>
          <w:lang w:val="en-US"/>
        </w:rPr>
        <w:t>Capacity development: Building a digitally competent society</w:t>
      </w:r>
      <w:r w:rsidRPr="00E13128">
        <w:rPr>
          <w:sz w:val="24"/>
          <w:szCs w:val="24"/>
          <w:lang w:val="en-US"/>
        </w:rPr>
        <w:tab/>
      </w:r>
    </w:p>
    <w:p w14:paraId="20E0DD09" w14:textId="5DEB2D2D" w:rsidR="00B406B4" w:rsidRPr="00E13128" w:rsidRDefault="00B406B4" w:rsidP="00E13128">
      <w:pPr>
        <w:pStyle w:val="Heading3"/>
        <w:spacing w:before="120" w:after="120"/>
        <w:rPr>
          <w:rFonts w:eastAsiaTheme="minorHAnsi" w:cstheme="minorHAnsi"/>
          <w:bCs/>
          <w:szCs w:val="24"/>
          <w:lang w:val="en-US"/>
        </w:rPr>
      </w:pPr>
      <w:r w:rsidRPr="00E13128">
        <w:rPr>
          <w:rFonts w:eastAsiaTheme="minorHAnsi" w:cstheme="minorHAnsi"/>
          <w:bCs/>
          <w:szCs w:val="24"/>
          <w:lang w:val="en-US"/>
        </w:rPr>
        <w:t>ITU Academy</w:t>
      </w:r>
    </w:p>
    <w:p w14:paraId="6D8C6062" w14:textId="77777777" w:rsidR="00B406B4" w:rsidRPr="00E13128" w:rsidRDefault="00B406B4" w:rsidP="00E13128">
      <w:pPr>
        <w:spacing w:after="120"/>
        <w:rPr>
          <w:rFonts w:cstheme="minorHAnsi"/>
          <w:szCs w:val="24"/>
        </w:rPr>
      </w:pPr>
      <w:r w:rsidRPr="00E13128">
        <w:rPr>
          <w:rFonts w:cstheme="minorHAnsi"/>
          <w:szCs w:val="24"/>
        </w:rPr>
        <w:t xml:space="preserve">The </w:t>
      </w:r>
      <w:hyperlink r:id="rId14" w:history="1">
        <w:r w:rsidRPr="00E13128">
          <w:rPr>
            <w:rStyle w:val="Hyperlink"/>
            <w:rFonts w:cstheme="minorHAnsi"/>
            <w:color w:val="auto"/>
            <w:szCs w:val="24"/>
          </w:rPr>
          <w:t>ITU Academy portal</w:t>
        </w:r>
      </w:hyperlink>
      <w:r w:rsidRPr="00E13128">
        <w:rPr>
          <w:rFonts w:cstheme="minorHAnsi"/>
          <w:szCs w:val="24"/>
        </w:rPr>
        <w:t xml:space="preserve"> continues to be the main gateway to ITU capacity development and training activities. It offers ICT professionals and policy makers access to capacity development opportunities using various methodologies and tailored to different learning styles, such as online, self-paced or instructor-led courses. Its training catalogue covers a large array of topics relevant to the ITU membership, such as cybersecurity, digital inclusion, artificial intelligence, spectrum management, policy and regulation, and network infrastructure.</w:t>
      </w:r>
    </w:p>
    <w:p w14:paraId="3D5A7FB2" w14:textId="77777777" w:rsidR="00B406B4" w:rsidRPr="00E13128" w:rsidRDefault="00B406B4" w:rsidP="00E13128">
      <w:pPr>
        <w:spacing w:after="120"/>
        <w:rPr>
          <w:rFonts w:cstheme="minorHAnsi"/>
          <w:szCs w:val="24"/>
        </w:rPr>
      </w:pPr>
      <w:r w:rsidRPr="00E13128">
        <w:rPr>
          <w:rFonts w:cstheme="minorHAnsi"/>
          <w:szCs w:val="24"/>
        </w:rPr>
        <w:t>In 2022, the ITU Academy welcomed over 9,800 additional users bringing the total of the platform’s learners to over 35,200 users, from all Member States. During this period, 196 courses were delivered via the ITU Academy to around 13,000 registered participants, of which 4,000 received a training course certificate.</w:t>
      </w:r>
    </w:p>
    <w:p w14:paraId="53E19F50" w14:textId="77777777" w:rsidR="00B406B4" w:rsidRPr="00E13128" w:rsidRDefault="00B406B4" w:rsidP="009C6393">
      <w:pPr>
        <w:keepNext/>
        <w:spacing w:after="120"/>
        <w:rPr>
          <w:rFonts w:eastAsiaTheme="minorHAnsi" w:cstheme="minorHAnsi"/>
          <w:b/>
          <w:bCs/>
          <w:szCs w:val="24"/>
          <w:lang w:val="en-US"/>
        </w:rPr>
      </w:pPr>
      <w:bookmarkStart w:id="6" w:name="_Toc100266077"/>
      <w:proofErr w:type="spellStart"/>
      <w:r w:rsidRPr="00E13128">
        <w:rPr>
          <w:rFonts w:eastAsiaTheme="minorHAnsi" w:cstheme="minorHAnsi"/>
          <w:b/>
          <w:bCs/>
          <w:szCs w:val="24"/>
          <w:lang w:val="en-US"/>
        </w:rPr>
        <w:t>Centres</w:t>
      </w:r>
      <w:proofErr w:type="spellEnd"/>
      <w:r w:rsidRPr="00E13128">
        <w:rPr>
          <w:rFonts w:eastAsiaTheme="minorHAnsi" w:cstheme="minorHAnsi"/>
          <w:b/>
          <w:bCs/>
          <w:szCs w:val="24"/>
          <w:lang w:val="en-US"/>
        </w:rPr>
        <w:t xml:space="preserve"> of Excellence </w:t>
      </w:r>
      <w:bookmarkEnd w:id="6"/>
      <w:r w:rsidRPr="00E13128">
        <w:rPr>
          <w:rFonts w:eastAsiaTheme="minorHAnsi" w:cstheme="minorHAnsi"/>
          <w:b/>
          <w:bCs/>
          <w:szCs w:val="24"/>
          <w:lang w:val="en-US"/>
        </w:rPr>
        <w:t xml:space="preserve">and ITU Academy Training </w:t>
      </w:r>
      <w:proofErr w:type="spellStart"/>
      <w:r w:rsidRPr="00E13128">
        <w:rPr>
          <w:rFonts w:eastAsiaTheme="minorHAnsi" w:cstheme="minorHAnsi"/>
          <w:b/>
          <w:bCs/>
          <w:szCs w:val="24"/>
          <w:lang w:val="en-US"/>
        </w:rPr>
        <w:t>Centres</w:t>
      </w:r>
      <w:proofErr w:type="spellEnd"/>
      <w:r w:rsidRPr="00E13128">
        <w:rPr>
          <w:rFonts w:eastAsiaTheme="minorHAnsi" w:cstheme="minorHAnsi"/>
          <w:b/>
          <w:bCs/>
          <w:szCs w:val="24"/>
          <w:lang w:val="en-US"/>
        </w:rPr>
        <w:t xml:space="preserve"> </w:t>
      </w:r>
      <w:proofErr w:type="spellStart"/>
      <w:r w:rsidRPr="00E13128">
        <w:rPr>
          <w:rFonts w:eastAsiaTheme="minorHAnsi" w:cstheme="minorHAnsi"/>
          <w:b/>
          <w:bCs/>
          <w:szCs w:val="24"/>
          <w:lang w:val="en-US"/>
        </w:rPr>
        <w:t>programme</w:t>
      </w:r>
      <w:proofErr w:type="spellEnd"/>
    </w:p>
    <w:p w14:paraId="11A99D20" w14:textId="77777777" w:rsidR="00B406B4" w:rsidRPr="00E13128" w:rsidRDefault="00B406B4" w:rsidP="00E13128">
      <w:pPr>
        <w:spacing w:after="120"/>
        <w:rPr>
          <w:rFonts w:cstheme="minorHAnsi"/>
          <w:szCs w:val="24"/>
        </w:rPr>
      </w:pPr>
      <w:r w:rsidRPr="00E13128">
        <w:rPr>
          <w:rFonts w:cstheme="minorHAnsi"/>
          <w:szCs w:val="24"/>
        </w:rPr>
        <w:t xml:space="preserve">Over the 2019-2022 </w:t>
      </w:r>
      <w:hyperlink r:id="rId15">
        <w:r w:rsidRPr="00E13128">
          <w:rPr>
            <w:rFonts w:cstheme="minorHAnsi"/>
            <w:szCs w:val="24"/>
          </w:rPr>
          <w:t>cycle of the ITU Centres of Excellence (</w:t>
        </w:r>
        <w:proofErr w:type="spellStart"/>
        <w:r w:rsidRPr="00E13128">
          <w:rPr>
            <w:rFonts w:cstheme="minorHAnsi"/>
            <w:szCs w:val="24"/>
          </w:rPr>
          <w:t>CoE</w:t>
        </w:r>
        <w:proofErr w:type="spellEnd"/>
        <w:r w:rsidRPr="00E13128">
          <w:rPr>
            <w:rStyle w:val="Hyperlink"/>
            <w:rFonts w:cstheme="minorHAnsi"/>
            <w:color w:val="auto"/>
            <w:szCs w:val="24"/>
          </w:rPr>
          <w:t>)</w:t>
        </w:r>
      </w:hyperlink>
      <w:r w:rsidRPr="00E13128">
        <w:rPr>
          <w:rFonts w:cstheme="minorHAnsi"/>
          <w:szCs w:val="24"/>
        </w:rPr>
        <w:t xml:space="preserve"> programme, the network of centres successfully delivered a total of 324 training courses in 15 areas such as wireless and fixed broadband, cybersecurity, digital economy, Internet of Things (IoT), spectrum management, innovation and entrepreneurship, and ICT applications and services. Over the four-year period, 13,367 people were trained, of which 9,469 participants received a certificate for successfully completing courses. The </w:t>
      </w:r>
      <w:hyperlink r:id="rId16">
        <w:r w:rsidRPr="00E13128">
          <w:rPr>
            <w:rStyle w:val="Hyperlink"/>
            <w:rFonts w:cstheme="minorHAnsi"/>
            <w:color w:val="auto"/>
            <w:szCs w:val="24"/>
          </w:rPr>
          <w:t xml:space="preserve">final review of the 2019-2022 </w:t>
        </w:r>
        <w:proofErr w:type="spellStart"/>
        <w:r w:rsidRPr="00E13128">
          <w:rPr>
            <w:rStyle w:val="Hyperlink"/>
            <w:rFonts w:cstheme="minorHAnsi"/>
            <w:color w:val="auto"/>
            <w:szCs w:val="24"/>
          </w:rPr>
          <w:t>CoE</w:t>
        </w:r>
        <w:proofErr w:type="spellEnd"/>
        <w:r w:rsidRPr="00E13128">
          <w:rPr>
            <w:rStyle w:val="Hyperlink"/>
            <w:rFonts w:cstheme="minorHAnsi"/>
            <w:color w:val="auto"/>
            <w:szCs w:val="24"/>
          </w:rPr>
          <w:t xml:space="preserve"> cycle</w:t>
        </w:r>
      </w:hyperlink>
      <w:r w:rsidRPr="00E13128">
        <w:rPr>
          <w:rFonts w:cstheme="minorHAnsi"/>
          <w:szCs w:val="24"/>
        </w:rPr>
        <w:t xml:space="preserve"> provides further details on implementation. </w:t>
      </w:r>
    </w:p>
    <w:p w14:paraId="32FD9F08" w14:textId="77777777" w:rsidR="00B406B4" w:rsidRPr="00E13128" w:rsidRDefault="00B406B4" w:rsidP="00E13128">
      <w:pPr>
        <w:pStyle w:val="Heading3"/>
        <w:spacing w:before="120" w:after="120"/>
        <w:rPr>
          <w:rFonts w:cstheme="minorHAnsi"/>
          <w:szCs w:val="24"/>
        </w:rPr>
      </w:pPr>
      <w:r w:rsidRPr="00E13128">
        <w:rPr>
          <w:rFonts w:eastAsiaTheme="minorHAnsi" w:cstheme="minorHAnsi"/>
          <w:bCs/>
          <w:szCs w:val="24"/>
          <w:lang w:val="en-US"/>
        </w:rPr>
        <w:t>Intersectoral Task Force on Capacity Development</w:t>
      </w:r>
      <w:r w:rsidRPr="00E13128">
        <w:rPr>
          <w:rFonts w:cstheme="minorHAnsi"/>
          <w:szCs w:val="24"/>
        </w:rPr>
        <w:t xml:space="preserve"> </w:t>
      </w:r>
    </w:p>
    <w:p w14:paraId="46CAB78B" w14:textId="77777777" w:rsidR="00B406B4" w:rsidRPr="00E13128" w:rsidRDefault="00B406B4" w:rsidP="00E13128">
      <w:pPr>
        <w:spacing w:after="120"/>
        <w:rPr>
          <w:rFonts w:cstheme="minorHAnsi"/>
          <w:szCs w:val="24"/>
        </w:rPr>
      </w:pPr>
      <w:r w:rsidRPr="00E13128">
        <w:rPr>
          <w:rFonts w:cstheme="minorHAnsi"/>
          <w:szCs w:val="24"/>
        </w:rPr>
        <w:t>At its 2022 session, following the recommendations of the ITU Secretariat in the final report on the “Feasibility study on establishing an ITU training institute”, ITU Council approved proposals to work towards a harmonized capacity development framework in ITU and further enhance the ITU Academy. To lead the work, in early 2022 BDT set up the intersectoral Task Force on Capacity Development, including representatives of the three Bureaux and the General Secretariat, with the objective to oversee the harmonization of capacity development across sectors and work towards consolidating ITU’s capacity development and training activities under the ITU Academy umbrella.</w:t>
      </w:r>
    </w:p>
    <w:p w14:paraId="69F02DD4" w14:textId="77777777" w:rsidR="00B406B4" w:rsidRPr="00E13128" w:rsidRDefault="00B406B4" w:rsidP="00E13128">
      <w:pPr>
        <w:spacing w:after="120"/>
        <w:rPr>
          <w:rFonts w:cstheme="minorHAnsi"/>
          <w:szCs w:val="24"/>
        </w:rPr>
      </w:pPr>
      <w:r w:rsidRPr="00E13128">
        <w:rPr>
          <w:rFonts w:cstheme="minorHAnsi"/>
          <w:szCs w:val="24"/>
        </w:rPr>
        <w:lastRenderedPageBreak/>
        <w:t xml:space="preserve">Between March 2022 and December 2022, the Task Force met six times to work on the development of an implementation plan to harmonize capacity development in ITU; identifying courses to be featured on the ITU Academy, and develop guidelines on harmonizing processes, quality assurance as well as the planning and delivery of training courses and workshops. </w:t>
      </w:r>
      <w:bookmarkStart w:id="7" w:name="_Toc100266081"/>
      <w:bookmarkStart w:id="8" w:name="_Hlk58418073"/>
    </w:p>
    <w:p w14:paraId="3E1B1228" w14:textId="77777777" w:rsidR="00B406B4" w:rsidRPr="00E13128" w:rsidRDefault="00B406B4" w:rsidP="00E13128">
      <w:pPr>
        <w:pStyle w:val="Heading3"/>
        <w:spacing w:before="120" w:after="120"/>
        <w:rPr>
          <w:rFonts w:eastAsiaTheme="minorHAnsi" w:cstheme="minorHAnsi"/>
          <w:b w:val="0"/>
          <w:bCs/>
          <w:szCs w:val="24"/>
          <w:lang w:val="en-US"/>
        </w:rPr>
      </w:pPr>
      <w:r w:rsidRPr="00E13128">
        <w:rPr>
          <w:rFonts w:eastAsiaTheme="minorHAnsi" w:cstheme="minorHAnsi"/>
          <w:bCs/>
          <w:szCs w:val="24"/>
          <w:lang w:val="en-US"/>
        </w:rPr>
        <w:t xml:space="preserve">Digital Transformation </w:t>
      </w:r>
      <w:proofErr w:type="spellStart"/>
      <w:r w:rsidRPr="00E13128">
        <w:rPr>
          <w:rFonts w:eastAsiaTheme="minorHAnsi" w:cstheme="minorHAnsi"/>
          <w:bCs/>
          <w:szCs w:val="24"/>
          <w:lang w:val="en-US"/>
        </w:rPr>
        <w:t>Centres</w:t>
      </w:r>
      <w:proofErr w:type="spellEnd"/>
      <w:r w:rsidRPr="00E13128">
        <w:rPr>
          <w:rFonts w:eastAsiaTheme="minorHAnsi" w:cstheme="minorHAnsi"/>
          <w:bCs/>
          <w:szCs w:val="24"/>
          <w:lang w:val="en-US"/>
        </w:rPr>
        <w:t xml:space="preserve"> initiative</w:t>
      </w:r>
      <w:bookmarkEnd w:id="7"/>
    </w:p>
    <w:bookmarkEnd w:id="8"/>
    <w:p w14:paraId="2F9450D7" w14:textId="3BBF939E" w:rsidR="00B406B4" w:rsidRPr="00E13128" w:rsidRDefault="00B406B4" w:rsidP="00E13128">
      <w:pPr>
        <w:spacing w:after="120"/>
        <w:rPr>
          <w:rFonts w:cstheme="minorHAnsi"/>
          <w:szCs w:val="24"/>
        </w:rPr>
      </w:pPr>
      <w:r w:rsidRPr="00E13128">
        <w:rPr>
          <w:rFonts w:cstheme="minorHAnsi"/>
          <w:szCs w:val="24"/>
        </w:rPr>
        <w:t xml:space="preserve">The second phase of the </w:t>
      </w:r>
      <w:hyperlink r:id="rId17">
        <w:r w:rsidRPr="00E13128">
          <w:rPr>
            <w:rStyle w:val="Hyperlink"/>
            <w:rFonts w:cstheme="minorHAnsi"/>
            <w:color w:val="auto"/>
            <w:szCs w:val="24"/>
          </w:rPr>
          <w:t>Digital Transformation Centres (DTC) Initiative</w:t>
        </w:r>
      </w:hyperlink>
      <w:r w:rsidRPr="00E13128">
        <w:rPr>
          <w:rFonts w:cstheme="minorHAnsi"/>
          <w:szCs w:val="24"/>
        </w:rPr>
        <w:t xml:space="preserve"> started in 2022, with 13</w:t>
      </w:r>
      <w:r w:rsidR="002845FE">
        <w:rPr>
          <w:rFonts w:cstheme="minorHAnsi"/>
          <w:szCs w:val="24"/>
        </w:rPr>
        <w:t> </w:t>
      </w:r>
      <w:r w:rsidRPr="00E13128">
        <w:rPr>
          <w:rFonts w:cstheme="minorHAnsi"/>
          <w:szCs w:val="24"/>
        </w:rPr>
        <w:t>DTCs joining: 8 DTCs from phase 1 (Côte d’Ivoire, Dominican Republic, Ghana, Indonesia, Papua New Guinea, the Philippines, Rwanda and Zambia,) and 5 additional DTCs joining in phase</w:t>
      </w:r>
      <w:r w:rsidR="002845FE">
        <w:rPr>
          <w:rFonts w:cstheme="minorHAnsi"/>
          <w:szCs w:val="24"/>
        </w:rPr>
        <w:t> </w:t>
      </w:r>
      <w:r w:rsidRPr="00E13128">
        <w:rPr>
          <w:rFonts w:cstheme="minorHAnsi"/>
          <w:szCs w:val="24"/>
        </w:rPr>
        <w:t>2 (Democratic Republic of Congo, Ethiopia, Morocco, Pakistan and Uganda).</w:t>
      </w:r>
    </w:p>
    <w:p w14:paraId="67EE0672" w14:textId="77777777" w:rsidR="00B406B4" w:rsidRPr="00E13128" w:rsidRDefault="00B406B4" w:rsidP="00E13128">
      <w:pPr>
        <w:spacing w:after="120"/>
        <w:rPr>
          <w:rFonts w:cstheme="minorHAnsi"/>
          <w:szCs w:val="24"/>
        </w:rPr>
      </w:pPr>
      <w:r w:rsidRPr="00E13128">
        <w:rPr>
          <w:rFonts w:cstheme="minorHAnsi"/>
          <w:szCs w:val="24"/>
        </w:rPr>
        <w:t>To onboard new DTCs and strengthen the DTC network, a phase 2 kick-off workshop was conducted in Geneva, Switzerland, in February 2022. It brought together participants representing the selected DTCs in Africa, Americas, the Arab region and Asia and the Pacific as well as current or potential partners from the public and private sector and international organizations. The workshop provided a common understanding of how to effectively and collectively achieve the objectives of the DTCI, and discussed the activities that DTCs are expected to undertake to achieve these objectives.</w:t>
      </w:r>
    </w:p>
    <w:p w14:paraId="317A220D" w14:textId="47F1F30E" w:rsidR="00B406B4" w:rsidRPr="00E13128" w:rsidRDefault="0050360B" w:rsidP="00E13128">
      <w:pPr>
        <w:spacing w:after="120"/>
        <w:rPr>
          <w:rFonts w:eastAsia="Calibri" w:cstheme="minorHAnsi"/>
          <w:szCs w:val="24"/>
        </w:rPr>
      </w:pPr>
      <w:r w:rsidRPr="00E13128">
        <w:rPr>
          <w:rFonts w:cstheme="minorHAnsi"/>
          <w:szCs w:val="24"/>
        </w:rPr>
        <w:t>U</w:t>
      </w:r>
      <w:r w:rsidR="00B406B4" w:rsidRPr="00E13128">
        <w:rPr>
          <w:rFonts w:cstheme="minorHAnsi"/>
          <w:szCs w:val="24"/>
        </w:rPr>
        <w:t xml:space="preserve">ntil the end of 2022, over 190,000 course participants from rural and underserved communities, of which 57 per cent are women, have been trained on basic and intermediate digital skills. </w:t>
      </w:r>
      <w:r w:rsidR="00B406B4" w:rsidRPr="00E13128">
        <w:rPr>
          <w:rFonts w:eastAsia="Calibri" w:cstheme="minorHAnsi"/>
          <w:szCs w:val="24"/>
        </w:rPr>
        <w:t xml:space="preserve">In 2022, 84,027 course participants received digital skills training across the DTCs. </w:t>
      </w:r>
    </w:p>
    <w:p w14:paraId="35791002" w14:textId="3F8EDB81" w:rsidR="00B406B4" w:rsidRPr="00E13128" w:rsidRDefault="00B406B4" w:rsidP="00E13128">
      <w:pPr>
        <w:spacing w:after="120"/>
        <w:rPr>
          <w:rFonts w:cstheme="minorHAnsi"/>
          <w:szCs w:val="24"/>
        </w:rPr>
      </w:pPr>
      <w:r w:rsidRPr="00E13128">
        <w:rPr>
          <w:rFonts w:eastAsia="Calibri" w:cstheme="minorHAnsi"/>
          <w:szCs w:val="24"/>
        </w:rPr>
        <w:t xml:space="preserve">Through the </w:t>
      </w:r>
      <w:proofErr w:type="spellStart"/>
      <w:r w:rsidRPr="00E13128">
        <w:rPr>
          <w:rFonts w:eastAsia="Calibri" w:cstheme="minorHAnsi"/>
          <w:szCs w:val="24"/>
        </w:rPr>
        <w:t>Norad</w:t>
      </w:r>
      <w:proofErr w:type="spellEnd"/>
      <w:r w:rsidRPr="00E13128">
        <w:rPr>
          <w:rFonts w:eastAsia="Calibri" w:cstheme="minorHAnsi"/>
          <w:szCs w:val="24"/>
        </w:rPr>
        <w:t>-funded DTC project</w:t>
      </w:r>
      <w:r w:rsidRPr="00E13128">
        <w:rPr>
          <w:rFonts w:cstheme="minorHAnsi"/>
          <w:iCs/>
          <w:szCs w:val="24"/>
        </w:rPr>
        <w:t>, ITU provided support to several DTCs. D</w:t>
      </w:r>
      <w:r w:rsidRPr="00E13128">
        <w:rPr>
          <w:rFonts w:cstheme="minorHAnsi"/>
          <w:szCs w:val="24"/>
        </w:rPr>
        <w:t>uring the period under review, the Ghana DTC (represented by the Ghana Investment Fund for Electronic Communications (GIFEC)) trained 6,268 citizens including 4,337 females, representing 69.2 per cent of persons trained. Overall, GIFEC has trained a total of 10,446 unique individuals (including 7,593 females (73 per cent)), since the project started in 2021. Support was also provided to the DTC in Zambia (represented by SMART Zambia Institute (SZI)). This allowed SZI to train over 120</w:t>
      </w:r>
      <w:r w:rsidR="002845FE">
        <w:rPr>
          <w:rFonts w:cstheme="minorHAnsi"/>
          <w:szCs w:val="24"/>
        </w:rPr>
        <w:t> </w:t>
      </w:r>
      <w:r w:rsidRPr="00E13128">
        <w:rPr>
          <w:rFonts w:cstheme="minorHAnsi"/>
          <w:szCs w:val="24"/>
        </w:rPr>
        <w:t>beneficiaries, including 63 females, representing 52 per cent of persons trained, through four train-the-trainers programmes tailored for ICT officers, ICT teachers, DTC focal persons and citizens.</w:t>
      </w:r>
    </w:p>
    <w:p w14:paraId="0067FAEA" w14:textId="77777777" w:rsidR="00B406B4" w:rsidRPr="00E13128" w:rsidRDefault="00B406B4" w:rsidP="00E13128">
      <w:pPr>
        <w:spacing w:after="120"/>
        <w:rPr>
          <w:rFonts w:cstheme="minorHAnsi"/>
          <w:szCs w:val="24"/>
        </w:rPr>
      </w:pPr>
      <w:r w:rsidRPr="00E13128">
        <w:rPr>
          <w:rFonts w:cstheme="minorHAnsi"/>
          <w:szCs w:val="24"/>
        </w:rPr>
        <w:t>ITU continues to engage with partners to strengthen the DTC Initiative. In addition to training content provided by the founding partner Cisco through the Cisco Networking Academy and Skills for All platforms, ITU has been working closely with Digital Skills Foundation and Hewlett Packet to provide the DTCs with additional learning materials. Other partnerships which are being explored include potential collaboration with SMART Africa, UNCDF, WFP, Airtel, STMicroelectronics Foundation, and Microsoft.</w:t>
      </w:r>
    </w:p>
    <w:p w14:paraId="3011A2D9" w14:textId="77777777" w:rsidR="00B406B4" w:rsidRPr="00E13128" w:rsidRDefault="00B406B4" w:rsidP="00E13128">
      <w:pPr>
        <w:pStyle w:val="Heading3"/>
        <w:spacing w:before="120" w:after="120"/>
        <w:rPr>
          <w:rFonts w:cstheme="minorHAnsi"/>
          <w:szCs w:val="24"/>
        </w:rPr>
      </w:pPr>
      <w:bookmarkStart w:id="9" w:name="_Toc100266084"/>
      <w:r w:rsidRPr="00E13128">
        <w:rPr>
          <w:rFonts w:eastAsiaTheme="minorHAnsi" w:cstheme="minorHAnsi"/>
          <w:bCs/>
          <w:szCs w:val="24"/>
          <w:lang w:val="en-US"/>
        </w:rPr>
        <w:t xml:space="preserve">ITU-ILO digital skills campaign and </w:t>
      </w:r>
      <w:proofErr w:type="spellStart"/>
      <w:r w:rsidRPr="00E13128">
        <w:rPr>
          <w:rFonts w:eastAsiaTheme="minorHAnsi" w:cstheme="minorHAnsi"/>
          <w:bCs/>
          <w:szCs w:val="24"/>
          <w:lang w:val="en-US"/>
        </w:rPr>
        <w:t>programme</w:t>
      </w:r>
      <w:proofErr w:type="spellEnd"/>
      <w:r w:rsidRPr="00E13128">
        <w:rPr>
          <w:rFonts w:eastAsiaTheme="minorHAnsi" w:cstheme="minorHAnsi"/>
          <w:bCs/>
          <w:szCs w:val="24"/>
          <w:lang w:val="en-US"/>
        </w:rPr>
        <w:t xml:space="preserve"> activities</w:t>
      </w:r>
      <w:bookmarkEnd w:id="9"/>
    </w:p>
    <w:p w14:paraId="2FA12F62" w14:textId="77777777" w:rsidR="00B406B4" w:rsidRPr="00E13128" w:rsidRDefault="00B406B4" w:rsidP="00E13128">
      <w:pPr>
        <w:spacing w:after="120"/>
        <w:rPr>
          <w:rFonts w:cstheme="minorHAnsi"/>
          <w:szCs w:val="24"/>
        </w:rPr>
      </w:pPr>
      <w:r w:rsidRPr="00E13128">
        <w:rPr>
          <w:rFonts w:cstheme="minorHAnsi"/>
          <w:szCs w:val="24"/>
        </w:rPr>
        <w:t xml:space="preserve">ITU continued to lead the </w:t>
      </w:r>
      <w:hyperlink r:id="rId18">
        <w:r w:rsidRPr="00E13128">
          <w:rPr>
            <w:rFonts w:cstheme="minorHAnsi"/>
            <w:szCs w:val="24"/>
          </w:rPr>
          <w:t>digital skills campaign</w:t>
        </w:r>
      </w:hyperlink>
      <w:r w:rsidRPr="00E13128">
        <w:rPr>
          <w:rFonts w:cstheme="minorHAnsi"/>
          <w:szCs w:val="24"/>
        </w:rPr>
        <w:t xml:space="preserve"> launched in 2016 as one of eight thematic priorities under the ILO Global Initiative on Decent Jobs for Youth. The campaign seeks to equip young women and men with the skills needed for the digital jobs of today and tomorrow. By December 2022, the campaign had received commitments to train more than 16 million young people with job-ready, transferable digital skills by 2030. The 16 partners who have made commitments under this initiative come from a range of sectors including</w:t>
      </w:r>
      <w:r w:rsidRPr="00E13128">
        <w:rPr>
          <w:rFonts w:cstheme="minorHAnsi"/>
          <w:szCs w:val="24"/>
          <w:shd w:val="clear" w:color="auto" w:fill="FFFFFF"/>
        </w:rPr>
        <w:t xml:space="preserve"> government, development banks, NGOs, UN agencies and the private sector. </w:t>
      </w:r>
    </w:p>
    <w:p w14:paraId="55A38E94" w14:textId="77777777" w:rsidR="00B406B4" w:rsidRPr="00E13128" w:rsidRDefault="00B406B4" w:rsidP="00E13128">
      <w:pPr>
        <w:pStyle w:val="Heading3"/>
        <w:spacing w:before="120" w:after="120"/>
        <w:rPr>
          <w:rFonts w:eastAsiaTheme="minorHAnsi" w:cstheme="minorHAnsi"/>
          <w:bCs/>
          <w:szCs w:val="24"/>
          <w:lang w:val="en-US"/>
        </w:rPr>
      </w:pPr>
      <w:r w:rsidRPr="00E13128">
        <w:rPr>
          <w:rFonts w:eastAsiaTheme="minorHAnsi" w:cstheme="minorHAnsi"/>
          <w:bCs/>
          <w:szCs w:val="24"/>
          <w:lang w:val="en-US"/>
        </w:rPr>
        <w:lastRenderedPageBreak/>
        <w:t>Group on Capacity Building Initiatives</w:t>
      </w:r>
    </w:p>
    <w:p w14:paraId="7EA1A4A5" w14:textId="0B2935D0" w:rsidR="00455643" w:rsidRPr="00E13128" w:rsidRDefault="00B406B4" w:rsidP="00E13128">
      <w:pPr>
        <w:spacing w:after="120"/>
        <w:rPr>
          <w:rFonts w:cstheme="minorHAnsi"/>
          <w:szCs w:val="24"/>
        </w:rPr>
      </w:pPr>
      <w:r w:rsidRPr="00E13128">
        <w:rPr>
          <w:rFonts w:cstheme="minorHAnsi"/>
          <w:szCs w:val="24"/>
        </w:rPr>
        <w:t>The Group on Capacity Building Initiatives (GCBI) held its 10</w:t>
      </w:r>
      <w:r w:rsidRPr="009C6393">
        <w:rPr>
          <w:rFonts w:cstheme="minorHAnsi"/>
          <w:szCs w:val="24"/>
          <w:vertAlign w:val="superscript"/>
        </w:rPr>
        <w:t>th</w:t>
      </w:r>
      <w:r w:rsidRPr="00E13128">
        <w:rPr>
          <w:rFonts w:cstheme="minorHAnsi"/>
          <w:szCs w:val="24"/>
        </w:rPr>
        <w:t xml:space="preserve"> meeting on 6 December 2022. The meeting, which was held virtually, was the last meeting of the current 4-year cycle. Members stressed the importance of capacity and digital skills development, which is continuing to grow among ITU Member states as evidenced by discussions during WTDC-22 and PP-22. This increases the need for ITU to scale efforts in supporting member states to address capacity development and digital skills needs in their countries. The group agreed that the work on harmonizing capacity development across the ITU is a good step in implementing the recommendations of the feasibility study and recommendations from decision making bodies, in particular the ITU Council. This will contribute to the value add that ITU is providing to its members. More information on the work of GCBI is </w:t>
      </w:r>
      <w:r w:rsidRPr="002845FE">
        <w:rPr>
          <w:rFonts w:cstheme="minorHAnsi"/>
          <w:szCs w:val="24"/>
        </w:rPr>
        <w:t xml:space="preserve">contained in </w:t>
      </w:r>
      <w:r w:rsidRPr="009C6393">
        <w:rPr>
          <w:rFonts w:cstheme="minorHAnsi"/>
          <w:szCs w:val="24"/>
        </w:rPr>
        <w:t xml:space="preserve">TDAG document </w:t>
      </w:r>
      <w:r w:rsidR="005D0B08" w:rsidRPr="009C6393">
        <w:rPr>
          <w:rFonts w:cstheme="minorHAnsi"/>
          <w:szCs w:val="24"/>
        </w:rPr>
        <w:t>10</w:t>
      </w:r>
      <w:r w:rsidRPr="002845FE">
        <w:rPr>
          <w:rFonts w:cstheme="minorHAnsi"/>
          <w:szCs w:val="24"/>
        </w:rPr>
        <w:t>.</w:t>
      </w:r>
      <w:r w:rsidRPr="00E13128">
        <w:rPr>
          <w:rFonts w:cstheme="minorHAnsi"/>
          <w:szCs w:val="24"/>
        </w:rPr>
        <w:t xml:space="preserve"> </w:t>
      </w:r>
    </w:p>
    <w:tbl>
      <w:tblPr>
        <w:tblStyle w:val="TableGrid"/>
        <w:tblW w:w="9776" w:type="dxa"/>
        <w:tblLook w:val="04A0" w:firstRow="1" w:lastRow="0" w:firstColumn="1" w:lastColumn="0" w:noHBand="0" w:noVBand="1"/>
      </w:tblPr>
      <w:tblGrid>
        <w:gridCol w:w="9776"/>
      </w:tblGrid>
      <w:tr w:rsidR="00B406B4" w:rsidRPr="0074089C" w14:paraId="18F5EAEC" w14:textId="77777777" w:rsidTr="00E13128">
        <w:tc>
          <w:tcPr>
            <w:tcW w:w="9776" w:type="dxa"/>
          </w:tcPr>
          <w:p w14:paraId="1A3648D4" w14:textId="10DAC68E" w:rsidR="00B406B4" w:rsidRPr="00E13128" w:rsidRDefault="128DBC1A" w:rsidP="00E13128">
            <w:pPr>
              <w:widowControl w:val="0"/>
              <w:spacing w:before="60" w:after="60"/>
              <w:rPr>
                <w:rFonts w:cstheme="minorBidi"/>
                <w:b/>
                <w:bCs/>
                <w:sz w:val="22"/>
                <w:szCs w:val="22"/>
              </w:rPr>
            </w:pPr>
            <w:r w:rsidRPr="00E13128">
              <w:rPr>
                <w:rFonts w:cstheme="minorBidi"/>
                <w:b/>
                <w:bCs/>
                <w:sz w:val="22"/>
                <w:szCs w:val="22"/>
              </w:rPr>
              <w:t>Regional Initiatives</w:t>
            </w:r>
          </w:p>
          <w:p w14:paraId="5B758BB3" w14:textId="5A5C23CE" w:rsidR="00F01430" w:rsidRPr="00E13128" w:rsidRDefault="00F01430" w:rsidP="00E13128">
            <w:pPr>
              <w:widowControl w:val="0"/>
              <w:spacing w:before="60" w:after="60"/>
              <w:rPr>
                <w:rFonts w:cstheme="minorBidi"/>
                <w:i/>
                <w:iCs/>
                <w:sz w:val="22"/>
                <w:szCs w:val="22"/>
              </w:rPr>
            </w:pPr>
            <w:r w:rsidRPr="00E13128">
              <w:rPr>
                <w:rFonts w:cstheme="minorBidi"/>
                <w:i/>
                <w:iCs/>
                <w:sz w:val="22"/>
                <w:szCs w:val="22"/>
              </w:rPr>
              <w:t>Africa region</w:t>
            </w:r>
          </w:p>
          <w:p w14:paraId="19A89A6A" w14:textId="57864806" w:rsidR="00F01430" w:rsidRPr="00E13128" w:rsidRDefault="00F01430" w:rsidP="00E13128">
            <w:pPr>
              <w:pStyle w:val="ListParagraph"/>
              <w:widowControl w:val="0"/>
              <w:numPr>
                <w:ilvl w:val="0"/>
                <w:numId w:val="5"/>
              </w:numPr>
              <w:spacing w:before="60" w:after="60"/>
              <w:rPr>
                <w:rFonts w:cstheme="minorBidi"/>
                <w:sz w:val="22"/>
                <w:szCs w:val="22"/>
              </w:rPr>
            </w:pPr>
            <w:r w:rsidRPr="00E13128">
              <w:rPr>
                <w:rFonts w:cstheme="minorBidi"/>
                <w:sz w:val="22"/>
                <w:szCs w:val="22"/>
              </w:rPr>
              <w:t>Through the ITU-EIF project</w:t>
            </w:r>
            <w:r w:rsidR="004855B7" w:rsidRPr="00E13128">
              <w:rPr>
                <w:rFonts w:cstheme="minorBidi"/>
                <w:sz w:val="22"/>
                <w:szCs w:val="22"/>
              </w:rPr>
              <w:t>,</w:t>
            </w:r>
            <w:r w:rsidRPr="00E13128">
              <w:rPr>
                <w:rFonts w:cstheme="minorBidi"/>
                <w:sz w:val="22"/>
                <w:szCs w:val="22"/>
              </w:rPr>
              <w:t xml:space="preserve"> activities have been undertaken </w:t>
            </w:r>
            <w:r w:rsidR="00641C93" w:rsidRPr="00E13128">
              <w:rPr>
                <w:rFonts w:cstheme="minorBidi"/>
                <w:sz w:val="22"/>
                <w:szCs w:val="22"/>
              </w:rPr>
              <w:t>such as</w:t>
            </w:r>
            <w:r w:rsidRPr="00E13128">
              <w:rPr>
                <w:rFonts w:cstheme="minorBidi"/>
                <w:sz w:val="22"/>
                <w:szCs w:val="22"/>
              </w:rPr>
              <w:t xml:space="preserve"> the Hub of Africa Addis Fashion Week, product development </w:t>
            </w:r>
            <w:r w:rsidR="007372BF" w:rsidRPr="00E13128">
              <w:rPr>
                <w:rFonts w:cstheme="minorBidi"/>
                <w:sz w:val="22"/>
                <w:szCs w:val="22"/>
              </w:rPr>
              <w:t xml:space="preserve">and </w:t>
            </w:r>
            <w:r w:rsidR="00E00D4D" w:rsidRPr="00E13128">
              <w:rPr>
                <w:rFonts w:cstheme="minorBidi"/>
                <w:sz w:val="22"/>
                <w:szCs w:val="22"/>
              </w:rPr>
              <w:t xml:space="preserve">show-case </w:t>
            </w:r>
            <w:r w:rsidRPr="00E13128">
              <w:rPr>
                <w:rFonts w:cstheme="minorBidi"/>
                <w:sz w:val="22"/>
                <w:szCs w:val="22"/>
              </w:rPr>
              <w:t>workshops</w:t>
            </w:r>
            <w:r w:rsidR="007F781F" w:rsidRPr="00E13128">
              <w:rPr>
                <w:rFonts w:cstheme="minorBidi"/>
                <w:sz w:val="22"/>
                <w:szCs w:val="22"/>
              </w:rPr>
              <w:t xml:space="preserve"> </w:t>
            </w:r>
            <w:r w:rsidR="00FB4B00" w:rsidRPr="00E13128">
              <w:rPr>
                <w:rFonts w:cstheme="minorBidi"/>
                <w:sz w:val="22"/>
                <w:szCs w:val="22"/>
              </w:rPr>
              <w:t>for women entrepreneurs</w:t>
            </w:r>
            <w:r w:rsidRPr="00E13128">
              <w:rPr>
                <w:rFonts w:cstheme="minorBidi"/>
                <w:sz w:val="22"/>
                <w:szCs w:val="22"/>
              </w:rPr>
              <w:t>, digital market webinar series</w:t>
            </w:r>
            <w:r w:rsidR="00FB4B00" w:rsidRPr="00E13128">
              <w:rPr>
                <w:rFonts w:cstheme="minorBidi"/>
                <w:sz w:val="22"/>
                <w:szCs w:val="22"/>
              </w:rPr>
              <w:t>,</w:t>
            </w:r>
            <w:r w:rsidRPr="00E13128">
              <w:rPr>
                <w:rFonts w:cstheme="minorBidi"/>
                <w:sz w:val="22"/>
                <w:szCs w:val="22"/>
              </w:rPr>
              <w:t xml:space="preserve"> mentoring</w:t>
            </w:r>
            <w:r w:rsidR="00FB4B00" w:rsidRPr="00E13128">
              <w:rPr>
                <w:rFonts w:cstheme="minorBidi"/>
                <w:sz w:val="22"/>
                <w:szCs w:val="22"/>
              </w:rPr>
              <w:t xml:space="preserve"> and </w:t>
            </w:r>
            <w:r w:rsidR="005B246C" w:rsidRPr="00E13128">
              <w:rPr>
                <w:rFonts w:cstheme="minorBidi"/>
                <w:sz w:val="22"/>
                <w:szCs w:val="22"/>
              </w:rPr>
              <w:t>training</w:t>
            </w:r>
            <w:r w:rsidR="00221A6A" w:rsidRPr="00E13128">
              <w:rPr>
                <w:rFonts w:cstheme="minorBidi"/>
                <w:sz w:val="22"/>
                <w:szCs w:val="22"/>
              </w:rPr>
              <w:t xml:space="preserve"> on</w:t>
            </w:r>
            <w:r w:rsidRPr="00E13128">
              <w:rPr>
                <w:rFonts w:cstheme="minorBidi"/>
                <w:sz w:val="22"/>
                <w:szCs w:val="22"/>
              </w:rPr>
              <w:t xml:space="preserve"> digital tools needed to improve their readiness and competitiveness in the international market.</w:t>
            </w:r>
            <w:r w:rsidR="005E75F3">
              <w:rPr>
                <w:rFonts w:cstheme="minorBidi"/>
                <w:sz w:val="22"/>
                <w:szCs w:val="22"/>
              </w:rPr>
              <w:t xml:space="preserve"> </w:t>
            </w:r>
          </w:p>
          <w:p w14:paraId="29562652" w14:textId="0B81AA19" w:rsidR="00F01430" w:rsidRPr="00E13128" w:rsidRDefault="00F01430" w:rsidP="00E13128">
            <w:pPr>
              <w:pStyle w:val="ListParagraph"/>
              <w:widowControl w:val="0"/>
              <w:numPr>
                <w:ilvl w:val="0"/>
                <w:numId w:val="5"/>
              </w:numPr>
              <w:spacing w:before="60" w:after="60"/>
              <w:rPr>
                <w:rFonts w:cstheme="minorBidi"/>
                <w:sz w:val="22"/>
                <w:szCs w:val="22"/>
              </w:rPr>
            </w:pPr>
            <w:r w:rsidRPr="00E13128">
              <w:rPr>
                <w:rFonts w:cstheme="minorBidi"/>
                <w:sz w:val="22"/>
                <w:szCs w:val="22"/>
              </w:rPr>
              <w:t xml:space="preserve">The ITU and International Labour Organization (ILO)’s partnership and programme in Africa to boost decent jobs and enhance skills for youth in the digital economy organized online and face-to-face events, activities and challenges, engaging youth, Government agencies, private sector and civil society. From the ‘Creating decent jobs for youth through digital transformation’ webinar during the Africa-Europe Week of Partnerships 2022, to a youth led session on ‘Decent jobs in Africa’s digital economy’ at the Generation Connect Youth Summit in Kigali, Rwanda and to progress made on country projects </w:t>
            </w:r>
            <w:r w:rsidR="00511DC8" w:rsidRPr="00E13128">
              <w:rPr>
                <w:rFonts w:cstheme="minorBidi"/>
                <w:sz w:val="22"/>
                <w:szCs w:val="22"/>
              </w:rPr>
              <w:t xml:space="preserve">in </w:t>
            </w:r>
            <w:r w:rsidR="0086281F" w:rsidRPr="00E13128">
              <w:rPr>
                <w:rFonts w:cstheme="minorBidi"/>
                <w:sz w:val="22"/>
                <w:szCs w:val="22"/>
              </w:rPr>
              <w:t>Côte d’Ivoire,</w:t>
            </w:r>
            <w:r w:rsidR="0071382D" w:rsidRPr="00E13128">
              <w:rPr>
                <w:rFonts w:cstheme="minorBidi"/>
                <w:sz w:val="22"/>
                <w:szCs w:val="22"/>
              </w:rPr>
              <w:t xml:space="preserve"> Ethiopia, Kenya, Nigeria, Rwanda, Senegal and </w:t>
            </w:r>
            <w:r w:rsidRPr="00E13128">
              <w:rPr>
                <w:rFonts w:cstheme="minorBidi"/>
                <w:sz w:val="22"/>
                <w:szCs w:val="22"/>
              </w:rPr>
              <w:t>South Africa</w:t>
            </w:r>
            <w:r w:rsidR="00511DC8" w:rsidRPr="00E13128">
              <w:rPr>
                <w:rFonts w:cstheme="minorBidi"/>
                <w:sz w:val="22"/>
                <w:szCs w:val="22"/>
              </w:rPr>
              <w:t>.</w:t>
            </w:r>
            <w:r w:rsidRPr="00E13128">
              <w:rPr>
                <w:rFonts w:cstheme="minorBidi"/>
                <w:sz w:val="22"/>
                <w:szCs w:val="22"/>
              </w:rPr>
              <w:t xml:space="preserve"> </w:t>
            </w:r>
          </w:p>
          <w:p w14:paraId="0AFD8464" w14:textId="508609DE" w:rsidR="64FD6069" w:rsidRPr="00E13128" w:rsidRDefault="64FD6069" w:rsidP="00E13128">
            <w:pPr>
              <w:widowControl w:val="0"/>
              <w:spacing w:before="60" w:after="60"/>
              <w:rPr>
                <w:rFonts w:cstheme="minorBidi"/>
                <w:i/>
                <w:iCs/>
                <w:sz w:val="22"/>
                <w:szCs w:val="22"/>
              </w:rPr>
            </w:pPr>
            <w:r w:rsidRPr="00E13128">
              <w:rPr>
                <w:rFonts w:cstheme="minorBidi"/>
                <w:i/>
                <w:iCs/>
                <w:sz w:val="22"/>
                <w:szCs w:val="22"/>
              </w:rPr>
              <w:t>Arab States region</w:t>
            </w:r>
          </w:p>
          <w:p w14:paraId="6DC56181" w14:textId="47286AA4" w:rsidR="64FD6069" w:rsidRPr="00E13128" w:rsidRDefault="64FD6069" w:rsidP="00E13128">
            <w:pPr>
              <w:pStyle w:val="ListParagraph"/>
              <w:widowControl w:val="0"/>
              <w:numPr>
                <w:ilvl w:val="0"/>
                <w:numId w:val="5"/>
              </w:numPr>
              <w:spacing w:before="60" w:after="60"/>
              <w:rPr>
                <w:rFonts w:cstheme="minorBidi"/>
                <w:sz w:val="22"/>
                <w:szCs w:val="22"/>
              </w:rPr>
            </w:pPr>
            <w:r w:rsidRPr="00E13128">
              <w:rPr>
                <w:rFonts w:cstheme="minorBidi"/>
                <w:sz w:val="22"/>
                <w:szCs w:val="22"/>
              </w:rPr>
              <w:t>[TBC</w:t>
            </w:r>
            <w:r w:rsidR="5EC91C97" w:rsidRPr="00E13128">
              <w:rPr>
                <w:rFonts w:cstheme="minorBidi"/>
                <w:sz w:val="22"/>
                <w:szCs w:val="22"/>
              </w:rPr>
              <w:t xml:space="preserve"> – Ahmed</w:t>
            </w:r>
            <w:r w:rsidRPr="00E13128">
              <w:rPr>
                <w:rFonts w:cstheme="minorBidi"/>
                <w:sz w:val="22"/>
                <w:szCs w:val="22"/>
              </w:rPr>
              <w:t>]</w:t>
            </w:r>
          </w:p>
          <w:p w14:paraId="64A0A25A" w14:textId="3DD8381A" w:rsidR="00CB4D8B" w:rsidRPr="00E13128" w:rsidRDefault="1CD1D6CD" w:rsidP="00E13128">
            <w:pPr>
              <w:pStyle w:val="ListParagraph"/>
              <w:widowControl w:val="0"/>
              <w:numPr>
                <w:ilvl w:val="0"/>
                <w:numId w:val="5"/>
              </w:numPr>
              <w:spacing w:before="60" w:after="60"/>
              <w:rPr>
                <w:rFonts w:ascii="Calibri" w:eastAsia="Calibri" w:hAnsi="Calibri" w:cs="Calibri"/>
                <w:sz w:val="22"/>
                <w:szCs w:val="22"/>
                <w:lang w:val="en-US"/>
              </w:rPr>
            </w:pPr>
            <w:r w:rsidRPr="00E13128">
              <w:rPr>
                <w:rFonts w:cstheme="minorBidi"/>
                <w:sz w:val="22"/>
                <w:szCs w:val="22"/>
              </w:rPr>
              <w:t xml:space="preserve">More </w:t>
            </w:r>
            <w:proofErr w:type="spellStart"/>
            <w:r w:rsidRPr="00E13128">
              <w:rPr>
                <w:rFonts w:cstheme="minorBidi"/>
                <w:sz w:val="22"/>
                <w:szCs w:val="22"/>
              </w:rPr>
              <w:t>that</w:t>
            </w:r>
            <w:proofErr w:type="spellEnd"/>
            <w:r w:rsidRPr="00E13128">
              <w:rPr>
                <w:rFonts w:cstheme="minorBidi"/>
                <w:sz w:val="22"/>
                <w:szCs w:val="22"/>
              </w:rPr>
              <w:t xml:space="preserve"> 1</w:t>
            </w:r>
            <w:r w:rsidR="004C0AF4" w:rsidRPr="00E13128">
              <w:rPr>
                <w:rFonts w:cstheme="minorBidi"/>
                <w:sz w:val="22"/>
                <w:szCs w:val="22"/>
              </w:rPr>
              <w:t xml:space="preserve">2 </w:t>
            </w:r>
            <w:r w:rsidRPr="00E13128">
              <w:rPr>
                <w:rFonts w:cstheme="minorBidi"/>
                <w:sz w:val="22"/>
                <w:szCs w:val="22"/>
              </w:rPr>
              <w:t xml:space="preserve">trainings delivered across 5 Arab </w:t>
            </w:r>
            <w:proofErr w:type="spellStart"/>
            <w:r w:rsidRPr="00E13128">
              <w:rPr>
                <w:rFonts w:cstheme="minorBidi"/>
                <w:sz w:val="22"/>
                <w:szCs w:val="22"/>
              </w:rPr>
              <w:t>Centers</w:t>
            </w:r>
            <w:proofErr w:type="spellEnd"/>
            <w:r w:rsidRPr="00E13128">
              <w:rPr>
                <w:rFonts w:cstheme="minorBidi"/>
                <w:sz w:val="22"/>
                <w:szCs w:val="22"/>
              </w:rPr>
              <w:t xml:space="preserve"> of Excellence, in areas of broadband infrastruct</w:t>
            </w:r>
            <w:r w:rsidR="61592040" w:rsidRPr="00E13128">
              <w:rPr>
                <w:rFonts w:cstheme="minorBidi"/>
                <w:sz w:val="22"/>
                <w:szCs w:val="22"/>
              </w:rPr>
              <w:t>ure</w:t>
            </w:r>
            <w:r w:rsidR="2E8033F1" w:rsidRPr="00E13128">
              <w:rPr>
                <w:rFonts w:cstheme="minorBidi"/>
                <w:sz w:val="22"/>
                <w:szCs w:val="22"/>
              </w:rPr>
              <w:t xml:space="preserve"> and</w:t>
            </w:r>
            <w:r w:rsidR="61592040" w:rsidRPr="00E13128">
              <w:rPr>
                <w:rFonts w:cstheme="minorBidi"/>
                <w:sz w:val="22"/>
                <w:szCs w:val="22"/>
              </w:rPr>
              <w:t xml:space="preserve"> cybersecurity</w:t>
            </w:r>
            <w:r w:rsidRPr="00E13128">
              <w:rPr>
                <w:rFonts w:cstheme="minorBidi"/>
                <w:sz w:val="22"/>
                <w:szCs w:val="22"/>
              </w:rPr>
              <w:t xml:space="preserve">. </w:t>
            </w:r>
            <w:r w:rsidR="00E13128">
              <w:rPr>
                <w:rFonts w:cstheme="minorBidi"/>
                <w:sz w:val="22"/>
                <w:szCs w:val="22"/>
              </w:rPr>
              <w:t>I</w:t>
            </w:r>
            <w:r w:rsidR="3BDF82B2" w:rsidRPr="00E13128">
              <w:rPr>
                <w:rFonts w:ascii="Calibri" w:eastAsia="Calibri" w:hAnsi="Calibri" w:cs="Calibri"/>
                <w:sz w:val="22"/>
                <w:szCs w:val="22"/>
                <w:lang w:val="en-US"/>
              </w:rPr>
              <w:t>TU professional regional training Spectrum Management System for Developing Countries (Tunisia, 18-21 Dec. 22)</w:t>
            </w:r>
            <w:r w:rsidR="00E13128">
              <w:rPr>
                <w:rFonts w:ascii="Calibri" w:eastAsia="Calibri" w:hAnsi="Calibri" w:cs="Calibri"/>
                <w:sz w:val="22"/>
                <w:szCs w:val="22"/>
                <w:lang w:val="en-US"/>
              </w:rPr>
              <w:t xml:space="preserve">. </w:t>
            </w:r>
            <w:r w:rsidR="40CD308D" w:rsidRPr="00E13128">
              <w:rPr>
                <w:rFonts w:ascii="Calibri" w:eastAsia="Calibri" w:hAnsi="Calibri" w:cs="Calibri"/>
                <w:sz w:val="22"/>
                <w:szCs w:val="22"/>
                <w:lang w:val="en-US"/>
              </w:rPr>
              <w:t xml:space="preserve">More than 200 participants were trained from more than 100 countries (delivered 1 global, 1 regional and 4 national training courses on digital regulation). This regulatory training </w:t>
            </w:r>
            <w:proofErr w:type="spellStart"/>
            <w:r w:rsidR="40CD308D" w:rsidRPr="00E13128">
              <w:rPr>
                <w:rFonts w:ascii="Calibri" w:eastAsia="Calibri" w:hAnsi="Calibri" w:cs="Calibri"/>
                <w:sz w:val="22"/>
                <w:szCs w:val="22"/>
                <w:lang w:val="en-US"/>
              </w:rPr>
              <w:t>programme</w:t>
            </w:r>
            <w:proofErr w:type="spellEnd"/>
            <w:r w:rsidR="40CD308D" w:rsidRPr="00E13128">
              <w:rPr>
                <w:rFonts w:ascii="Calibri" w:eastAsia="Calibri" w:hAnsi="Calibri" w:cs="Calibri"/>
                <w:sz w:val="22"/>
                <w:szCs w:val="22"/>
                <w:lang w:val="en-US"/>
              </w:rPr>
              <w:t xml:space="preserve"> is primarily based on the ITU/World Bank Digital Regulation Handbook and further </w:t>
            </w:r>
            <w:proofErr w:type="spellStart"/>
            <w:r w:rsidR="40CD308D" w:rsidRPr="00E13128">
              <w:rPr>
                <w:rFonts w:ascii="Calibri" w:eastAsia="Calibri" w:hAnsi="Calibri" w:cs="Calibri"/>
                <w:sz w:val="22"/>
                <w:szCs w:val="22"/>
                <w:lang w:val="en-US"/>
              </w:rPr>
              <w:t>develope</w:t>
            </w:r>
            <w:r w:rsidR="002845FE">
              <w:rPr>
                <w:rFonts w:ascii="Calibri" w:eastAsia="Calibri" w:hAnsi="Calibri" w:cs="Calibri"/>
                <w:sz w:val="22"/>
                <w:szCs w:val="22"/>
                <w:lang w:val="en-US"/>
              </w:rPr>
              <w:t>s</w:t>
            </w:r>
            <w:proofErr w:type="spellEnd"/>
            <w:r w:rsidR="002845FE">
              <w:rPr>
                <w:rFonts w:ascii="Calibri" w:eastAsia="Calibri" w:hAnsi="Calibri" w:cs="Calibri"/>
                <w:sz w:val="22"/>
                <w:szCs w:val="22"/>
                <w:lang w:val="en-US"/>
              </w:rPr>
              <w:t>,</w:t>
            </w:r>
            <w:r w:rsidR="40CD308D" w:rsidRPr="00E13128">
              <w:rPr>
                <w:rFonts w:ascii="Calibri" w:eastAsia="Calibri" w:hAnsi="Calibri" w:cs="Calibri"/>
                <w:sz w:val="22"/>
                <w:szCs w:val="22"/>
                <w:lang w:val="en-US"/>
              </w:rPr>
              <w:t xml:space="preserve"> update</w:t>
            </w:r>
            <w:r w:rsidR="002845FE">
              <w:rPr>
                <w:rFonts w:ascii="Calibri" w:eastAsia="Calibri" w:hAnsi="Calibri" w:cs="Calibri"/>
                <w:sz w:val="22"/>
                <w:szCs w:val="22"/>
                <w:lang w:val="en-US"/>
              </w:rPr>
              <w:t>s</w:t>
            </w:r>
            <w:r w:rsidR="40CD308D" w:rsidRPr="00E13128">
              <w:rPr>
                <w:rFonts w:ascii="Calibri" w:eastAsia="Calibri" w:hAnsi="Calibri" w:cs="Calibri"/>
                <w:sz w:val="22"/>
                <w:szCs w:val="22"/>
                <w:lang w:val="en-US"/>
              </w:rPr>
              <w:t xml:space="preserve"> and add</w:t>
            </w:r>
            <w:r w:rsidR="002845FE">
              <w:rPr>
                <w:rFonts w:ascii="Calibri" w:eastAsia="Calibri" w:hAnsi="Calibri" w:cs="Calibri"/>
                <w:sz w:val="22"/>
                <w:szCs w:val="22"/>
                <w:lang w:val="en-US"/>
              </w:rPr>
              <w:t>s</w:t>
            </w:r>
            <w:r w:rsidR="40CD308D" w:rsidRPr="00E13128">
              <w:rPr>
                <w:rFonts w:ascii="Calibri" w:eastAsia="Calibri" w:hAnsi="Calibri" w:cs="Calibri"/>
                <w:sz w:val="22"/>
                <w:szCs w:val="22"/>
                <w:lang w:val="en-US"/>
              </w:rPr>
              <w:t xml:space="preserve"> new modules in collaboration with the Communications, Space &amp; Technology Commission (CST) Saudi Arabia under the framework of the cooperation between ITU and CST on assistance in telecommunication/ICTs to ITU Member States.</w:t>
            </w:r>
            <w:r w:rsidR="002845FE">
              <w:rPr>
                <w:rFonts w:ascii="Calibri" w:eastAsia="Calibri" w:hAnsi="Calibri" w:cs="Calibri"/>
                <w:sz w:val="22"/>
                <w:szCs w:val="22"/>
                <w:lang w:val="en-US"/>
              </w:rPr>
              <w:t xml:space="preserve"> </w:t>
            </w:r>
            <w:r w:rsidR="002845FE">
              <w:rPr>
                <w:color w:val="000000" w:themeColor="text1"/>
                <w:sz w:val="22"/>
                <w:szCs w:val="22"/>
                <w:lang w:val="en-US"/>
              </w:rPr>
              <w:t>M</w:t>
            </w:r>
            <w:r w:rsidR="00CB4D8B" w:rsidRPr="00E13128">
              <w:rPr>
                <w:color w:val="000000" w:themeColor="text1"/>
                <w:sz w:val="22"/>
                <w:szCs w:val="22"/>
                <w:lang w:val="en-US"/>
              </w:rPr>
              <w:t>ore than 100 participants from Arab region and Sudan training on Ipv6 and IoT (both basic and advanced levels) and organized 1 regional workshop, 4 courses and 1 challenge on Ipv6 and IoT. In addition, and for the sustainability of the center, 7 selected participants (5 out of them are female) have been trained in 7 different types of IPv6 and IoT courses and became certified as trainers</w:t>
            </w:r>
            <w:r w:rsidR="002845FE">
              <w:rPr>
                <w:color w:val="000000" w:themeColor="text1"/>
                <w:sz w:val="22"/>
                <w:szCs w:val="22"/>
                <w:lang w:val="en-US"/>
              </w:rPr>
              <w:t>.</w:t>
            </w:r>
          </w:p>
          <w:p w14:paraId="483B1947" w14:textId="77777777" w:rsidR="00AA2E30" w:rsidRPr="00E13128" w:rsidRDefault="00AA2E30" w:rsidP="00E13128">
            <w:pPr>
              <w:pStyle w:val="ListParagraph"/>
              <w:numPr>
                <w:ilvl w:val="0"/>
                <w:numId w:val="5"/>
              </w:numPr>
              <w:tabs>
                <w:tab w:val="clear" w:pos="1134"/>
                <w:tab w:val="clear" w:pos="1871"/>
                <w:tab w:val="clear" w:pos="2268"/>
              </w:tabs>
              <w:overflowPunct/>
              <w:autoSpaceDE/>
              <w:autoSpaceDN/>
              <w:adjustRightInd/>
              <w:spacing w:before="60" w:after="60" w:line="276" w:lineRule="auto"/>
              <w:textAlignment w:val="auto"/>
              <w:rPr>
                <w:color w:val="000000" w:themeColor="text1"/>
                <w:sz w:val="22"/>
                <w:szCs w:val="22"/>
                <w:lang w:val="en-US"/>
              </w:rPr>
            </w:pPr>
            <w:r w:rsidRPr="00E13128">
              <w:rPr>
                <w:sz w:val="22"/>
                <w:szCs w:val="22"/>
                <w:lang w:val="en-US"/>
              </w:rPr>
              <w:t xml:space="preserve">Design and provide a capacity program for Mauritania Cyber Team </w:t>
            </w:r>
            <w:r w:rsidRPr="00E13128">
              <w:rPr>
                <w:color w:val="000000" w:themeColor="text1"/>
                <w:sz w:val="22"/>
                <w:szCs w:val="22"/>
                <w:lang w:val="en-US"/>
              </w:rPr>
              <w:t xml:space="preserve">(16 Participants) to support their cybersecurity capabilities. </w:t>
            </w:r>
          </w:p>
          <w:p w14:paraId="1E459CE6" w14:textId="77777777" w:rsidR="00AA2E30" w:rsidRPr="00E13128" w:rsidRDefault="00AA2E30" w:rsidP="00E13128">
            <w:pPr>
              <w:pStyle w:val="ListParagraph"/>
              <w:numPr>
                <w:ilvl w:val="0"/>
                <w:numId w:val="5"/>
              </w:numPr>
              <w:tabs>
                <w:tab w:val="clear" w:pos="1134"/>
                <w:tab w:val="clear" w:pos="1871"/>
                <w:tab w:val="clear" w:pos="2268"/>
              </w:tabs>
              <w:overflowPunct/>
              <w:autoSpaceDE/>
              <w:autoSpaceDN/>
              <w:adjustRightInd/>
              <w:spacing w:before="60" w:after="60" w:line="276" w:lineRule="auto"/>
              <w:textAlignment w:val="auto"/>
              <w:rPr>
                <w:sz w:val="22"/>
                <w:szCs w:val="22"/>
                <w:lang w:val="en-US"/>
              </w:rPr>
            </w:pPr>
            <w:r w:rsidRPr="00E13128">
              <w:rPr>
                <w:sz w:val="22"/>
                <w:szCs w:val="22"/>
                <w:lang w:val="en-US"/>
              </w:rPr>
              <w:t>Developed and implemented Spectrum planning Training for Somalia (15 participants) in December 2022.</w:t>
            </w:r>
          </w:p>
          <w:p w14:paraId="7A9237FF" w14:textId="7F0E49E8" w:rsidR="00AA2E30" w:rsidRPr="00E13128" w:rsidRDefault="00AA2E30" w:rsidP="00E13128">
            <w:pPr>
              <w:pStyle w:val="ListParagraph"/>
              <w:numPr>
                <w:ilvl w:val="0"/>
                <w:numId w:val="5"/>
              </w:numPr>
              <w:tabs>
                <w:tab w:val="clear" w:pos="1134"/>
                <w:tab w:val="clear" w:pos="1871"/>
                <w:tab w:val="clear" w:pos="2268"/>
              </w:tabs>
              <w:overflowPunct/>
              <w:autoSpaceDE/>
              <w:autoSpaceDN/>
              <w:adjustRightInd/>
              <w:spacing w:before="60" w:after="60" w:line="276" w:lineRule="auto"/>
              <w:textAlignment w:val="auto"/>
              <w:rPr>
                <w:sz w:val="22"/>
                <w:szCs w:val="22"/>
                <w:lang w:val="en-US"/>
              </w:rPr>
            </w:pPr>
            <w:r w:rsidRPr="00E13128">
              <w:rPr>
                <w:sz w:val="22"/>
                <w:szCs w:val="22"/>
                <w:lang w:val="en-US"/>
              </w:rPr>
              <w:t>Implemented ITU-ITSO Satellite Communications virtual training with the participation of 80 participants from the Arab region in October 2022.</w:t>
            </w:r>
          </w:p>
          <w:p w14:paraId="733CDAAF" w14:textId="77777777" w:rsidR="00B406B4" w:rsidRPr="00E13128" w:rsidRDefault="00B406B4" w:rsidP="005E75F3">
            <w:pPr>
              <w:keepNext/>
              <w:widowControl w:val="0"/>
              <w:spacing w:before="60" w:after="60"/>
              <w:rPr>
                <w:rFonts w:cstheme="minorBidi"/>
                <w:i/>
                <w:sz w:val="22"/>
                <w:szCs w:val="22"/>
              </w:rPr>
            </w:pPr>
            <w:r w:rsidRPr="00E13128">
              <w:rPr>
                <w:rFonts w:cstheme="minorBidi"/>
                <w:i/>
                <w:sz w:val="22"/>
                <w:szCs w:val="22"/>
              </w:rPr>
              <w:lastRenderedPageBreak/>
              <w:t>Asia-Pacific region</w:t>
            </w:r>
          </w:p>
          <w:p w14:paraId="009E6BEE" w14:textId="77777777" w:rsidR="00B406B4" w:rsidRPr="00E13128" w:rsidRDefault="79E6254C" w:rsidP="00E13128">
            <w:pPr>
              <w:pStyle w:val="ListParagraph"/>
              <w:widowControl w:val="0"/>
              <w:numPr>
                <w:ilvl w:val="0"/>
                <w:numId w:val="5"/>
              </w:numPr>
              <w:overflowPunct/>
              <w:autoSpaceDE/>
              <w:autoSpaceDN/>
              <w:adjustRightInd/>
              <w:spacing w:before="60" w:after="60"/>
              <w:textAlignment w:val="auto"/>
              <w:rPr>
                <w:rFonts w:cstheme="minorBidi"/>
                <w:sz w:val="22"/>
                <w:szCs w:val="22"/>
              </w:rPr>
            </w:pPr>
            <w:r w:rsidRPr="00E13128">
              <w:rPr>
                <w:rFonts w:cstheme="minorBidi"/>
                <w:sz w:val="22"/>
                <w:szCs w:val="22"/>
              </w:rPr>
              <w:t>More than 1,100 participants developed digital skills through trainings and workshops and trainings provided by ITU Centres of Excellence in Asia and the Pacific (17 trainings, with over 1600 stakeholders trained). Four digital transformation centres in the region started their mission to build digital skills and literacy at national level and have trained more than 38,000 participants. National cybersecurity strategy frameworks were strengthened in Bhutan, Kiribati, and Solomon Islands, and CIRT frameworks through specialized country assistance in Tonga, Samoa, Papua New Guinea, and Vanuatu. Samoa, Vanuatu, Papua New Guinea, and Solomon Islands were assisted in developing National Emergency Telecommunication Plans through a project supported by DITRDC.</w:t>
            </w:r>
          </w:p>
          <w:p w14:paraId="589F42C8" w14:textId="77777777" w:rsidR="00B406B4" w:rsidRPr="00E13128" w:rsidRDefault="79E6254C" w:rsidP="00E13128">
            <w:pPr>
              <w:pStyle w:val="ListParagraph"/>
              <w:widowControl w:val="0"/>
              <w:numPr>
                <w:ilvl w:val="0"/>
                <w:numId w:val="5"/>
              </w:numPr>
              <w:overflowPunct/>
              <w:autoSpaceDE/>
              <w:autoSpaceDN/>
              <w:adjustRightInd/>
              <w:spacing w:before="60" w:after="60"/>
              <w:textAlignment w:val="auto"/>
              <w:rPr>
                <w:rFonts w:cstheme="minorBidi"/>
                <w:sz w:val="22"/>
                <w:szCs w:val="22"/>
              </w:rPr>
            </w:pPr>
            <w:r w:rsidRPr="00E13128">
              <w:rPr>
                <w:rFonts w:cstheme="minorBidi"/>
                <w:sz w:val="22"/>
                <w:szCs w:val="22"/>
              </w:rPr>
              <w:t>A regional training on Last Mile Connectivity (LMC) for Asia-Pacific was organized in October 2022.</w:t>
            </w:r>
          </w:p>
          <w:p w14:paraId="70D1CAC5" w14:textId="77777777" w:rsidR="00B406B4" w:rsidRPr="00E13128" w:rsidRDefault="79E6254C" w:rsidP="00E13128">
            <w:pPr>
              <w:pStyle w:val="ListParagraph"/>
              <w:widowControl w:val="0"/>
              <w:numPr>
                <w:ilvl w:val="0"/>
                <w:numId w:val="5"/>
              </w:numPr>
              <w:overflowPunct/>
              <w:autoSpaceDE/>
              <w:autoSpaceDN/>
              <w:adjustRightInd/>
              <w:spacing w:before="60" w:after="60"/>
              <w:textAlignment w:val="auto"/>
              <w:rPr>
                <w:rFonts w:cstheme="minorBidi"/>
                <w:sz w:val="22"/>
                <w:szCs w:val="22"/>
              </w:rPr>
            </w:pPr>
            <w:r w:rsidRPr="00E13128">
              <w:rPr>
                <w:rFonts w:cstheme="minorBidi"/>
                <w:sz w:val="22"/>
                <w:szCs w:val="22"/>
              </w:rPr>
              <w:t>A digital skills assessment for migrant communities in Thailand was conducted in 2022 to assess the digital skills level of migrants from Cambodia, Laos and Myanmar in Thailand to support IOM’s Poverty Reduction through Safe Migration, Skills Development and Enhanced Job Placement (PROMISE) initiative in Thailand.</w:t>
            </w:r>
          </w:p>
          <w:p w14:paraId="3B5CE43F" w14:textId="13E2A9CE" w:rsidR="00B406B4" w:rsidRPr="00E13128" w:rsidRDefault="79E6254C" w:rsidP="00E13128">
            <w:pPr>
              <w:pStyle w:val="ListParagraph"/>
              <w:widowControl w:val="0"/>
              <w:numPr>
                <w:ilvl w:val="0"/>
                <w:numId w:val="5"/>
              </w:numPr>
              <w:overflowPunct/>
              <w:autoSpaceDE/>
              <w:autoSpaceDN/>
              <w:adjustRightInd/>
              <w:spacing w:before="60" w:after="60"/>
              <w:textAlignment w:val="auto"/>
              <w:rPr>
                <w:rFonts w:cstheme="minorBidi"/>
                <w:sz w:val="22"/>
                <w:szCs w:val="22"/>
              </w:rPr>
            </w:pPr>
            <w:r w:rsidRPr="00E13128">
              <w:rPr>
                <w:rFonts w:cstheme="minorBidi"/>
                <w:sz w:val="22"/>
                <w:szCs w:val="22"/>
              </w:rPr>
              <w:t xml:space="preserve">In coordination with UNRCO-Mongolia and as part of the work of the UN </w:t>
            </w:r>
            <w:r w:rsidR="1639FFAA" w:rsidRPr="00E13128">
              <w:rPr>
                <w:rFonts w:cstheme="minorBidi"/>
                <w:sz w:val="22"/>
                <w:szCs w:val="22"/>
              </w:rPr>
              <w:t>C</w:t>
            </w:r>
            <w:r w:rsidRPr="00E13128">
              <w:rPr>
                <w:rFonts w:cstheme="minorBidi"/>
                <w:sz w:val="22"/>
                <w:szCs w:val="22"/>
              </w:rPr>
              <w:t xml:space="preserve">ountry </w:t>
            </w:r>
            <w:r w:rsidR="1639FFAA" w:rsidRPr="00E13128">
              <w:rPr>
                <w:rFonts w:cstheme="minorBidi"/>
                <w:sz w:val="22"/>
                <w:szCs w:val="22"/>
              </w:rPr>
              <w:t>T</w:t>
            </w:r>
            <w:r w:rsidRPr="00E13128">
              <w:rPr>
                <w:rFonts w:cstheme="minorBidi"/>
                <w:sz w:val="22"/>
                <w:szCs w:val="22"/>
              </w:rPr>
              <w:t>eam</w:t>
            </w:r>
            <w:r w:rsidR="1639FFAA" w:rsidRPr="00E13128">
              <w:rPr>
                <w:rFonts w:cstheme="minorBidi"/>
                <w:sz w:val="22"/>
                <w:szCs w:val="22"/>
              </w:rPr>
              <w:t xml:space="preserve"> (UNCT)</w:t>
            </w:r>
            <w:r w:rsidRPr="00E13128">
              <w:rPr>
                <w:rFonts w:cstheme="minorBidi"/>
                <w:sz w:val="22"/>
                <w:szCs w:val="22"/>
              </w:rPr>
              <w:t>, ITU partnered to organize the Global Digital Dialogue 2022 (GDD 2022) in Mongolia hosted by the Prime Minister of Mongolia and Ministry of Digital Development and Communications (MDDC) as main organizer.</w:t>
            </w:r>
          </w:p>
          <w:p w14:paraId="0EF086B1" w14:textId="5336D0BD" w:rsidR="00B406B4" w:rsidRPr="00E13128" w:rsidRDefault="00B406B4" w:rsidP="00E13128">
            <w:pPr>
              <w:widowControl w:val="0"/>
              <w:tabs>
                <w:tab w:val="left" w:pos="1134"/>
                <w:tab w:val="left" w:pos="1871"/>
                <w:tab w:val="left" w:pos="2268"/>
              </w:tabs>
              <w:spacing w:before="60" w:after="60"/>
              <w:contextualSpacing/>
              <w:rPr>
                <w:rFonts w:cstheme="minorBidi"/>
                <w:i/>
                <w:sz w:val="22"/>
                <w:szCs w:val="22"/>
              </w:rPr>
            </w:pPr>
            <w:r w:rsidRPr="00E13128">
              <w:rPr>
                <w:rFonts w:cstheme="minorBidi"/>
                <w:i/>
                <w:sz w:val="22"/>
                <w:szCs w:val="22"/>
              </w:rPr>
              <w:t>CIS region</w:t>
            </w:r>
          </w:p>
          <w:p w14:paraId="3C6BF111" w14:textId="77777777" w:rsidR="00B406B4" w:rsidRPr="00E13128" w:rsidRDefault="00B406B4" w:rsidP="00E13128">
            <w:pPr>
              <w:pStyle w:val="ListParagraph"/>
              <w:widowControl w:val="0"/>
              <w:numPr>
                <w:ilvl w:val="0"/>
                <w:numId w:val="5"/>
              </w:numPr>
              <w:overflowPunct/>
              <w:autoSpaceDE/>
              <w:autoSpaceDN/>
              <w:adjustRightInd/>
              <w:spacing w:before="60" w:after="60"/>
              <w:textAlignment w:val="auto"/>
              <w:rPr>
                <w:rFonts w:cstheme="minorBidi"/>
                <w:sz w:val="22"/>
                <w:szCs w:val="22"/>
              </w:rPr>
            </w:pPr>
            <w:r w:rsidRPr="00E13128">
              <w:rPr>
                <w:rFonts w:cstheme="minorBidi"/>
                <w:sz w:val="22"/>
                <w:szCs w:val="22"/>
              </w:rPr>
              <w:t xml:space="preserve">ITU set up a digital skills centre for women and youth in Uzbekistan (in partnership with ZTE and IT Park of Uzbekistan), which was officially launched on the International Girls in ICT Day in April 2022. As part of the project, ITU supported national partners in organizing training programmes aimed at the development and improvement of digital skills for women and girls from </w:t>
            </w:r>
            <w:proofErr w:type="spellStart"/>
            <w:r w:rsidRPr="00E13128">
              <w:rPr>
                <w:rFonts w:cstheme="minorBidi"/>
                <w:sz w:val="22"/>
                <w:szCs w:val="22"/>
              </w:rPr>
              <w:t>Khorazm</w:t>
            </w:r>
            <w:proofErr w:type="spellEnd"/>
            <w:r w:rsidRPr="00E13128">
              <w:rPr>
                <w:rFonts w:cstheme="minorBidi"/>
                <w:sz w:val="22"/>
                <w:szCs w:val="22"/>
              </w:rPr>
              <w:t> Region of the Republic of Uzbekistan. Over 1300 women signed up for the training and 350 successfully completed it after a rigorous selection and testing process.</w:t>
            </w:r>
          </w:p>
          <w:p w14:paraId="140BFEEE" w14:textId="77777777" w:rsidR="00B406B4" w:rsidRPr="00E13128" w:rsidRDefault="00B406B4" w:rsidP="00E13128">
            <w:pPr>
              <w:pStyle w:val="ListParagraph"/>
              <w:widowControl w:val="0"/>
              <w:numPr>
                <w:ilvl w:val="0"/>
                <w:numId w:val="5"/>
              </w:numPr>
              <w:overflowPunct/>
              <w:autoSpaceDE/>
              <w:autoSpaceDN/>
              <w:adjustRightInd/>
              <w:spacing w:before="60" w:after="60"/>
              <w:textAlignment w:val="auto"/>
              <w:rPr>
                <w:rFonts w:eastAsia="Calibri" w:cstheme="minorBidi"/>
                <w:sz w:val="22"/>
                <w:szCs w:val="22"/>
              </w:rPr>
            </w:pPr>
            <w:r w:rsidRPr="00E13128">
              <w:rPr>
                <w:rFonts w:cstheme="minorBidi"/>
                <w:sz w:val="22"/>
                <w:szCs w:val="22"/>
                <w:shd w:val="clear" w:color="auto" w:fill="FFFFFF"/>
              </w:rPr>
              <w:t xml:space="preserve">In 2022, ITU in partnership with the Kostanay Engineering and Economics University (KINEU), Kazakhstan, completed a project on the </w:t>
            </w:r>
            <w:r w:rsidRPr="00E13128">
              <w:rPr>
                <w:rFonts w:cstheme="minorBidi"/>
                <w:sz w:val="22"/>
                <w:szCs w:val="22"/>
              </w:rPr>
              <w:t>creation of a smart educational ecosystem. The project is supplemented by a series of online events and trainings, organized by KINEU, with the support of ITU. The project promoted science, technology, engineering, and mathematics (STEM) education through a hackathon for school students, and deliver trainings on online hygiene and digital skills for school students so as to equip them with the necessary skills to safely use ICTs in a post COVID-19 online environment.</w:t>
            </w:r>
          </w:p>
          <w:p w14:paraId="2B3FBD90" w14:textId="50222BBC" w:rsidR="00B406B4" w:rsidRPr="00E13128" w:rsidRDefault="00B406B4" w:rsidP="00E13128">
            <w:pPr>
              <w:pStyle w:val="ListParagraph"/>
              <w:widowControl w:val="0"/>
              <w:numPr>
                <w:ilvl w:val="0"/>
                <w:numId w:val="5"/>
              </w:numPr>
              <w:overflowPunct/>
              <w:autoSpaceDE/>
              <w:autoSpaceDN/>
              <w:adjustRightInd/>
              <w:spacing w:before="60" w:after="60"/>
              <w:textAlignment w:val="auto"/>
              <w:rPr>
                <w:rFonts w:cstheme="minorBidi"/>
                <w:sz w:val="22"/>
                <w:szCs w:val="22"/>
              </w:rPr>
            </w:pPr>
            <w:r w:rsidRPr="00E13128">
              <w:rPr>
                <w:rFonts w:cstheme="minorBidi"/>
                <w:sz w:val="22"/>
                <w:szCs w:val="22"/>
              </w:rPr>
              <w:t>ITU continued to provide assistance to Kyrgyzstan on capacity development of informatics teachers from rural and remote areas. In total, betwe</w:t>
            </w:r>
            <w:r w:rsidR="003D48EB" w:rsidRPr="00E13128">
              <w:rPr>
                <w:rFonts w:cstheme="minorBidi"/>
                <w:sz w:val="22"/>
                <w:szCs w:val="22"/>
              </w:rPr>
              <w:t>e</w:t>
            </w:r>
            <w:r w:rsidRPr="00E13128">
              <w:rPr>
                <w:rFonts w:cstheme="minorBidi"/>
                <w:sz w:val="22"/>
                <w:szCs w:val="22"/>
              </w:rPr>
              <w:t>n 2012 and 2022, ITU jointly with the Institute of Electronics and Telecommunications (IET) of Kyrgyzstan organized 63 training courses. In total, over 1000 teachers attended, 78 per cent of whom were women. Considering the number of trained informatics teachers and the number of the rural schools covered, ITU estimates that some 95 000 school children enjoy more advanced ICT knowledge and skills.</w:t>
            </w:r>
          </w:p>
          <w:p w14:paraId="6462AC0B" w14:textId="164E4196" w:rsidR="0CA81671" w:rsidRPr="00E13128" w:rsidRDefault="0CA81671" w:rsidP="00E13128">
            <w:pPr>
              <w:spacing w:before="60" w:after="60"/>
              <w:rPr>
                <w:rFonts w:ascii="Calibri" w:hAnsi="Calibri"/>
                <w:i/>
                <w:iCs/>
                <w:sz w:val="22"/>
                <w:szCs w:val="22"/>
              </w:rPr>
            </w:pPr>
            <w:r w:rsidRPr="00E13128">
              <w:rPr>
                <w:rFonts w:ascii="Calibri" w:hAnsi="Calibri" w:cstheme="minorBidi"/>
                <w:i/>
                <w:iCs/>
                <w:sz w:val="22"/>
                <w:szCs w:val="22"/>
              </w:rPr>
              <w:t xml:space="preserve">Europe </w:t>
            </w:r>
            <w:r w:rsidR="00484EDF" w:rsidRPr="00E13128">
              <w:rPr>
                <w:rFonts w:ascii="Calibri" w:hAnsi="Calibri" w:cstheme="minorBidi"/>
                <w:i/>
                <w:iCs/>
                <w:sz w:val="22"/>
                <w:szCs w:val="22"/>
              </w:rPr>
              <w:t>r</w:t>
            </w:r>
            <w:r w:rsidRPr="00E13128">
              <w:rPr>
                <w:rFonts w:ascii="Calibri" w:hAnsi="Calibri" w:cstheme="minorBidi"/>
                <w:i/>
                <w:iCs/>
                <w:sz w:val="22"/>
                <w:szCs w:val="22"/>
              </w:rPr>
              <w:t>egion</w:t>
            </w:r>
          </w:p>
          <w:p w14:paraId="7B8DA46E" w14:textId="005528ED" w:rsidR="27B39678" w:rsidRPr="00E13128" w:rsidRDefault="27B39678" w:rsidP="00E13128">
            <w:pPr>
              <w:pStyle w:val="ListParagraph"/>
              <w:widowControl w:val="0"/>
              <w:numPr>
                <w:ilvl w:val="0"/>
                <w:numId w:val="5"/>
              </w:numPr>
              <w:spacing w:before="60" w:after="60"/>
              <w:rPr>
                <w:rFonts w:ascii="Calibri" w:hAnsi="Calibri"/>
                <w:sz w:val="22"/>
                <w:szCs w:val="22"/>
              </w:rPr>
            </w:pPr>
            <w:r w:rsidRPr="00E13128">
              <w:rPr>
                <w:rFonts w:cstheme="minorBidi"/>
                <w:sz w:val="22"/>
                <w:szCs w:val="22"/>
              </w:rPr>
              <w:t>The National Digital Skills Assessment for North Macedonia has been completed upon the request of, and in collaboration with, the Ministry of Information Society and Administration. The purpose of the report was to assess the current supply and demand of digital skills in North Macedonia, to contribute to the development of a digital skills strategy that will meet citizen needs, and to contribute to further growth of the digital economy and digital society. The assessment results are delivered in a set of explicit and implementable recommendations. The scope includes in particular an assessment of basic digital skills in the private sector, start-ups, and the education sector, as well as an assessment of the current demand for all levels of digital skills across the economy.</w:t>
            </w:r>
          </w:p>
          <w:p w14:paraId="0EBA91E7" w14:textId="2EDE306E" w:rsidR="26C2E228" w:rsidRPr="00E13128" w:rsidRDefault="26C2E228" w:rsidP="00E13128">
            <w:pPr>
              <w:pStyle w:val="ListParagraph"/>
              <w:widowControl w:val="0"/>
              <w:numPr>
                <w:ilvl w:val="0"/>
                <w:numId w:val="5"/>
              </w:numPr>
              <w:spacing w:before="60" w:after="60"/>
              <w:rPr>
                <w:rFonts w:cstheme="minorBidi"/>
                <w:sz w:val="22"/>
                <w:szCs w:val="22"/>
              </w:rPr>
            </w:pPr>
            <w:r w:rsidRPr="00E13128">
              <w:rPr>
                <w:rFonts w:cstheme="minorBidi"/>
                <w:sz w:val="22"/>
                <w:szCs w:val="22"/>
              </w:rPr>
              <w:t xml:space="preserve">For the 2022 UNECE Regional Forum on Sustainable Development, ITU collaborated on SDG 4 </w:t>
            </w:r>
            <w:r w:rsidRPr="00E13128">
              <w:rPr>
                <w:rFonts w:cstheme="minorBidi"/>
                <w:sz w:val="22"/>
                <w:szCs w:val="22"/>
              </w:rPr>
              <w:lastRenderedPageBreak/>
              <w:t>‘Quality of Education</w:t>
            </w:r>
            <w:r w:rsidR="2F62AC65" w:rsidRPr="00E13128">
              <w:rPr>
                <w:rFonts w:cstheme="minorBidi"/>
                <w:sz w:val="22"/>
                <w:szCs w:val="22"/>
              </w:rPr>
              <w:t xml:space="preserve">’ Roundtable, advocating for the role of digital skills, ICT and connectivity in education, to reach SDG 4, to the HLPF process. </w:t>
            </w:r>
          </w:p>
          <w:p w14:paraId="475813A1" w14:textId="6A448983" w:rsidR="00B406B4" w:rsidRPr="00E13128" w:rsidRDefault="35314B7E" w:rsidP="00E13128">
            <w:pPr>
              <w:pStyle w:val="ListParagraph"/>
              <w:widowControl w:val="0"/>
              <w:numPr>
                <w:ilvl w:val="0"/>
                <w:numId w:val="5"/>
              </w:numPr>
              <w:spacing w:before="60" w:after="60"/>
              <w:rPr>
                <w:rFonts w:cstheme="minorBidi"/>
                <w:sz w:val="22"/>
                <w:szCs w:val="22"/>
              </w:rPr>
            </w:pPr>
            <w:r w:rsidRPr="00E13128">
              <w:rPr>
                <w:rFonts w:cstheme="minorBidi"/>
                <w:sz w:val="22"/>
                <w:szCs w:val="22"/>
              </w:rPr>
              <w:t xml:space="preserve">The </w:t>
            </w:r>
            <w:r w:rsidR="3BA9B9D4" w:rsidRPr="00E13128">
              <w:rPr>
                <w:rFonts w:cstheme="minorBidi"/>
                <w:sz w:val="22"/>
                <w:szCs w:val="22"/>
              </w:rPr>
              <w:t xml:space="preserve">series of trainings delivered across </w:t>
            </w:r>
            <w:r w:rsidRPr="00E13128">
              <w:rPr>
                <w:rFonts w:cstheme="minorBidi"/>
                <w:sz w:val="22"/>
                <w:szCs w:val="22"/>
              </w:rPr>
              <w:t>six</w:t>
            </w:r>
            <w:r w:rsidR="3BA9B9D4" w:rsidRPr="00E13128">
              <w:rPr>
                <w:rFonts w:cstheme="minorBidi"/>
                <w:sz w:val="22"/>
                <w:szCs w:val="22"/>
              </w:rPr>
              <w:t xml:space="preserve"> European </w:t>
            </w:r>
            <w:proofErr w:type="spellStart"/>
            <w:r w:rsidR="3BA9B9D4" w:rsidRPr="00E13128">
              <w:rPr>
                <w:rFonts w:cstheme="minorBidi"/>
                <w:sz w:val="22"/>
                <w:szCs w:val="22"/>
              </w:rPr>
              <w:t>Centers</w:t>
            </w:r>
            <w:proofErr w:type="spellEnd"/>
            <w:r w:rsidRPr="00E13128">
              <w:rPr>
                <w:rFonts w:cstheme="minorBidi"/>
                <w:sz w:val="22"/>
                <w:szCs w:val="22"/>
              </w:rPr>
              <w:t xml:space="preserve"> of Excellence, namely </w:t>
            </w:r>
            <w:r w:rsidR="56343600" w:rsidRPr="00E13128">
              <w:rPr>
                <w:rFonts w:cstheme="minorBidi"/>
                <w:sz w:val="22"/>
                <w:szCs w:val="22"/>
              </w:rPr>
              <w:t>FEEIT</w:t>
            </w:r>
            <w:r w:rsidRPr="00E13128">
              <w:rPr>
                <w:rFonts w:cstheme="minorBidi"/>
                <w:sz w:val="22"/>
                <w:szCs w:val="22"/>
              </w:rPr>
              <w:t xml:space="preserve"> in</w:t>
            </w:r>
            <w:r w:rsidR="56343600" w:rsidRPr="00E13128">
              <w:rPr>
                <w:rFonts w:cstheme="minorBidi"/>
                <w:sz w:val="22"/>
                <w:szCs w:val="22"/>
              </w:rPr>
              <w:t xml:space="preserve"> North Macedonia</w:t>
            </w:r>
            <w:r w:rsidRPr="00E13128">
              <w:rPr>
                <w:rFonts w:cstheme="minorBidi"/>
                <w:sz w:val="22"/>
                <w:szCs w:val="22"/>
              </w:rPr>
              <w:t>,</w:t>
            </w:r>
            <w:r w:rsidR="56343600" w:rsidRPr="00E13128">
              <w:rPr>
                <w:rFonts w:cstheme="minorBidi"/>
                <w:sz w:val="22"/>
                <w:szCs w:val="22"/>
              </w:rPr>
              <w:t xml:space="preserve"> NRD Cyber Security</w:t>
            </w:r>
            <w:r w:rsidRPr="00E13128">
              <w:rPr>
                <w:rFonts w:cstheme="minorBidi"/>
                <w:sz w:val="22"/>
                <w:szCs w:val="22"/>
              </w:rPr>
              <w:t xml:space="preserve"> in</w:t>
            </w:r>
            <w:r w:rsidR="56343600" w:rsidRPr="00E13128">
              <w:rPr>
                <w:rFonts w:cstheme="minorBidi"/>
                <w:sz w:val="22"/>
                <w:szCs w:val="22"/>
              </w:rPr>
              <w:t xml:space="preserve"> Lithuania</w:t>
            </w:r>
            <w:r w:rsidRPr="00E13128">
              <w:rPr>
                <w:rFonts w:cstheme="minorBidi"/>
                <w:sz w:val="22"/>
                <w:szCs w:val="22"/>
              </w:rPr>
              <w:t>,</w:t>
            </w:r>
            <w:r w:rsidR="56343600" w:rsidRPr="00E13128">
              <w:rPr>
                <w:rFonts w:cstheme="minorBidi"/>
                <w:sz w:val="22"/>
                <w:szCs w:val="22"/>
              </w:rPr>
              <w:t xml:space="preserve"> NIT</w:t>
            </w:r>
            <w:r w:rsidRPr="00E13128">
              <w:rPr>
                <w:rFonts w:cstheme="minorBidi"/>
                <w:sz w:val="22"/>
                <w:szCs w:val="22"/>
              </w:rPr>
              <w:t xml:space="preserve"> in</w:t>
            </w:r>
            <w:r w:rsidR="56343600" w:rsidRPr="00E13128">
              <w:rPr>
                <w:rFonts w:cstheme="minorBidi"/>
                <w:sz w:val="22"/>
                <w:szCs w:val="22"/>
              </w:rPr>
              <w:t xml:space="preserve"> Poland</w:t>
            </w:r>
            <w:r w:rsidRPr="00E13128">
              <w:rPr>
                <w:rFonts w:cstheme="minorBidi"/>
                <w:sz w:val="22"/>
                <w:szCs w:val="22"/>
              </w:rPr>
              <w:t>, and</w:t>
            </w:r>
            <w:r w:rsidR="56343600" w:rsidRPr="00E13128">
              <w:rPr>
                <w:rFonts w:cstheme="minorBidi"/>
                <w:sz w:val="22"/>
                <w:szCs w:val="22"/>
              </w:rPr>
              <w:t xml:space="preserve"> ICTP</w:t>
            </w:r>
            <w:r w:rsidRPr="00E13128">
              <w:rPr>
                <w:rFonts w:cstheme="minorBidi"/>
                <w:sz w:val="22"/>
                <w:szCs w:val="22"/>
              </w:rPr>
              <w:t xml:space="preserve"> in</w:t>
            </w:r>
            <w:r w:rsidR="56343600" w:rsidRPr="00E13128">
              <w:rPr>
                <w:rFonts w:cstheme="minorBidi"/>
                <w:sz w:val="22"/>
                <w:szCs w:val="22"/>
              </w:rPr>
              <w:t xml:space="preserve"> Italy</w:t>
            </w:r>
            <w:r w:rsidRPr="00E13128">
              <w:rPr>
                <w:rFonts w:cstheme="minorBidi"/>
                <w:sz w:val="22"/>
                <w:szCs w:val="22"/>
              </w:rPr>
              <w:t xml:space="preserve">, marked the completion of the last cycle of the </w:t>
            </w:r>
            <w:proofErr w:type="spellStart"/>
            <w:r w:rsidRPr="00E13128">
              <w:rPr>
                <w:rFonts w:cstheme="minorBidi"/>
                <w:sz w:val="22"/>
                <w:szCs w:val="22"/>
              </w:rPr>
              <w:t>Center</w:t>
            </w:r>
            <w:proofErr w:type="spellEnd"/>
            <w:r w:rsidRPr="00E13128">
              <w:rPr>
                <w:rFonts w:cstheme="minorBidi"/>
                <w:sz w:val="22"/>
                <w:szCs w:val="22"/>
              </w:rPr>
              <w:t xml:space="preserve"> of Excellence cycle for the Europe Region. The </w:t>
            </w:r>
            <w:proofErr w:type="spellStart"/>
            <w:r w:rsidRPr="00E13128">
              <w:rPr>
                <w:rFonts w:cstheme="minorBidi"/>
                <w:sz w:val="22"/>
                <w:szCs w:val="22"/>
              </w:rPr>
              <w:t>Centers</w:t>
            </w:r>
            <w:proofErr w:type="spellEnd"/>
            <w:r w:rsidRPr="00E13128">
              <w:rPr>
                <w:rFonts w:cstheme="minorBidi"/>
                <w:sz w:val="22"/>
                <w:szCs w:val="22"/>
              </w:rPr>
              <w:t xml:space="preserve"> of Excellence in the Europe Region aligned with the results of the WTDC 22 Outcomes in 2023, leading to the </w:t>
            </w:r>
            <w:r w:rsidR="367FC456" w:rsidRPr="00E13128">
              <w:rPr>
                <w:rFonts w:cstheme="minorBidi"/>
                <w:sz w:val="22"/>
                <w:szCs w:val="22"/>
              </w:rPr>
              <w:t>transitioning from</w:t>
            </w:r>
            <w:r w:rsidRPr="00E13128">
              <w:rPr>
                <w:rFonts w:cstheme="minorBidi"/>
                <w:sz w:val="22"/>
                <w:szCs w:val="22"/>
              </w:rPr>
              <w:t xml:space="preserve"> the Centres of Excellence programme with the ITU Academy Training Centres (ATCs) programme. </w:t>
            </w:r>
          </w:p>
        </w:tc>
      </w:tr>
    </w:tbl>
    <w:p w14:paraId="2D4214A3" w14:textId="61803F3B" w:rsidR="00B406B4" w:rsidRPr="00E13128" w:rsidRDefault="00B406B4" w:rsidP="00E13128">
      <w:pPr>
        <w:pStyle w:val="Heading1"/>
        <w:numPr>
          <w:ilvl w:val="0"/>
          <w:numId w:val="22"/>
        </w:numPr>
        <w:spacing w:before="120" w:after="120"/>
        <w:ind w:left="357" w:hanging="357"/>
        <w:rPr>
          <w:sz w:val="24"/>
          <w:szCs w:val="24"/>
        </w:rPr>
      </w:pPr>
      <w:r w:rsidRPr="00E13128">
        <w:rPr>
          <w:sz w:val="24"/>
          <w:szCs w:val="24"/>
        </w:rPr>
        <w:lastRenderedPageBreak/>
        <w:t>Cybersecurity: Creating a trusted cyberspace for all</w:t>
      </w:r>
    </w:p>
    <w:p w14:paraId="5B1E6DD5" w14:textId="77777777" w:rsidR="00B406B4" w:rsidRPr="00E13128" w:rsidRDefault="00B406B4" w:rsidP="00E13128">
      <w:pPr>
        <w:pStyle w:val="Heading3"/>
        <w:spacing w:before="120" w:after="120"/>
        <w:rPr>
          <w:rFonts w:eastAsiaTheme="minorHAnsi"/>
          <w:szCs w:val="24"/>
          <w:lang w:val="en-US"/>
        </w:rPr>
      </w:pPr>
      <w:r w:rsidRPr="00E13128">
        <w:rPr>
          <w:rFonts w:eastAsiaTheme="minorHAnsi"/>
          <w:szCs w:val="24"/>
          <w:lang w:val="en-US"/>
        </w:rPr>
        <w:t xml:space="preserve">Global, Regional and National </w:t>
      </w:r>
      <w:proofErr w:type="spellStart"/>
      <w:r w:rsidRPr="00E13128">
        <w:rPr>
          <w:rFonts w:eastAsiaTheme="minorHAnsi"/>
          <w:szCs w:val="24"/>
          <w:lang w:val="en-US"/>
        </w:rPr>
        <w:t>CyberDrills</w:t>
      </w:r>
      <w:proofErr w:type="spellEnd"/>
    </w:p>
    <w:p w14:paraId="39685C32" w14:textId="77777777" w:rsidR="00B406B4" w:rsidRPr="00E13128" w:rsidRDefault="009C6393" w:rsidP="00E13128">
      <w:pPr>
        <w:spacing w:after="120"/>
        <w:rPr>
          <w:rFonts w:cstheme="minorHAnsi"/>
          <w:szCs w:val="24"/>
        </w:rPr>
      </w:pPr>
      <w:hyperlink r:id="rId19" w:history="1">
        <w:r w:rsidR="00B406B4" w:rsidRPr="00E13128">
          <w:rPr>
            <w:rStyle w:val="Hyperlink"/>
            <w:rFonts w:cstheme="minorHAnsi"/>
            <w:color w:val="auto"/>
            <w:szCs w:val="24"/>
          </w:rPr>
          <w:t xml:space="preserve">ITU </w:t>
        </w:r>
        <w:proofErr w:type="spellStart"/>
        <w:r w:rsidR="00B406B4" w:rsidRPr="00E13128">
          <w:rPr>
            <w:rStyle w:val="Hyperlink"/>
            <w:rFonts w:cstheme="minorHAnsi"/>
            <w:color w:val="auto"/>
            <w:szCs w:val="24"/>
          </w:rPr>
          <w:t>CyberDrills</w:t>
        </w:r>
        <w:proofErr w:type="spellEnd"/>
      </w:hyperlink>
      <w:r w:rsidR="00B406B4" w:rsidRPr="00E13128">
        <w:rPr>
          <w:rFonts w:cstheme="minorHAnsi"/>
          <w:szCs w:val="24"/>
        </w:rPr>
        <w:t xml:space="preserve"> at the regional and national levels serve a dual purpose: provide a platform for cooperation, information sharing, discussions on current cybersecurity issues, and be a platform for capacity building thought hands-on exercises and focused training workshops developed for the national Computer Incident Response Teams. </w:t>
      </w:r>
    </w:p>
    <w:p w14:paraId="73A5BF81" w14:textId="3F7A4274" w:rsidR="00B406B4" w:rsidRPr="00E13128" w:rsidRDefault="00B406B4" w:rsidP="00E13128">
      <w:pPr>
        <w:spacing w:after="120"/>
        <w:rPr>
          <w:rFonts w:cstheme="minorHAnsi"/>
          <w:szCs w:val="24"/>
        </w:rPr>
      </w:pPr>
      <w:r w:rsidRPr="00E13128">
        <w:rPr>
          <w:rFonts w:cstheme="minorHAnsi"/>
          <w:szCs w:val="24"/>
        </w:rPr>
        <w:t xml:space="preserve">To date, more than 40 cybersecurity exercises were conducted at international, regional, or national levels involving more than 120 countries in all the six ITU regions. Since TDAG-22 six </w:t>
      </w:r>
      <w:hyperlink r:id="rId20" w:history="1">
        <w:proofErr w:type="spellStart"/>
        <w:r w:rsidRPr="00E13128">
          <w:rPr>
            <w:rStyle w:val="Hyperlink"/>
            <w:rFonts w:cstheme="minorHAnsi"/>
            <w:color w:val="auto"/>
            <w:szCs w:val="24"/>
          </w:rPr>
          <w:t>CyberDrills</w:t>
        </w:r>
        <w:proofErr w:type="spellEnd"/>
        <w:r w:rsidRPr="00E13128">
          <w:rPr>
            <w:rStyle w:val="Hyperlink"/>
            <w:rFonts w:cstheme="minorHAnsi"/>
            <w:color w:val="auto"/>
            <w:szCs w:val="24"/>
          </w:rPr>
          <w:t xml:space="preserve"> were conducted</w:t>
        </w:r>
      </w:hyperlink>
      <w:r w:rsidRPr="00E13128">
        <w:rPr>
          <w:rFonts w:cstheme="minorHAnsi"/>
          <w:szCs w:val="24"/>
        </w:rPr>
        <w:t xml:space="preserve">: </w:t>
      </w:r>
      <w:hyperlink r:id="rId21" w:tgtFrame="_blank" w:history="1">
        <w:r w:rsidRPr="00E13128">
          <w:rPr>
            <w:rStyle w:val="Hyperlink"/>
            <w:rFonts w:cstheme="minorHAnsi"/>
            <w:color w:val="auto"/>
            <w:szCs w:val="24"/>
            <w:bdr w:val="none" w:sz="0" w:space="0" w:color="auto" w:frame="1"/>
            <w:shd w:val="clear" w:color="auto" w:fill="FFFFFF"/>
          </w:rPr>
          <w:t xml:space="preserve">2022 ITU-Bhutan joint </w:t>
        </w:r>
        <w:proofErr w:type="spellStart"/>
        <w:r w:rsidRPr="00E13128">
          <w:rPr>
            <w:rStyle w:val="Hyperlink"/>
            <w:rFonts w:cstheme="minorHAnsi"/>
            <w:color w:val="auto"/>
            <w:szCs w:val="24"/>
            <w:bdr w:val="none" w:sz="0" w:space="0" w:color="auto" w:frame="1"/>
            <w:shd w:val="clear" w:color="auto" w:fill="FFFFFF"/>
          </w:rPr>
          <w:t>CyberDrill</w:t>
        </w:r>
        <w:proofErr w:type="spellEnd"/>
      </w:hyperlink>
      <w:r w:rsidRPr="00E13128">
        <w:rPr>
          <w:rFonts w:cstheme="minorHAnsi"/>
          <w:szCs w:val="24"/>
        </w:rPr>
        <w:t xml:space="preserve">, </w:t>
      </w:r>
      <w:hyperlink r:id="rId22" w:tgtFrame="_blank" w:history="1">
        <w:r w:rsidRPr="00E13128">
          <w:rPr>
            <w:rStyle w:val="Hyperlink"/>
            <w:rFonts w:cstheme="minorHAnsi"/>
            <w:color w:val="auto"/>
            <w:szCs w:val="24"/>
            <w:bdr w:val="none" w:sz="0" w:space="0" w:color="auto" w:frame="1"/>
            <w:shd w:val="clear" w:color="auto" w:fill="FFFFFF"/>
          </w:rPr>
          <w:t xml:space="preserve">CIS and Arab inter Regional </w:t>
        </w:r>
        <w:proofErr w:type="spellStart"/>
        <w:r w:rsidRPr="00E13128">
          <w:rPr>
            <w:rStyle w:val="Hyperlink"/>
            <w:rFonts w:cstheme="minorHAnsi"/>
            <w:color w:val="auto"/>
            <w:szCs w:val="24"/>
            <w:bdr w:val="none" w:sz="0" w:space="0" w:color="auto" w:frame="1"/>
            <w:shd w:val="clear" w:color="auto" w:fill="FFFFFF"/>
          </w:rPr>
          <w:t>CyberDrill</w:t>
        </w:r>
        <w:proofErr w:type="spellEnd"/>
      </w:hyperlink>
      <w:r w:rsidRPr="00E13128">
        <w:rPr>
          <w:rFonts w:cstheme="minorHAnsi"/>
          <w:szCs w:val="24"/>
          <w:shd w:val="clear" w:color="auto" w:fill="FFFFFF"/>
        </w:rPr>
        <w:t xml:space="preserve">, </w:t>
      </w:r>
      <w:hyperlink r:id="rId23" w:tgtFrame="_blank" w:history="1">
        <w:r w:rsidRPr="00E13128">
          <w:rPr>
            <w:rStyle w:val="Hyperlink"/>
            <w:rFonts w:cstheme="minorHAnsi"/>
            <w:color w:val="auto"/>
            <w:szCs w:val="24"/>
            <w:bdr w:val="none" w:sz="0" w:space="0" w:color="auto" w:frame="1"/>
            <w:shd w:val="clear" w:color="auto" w:fill="FFFFFF"/>
          </w:rPr>
          <w:t xml:space="preserve">Arab Regional </w:t>
        </w:r>
        <w:proofErr w:type="spellStart"/>
        <w:r w:rsidRPr="00E13128">
          <w:rPr>
            <w:rStyle w:val="Hyperlink"/>
            <w:rFonts w:cstheme="minorHAnsi"/>
            <w:color w:val="auto"/>
            <w:szCs w:val="24"/>
            <w:bdr w:val="none" w:sz="0" w:space="0" w:color="auto" w:frame="1"/>
            <w:shd w:val="clear" w:color="auto" w:fill="FFFFFF"/>
          </w:rPr>
          <w:t>CyberDrill</w:t>
        </w:r>
        <w:proofErr w:type="spellEnd"/>
      </w:hyperlink>
      <w:r w:rsidRPr="00E13128">
        <w:rPr>
          <w:rFonts w:cstheme="minorHAnsi"/>
          <w:szCs w:val="24"/>
          <w:shd w:val="clear" w:color="auto" w:fill="FFFFFF"/>
        </w:rPr>
        <w:t>,</w:t>
      </w:r>
      <w:r w:rsidRPr="00E13128">
        <w:rPr>
          <w:rFonts w:cstheme="minorHAnsi"/>
          <w:szCs w:val="24"/>
          <w:bdr w:val="none" w:sz="0" w:space="0" w:color="auto" w:frame="1"/>
          <w:shd w:val="clear" w:color="auto" w:fill="FFFFFF"/>
        </w:rPr>
        <w:t xml:space="preserve"> </w:t>
      </w:r>
      <w:hyperlink r:id="rId24" w:history="1">
        <w:r w:rsidRPr="00E13128">
          <w:rPr>
            <w:rStyle w:val="Hyperlink"/>
            <w:rFonts w:cstheme="minorHAnsi"/>
            <w:color w:val="auto"/>
            <w:szCs w:val="24"/>
            <w:bdr w:val="none" w:sz="0" w:space="0" w:color="auto" w:frame="1"/>
            <w:shd w:val="clear" w:color="auto" w:fill="FFFFFF"/>
          </w:rPr>
          <w:t xml:space="preserve">Pakistan National </w:t>
        </w:r>
        <w:proofErr w:type="spellStart"/>
        <w:r w:rsidRPr="00E13128">
          <w:rPr>
            <w:rStyle w:val="Hyperlink"/>
            <w:rFonts w:cstheme="minorHAnsi"/>
            <w:color w:val="auto"/>
            <w:szCs w:val="24"/>
            <w:bdr w:val="none" w:sz="0" w:space="0" w:color="auto" w:frame="1"/>
            <w:shd w:val="clear" w:color="auto" w:fill="FFFFFF"/>
          </w:rPr>
          <w:t>CyberDrill</w:t>
        </w:r>
        <w:proofErr w:type="spellEnd"/>
      </w:hyperlink>
      <w:r w:rsidRPr="00E13128">
        <w:rPr>
          <w:rFonts w:cstheme="minorHAnsi"/>
          <w:szCs w:val="24"/>
        </w:rPr>
        <w:t xml:space="preserve"> and </w:t>
      </w:r>
      <w:hyperlink r:id="rId25" w:tgtFrame="_blank" w:history="1">
        <w:r w:rsidRPr="00E13128">
          <w:rPr>
            <w:rStyle w:val="Hyperlink"/>
            <w:rFonts w:cstheme="minorHAnsi"/>
            <w:color w:val="auto"/>
            <w:szCs w:val="24"/>
            <w:bdr w:val="none" w:sz="0" w:space="0" w:color="auto" w:frame="1"/>
            <w:shd w:val="clear" w:color="auto" w:fill="FFFFFF"/>
          </w:rPr>
          <w:t xml:space="preserve">ASEAN-ITU Regional </w:t>
        </w:r>
        <w:proofErr w:type="spellStart"/>
        <w:r w:rsidRPr="00E13128">
          <w:rPr>
            <w:rStyle w:val="Hyperlink"/>
            <w:rFonts w:cstheme="minorHAnsi"/>
            <w:color w:val="auto"/>
            <w:szCs w:val="24"/>
            <w:bdr w:val="none" w:sz="0" w:space="0" w:color="auto" w:frame="1"/>
            <w:shd w:val="clear" w:color="auto" w:fill="FFFFFF"/>
          </w:rPr>
          <w:t>CyberDrill</w:t>
        </w:r>
        <w:proofErr w:type="spellEnd"/>
      </w:hyperlink>
      <w:r w:rsidRPr="00E13128">
        <w:rPr>
          <w:rStyle w:val="Hyperlink"/>
          <w:rFonts w:cstheme="minorHAnsi"/>
          <w:color w:val="auto"/>
          <w:szCs w:val="24"/>
          <w:bdr w:val="none" w:sz="0" w:space="0" w:color="auto" w:frame="1"/>
          <w:shd w:val="clear" w:color="auto" w:fill="FFFFFF"/>
        </w:rPr>
        <w:t>.</w:t>
      </w:r>
    </w:p>
    <w:p w14:paraId="38B0B3CC" w14:textId="77777777" w:rsidR="00B406B4" w:rsidRPr="00E13128" w:rsidRDefault="00B406B4" w:rsidP="00E13128">
      <w:pPr>
        <w:pStyle w:val="Heading3"/>
        <w:spacing w:before="120" w:after="120"/>
        <w:rPr>
          <w:rFonts w:eastAsiaTheme="minorHAnsi" w:cstheme="minorHAnsi"/>
          <w:b w:val="0"/>
          <w:bCs/>
          <w:szCs w:val="24"/>
          <w:lang w:val="en-US"/>
        </w:rPr>
      </w:pPr>
      <w:r w:rsidRPr="00E13128">
        <w:rPr>
          <w:rFonts w:eastAsiaTheme="minorHAnsi" w:cstheme="minorHAnsi"/>
          <w:bCs/>
          <w:szCs w:val="24"/>
          <w:lang w:val="en-US"/>
        </w:rPr>
        <w:t>Global Cybersecurity Index (GCI)</w:t>
      </w:r>
    </w:p>
    <w:p w14:paraId="6DEE5D5E" w14:textId="77777777" w:rsidR="00B406B4" w:rsidRPr="00E13128" w:rsidRDefault="00B406B4" w:rsidP="00E13128">
      <w:pPr>
        <w:spacing w:after="120"/>
        <w:rPr>
          <w:rFonts w:cstheme="minorHAnsi"/>
          <w:szCs w:val="24"/>
        </w:rPr>
      </w:pPr>
      <w:r w:rsidRPr="00E13128">
        <w:rPr>
          <w:rFonts w:cstheme="minorHAnsi"/>
          <w:szCs w:val="24"/>
        </w:rPr>
        <w:t xml:space="preserve">The </w:t>
      </w:r>
      <w:hyperlink r:id="rId26" w:history="1">
        <w:r w:rsidRPr="00E13128">
          <w:rPr>
            <w:rStyle w:val="Hyperlink"/>
            <w:rFonts w:cstheme="minorHAnsi"/>
            <w:color w:val="auto"/>
            <w:szCs w:val="24"/>
          </w:rPr>
          <w:t>Global Cybersecurity Index</w:t>
        </w:r>
      </w:hyperlink>
      <w:r w:rsidRPr="00E13128">
        <w:rPr>
          <w:rFonts w:cstheme="minorHAnsi"/>
          <w:szCs w:val="24"/>
        </w:rPr>
        <w:t xml:space="preserve"> measures countries’ commitment to cybersecurity. </w:t>
      </w:r>
      <w:r w:rsidRPr="00E13128">
        <w:rPr>
          <w:rFonts w:cstheme="minorHAnsi"/>
          <w:szCs w:val="24"/>
          <w:shd w:val="clear" w:color="auto" w:fill="FFFFFF"/>
        </w:rPr>
        <w:t xml:space="preserve">The </w:t>
      </w:r>
      <w:r w:rsidRPr="00E13128">
        <w:rPr>
          <w:rFonts w:cstheme="minorHAnsi"/>
          <w:szCs w:val="24"/>
        </w:rPr>
        <w:t>fifth edition of the GCI</w:t>
      </w:r>
      <w:r w:rsidRPr="00E13128">
        <w:rPr>
          <w:rFonts w:cstheme="minorHAnsi"/>
          <w:szCs w:val="24"/>
          <w:shd w:val="clear" w:color="auto" w:fill="FFFFFF"/>
        </w:rPr>
        <w:t xml:space="preserve"> </w:t>
      </w:r>
      <w:r w:rsidRPr="00E13128">
        <w:rPr>
          <w:rFonts w:cstheme="minorHAnsi"/>
          <w:szCs w:val="24"/>
        </w:rPr>
        <w:t>(GCIv5) started with the</w:t>
      </w:r>
      <w:r w:rsidRPr="00E13128">
        <w:rPr>
          <w:rFonts w:cstheme="minorHAnsi"/>
          <w:szCs w:val="24"/>
          <w:lang w:val="en-US"/>
        </w:rPr>
        <w:t xml:space="preserve"> establishment of Expert Groups to work on questions, methods, and weightages, particularly the transition from ranks to a tier-based model. </w:t>
      </w:r>
      <w:r w:rsidRPr="00E13128">
        <w:rPr>
          <w:rFonts w:cstheme="minorHAnsi"/>
          <w:szCs w:val="24"/>
        </w:rPr>
        <w:t>A series of Expert Group meetings were held in 2022 with the participation of over 140 experts. They were tasked to provide recommendations related to PP Resolution 130 (Rev. Bucharest, 2022) and WTDC Resolution 45 (Rev. Kigali, 2022) on weightages and moving from rankings to tiers. Their work continues in 2023.</w:t>
      </w:r>
    </w:p>
    <w:p w14:paraId="6C80CB31" w14:textId="77777777" w:rsidR="00B406B4" w:rsidRPr="00E13128" w:rsidRDefault="00B406B4" w:rsidP="00E13128">
      <w:pPr>
        <w:pStyle w:val="Heading3"/>
        <w:spacing w:before="120" w:after="120"/>
        <w:rPr>
          <w:rFonts w:eastAsiaTheme="minorHAnsi" w:cstheme="minorHAnsi"/>
          <w:b w:val="0"/>
          <w:bCs/>
          <w:szCs w:val="24"/>
          <w:lang w:val="en-US"/>
        </w:rPr>
      </w:pPr>
      <w:r w:rsidRPr="00E13128">
        <w:rPr>
          <w:rFonts w:eastAsiaTheme="minorHAnsi" w:cstheme="minorHAnsi"/>
          <w:bCs/>
          <w:szCs w:val="24"/>
          <w:lang w:val="en-US"/>
        </w:rPr>
        <w:t>National Cybersecurity Strategy (NCS)</w:t>
      </w:r>
    </w:p>
    <w:p w14:paraId="3217D7C4" w14:textId="77777777" w:rsidR="00B406B4" w:rsidRPr="00E13128" w:rsidRDefault="00B406B4" w:rsidP="00E13128">
      <w:pPr>
        <w:spacing w:after="120"/>
        <w:rPr>
          <w:rFonts w:cstheme="minorHAnsi"/>
          <w:szCs w:val="24"/>
        </w:rPr>
      </w:pPr>
      <w:r w:rsidRPr="00E13128">
        <w:rPr>
          <w:rFonts w:cstheme="minorHAnsi"/>
          <w:szCs w:val="24"/>
        </w:rPr>
        <w:t xml:space="preserve">The </w:t>
      </w:r>
      <w:hyperlink r:id="rId27" w:history="1">
        <w:r w:rsidRPr="00E13128">
          <w:rPr>
            <w:rStyle w:val="Hyperlink"/>
            <w:rFonts w:cstheme="minorHAnsi"/>
            <w:color w:val="auto"/>
            <w:szCs w:val="24"/>
          </w:rPr>
          <w:t>second edition</w:t>
        </w:r>
      </w:hyperlink>
      <w:r w:rsidRPr="00E13128">
        <w:rPr>
          <w:rFonts w:cstheme="minorHAnsi"/>
          <w:szCs w:val="24"/>
        </w:rPr>
        <w:t xml:space="preserve"> of the National Cybersecurity Strategy (NCS) Guide is now available on the ITU Academy as an e-learning training course, featuring best practices for developing and implementing national cybersecurity strategies. By the end of 2022, some 750 professionals from 139 countries have completed the training.</w:t>
      </w:r>
    </w:p>
    <w:p w14:paraId="57BD5577" w14:textId="2AED0741" w:rsidR="00B406B4" w:rsidRPr="00E13128" w:rsidRDefault="00B406B4" w:rsidP="00E13128">
      <w:pPr>
        <w:spacing w:after="120"/>
        <w:rPr>
          <w:rFonts w:cstheme="minorHAnsi"/>
          <w:szCs w:val="24"/>
        </w:rPr>
      </w:pPr>
      <w:r w:rsidRPr="00E13128">
        <w:rPr>
          <w:rFonts w:cstheme="minorHAnsi"/>
          <w:szCs w:val="24"/>
        </w:rPr>
        <w:t xml:space="preserve">In 2022, tabletop exercises (TTX) on the development and implementation of National Cybersecurity Strategy (NCS) were convened by BDT in </w:t>
      </w:r>
      <w:hyperlink r:id="rId28" w:history="1">
        <w:r w:rsidRPr="00E13128">
          <w:rPr>
            <w:rStyle w:val="Hyperlink"/>
            <w:rFonts w:cstheme="minorHAnsi"/>
            <w:color w:val="auto"/>
            <w:szCs w:val="24"/>
          </w:rPr>
          <w:t>Morocco</w:t>
        </w:r>
      </w:hyperlink>
      <w:r w:rsidRPr="00E13128">
        <w:rPr>
          <w:rFonts w:cstheme="minorHAnsi"/>
          <w:szCs w:val="24"/>
        </w:rPr>
        <w:t xml:space="preserve"> and Rwanda. In each country, 35</w:t>
      </w:r>
      <w:r w:rsidR="002845FE">
        <w:rPr>
          <w:rFonts w:cstheme="minorHAnsi"/>
          <w:szCs w:val="24"/>
        </w:rPr>
        <w:t> </w:t>
      </w:r>
      <w:r w:rsidRPr="00E13128">
        <w:rPr>
          <w:rFonts w:cstheme="minorHAnsi"/>
          <w:szCs w:val="24"/>
        </w:rPr>
        <w:t>to 45 national stakeholders representing various organizations actively engaged in the TTX sessions. Following the exercises, participants indicated their satisfaction with the progress made and the outcomes achieved during each session.</w:t>
      </w:r>
    </w:p>
    <w:p w14:paraId="15849937" w14:textId="0CE67C35" w:rsidR="00B406B4" w:rsidRPr="00E13128" w:rsidRDefault="00B406B4" w:rsidP="00E13128">
      <w:pPr>
        <w:spacing w:after="120"/>
        <w:rPr>
          <w:rFonts w:cstheme="minorHAnsi"/>
          <w:szCs w:val="24"/>
        </w:rPr>
      </w:pPr>
      <w:r w:rsidRPr="00E13128">
        <w:rPr>
          <w:rFonts w:cstheme="minorHAnsi"/>
          <w:szCs w:val="24"/>
        </w:rPr>
        <w:t>BDT in partnership with a team of government agencies from the United Kingdom delivered the Joint Integrated Cybersecurity Assessment Project (</w:t>
      </w:r>
      <w:hyperlink r:id="rId29" w:history="1">
        <w:r w:rsidRPr="00E13128">
          <w:rPr>
            <w:rStyle w:val="Hyperlink"/>
            <w:rFonts w:cstheme="minorHAnsi"/>
            <w:color w:val="auto"/>
            <w:szCs w:val="24"/>
          </w:rPr>
          <w:t>JICAP</w:t>
        </w:r>
      </w:hyperlink>
      <w:r w:rsidRPr="00E13128">
        <w:rPr>
          <w:rFonts w:cstheme="minorHAnsi"/>
          <w:szCs w:val="24"/>
        </w:rPr>
        <w:t>) aimed to facilitate and support national efforts for two countries in</w:t>
      </w:r>
      <w:r w:rsidR="005E75F3">
        <w:rPr>
          <w:rFonts w:cstheme="minorHAnsi"/>
          <w:szCs w:val="24"/>
        </w:rPr>
        <w:t xml:space="preserve"> </w:t>
      </w:r>
      <w:r w:rsidRPr="00E13128">
        <w:rPr>
          <w:rFonts w:cstheme="minorHAnsi"/>
          <w:szCs w:val="24"/>
        </w:rPr>
        <w:t xml:space="preserve">developing or reviewing their NCS and NCS Action Plans. </w:t>
      </w:r>
    </w:p>
    <w:p w14:paraId="1AF68470" w14:textId="77777777" w:rsidR="00B406B4" w:rsidRPr="00E13128" w:rsidRDefault="00B406B4" w:rsidP="00E13128">
      <w:pPr>
        <w:spacing w:after="120"/>
        <w:rPr>
          <w:rFonts w:cstheme="minorHAnsi"/>
          <w:szCs w:val="24"/>
        </w:rPr>
      </w:pPr>
      <w:r w:rsidRPr="00E13128">
        <w:rPr>
          <w:rFonts w:cstheme="minorHAnsi"/>
          <w:szCs w:val="24"/>
        </w:rPr>
        <w:t>In addition, BDT has assisted five more countries in the assessment of their cybersecurity strategies and provided suggestions to improve.</w:t>
      </w:r>
    </w:p>
    <w:p w14:paraId="7E436BAA" w14:textId="77777777" w:rsidR="00B406B4" w:rsidRPr="00E13128" w:rsidRDefault="00B406B4" w:rsidP="00E13128">
      <w:pPr>
        <w:pStyle w:val="Heading3"/>
        <w:spacing w:before="120" w:after="120"/>
        <w:rPr>
          <w:rFonts w:eastAsiaTheme="minorHAnsi" w:cstheme="minorHAnsi"/>
          <w:b w:val="0"/>
          <w:bCs/>
          <w:szCs w:val="24"/>
          <w:lang w:val="en-US"/>
        </w:rPr>
      </w:pPr>
      <w:r w:rsidRPr="00E13128">
        <w:rPr>
          <w:rFonts w:eastAsiaTheme="minorHAnsi" w:cstheme="minorHAnsi"/>
          <w:bCs/>
          <w:szCs w:val="24"/>
          <w:lang w:val="en-US"/>
        </w:rPr>
        <w:lastRenderedPageBreak/>
        <w:t>Cyber for Good and related projects</w:t>
      </w:r>
    </w:p>
    <w:p w14:paraId="7B8654B0" w14:textId="77777777" w:rsidR="00B406B4" w:rsidRPr="00E13128" w:rsidRDefault="009C6393" w:rsidP="00E13128">
      <w:pPr>
        <w:spacing w:after="120"/>
        <w:rPr>
          <w:rFonts w:cstheme="minorHAnsi"/>
          <w:szCs w:val="24"/>
        </w:rPr>
      </w:pPr>
      <w:hyperlink r:id="rId30">
        <w:r w:rsidR="00B406B4" w:rsidRPr="00E13128">
          <w:rPr>
            <w:rStyle w:val="Hyperlink"/>
            <w:rFonts w:cstheme="minorHAnsi"/>
            <w:color w:val="auto"/>
            <w:szCs w:val="24"/>
          </w:rPr>
          <w:t>The Cyber for Good project</w:t>
        </w:r>
      </w:hyperlink>
      <w:r w:rsidR="00B406B4" w:rsidRPr="00E13128">
        <w:rPr>
          <w:rFonts w:cstheme="minorHAnsi"/>
          <w:szCs w:val="24"/>
        </w:rPr>
        <w:t xml:space="preserve"> aims to narrow the cyber capacity gap by promoting the inclusion of women and youth, and enhancing cybersecurity within and between nations, focusing on LDCs and developing countries. Since its inception in 2022, ITU's work with LDCs has reached 12 countries.</w:t>
      </w:r>
    </w:p>
    <w:p w14:paraId="6B6BCE8F" w14:textId="505438D4" w:rsidR="00B406B4" w:rsidRPr="00E13128" w:rsidRDefault="00B406B4" w:rsidP="00E13128">
      <w:pPr>
        <w:spacing w:after="120"/>
        <w:rPr>
          <w:rFonts w:cstheme="minorHAnsi"/>
          <w:szCs w:val="24"/>
        </w:rPr>
      </w:pPr>
      <w:r w:rsidRPr="00E13128">
        <w:rPr>
          <w:rFonts w:cstheme="minorHAnsi"/>
          <w:szCs w:val="24"/>
        </w:rPr>
        <w:t xml:space="preserve">ITU, FIRST and EQUALS, the global partnership for gender equality in the digital age co-founded by ITU, jointly organize the </w:t>
      </w:r>
      <w:hyperlink r:id="rId31">
        <w:r w:rsidRPr="00E13128">
          <w:rPr>
            <w:rStyle w:val="Hyperlink"/>
            <w:rFonts w:cstheme="minorHAnsi"/>
            <w:color w:val="auto"/>
            <w:szCs w:val="24"/>
          </w:rPr>
          <w:t>Women in Cyber Mentorship Programme</w:t>
        </w:r>
      </w:hyperlink>
      <w:r w:rsidRPr="00E13128">
        <w:rPr>
          <w:rFonts w:cstheme="minorHAnsi"/>
          <w:szCs w:val="24"/>
        </w:rPr>
        <w:t xml:space="preserve"> for empowering women in the cybersecurity sector. Since 2021, through the WiC Programme almost three hundred women have been trained and mentored across seventy-three countries in the Arab, Africa, and Asia-Pacific regions, through collaborations with 106 mentors from across the world. </w:t>
      </w:r>
    </w:p>
    <w:p w14:paraId="30A10093" w14:textId="7D381E01" w:rsidR="00B406B4" w:rsidRPr="00E13128" w:rsidRDefault="003501E8" w:rsidP="00E13128">
      <w:pPr>
        <w:tabs>
          <w:tab w:val="left" w:pos="426"/>
        </w:tabs>
        <w:spacing w:after="120"/>
        <w:rPr>
          <w:rFonts w:cstheme="minorHAnsi"/>
          <w:szCs w:val="24"/>
        </w:rPr>
      </w:pPr>
      <w:r w:rsidRPr="00E13128">
        <w:rPr>
          <w:rFonts w:cstheme="minorHAnsi"/>
          <w:szCs w:val="24"/>
        </w:rPr>
        <w:t xml:space="preserve">Under the </w:t>
      </w:r>
      <w:r w:rsidR="00B406B4" w:rsidRPr="00E13128">
        <w:rPr>
          <w:rFonts w:cstheme="minorHAnsi"/>
          <w:szCs w:val="24"/>
        </w:rPr>
        <w:t>Child Online Protection (COP), BDT successfully delivered several products and services in key areas</w:t>
      </w:r>
      <w:r w:rsidRPr="00E13128">
        <w:rPr>
          <w:rFonts w:cstheme="minorHAnsi"/>
          <w:szCs w:val="24"/>
        </w:rPr>
        <w:t xml:space="preserve"> throughout 2022</w:t>
      </w:r>
      <w:r w:rsidR="00B406B4" w:rsidRPr="00E13128">
        <w:rPr>
          <w:rFonts w:cstheme="minorHAnsi"/>
          <w:szCs w:val="24"/>
        </w:rPr>
        <w:t>, such as:</w:t>
      </w:r>
    </w:p>
    <w:p w14:paraId="2B9FDFAB" w14:textId="77777777" w:rsidR="00B406B4" w:rsidRPr="00E13128" w:rsidRDefault="00B406B4" w:rsidP="00E13128">
      <w:pPr>
        <w:pStyle w:val="ListParagraph"/>
        <w:numPr>
          <w:ilvl w:val="0"/>
          <w:numId w:val="10"/>
        </w:numPr>
        <w:tabs>
          <w:tab w:val="clear" w:pos="1134"/>
          <w:tab w:val="clear" w:pos="1871"/>
          <w:tab w:val="clear" w:pos="2268"/>
          <w:tab w:val="left" w:pos="426"/>
          <w:tab w:val="left" w:pos="1191"/>
          <w:tab w:val="left" w:pos="1588"/>
          <w:tab w:val="left" w:pos="1985"/>
        </w:tabs>
        <w:spacing w:before="60" w:after="60"/>
        <w:ind w:left="357" w:hanging="357"/>
        <w:contextualSpacing w:val="0"/>
        <w:rPr>
          <w:rFonts w:cstheme="minorHAnsi"/>
          <w:szCs w:val="24"/>
        </w:rPr>
      </w:pPr>
      <w:r w:rsidRPr="00E13128">
        <w:rPr>
          <w:rFonts w:cstheme="minorHAnsi"/>
          <w:szCs w:val="24"/>
        </w:rPr>
        <w:t xml:space="preserve">Capacity building, including </w:t>
      </w:r>
    </w:p>
    <w:p w14:paraId="2F547BEA" w14:textId="77777777" w:rsidR="00B406B4" w:rsidRPr="00E13128" w:rsidRDefault="00B406B4" w:rsidP="00E13128">
      <w:pPr>
        <w:pStyle w:val="ListParagraph"/>
        <w:numPr>
          <w:ilvl w:val="1"/>
          <w:numId w:val="10"/>
        </w:numPr>
        <w:tabs>
          <w:tab w:val="clear" w:pos="1134"/>
          <w:tab w:val="clear" w:pos="1871"/>
          <w:tab w:val="clear" w:pos="2268"/>
          <w:tab w:val="left" w:pos="426"/>
          <w:tab w:val="left" w:pos="1191"/>
          <w:tab w:val="left" w:pos="1588"/>
          <w:tab w:val="left" w:pos="1985"/>
        </w:tabs>
        <w:spacing w:before="60" w:after="60"/>
        <w:ind w:left="714" w:hanging="357"/>
        <w:contextualSpacing w:val="0"/>
        <w:rPr>
          <w:rFonts w:cstheme="minorHAnsi"/>
          <w:szCs w:val="24"/>
        </w:rPr>
      </w:pPr>
      <w:r w:rsidRPr="00E13128">
        <w:rPr>
          <w:rFonts w:cstheme="minorHAnsi"/>
          <w:szCs w:val="24"/>
        </w:rPr>
        <w:t xml:space="preserve">Development and dissemination of </w:t>
      </w:r>
      <w:hyperlink r:id="rId32" w:history="1">
        <w:r w:rsidRPr="00E13128">
          <w:rPr>
            <w:rStyle w:val="Hyperlink"/>
            <w:rFonts w:cstheme="minorHAnsi"/>
            <w:color w:val="auto"/>
            <w:szCs w:val="24"/>
          </w:rPr>
          <w:t>COP guidelines</w:t>
        </w:r>
      </w:hyperlink>
      <w:r w:rsidRPr="00E13128">
        <w:rPr>
          <w:rFonts w:cstheme="minorHAnsi"/>
          <w:szCs w:val="24"/>
        </w:rPr>
        <w:t xml:space="preserve"> through translation, localization, awareness campaigns </w:t>
      </w:r>
    </w:p>
    <w:p w14:paraId="57227CD9" w14:textId="77777777" w:rsidR="00B406B4" w:rsidRPr="00E13128" w:rsidRDefault="009C6393" w:rsidP="00E13128">
      <w:pPr>
        <w:pStyle w:val="ListParagraph"/>
        <w:numPr>
          <w:ilvl w:val="1"/>
          <w:numId w:val="10"/>
        </w:numPr>
        <w:tabs>
          <w:tab w:val="clear" w:pos="1134"/>
          <w:tab w:val="clear" w:pos="1871"/>
          <w:tab w:val="clear" w:pos="2268"/>
          <w:tab w:val="left" w:pos="426"/>
          <w:tab w:val="left" w:pos="1191"/>
          <w:tab w:val="left" w:pos="1588"/>
          <w:tab w:val="left" w:pos="1985"/>
        </w:tabs>
        <w:spacing w:before="60" w:after="60"/>
        <w:ind w:left="714" w:hanging="357"/>
        <w:contextualSpacing w:val="0"/>
        <w:rPr>
          <w:rFonts w:cstheme="minorHAnsi"/>
          <w:szCs w:val="24"/>
        </w:rPr>
      </w:pPr>
      <w:hyperlink r:id="rId33" w:history="1">
        <w:r w:rsidR="00B406B4" w:rsidRPr="00E13128">
          <w:rPr>
            <w:rStyle w:val="Hyperlink"/>
            <w:rFonts w:cstheme="minorHAnsi"/>
            <w:color w:val="auto"/>
            <w:szCs w:val="24"/>
          </w:rPr>
          <w:t>Online trainings</w:t>
        </w:r>
      </w:hyperlink>
      <w:r w:rsidR="00B406B4" w:rsidRPr="00E13128">
        <w:rPr>
          <w:rFonts w:cstheme="minorHAnsi"/>
          <w:szCs w:val="24"/>
        </w:rPr>
        <w:t>: self-paced modules on ITU Academy for parents/guardians, carers, educators, social workers, policymakers</w:t>
      </w:r>
    </w:p>
    <w:p w14:paraId="611C7D8D" w14:textId="77777777" w:rsidR="00B406B4" w:rsidRPr="00E13128" w:rsidRDefault="00B406B4" w:rsidP="00E13128">
      <w:pPr>
        <w:pStyle w:val="ListParagraph"/>
        <w:numPr>
          <w:ilvl w:val="1"/>
          <w:numId w:val="10"/>
        </w:numPr>
        <w:tabs>
          <w:tab w:val="clear" w:pos="1134"/>
          <w:tab w:val="clear" w:pos="1871"/>
          <w:tab w:val="clear" w:pos="2268"/>
          <w:tab w:val="left" w:pos="426"/>
          <w:tab w:val="left" w:pos="1191"/>
          <w:tab w:val="left" w:pos="1588"/>
          <w:tab w:val="left" w:pos="1985"/>
        </w:tabs>
        <w:spacing w:before="60" w:after="60"/>
        <w:ind w:left="714" w:hanging="357"/>
        <w:contextualSpacing w:val="0"/>
        <w:rPr>
          <w:rFonts w:cstheme="minorHAnsi"/>
          <w:szCs w:val="24"/>
        </w:rPr>
      </w:pPr>
      <w:r w:rsidRPr="00E13128">
        <w:rPr>
          <w:rFonts w:cstheme="minorHAnsi"/>
          <w:szCs w:val="24"/>
        </w:rPr>
        <w:t>In person trainings: Development and delivery of Training of Trainers (</w:t>
      </w:r>
      <w:proofErr w:type="spellStart"/>
      <w:r w:rsidRPr="00E13128">
        <w:rPr>
          <w:rFonts w:cstheme="minorHAnsi"/>
          <w:szCs w:val="24"/>
        </w:rPr>
        <w:t>ToTs</w:t>
      </w:r>
      <w:proofErr w:type="spellEnd"/>
      <w:r w:rsidRPr="00E13128">
        <w:rPr>
          <w:rFonts w:cstheme="minorHAnsi"/>
          <w:szCs w:val="24"/>
        </w:rPr>
        <w:t>) for educators, and for children and youth of various age groups in three pilot countries</w:t>
      </w:r>
    </w:p>
    <w:p w14:paraId="1D097992" w14:textId="77777777" w:rsidR="00B406B4" w:rsidRPr="00E13128" w:rsidRDefault="00B406B4" w:rsidP="00E13128">
      <w:pPr>
        <w:pStyle w:val="ListParagraph"/>
        <w:numPr>
          <w:ilvl w:val="0"/>
          <w:numId w:val="10"/>
        </w:numPr>
        <w:tabs>
          <w:tab w:val="clear" w:pos="1134"/>
          <w:tab w:val="clear" w:pos="1871"/>
          <w:tab w:val="clear" w:pos="2268"/>
          <w:tab w:val="left" w:pos="426"/>
          <w:tab w:val="left" w:pos="1191"/>
          <w:tab w:val="left" w:pos="1588"/>
          <w:tab w:val="left" w:pos="1985"/>
        </w:tabs>
        <w:spacing w:before="60" w:after="60"/>
        <w:contextualSpacing w:val="0"/>
        <w:rPr>
          <w:rFonts w:cstheme="minorHAnsi"/>
          <w:szCs w:val="24"/>
        </w:rPr>
      </w:pPr>
      <w:r w:rsidRPr="00E13128">
        <w:rPr>
          <w:rFonts w:cstheme="minorHAnsi"/>
          <w:szCs w:val="24"/>
        </w:rPr>
        <w:t>Policy assistance, including</w:t>
      </w:r>
    </w:p>
    <w:p w14:paraId="0F89865F" w14:textId="77777777" w:rsidR="00B406B4" w:rsidRPr="00E13128" w:rsidRDefault="009C6393" w:rsidP="00E13128">
      <w:pPr>
        <w:pStyle w:val="ListParagraph"/>
        <w:numPr>
          <w:ilvl w:val="1"/>
          <w:numId w:val="10"/>
        </w:numPr>
        <w:tabs>
          <w:tab w:val="clear" w:pos="1134"/>
          <w:tab w:val="clear" w:pos="1871"/>
          <w:tab w:val="clear" w:pos="2268"/>
          <w:tab w:val="left" w:pos="426"/>
          <w:tab w:val="left" w:pos="1191"/>
          <w:tab w:val="left" w:pos="1588"/>
          <w:tab w:val="left" w:pos="1985"/>
        </w:tabs>
        <w:spacing w:before="60" w:after="60"/>
        <w:ind w:left="714" w:hanging="357"/>
        <w:contextualSpacing w:val="0"/>
        <w:rPr>
          <w:rFonts w:cstheme="minorHAnsi"/>
          <w:szCs w:val="24"/>
        </w:rPr>
      </w:pPr>
      <w:hyperlink r:id="rId34" w:history="1">
        <w:r w:rsidR="00B406B4" w:rsidRPr="00E13128">
          <w:rPr>
            <w:rStyle w:val="Hyperlink"/>
            <w:rFonts w:cstheme="minorHAnsi"/>
            <w:color w:val="auto"/>
            <w:szCs w:val="24"/>
          </w:rPr>
          <w:t>Technical assistance</w:t>
        </w:r>
      </w:hyperlink>
      <w:r w:rsidR="00B406B4" w:rsidRPr="00E13128">
        <w:rPr>
          <w:rFonts w:cstheme="minorHAnsi"/>
          <w:szCs w:val="24"/>
        </w:rPr>
        <w:t xml:space="preserve"> to member states for the development and implementation of national COP frameworks and strategy.</w:t>
      </w:r>
    </w:p>
    <w:p w14:paraId="29F4A40F" w14:textId="77777777" w:rsidR="00B406B4" w:rsidRPr="00E13128" w:rsidRDefault="00B406B4" w:rsidP="00E13128">
      <w:pPr>
        <w:pStyle w:val="ListParagraph"/>
        <w:numPr>
          <w:ilvl w:val="0"/>
          <w:numId w:val="10"/>
        </w:numPr>
        <w:tabs>
          <w:tab w:val="clear" w:pos="1134"/>
          <w:tab w:val="clear" w:pos="1871"/>
          <w:tab w:val="clear" w:pos="2268"/>
          <w:tab w:val="left" w:pos="426"/>
          <w:tab w:val="left" w:pos="1191"/>
          <w:tab w:val="left" w:pos="1588"/>
          <w:tab w:val="left" w:pos="1985"/>
        </w:tabs>
        <w:spacing w:before="60" w:after="60"/>
        <w:contextualSpacing w:val="0"/>
        <w:rPr>
          <w:rFonts w:cstheme="minorHAnsi"/>
          <w:szCs w:val="24"/>
        </w:rPr>
      </w:pPr>
      <w:r w:rsidRPr="00E13128">
        <w:rPr>
          <w:rFonts w:cstheme="minorHAnsi"/>
          <w:szCs w:val="24"/>
        </w:rPr>
        <w:t xml:space="preserve">Research: </w:t>
      </w:r>
    </w:p>
    <w:p w14:paraId="29469A1C" w14:textId="77777777" w:rsidR="00B406B4" w:rsidRPr="00E13128" w:rsidRDefault="00B406B4" w:rsidP="00E13128">
      <w:pPr>
        <w:pStyle w:val="ListParagraph"/>
        <w:numPr>
          <w:ilvl w:val="1"/>
          <w:numId w:val="10"/>
        </w:numPr>
        <w:tabs>
          <w:tab w:val="clear" w:pos="1134"/>
          <w:tab w:val="clear" w:pos="1871"/>
          <w:tab w:val="clear" w:pos="2268"/>
          <w:tab w:val="left" w:pos="426"/>
          <w:tab w:val="left" w:pos="1191"/>
          <w:tab w:val="left" w:pos="1588"/>
          <w:tab w:val="left" w:pos="1985"/>
        </w:tabs>
        <w:spacing w:before="60" w:after="60"/>
        <w:ind w:left="714" w:hanging="357"/>
        <w:contextualSpacing w:val="0"/>
        <w:rPr>
          <w:rFonts w:cstheme="minorHAnsi"/>
          <w:szCs w:val="24"/>
        </w:rPr>
      </w:pPr>
      <w:r w:rsidRPr="00E13128">
        <w:rPr>
          <w:rFonts w:cstheme="minorHAnsi"/>
          <w:szCs w:val="24"/>
        </w:rPr>
        <w:t xml:space="preserve">Launch of a new multistakeholder research initiative: </w:t>
      </w:r>
      <w:hyperlink r:id="rId35" w:history="1">
        <w:r w:rsidRPr="00E13128">
          <w:rPr>
            <w:rFonts w:cstheme="minorHAnsi"/>
            <w:szCs w:val="24"/>
          </w:rPr>
          <w:t>Protection through Online Participation (</w:t>
        </w:r>
        <w:proofErr w:type="spellStart"/>
        <w:r w:rsidRPr="00E13128">
          <w:rPr>
            <w:rFonts w:cstheme="minorHAnsi"/>
            <w:szCs w:val="24"/>
          </w:rPr>
          <w:t>PoP</w:t>
        </w:r>
        <w:proofErr w:type="spellEnd"/>
        <w:r w:rsidRPr="00E13128">
          <w:rPr>
            <w:rFonts w:cstheme="minorHAnsi"/>
            <w:szCs w:val="24"/>
          </w:rPr>
          <w:t>) Initiative</w:t>
        </w:r>
      </w:hyperlink>
      <w:r w:rsidRPr="00E13128">
        <w:rPr>
          <w:rFonts w:cstheme="minorHAnsi"/>
          <w:szCs w:val="24"/>
        </w:rPr>
        <w:t>.</w:t>
      </w:r>
    </w:p>
    <w:tbl>
      <w:tblPr>
        <w:tblStyle w:val="TableGrid"/>
        <w:tblW w:w="9776" w:type="dxa"/>
        <w:tblLook w:val="04A0" w:firstRow="1" w:lastRow="0" w:firstColumn="1" w:lastColumn="0" w:noHBand="0" w:noVBand="1"/>
      </w:tblPr>
      <w:tblGrid>
        <w:gridCol w:w="9776"/>
      </w:tblGrid>
      <w:tr w:rsidR="00B406B4" w:rsidRPr="0074089C" w14:paraId="2BAFF679" w14:textId="77777777" w:rsidTr="00E13128">
        <w:tc>
          <w:tcPr>
            <w:tcW w:w="9776" w:type="dxa"/>
          </w:tcPr>
          <w:p w14:paraId="1492E2AA" w14:textId="10DAC68E" w:rsidR="00B406B4" w:rsidRPr="00E13128" w:rsidRDefault="128DBC1A" w:rsidP="00E13128">
            <w:pPr>
              <w:pStyle w:val="Heading3"/>
              <w:keepNext w:val="0"/>
              <w:keepLines w:val="0"/>
              <w:spacing w:before="60" w:after="60"/>
              <w:rPr>
                <w:rFonts w:eastAsiaTheme="minorEastAsia" w:cstheme="minorBidi"/>
                <w:b w:val="0"/>
                <w:sz w:val="22"/>
                <w:szCs w:val="22"/>
                <w:lang w:val="en-US"/>
              </w:rPr>
            </w:pPr>
            <w:r w:rsidRPr="00E13128">
              <w:rPr>
                <w:rFonts w:eastAsiaTheme="minorEastAsia" w:cstheme="minorBidi"/>
                <w:sz w:val="22"/>
                <w:szCs w:val="22"/>
                <w:lang w:val="en-US"/>
              </w:rPr>
              <w:t>Regional Initiatives</w:t>
            </w:r>
          </w:p>
          <w:p w14:paraId="487FE781" w14:textId="6B0A0D90" w:rsidR="00FD0EBA" w:rsidRPr="00E13128" w:rsidRDefault="76E74D27" w:rsidP="00E13128">
            <w:pPr>
              <w:spacing w:before="60" w:after="60"/>
              <w:rPr>
                <w:rFonts w:cstheme="minorBidi"/>
                <w:i/>
                <w:iCs/>
                <w:sz w:val="22"/>
                <w:szCs w:val="22"/>
              </w:rPr>
            </w:pPr>
            <w:r w:rsidRPr="00E13128">
              <w:rPr>
                <w:rFonts w:cstheme="minorBidi"/>
                <w:i/>
                <w:iCs/>
                <w:sz w:val="22"/>
                <w:szCs w:val="22"/>
              </w:rPr>
              <w:t>Americas</w:t>
            </w:r>
            <w:r w:rsidR="00484EDF" w:rsidRPr="00E13128">
              <w:rPr>
                <w:rFonts w:cstheme="minorBidi"/>
                <w:i/>
                <w:iCs/>
                <w:sz w:val="22"/>
                <w:szCs w:val="22"/>
              </w:rPr>
              <w:t xml:space="preserve"> region</w:t>
            </w:r>
          </w:p>
          <w:p w14:paraId="7BBE7AAD" w14:textId="35DDA5CA" w:rsidR="00D211DE" w:rsidRPr="00E13128" w:rsidRDefault="00D211DE" w:rsidP="00E13128">
            <w:pPr>
              <w:pStyle w:val="ListParagraph"/>
              <w:numPr>
                <w:ilvl w:val="0"/>
                <w:numId w:val="50"/>
              </w:numPr>
              <w:spacing w:before="60" w:after="60"/>
              <w:ind w:left="714" w:hanging="357"/>
              <w:contextualSpacing w:val="0"/>
              <w:rPr>
                <w:rFonts w:cstheme="minorBidi"/>
                <w:sz w:val="22"/>
                <w:szCs w:val="22"/>
              </w:rPr>
            </w:pPr>
            <w:r w:rsidRPr="00E13128">
              <w:rPr>
                <w:rFonts w:cstheme="minorBidi"/>
                <w:sz w:val="22"/>
                <w:szCs w:val="22"/>
              </w:rPr>
              <w:t>The 10th Regional Cyberdrill was held in Tegucigalpa</w:t>
            </w:r>
            <w:r w:rsidR="007531EA" w:rsidRPr="00E13128">
              <w:rPr>
                <w:rFonts w:cstheme="minorBidi"/>
                <w:sz w:val="22"/>
                <w:szCs w:val="22"/>
              </w:rPr>
              <w:t xml:space="preserve"> in</w:t>
            </w:r>
            <w:r w:rsidRPr="00E13128">
              <w:rPr>
                <w:rFonts w:cstheme="minorBidi"/>
                <w:sz w:val="22"/>
                <w:szCs w:val="22"/>
              </w:rPr>
              <w:t xml:space="preserve"> November 2022. The Cyberdrill offers a space for analysis and discussion about national needs, actions, and initiatives, plus capacity building through cyber incident simulation labs towards the protection of national critical infrastructures </w:t>
            </w:r>
            <w:r w:rsidR="00E96DBE" w:rsidRPr="00E13128">
              <w:rPr>
                <w:rFonts w:cstheme="minorBidi"/>
                <w:sz w:val="22"/>
                <w:szCs w:val="22"/>
              </w:rPr>
              <w:t>in</w:t>
            </w:r>
            <w:r w:rsidRPr="00E13128">
              <w:rPr>
                <w:rFonts w:cstheme="minorBidi"/>
                <w:sz w:val="22"/>
                <w:szCs w:val="22"/>
              </w:rPr>
              <w:t xml:space="preserve"> the region</w:t>
            </w:r>
            <w:r w:rsidR="00786E92" w:rsidRPr="00E13128">
              <w:rPr>
                <w:rFonts w:cstheme="minorBidi"/>
                <w:sz w:val="22"/>
                <w:szCs w:val="22"/>
              </w:rPr>
              <w:t>.</w:t>
            </w:r>
            <w:r w:rsidRPr="00E13128">
              <w:rPr>
                <w:rFonts w:cstheme="minorBidi"/>
                <w:sz w:val="22"/>
                <w:szCs w:val="22"/>
              </w:rPr>
              <w:t xml:space="preserve"> </w:t>
            </w:r>
          </w:p>
          <w:p w14:paraId="0FA73489" w14:textId="425D8067" w:rsidR="00D211DE" w:rsidRPr="00E13128" w:rsidRDefault="00E96DBE" w:rsidP="00E13128">
            <w:pPr>
              <w:pStyle w:val="ListParagraph"/>
              <w:numPr>
                <w:ilvl w:val="0"/>
                <w:numId w:val="50"/>
              </w:numPr>
              <w:spacing w:before="60" w:after="60"/>
              <w:ind w:left="714" w:hanging="357"/>
              <w:contextualSpacing w:val="0"/>
              <w:rPr>
                <w:rFonts w:cstheme="minorBidi"/>
                <w:sz w:val="22"/>
                <w:szCs w:val="22"/>
              </w:rPr>
            </w:pPr>
            <w:r w:rsidRPr="00E13128">
              <w:rPr>
                <w:rFonts w:cstheme="minorBidi"/>
                <w:sz w:val="22"/>
                <w:szCs w:val="22"/>
              </w:rPr>
              <w:t xml:space="preserve">BDT carried out three capacity building workshops </w:t>
            </w:r>
            <w:r w:rsidR="00523F88" w:rsidRPr="00E13128">
              <w:rPr>
                <w:rFonts w:cstheme="minorBidi"/>
                <w:sz w:val="22"/>
                <w:szCs w:val="22"/>
              </w:rPr>
              <w:t xml:space="preserve">with the participation of the main national cybersecurity stakeholders, as part of the </w:t>
            </w:r>
            <w:r w:rsidR="00D211DE" w:rsidRPr="00E13128">
              <w:rPr>
                <w:rFonts w:cstheme="minorBidi"/>
                <w:sz w:val="22"/>
                <w:szCs w:val="22"/>
              </w:rPr>
              <w:t>CIRT Readiness Assessments for Bermudas and Guyana.</w:t>
            </w:r>
          </w:p>
          <w:p w14:paraId="5D04FA06" w14:textId="1B017A09" w:rsidR="00D211DE" w:rsidRPr="00E13128" w:rsidRDefault="00E051C9" w:rsidP="00E13128">
            <w:pPr>
              <w:pStyle w:val="ListParagraph"/>
              <w:numPr>
                <w:ilvl w:val="0"/>
                <w:numId w:val="50"/>
              </w:numPr>
              <w:spacing w:before="60" w:after="60"/>
              <w:ind w:left="714" w:hanging="357"/>
              <w:contextualSpacing w:val="0"/>
              <w:rPr>
                <w:rFonts w:cstheme="minorBidi"/>
                <w:sz w:val="22"/>
                <w:szCs w:val="22"/>
              </w:rPr>
            </w:pPr>
            <w:r w:rsidRPr="00E13128">
              <w:rPr>
                <w:rFonts w:cstheme="minorBidi"/>
                <w:sz w:val="22"/>
                <w:szCs w:val="22"/>
              </w:rPr>
              <w:t xml:space="preserve">In </w:t>
            </w:r>
            <w:r w:rsidR="00D211DE" w:rsidRPr="00E13128">
              <w:rPr>
                <w:rFonts w:cstheme="minorBidi"/>
                <w:sz w:val="22"/>
                <w:szCs w:val="22"/>
              </w:rPr>
              <w:t>2022, ITU delivered CIRT Readiness Assessment</w:t>
            </w:r>
            <w:r w:rsidRPr="00E13128">
              <w:rPr>
                <w:rFonts w:cstheme="minorBidi"/>
                <w:sz w:val="22"/>
                <w:szCs w:val="22"/>
              </w:rPr>
              <w:t>s</w:t>
            </w:r>
            <w:r w:rsidR="00D211DE" w:rsidRPr="00E13128">
              <w:rPr>
                <w:rFonts w:cstheme="minorBidi"/>
                <w:sz w:val="22"/>
                <w:szCs w:val="22"/>
              </w:rPr>
              <w:t xml:space="preserve"> </w:t>
            </w:r>
            <w:r w:rsidR="00707A46" w:rsidRPr="00E13128">
              <w:rPr>
                <w:rFonts w:cstheme="minorBidi"/>
                <w:sz w:val="22"/>
                <w:szCs w:val="22"/>
              </w:rPr>
              <w:t>and</w:t>
            </w:r>
            <w:r w:rsidR="00D211DE" w:rsidRPr="00E13128">
              <w:rPr>
                <w:rFonts w:cstheme="minorBidi"/>
                <w:sz w:val="22"/>
                <w:szCs w:val="22"/>
              </w:rPr>
              <w:t xml:space="preserve"> capacity building</w:t>
            </w:r>
            <w:r w:rsidR="00707A46" w:rsidRPr="00E13128">
              <w:rPr>
                <w:rFonts w:cstheme="minorBidi"/>
                <w:sz w:val="22"/>
                <w:szCs w:val="22"/>
              </w:rPr>
              <w:t xml:space="preserve"> </w:t>
            </w:r>
            <w:r w:rsidR="003D76FD" w:rsidRPr="00E13128">
              <w:rPr>
                <w:rFonts w:cstheme="minorBidi"/>
                <w:sz w:val="22"/>
                <w:szCs w:val="22"/>
              </w:rPr>
              <w:t>programme</w:t>
            </w:r>
            <w:r w:rsidRPr="00E13128">
              <w:rPr>
                <w:rFonts w:cstheme="minorBidi"/>
                <w:sz w:val="22"/>
                <w:szCs w:val="22"/>
              </w:rPr>
              <w:t xml:space="preserve">s </w:t>
            </w:r>
            <w:r w:rsidR="002728A1" w:rsidRPr="00E13128">
              <w:rPr>
                <w:rFonts w:cstheme="minorBidi"/>
                <w:sz w:val="22"/>
                <w:szCs w:val="22"/>
              </w:rPr>
              <w:t xml:space="preserve">in </w:t>
            </w:r>
            <w:r w:rsidR="00031ADD" w:rsidRPr="00E13128">
              <w:rPr>
                <w:rFonts w:cstheme="minorBidi"/>
                <w:sz w:val="22"/>
                <w:szCs w:val="22"/>
              </w:rPr>
              <w:t>the Bahamas and Bar</w:t>
            </w:r>
            <w:r w:rsidR="00517A82" w:rsidRPr="00E13128">
              <w:rPr>
                <w:rFonts w:cstheme="minorBidi"/>
                <w:sz w:val="22"/>
                <w:szCs w:val="22"/>
              </w:rPr>
              <w:t>b</w:t>
            </w:r>
            <w:r w:rsidR="00031ADD" w:rsidRPr="00E13128">
              <w:rPr>
                <w:rFonts w:cstheme="minorBidi"/>
                <w:sz w:val="22"/>
                <w:szCs w:val="22"/>
              </w:rPr>
              <w:t>ados</w:t>
            </w:r>
            <w:r w:rsidR="00517F7D" w:rsidRPr="00E13128">
              <w:rPr>
                <w:rFonts w:cstheme="minorBidi"/>
                <w:sz w:val="22"/>
                <w:szCs w:val="22"/>
              </w:rPr>
              <w:t xml:space="preserve"> along with additional assistance in enhancing </w:t>
            </w:r>
            <w:r w:rsidR="002B2DC5" w:rsidRPr="00E13128">
              <w:rPr>
                <w:rFonts w:cstheme="minorBidi"/>
                <w:sz w:val="22"/>
                <w:szCs w:val="22"/>
              </w:rPr>
              <w:t xml:space="preserve">national </w:t>
            </w:r>
            <w:r w:rsidR="00CF2CB3" w:rsidRPr="00E13128">
              <w:rPr>
                <w:rFonts w:cstheme="minorBidi"/>
                <w:sz w:val="22"/>
                <w:szCs w:val="22"/>
              </w:rPr>
              <w:t>cybersecurity strategies</w:t>
            </w:r>
            <w:r w:rsidR="005D4D4C" w:rsidRPr="00E13128">
              <w:rPr>
                <w:rFonts w:cstheme="minorBidi"/>
                <w:sz w:val="22"/>
                <w:szCs w:val="22"/>
              </w:rPr>
              <w:t xml:space="preserve">, cybersecurity tools and </w:t>
            </w:r>
            <w:r w:rsidR="00307C5B" w:rsidRPr="00E13128">
              <w:rPr>
                <w:rFonts w:cstheme="minorBidi"/>
                <w:sz w:val="22"/>
                <w:szCs w:val="22"/>
              </w:rPr>
              <w:t>national CIRT capacities</w:t>
            </w:r>
            <w:r w:rsidR="00D211DE" w:rsidRPr="00E13128">
              <w:rPr>
                <w:rFonts w:cstheme="minorBidi"/>
                <w:sz w:val="22"/>
                <w:szCs w:val="22"/>
              </w:rPr>
              <w:t>.</w:t>
            </w:r>
          </w:p>
          <w:p w14:paraId="7C1B5533" w14:textId="3E0F6711" w:rsidR="00397F25" w:rsidRPr="00E13128" w:rsidRDefault="00D211DE" w:rsidP="00E13128">
            <w:pPr>
              <w:pStyle w:val="ListParagraph"/>
              <w:numPr>
                <w:ilvl w:val="0"/>
                <w:numId w:val="50"/>
              </w:numPr>
              <w:spacing w:before="60" w:after="60"/>
              <w:ind w:left="714" w:hanging="357"/>
              <w:contextualSpacing w:val="0"/>
              <w:rPr>
                <w:rFonts w:cstheme="minorBidi"/>
                <w:sz w:val="22"/>
                <w:szCs w:val="22"/>
              </w:rPr>
            </w:pPr>
            <w:r w:rsidRPr="00E13128">
              <w:rPr>
                <w:rFonts w:cstheme="minorBidi"/>
                <w:sz w:val="22"/>
                <w:szCs w:val="22"/>
              </w:rPr>
              <w:t xml:space="preserve">Policy Analysis on Child Online Protection for America Region 2022: In 2022 was developed </w:t>
            </w:r>
            <w:r w:rsidR="00A00D7E" w:rsidRPr="00E13128">
              <w:rPr>
                <w:rFonts w:cstheme="minorBidi"/>
                <w:sz w:val="22"/>
                <w:szCs w:val="22"/>
              </w:rPr>
              <w:t>A</w:t>
            </w:r>
            <w:r w:rsidRPr="00E13128">
              <w:rPr>
                <w:rFonts w:cstheme="minorBidi"/>
                <w:sz w:val="22"/>
                <w:szCs w:val="22"/>
              </w:rPr>
              <w:t xml:space="preserve"> study </w:t>
            </w:r>
            <w:r w:rsidR="009C4CDF" w:rsidRPr="00E13128">
              <w:rPr>
                <w:rFonts w:cstheme="minorBidi"/>
                <w:sz w:val="22"/>
                <w:szCs w:val="22"/>
              </w:rPr>
              <w:t>of d</w:t>
            </w:r>
            <w:r w:rsidRPr="00E13128">
              <w:rPr>
                <w:rFonts w:cstheme="minorBidi"/>
                <w:sz w:val="22"/>
                <w:szCs w:val="22"/>
              </w:rPr>
              <w:t xml:space="preserve">igital </w:t>
            </w:r>
            <w:r w:rsidR="009C4CDF" w:rsidRPr="00E13128">
              <w:rPr>
                <w:rFonts w:cstheme="minorBidi"/>
                <w:sz w:val="22"/>
                <w:szCs w:val="22"/>
              </w:rPr>
              <w:t>p</w:t>
            </w:r>
            <w:r w:rsidRPr="00E13128">
              <w:rPr>
                <w:rFonts w:cstheme="minorBidi"/>
                <w:sz w:val="22"/>
                <w:szCs w:val="22"/>
              </w:rPr>
              <w:t xml:space="preserve">olicies on </w:t>
            </w:r>
            <w:r w:rsidR="009C4CDF" w:rsidRPr="00E13128">
              <w:rPr>
                <w:rFonts w:cstheme="minorBidi"/>
                <w:sz w:val="22"/>
                <w:szCs w:val="22"/>
              </w:rPr>
              <w:t>c</w:t>
            </w:r>
            <w:r w:rsidRPr="00E13128">
              <w:rPr>
                <w:rFonts w:cstheme="minorBidi"/>
                <w:sz w:val="22"/>
                <w:szCs w:val="22"/>
              </w:rPr>
              <w:t xml:space="preserve">hild </w:t>
            </w:r>
            <w:r w:rsidR="009C4CDF" w:rsidRPr="00E13128">
              <w:rPr>
                <w:rFonts w:cstheme="minorBidi"/>
                <w:sz w:val="22"/>
                <w:szCs w:val="22"/>
              </w:rPr>
              <w:t>o</w:t>
            </w:r>
            <w:r w:rsidRPr="00E13128">
              <w:rPr>
                <w:rFonts w:cstheme="minorBidi"/>
                <w:sz w:val="22"/>
                <w:szCs w:val="22"/>
              </w:rPr>
              <w:t xml:space="preserve">nline </w:t>
            </w:r>
            <w:r w:rsidR="009C4CDF" w:rsidRPr="00E13128">
              <w:rPr>
                <w:rFonts w:cstheme="minorBidi"/>
                <w:sz w:val="22"/>
                <w:szCs w:val="22"/>
              </w:rPr>
              <w:t>p</w:t>
            </w:r>
            <w:r w:rsidRPr="00E13128">
              <w:rPr>
                <w:rFonts w:cstheme="minorBidi"/>
                <w:sz w:val="22"/>
                <w:szCs w:val="22"/>
              </w:rPr>
              <w:t xml:space="preserve">rotection </w:t>
            </w:r>
            <w:r w:rsidR="009C4CDF" w:rsidRPr="00E13128">
              <w:rPr>
                <w:rFonts w:cstheme="minorBidi"/>
                <w:sz w:val="22"/>
                <w:szCs w:val="22"/>
              </w:rPr>
              <w:t xml:space="preserve">was carried out at the regional level, </w:t>
            </w:r>
            <w:r w:rsidR="00CA2A45" w:rsidRPr="00E13128">
              <w:rPr>
                <w:rFonts w:cstheme="minorBidi"/>
                <w:sz w:val="22"/>
                <w:szCs w:val="22"/>
              </w:rPr>
              <w:t xml:space="preserve">with the participation </w:t>
            </w:r>
            <w:r w:rsidRPr="00E13128">
              <w:rPr>
                <w:rFonts w:cstheme="minorBidi"/>
                <w:sz w:val="22"/>
                <w:szCs w:val="22"/>
              </w:rPr>
              <w:t>of Argentina, Bolivia, Guatemala, Honduras, Panamá, Dominican Republic, and Uruguay.</w:t>
            </w:r>
          </w:p>
          <w:p w14:paraId="5B9E3A23" w14:textId="50F4E79C" w:rsidR="00B406B4" w:rsidRPr="00E13128" w:rsidRDefault="00455643" w:rsidP="009C6393">
            <w:pPr>
              <w:keepNext/>
              <w:spacing w:before="60" w:after="60"/>
              <w:rPr>
                <w:rFonts w:cstheme="minorHAnsi"/>
                <w:i/>
                <w:iCs/>
                <w:sz w:val="22"/>
                <w:szCs w:val="22"/>
              </w:rPr>
            </w:pPr>
            <w:r w:rsidRPr="00E13128">
              <w:rPr>
                <w:rFonts w:cstheme="minorHAnsi"/>
                <w:i/>
                <w:iCs/>
                <w:sz w:val="22"/>
                <w:szCs w:val="22"/>
              </w:rPr>
              <w:lastRenderedPageBreak/>
              <w:t>Ar</w:t>
            </w:r>
            <w:r w:rsidR="00B406B4" w:rsidRPr="00E13128">
              <w:rPr>
                <w:rFonts w:cstheme="minorHAnsi"/>
                <w:i/>
                <w:iCs/>
                <w:sz w:val="22"/>
                <w:szCs w:val="22"/>
              </w:rPr>
              <w:t>ab States region</w:t>
            </w:r>
          </w:p>
          <w:p w14:paraId="2715D277" w14:textId="77777777" w:rsidR="00B406B4" w:rsidRPr="00E13128" w:rsidRDefault="00B406B4" w:rsidP="00E13128">
            <w:pPr>
              <w:pStyle w:val="ListParagraph"/>
              <w:numPr>
                <w:ilvl w:val="0"/>
                <w:numId w:val="17"/>
              </w:numPr>
              <w:tabs>
                <w:tab w:val="clear" w:pos="1134"/>
                <w:tab w:val="clear" w:pos="1871"/>
                <w:tab w:val="clear" w:pos="2268"/>
              </w:tabs>
              <w:spacing w:before="60" w:after="60"/>
              <w:ind w:left="714" w:hanging="357"/>
              <w:contextualSpacing w:val="0"/>
              <w:rPr>
                <w:rFonts w:cstheme="minorHAnsi"/>
                <w:sz w:val="22"/>
                <w:szCs w:val="22"/>
              </w:rPr>
            </w:pPr>
            <w:r w:rsidRPr="00E13128">
              <w:rPr>
                <w:rFonts w:cstheme="minorHAnsi"/>
                <w:sz w:val="22"/>
                <w:szCs w:val="22"/>
              </w:rPr>
              <w:t xml:space="preserve">ITU supported the implementation of the 10th Regional </w:t>
            </w:r>
            <w:proofErr w:type="spellStart"/>
            <w:r w:rsidRPr="00E13128">
              <w:rPr>
                <w:rFonts w:cstheme="minorHAnsi"/>
                <w:sz w:val="22"/>
                <w:szCs w:val="22"/>
              </w:rPr>
              <w:t>CyberDrill</w:t>
            </w:r>
            <w:proofErr w:type="spellEnd"/>
            <w:r w:rsidRPr="00E13128">
              <w:rPr>
                <w:rFonts w:cstheme="minorHAnsi"/>
                <w:sz w:val="22"/>
                <w:szCs w:val="22"/>
              </w:rPr>
              <w:t xml:space="preserve"> Week in Oman and held other cybersecurity-related activities in collaboration with ITU partner in Oman, the Arab Regional Cybersecurity Centre (ARCC). </w:t>
            </w:r>
          </w:p>
          <w:p w14:paraId="0B37ECEF" w14:textId="77777777" w:rsidR="00B406B4" w:rsidRPr="00E13128" w:rsidRDefault="00B406B4" w:rsidP="00E13128">
            <w:pPr>
              <w:pStyle w:val="ListParagraph"/>
              <w:numPr>
                <w:ilvl w:val="0"/>
                <w:numId w:val="17"/>
              </w:numPr>
              <w:tabs>
                <w:tab w:val="clear" w:pos="1134"/>
                <w:tab w:val="clear" w:pos="1871"/>
                <w:tab w:val="clear" w:pos="2268"/>
              </w:tabs>
              <w:spacing w:before="60" w:after="60"/>
              <w:ind w:left="714" w:hanging="357"/>
              <w:contextualSpacing w:val="0"/>
              <w:rPr>
                <w:rFonts w:cstheme="minorHAnsi"/>
                <w:sz w:val="22"/>
                <w:szCs w:val="22"/>
              </w:rPr>
            </w:pPr>
            <w:r w:rsidRPr="00E13128">
              <w:rPr>
                <w:rFonts w:cstheme="minorHAnsi"/>
                <w:sz w:val="22"/>
                <w:szCs w:val="22"/>
              </w:rPr>
              <w:t xml:space="preserve">Individual capacity programs were also provided for Mauritania's Cyber Team as well as Somalia's Spectrum Planning Training. </w:t>
            </w:r>
          </w:p>
          <w:p w14:paraId="7B894E29" w14:textId="77777777" w:rsidR="00B406B4" w:rsidRPr="00E13128" w:rsidRDefault="00B406B4" w:rsidP="00E13128">
            <w:pPr>
              <w:pStyle w:val="ListParagraph"/>
              <w:numPr>
                <w:ilvl w:val="0"/>
                <w:numId w:val="17"/>
              </w:numPr>
              <w:tabs>
                <w:tab w:val="clear" w:pos="1134"/>
                <w:tab w:val="clear" w:pos="1871"/>
                <w:tab w:val="clear" w:pos="2268"/>
              </w:tabs>
              <w:spacing w:before="60" w:after="60"/>
              <w:ind w:left="714" w:hanging="357"/>
              <w:contextualSpacing w:val="0"/>
              <w:rPr>
                <w:rFonts w:cstheme="minorHAnsi"/>
                <w:sz w:val="22"/>
                <w:szCs w:val="22"/>
              </w:rPr>
            </w:pPr>
            <w:r w:rsidRPr="00E13128">
              <w:rPr>
                <w:rFonts w:cstheme="minorHAnsi"/>
                <w:sz w:val="22"/>
                <w:szCs w:val="22"/>
              </w:rPr>
              <w:t xml:space="preserve">The Regional Office held discussions with several countries in the Arab region about the implementation of national strategy frameworks for child online safety and formalized a framework to implement COP guidelines in Morocco. </w:t>
            </w:r>
          </w:p>
          <w:p w14:paraId="5D8863B8" w14:textId="77777777" w:rsidR="00B406B4" w:rsidRPr="00E13128" w:rsidRDefault="00B406B4" w:rsidP="00E13128">
            <w:pPr>
              <w:pStyle w:val="ListParagraph"/>
              <w:numPr>
                <w:ilvl w:val="0"/>
                <w:numId w:val="17"/>
              </w:numPr>
              <w:tabs>
                <w:tab w:val="clear" w:pos="1134"/>
                <w:tab w:val="clear" w:pos="1871"/>
                <w:tab w:val="clear" w:pos="2268"/>
              </w:tabs>
              <w:spacing w:before="60" w:after="60"/>
              <w:ind w:left="714" w:hanging="357"/>
              <w:contextualSpacing w:val="0"/>
              <w:rPr>
                <w:rFonts w:cstheme="minorHAnsi"/>
                <w:sz w:val="22"/>
                <w:szCs w:val="22"/>
              </w:rPr>
            </w:pPr>
            <w:r w:rsidRPr="00E13128">
              <w:rPr>
                <w:rFonts w:cstheme="minorHAnsi"/>
                <w:sz w:val="22"/>
                <w:szCs w:val="22"/>
              </w:rPr>
              <w:t>ITU had multiple interactions with the National Cybersecurity Authority (NCA) of Saudi Arabia, who provides funding for the Global Child Online Protection (COP) project, to further explore opportunities for expanding our collaboration on this important initiative.</w:t>
            </w:r>
          </w:p>
          <w:p w14:paraId="77B77A7C" w14:textId="77777777" w:rsidR="00B406B4" w:rsidRPr="00E13128" w:rsidRDefault="00B406B4" w:rsidP="00E13128">
            <w:pPr>
              <w:tabs>
                <w:tab w:val="left" w:pos="1134"/>
                <w:tab w:val="left" w:pos="1871"/>
                <w:tab w:val="left" w:pos="2268"/>
              </w:tabs>
              <w:spacing w:before="60" w:after="60"/>
              <w:rPr>
                <w:rFonts w:cstheme="minorHAnsi"/>
                <w:i/>
                <w:iCs/>
                <w:sz w:val="22"/>
                <w:szCs w:val="22"/>
              </w:rPr>
            </w:pPr>
            <w:r w:rsidRPr="00E13128">
              <w:rPr>
                <w:rFonts w:cstheme="minorHAnsi"/>
                <w:i/>
                <w:iCs/>
                <w:sz w:val="22"/>
                <w:szCs w:val="22"/>
              </w:rPr>
              <w:t>Asia-Pacific region</w:t>
            </w:r>
          </w:p>
          <w:p w14:paraId="1D2DB243" w14:textId="1D03746D" w:rsidR="00B406B4" w:rsidRPr="00E13128" w:rsidRDefault="00B406B4" w:rsidP="00E13128">
            <w:pPr>
              <w:pStyle w:val="ListParagraph"/>
              <w:numPr>
                <w:ilvl w:val="0"/>
                <w:numId w:val="6"/>
              </w:numPr>
              <w:spacing w:before="60" w:after="60"/>
              <w:ind w:left="714" w:hanging="357"/>
              <w:contextualSpacing w:val="0"/>
              <w:rPr>
                <w:rFonts w:cstheme="minorHAnsi"/>
                <w:sz w:val="22"/>
                <w:szCs w:val="22"/>
              </w:rPr>
            </w:pPr>
            <w:r w:rsidRPr="00E13128">
              <w:rPr>
                <w:rFonts w:cstheme="minorHAnsi"/>
                <w:sz w:val="22"/>
                <w:szCs w:val="22"/>
              </w:rPr>
              <w:t>During 2022 and with the financial support of the Department of Infrastructure, Transport, Regional Development, Communications and the Arts of Australia (DITRDC), ITU implemented an umbrella project ‘Implementing Asia-Pacific Regional Initiatives 2020-21’. It allowed engaging in technical assistance and capacity development support, including:</w:t>
            </w:r>
          </w:p>
          <w:p w14:paraId="7D1C7393" w14:textId="027C2B26" w:rsidR="00B406B4" w:rsidRPr="00E13128" w:rsidRDefault="00B406B4" w:rsidP="00E13128">
            <w:pPr>
              <w:pStyle w:val="ListParagraph"/>
              <w:numPr>
                <w:ilvl w:val="0"/>
                <w:numId w:val="58"/>
              </w:numPr>
              <w:spacing w:before="60" w:after="60"/>
              <w:contextualSpacing w:val="0"/>
              <w:rPr>
                <w:rFonts w:cstheme="minorHAnsi"/>
                <w:sz w:val="22"/>
                <w:szCs w:val="22"/>
              </w:rPr>
            </w:pPr>
            <w:r w:rsidRPr="00E13128">
              <w:rPr>
                <w:rFonts w:cstheme="minorHAnsi"/>
                <w:sz w:val="22"/>
                <w:szCs w:val="22"/>
              </w:rPr>
              <w:t>the development of a national CIRT assessment for Mongolia</w:t>
            </w:r>
          </w:p>
          <w:p w14:paraId="478ADA4B" w14:textId="62233742" w:rsidR="00B406B4" w:rsidRPr="00E13128" w:rsidRDefault="00B406B4" w:rsidP="00E13128">
            <w:pPr>
              <w:pStyle w:val="ListParagraph"/>
              <w:numPr>
                <w:ilvl w:val="0"/>
                <w:numId w:val="58"/>
              </w:numPr>
              <w:spacing w:before="60" w:after="60"/>
              <w:contextualSpacing w:val="0"/>
              <w:rPr>
                <w:rFonts w:cstheme="minorHAnsi"/>
                <w:sz w:val="22"/>
                <w:szCs w:val="22"/>
              </w:rPr>
            </w:pPr>
            <w:r w:rsidRPr="00E13128">
              <w:rPr>
                <w:rFonts w:cstheme="minorHAnsi"/>
                <w:sz w:val="22"/>
                <w:szCs w:val="22"/>
              </w:rPr>
              <w:t>the development of a national CIRT assessment for Kiribati (to be completed in 2023) and a related capacity building event</w:t>
            </w:r>
          </w:p>
          <w:p w14:paraId="34E54DE2" w14:textId="69C66FB3" w:rsidR="00B406B4" w:rsidRPr="00E13128" w:rsidRDefault="00B406B4" w:rsidP="00E13128">
            <w:pPr>
              <w:pStyle w:val="ListParagraph"/>
              <w:numPr>
                <w:ilvl w:val="0"/>
                <w:numId w:val="58"/>
              </w:numPr>
              <w:spacing w:before="60" w:after="60"/>
              <w:contextualSpacing w:val="0"/>
              <w:rPr>
                <w:rFonts w:cstheme="minorHAnsi"/>
                <w:sz w:val="22"/>
                <w:szCs w:val="22"/>
              </w:rPr>
            </w:pPr>
            <w:r w:rsidRPr="00E13128">
              <w:rPr>
                <w:rFonts w:cstheme="minorHAnsi"/>
                <w:sz w:val="22"/>
                <w:szCs w:val="22"/>
              </w:rPr>
              <w:t>the delivery of a policy paper on the current state of cybersecurity in the Maldives</w:t>
            </w:r>
          </w:p>
          <w:p w14:paraId="5BE99A63" w14:textId="3A80B214" w:rsidR="00B406B4" w:rsidRPr="00E13128" w:rsidRDefault="00B406B4" w:rsidP="00E13128">
            <w:pPr>
              <w:pStyle w:val="ListParagraph"/>
              <w:numPr>
                <w:ilvl w:val="0"/>
                <w:numId w:val="58"/>
              </w:numPr>
              <w:spacing w:before="60" w:after="60"/>
              <w:contextualSpacing w:val="0"/>
              <w:rPr>
                <w:rFonts w:cstheme="minorHAnsi"/>
                <w:sz w:val="22"/>
                <w:szCs w:val="22"/>
              </w:rPr>
            </w:pPr>
            <w:r w:rsidRPr="00E13128">
              <w:rPr>
                <w:rFonts w:cstheme="minorHAnsi"/>
                <w:sz w:val="22"/>
                <w:szCs w:val="22"/>
              </w:rPr>
              <w:t xml:space="preserve">virtual </w:t>
            </w:r>
            <w:proofErr w:type="spellStart"/>
            <w:r w:rsidRPr="00E13128">
              <w:rPr>
                <w:rFonts w:cstheme="minorHAnsi"/>
                <w:sz w:val="22"/>
                <w:szCs w:val="22"/>
              </w:rPr>
              <w:t>cyberdrills</w:t>
            </w:r>
            <w:proofErr w:type="spellEnd"/>
            <w:r w:rsidRPr="00E13128">
              <w:rPr>
                <w:rFonts w:cstheme="minorHAnsi"/>
                <w:sz w:val="22"/>
                <w:szCs w:val="22"/>
              </w:rPr>
              <w:t xml:space="preserve"> in Bhutan, Pakistan and ASEAN countries</w:t>
            </w:r>
          </w:p>
          <w:p w14:paraId="2BD4A627" w14:textId="0A5BF609" w:rsidR="00B406B4" w:rsidRPr="00E13128" w:rsidRDefault="00B406B4" w:rsidP="00E13128">
            <w:pPr>
              <w:pStyle w:val="ListParagraph"/>
              <w:numPr>
                <w:ilvl w:val="0"/>
                <w:numId w:val="58"/>
              </w:numPr>
              <w:spacing w:before="60" w:after="60"/>
              <w:contextualSpacing w:val="0"/>
              <w:rPr>
                <w:rFonts w:cstheme="minorHAnsi"/>
                <w:sz w:val="22"/>
                <w:szCs w:val="22"/>
              </w:rPr>
            </w:pPr>
            <w:r w:rsidRPr="00E13128">
              <w:rPr>
                <w:rFonts w:cstheme="minorHAnsi"/>
                <w:sz w:val="22"/>
                <w:szCs w:val="22"/>
              </w:rPr>
              <w:t>the creation of draft training materials on cyber-safety for piloting at the community level, as part of the outreach of Smart Villages and Smart Islands initiatives.</w:t>
            </w:r>
          </w:p>
          <w:p w14:paraId="17F6E602" w14:textId="4FAACCED" w:rsidR="00B406B4" w:rsidRPr="00E13128" w:rsidRDefault="00B406B4" w:rsidP="00E13128">
            <w:pPr>
              <w:pStyle w:val="ListParagraph"/>
              <w:numPr>
                <w:ilvl w:val="0"/>
                <w:numId w:val="6"/>
              </w:numPr>
              <w:tabs>
                <w:tab w:val="clear" w:pos="1134"/>
                <w:tab w:val="clear" w:pos="1871"/>
                <w:tab w:val="clear" w:pos="2268"/>
              </w:tabs>
              <w:spacing w:before="60" w:after="60"/>
              <w:ind w:left="714" w:hanging="357"/>
              <w:contextualSpacing w:val="0"/>
              <w:rPr>
                <w:rFonts w:cstheme="minorHAnsi"/>
                <w:sz w:val="22"/>
                <w:szCs w:val="22"/>
              </w:rPr>
            </w:pPr>
            <w:r w:rsidRPr="00E13128">
              <w:rPr>
                <w:rFonts w:cstheme="minorHAnsi"/>
                <w:sz w:val="22"/>
                <w:szCs w:val="22"/>
              </w:rPr>
              <w:t xml:space="preserve">EQUALS Her Digital Skills was organized a series of events in the Philippines and Australia on the topics of mobile apps development, online safety for girls and cybersecurity with the participation of over 100 young women from Australia, </w:t>
            </w:r>
            <w:r w:rsidR="00DD09D3" w:rsidRPr="00E13128">
              <w:rPr>
                <w:rFonts w:cstheme="minorHAnsi"/>
                <w:sz w:val="22"/>
                <w:szCs w:val="22"/>
              </w:rPr>
              <w:t xml:space="preserve">Fiji, </w:t>
            </w:r>
            <w:r w:rsidRPr="00E13128">
              <w:rPr>
                <w:rFonts w:cstheme="minorHAnsi"/>
                <w:sz w:val="22"/>
                <w:szCs w:val="22"/>
              </w:rPr>
              <w:t>Samoa, Philippines</w:t>
            </w:r>
            <w:r w:rsidR="00DD09D3" w:rsidRPr="00E13128">
              <w:rPr>
                <w:rFonts w:cstheme="minorHAnsi"/>
                <w:sz w:val="22"/>
                <w:szCs w:val="22"/>
              </w:rPr>
              <w:t xml:space="preserve"> and</w:t>
            </w:r>
            <w:r w:rsidRPr="00E13128">
              <w:rPr>
                <w:rFonts w:cstheme="minorHAnsi"/>
                <w:sz w:val="22"/>
                <w:szCs w:val="22"/>
              </w:rPr>
              <w:t xml:space="preserve"> Vanuatu. </w:t>
            </w:r>
          </w:p>
          <w:p w14:paraId="75E2AB46" w14:textId="66A5178A" w:rsidR="00B406B4" w:rsidRPr="00E13128" w:rsidRDefault="00B406B4" w:rsidP="00E13128">
            <w:pPr>
              <w:numPr>
                <w:ilvl w:val="0"/>
                <w:numId w:val="6"/>
              </w:numPr>
              <w:tabs>
                <w:tab w:val="clear" w:pos="794"/>
                <w:tab w:val="clear" w:pos="1191"/>
                <w:tab w:val="clear" w:pos="1588"/>
                <w:tab w:val="clear" w:pos="1985"/>
              </w:tabs>
              <w:spacing w:before="60" w:after="60"/>
              <w:ind w:left="714" w:hanging="357"/>
              <w:rPr>
                <w:rFonts w:cstheme="minorHAnsi"/>
                <w:sz w:val="22"/>
                <w:szCs w:val="22"/>
              </w:rPr>
            </w:pPr>
            <w:r w:rsidRPr="00E13128">
              <w:rPr>
                <w:rFonts w:cstheme="minorHAnsi"/>
                <w:sz w:val="22"/>
                <w:szCs w:val="22"/>
              </w:rPr>
              <w:t>In Bangladesh, Cambodia, Indonesia, Pakistan and Timor-Leste, the ITU Regional Office organized a series of events to raise awareness around the topic of Online Safety for girls’ and promoted the ITU Child Online Protection Guidelines. Over 1600 girls and young women took part in the events, which also engaged country administrations</w:t>
            </w:r>
            <w:r w:rsidR="00DD09D3" w:rsidRPr="00E13128">
              <w:rPr>
                <w:rFonts w:cstheme="minorHAnsi"/>
                <w:sz w:val="22"/>
                <w:szCs w:val="22"/>
              </w:rPr>
              <w:t xml:space="preserve"> and</w:t>
            </w:r>
            <w:r w:rsidRPr="00E13128">
              <w:rPr>
                <w:rFonts w:cstheme="minorHAnsi"/>
                <w:sz w:val="22"/>
                <w:szCs w:val="22"/>
              </w:rPr>
              <w:t xml:space="preserve"> UN agencies.</w:t>
            </w:r>
          </w:p>
          <w:p w14:paraId="13D18063" w14:textId="51783CDC" w:rsidR="00B406B4" w:rsidRPr="00E13128" w:rsidRDefault="00B406B4" w:rsidP="00E13128">
            <w:pPr>
              <w:pStyle w:val="ListParagraph"/>
              <w:numPr>
                <w:ilvl w:val="0"/>
                <w:numId w:val="6"/>
              </w:numPr>
              <w:spacing w:before="60" w:after="60"/>
              <w:ind w:left="714" w:hanging="357"/>
              <w:contextualSpacing w:val="0"/>
              <w:rPr>
                <w:rFonts w:cstheme="minorHAnsi"/>
                <w:sz w:val="22"/>
                <w:szCs w:val="22"/>
              </w:rPr>
            </w:pPr>
            <w:r w:rsidRPr="00E13128">
              <w:rPr>
                <w:rFonts w:cstheme="minorHAnsi"/>
                <w:sz w:val="22"/>
                <w:szCs w:val="22"/>
              </w:rPr>
              <w:t xml:space="preserve">ITU signed a joint declaration with the USAID RDMA to promote gender equity and inclusion in cybersecurity in the region. As part of this collaboration, </w:t>
            </w:r>
            <w:r w:rsidR="0067697F" w:rsidRPr="00E13128">
              <w:rPr>
                <w:rFonts w:cstheme="minorHAnsi"/>
                <w:sz w:val="22"/>
                <w:szCs w:val="22"/>
              </w:rPr>
              <w:t>t</w:t>
            </w:r>
            <w:r w:rsidRPr="00E13128">
              <w:rPr>
                <w:rFonts w:cstheme="minorHAnsi"/>
                <w:sz w:val="22"/>
                <w:szCs w:val="22"/>
              </w:rPr>
              <w:t>he Developing Cybersecurity Reporting Expertise for Female Journalists in Asia and the Pacific Programme</w:t>
            </w:r>
            <w:r w:rsidR="0067697F" w:rsidRPr="00E13128">
              <w:rPr>
                <w:rFonts w:cstheme="minorHAnsi"/>
                <w:sz w:val="22"/>
                <w:szCs w:val="22"/>
              </w:rPr>
              <w:t xml:space="preserve"> </w:t>
            </w:r>
            <w:r w:rsidR="00D35552" w:rsidRPr="00E13128">
              <w:rPr>
                <w:rFonts w:cstheme="minorHAnsi"/>
                <w:sz w:val="22"/>
                <w:szCs w:val="22"/>
              </w:rPr>
              <w:t>sought</w:t>
            </w:r>
            <w:r w:rsidRPr="00E13128">
              <w:rPr>
                <w:rFonts w:cstheme="minorHAnsi"/>
                <w:sz w:val="22"/>
                <w:szCs w:val="22"/>
              </w:rPr>
              <w:t xml:space="preserve"> to create a pool of dedicated female cybersecurity reporters to ensure strong coverage of cyber incidents in the Asia-Pacific developing countries while seeking to close the gender gap among both cybersecurity and media professionals. In 2022, a regional webinar was held on this subject, followed by sending six female journalists (hailing from Mongolia, Indonesia, Cambodia, and Thailand) to attend WTDC and provide reporting in both English and local languages.</w:t>
            </w:r>
          </w:p>
          <w:p w14:paraId="6737156D" w14:textId="1A11B24D" w:rsidR="00B406B4" w:rsidRPr="00E13128" w:rsidRDefault="00B406B4" w:rsidP="00E13128">
            <w:pPr>
              <w:pStyle w:val="ListParagraph"/>
              <w:numPr>
                <w:ilvl w:val="0"/>
                <w:numId w:val="6"/>
              </w:numPr>
              <w:spacing w:before="60" w:after="60"/>
              <w:ind w:left="714" w:hanging="357"/>
              <w:contextualSpacing w:val="0"/>
              <w:rPr>
                <w:rFonts w:cstheme="minorHAnsi"/>
                <w:sz w:val="22"/>
                <w:szCs w:val="22"/>
              </w:rPr>
            </w:pPr>
            <w:r w:rsidRPr="00E13128">
              <w:rPr>
                <w:rFonts w:cstheme="minorHAnsi"/>
                <w:sz w:val="22"/>
                <w:szCs w:val="22"/>
                <w:shd w:val="clear" w:color="auto" w:fill="E6E6E6"/>
              </w:rPr>
              <w:t>I</w:t>
            </w:r>
            <w:r w:rsidRPr="00E13128">
              <w:rPr>
                <w:rFonts w:cstheme="minorHAnsi"/>
                <w:sz w:val="22"/>
                <w:szCs w:val="22"/>
              </w:rPr>
              <w:t>TU also engaged with member states in the region to facilitate the implementation of the global Cyber4Good project, which also supports the supports the Partner2Connect (P2C) Digital Coalition initiative. ITU provided an overview of the ITU-D Sector members supporting the project and facilitated the engagement with member states on how to utilize Cyber4Good services.</w:t>
            </w:r>
          </w:p>
          <w:p w14:paraId="2E54921B" w14:textId="77777777" w:rsidR="00B406B4" w:rsidRPr="00E13128" w:rsidRDefault="00B406B4" w:rsidP="00E13128">
            <w:pPr>
              <w:spacing w:before="60" w:after="60"/>
              <w:rPr>
                <w:rFonts w:cstheme="minorHAnsi"/>
                <w:i/>
                <w:iCs/>
                <w:sz w:val="22"/>
                <w:szCs w:val="22"/>
              </w:rPr>
            </w:pPr>
            <w:r w:rsidRPr="00E13128">
              <w:rPr>
                <w:rFonts w:cstheme="minorHAnsi"/>
                <w:i/>
                <w:iCs/>
                <w:sz w:val="22"/>
                <w:szCs w:val="22"/>
              </w:rPr>
              <w:t>CIS region</w:t>
            </w:r>
          </w:p>
          <w:p w14:paraId="2C3615FE" w14:textId="77777777" w:rsidR="00B406B4" w:rsidRPr="00E13128" w:rsidRDefault="00B406B4" w:rsidP="00E13128">
            <w:pPr>
              <w:pStyle w:val="ListParagraph"/>
              <w:numPr>
                <w:ilvl w:val="0"/>
                <w:numId w:val="6"/>
              </w:numPr>
              <w:spacing w:before="60" w:after="60"/>
              <w:ind w:left="714" w:hanging="357"/>
              <w:contextualSpacing w:val="0"/>
              <w:rPr>
                <w:rFonts w:cstheme="minorHAnsi"/>
                <w:sz w:val="22"/>
                <w:szCs w:val="22"/>
              </w:rPr>
            </w:pPr>
            <w:r w:rsidRPr="00E13128">
              <w:rPr>
                <w:rFonts w:cstheme="minorHAnsi"/>
                <w:sz w:val="22"/>
                <w:szCs w:val="22"/>
              </w:rPr>
              <w:t>In 2022 the CIRT readiness assessment for Belarus was completed and has undergone a technical review by national experts with the support of ITU.</w:t>
            </w:r>
          </w:p>
          <w:p w14:paraId="31F67FB9" w14:textId="77777777" w:rsidR="00B406B4" w:rsidRPr="00E13128" w:rsidRDefault="00B406B4" w:rsidP="00E13128">
            <w:pPr>
              <w:pStyle w:val="ListParagraph"/>
              <w:numPr>
                <w:ilvl w:val="0"/>
                <w:numId w:val="6"/>
              </w:numPr>
              <w:spacing w:before="60" w:after="60"/>
              <w:ind w:left="714" w:hanging="357"/>
              <w:contextualSpacing w:val="0"/>
              <w:rPr>
                <w:rFonts w:cstheme="minorHAnsi"/>
                <w:sz w:val="22"/>
                <w:szCs w:val="22"/>
              </w:rPr>
            </w:pPr>
            <w:r w:rsidRPr="00E13128">
              <w:rPr>
                <w:rFonts w:cstheme="minorHAnsi"/>
                <w:sz w:val="22"/>
                <w:szCs w:val="22"/>
              </w:rPr>
              <w:lastRenderedPageBreak/>
              <w:t>ITU conducted the Arab-CIS Interregional Cyberdrill to enhance institutional capacity for incident response in the regions.</w:t>
            </w:r>
          </w:p>
          <w:p w14:paraId="588EBCDD" w14:textId="77777777" w:rsidR="00B406B4" w:rsidRPr="00E13128" w:rsidRDefault="00B406B4" w:rsidP="00E13128">
            <w:pPr>
              <w:pStyle w:val="ListParagraph"/>
              <w:numPr>
                <w:ilvl w:val="0"/>
                <w:numId w:val="6"/>
              </w:numPr>
              <w:spacing w:before="60" w:after="60"/>
              <w:ind w:left="714" w:hanging="357"/>
              <w:contextualSpacing w:val="0"/>
              <w:rPr>
                <w:rFonts w:cstheme="minorHAnsi"/>
                <w:sz w:val="22"/>
                <w:szCs w:val="22"/>
              </w:rPr>
            </w:pPr>
            <w:r w:rsidRPr="00E13128">
              <w:rPr>
                <w:rFonts w:cstheme="minorHAnsi"/>
                <w:sz w:val="22"/>
                <w:szCs w:val="22"/>
              </w:rPr>
              <w:t>Azerbaijan, Kazakhstan, Kyrgyzstan, Russian Federation and Uzbekistan have been using GCI as a key metric for national cybersecurity policy planning and implementation. From 2018-2022, ITU provided support and training upon requests from these Member-States. A dedicated online training was provided to Turkmenistan.</w:t>
            </w:r>
          </w:p>
          <w:p w14:paraId="76F05042" w14:textId="77777777" w:rsidR="00B406B4" w:rsidRPr="00E13128" w:rsidRDefault="00B406B4" w:rsidP="00E13128">
            <w:pPr>
              <w:pStyle w:val="ListParagraph"/>
              <w:numPr>
                <w:ilvl w:val="0"/>
                <w:numId w:val="6"/>
              </w:numPr>
              <w:spacing w:before="60" w:after="60"/>
              <w:ind w:left="714" w:hanging="357"/>
              <w:contextualSpacing w:val="0"/>
              <w:rPr>
                <w:rFonts w:cstheme="minorHAnsi"/>
                <w:sz w:val="22"/>
                <w:szCs w:val="22"/>
              </w:rPr>
            </w:pPr>
            <w:r w:rsidRPr="00E13128">
              <w:rPr>
                <w:rFonts w:cstheme="minorHAnsi"/>
                <w:sz w:val="22"/>
                <w:szCs w:val="22"/>
              </w:rPr>
              <w:t xml:space="preserve">In partnership with the UNESCO Institute for Information Technologies in Education (UNESCO IITE), a free online course for trainers on "Information Security in Educational Cyberspace" has been released on the </w:t>
            </w:r>
            <w:hyperlink r:id="rId36" w:anchor="/courseManagement/courseDetail/b15a8dca-a240-47c1-8f52-4562cd22876f" w:history="1">
              <w:r w:rsidRPr="00E13128">
                <w:rPr>
                  <w:rStyle w:val="Hyperlink"/>
                  <w:rFonts w:cstheme="minorHAnsi"/>
                  <w:color w:val="auto"/>
                  <w:sz w:val="22"/>
                  <w:szCs w:val="22"/>
                </w:rPr>
                <w:t>E-library</w:t>
              </w:r>
            </w:hyperlink>
            <w:r w:rsidRPr="00E13128">
              <w:rPr>
                <w:rFonts w:cstheme="minorHAnsi"/>
                <w:sz w:val="22"/>
                <w:szCs w:val="22"/>
              </w:rPr>
              <w:t xml:space="preserve"> platform. </w:t>
            </w:r>
          </w:p>
          <w:p w14:paraId="7C43FC58" w14:textId="77777777" w:rsidR="00B406B4" w:rsidRPr="00E13128" w:rsidRDefault="00B406B4" w:rsidP="00E13128">
            <w:pPr>
              <w:pStyle w:val="ListParagraph"/>
              <w:numPr>
                <w:ilvl w:val="0"/>
                <w:numId w:val="6"/>
              </w:numPr>
              <w:spacing w:before="60" w:after="60"/>
              <w:ind w:left="714" w:hanging="357"/>
              <w:contextualSpacing w:val="0"/>
              <w:rPr>
                <w:rFonts w:cstheme="minorHAnsi"/>
                <w:sz w:val="22"/>
                <w:szCs w:val="22"/>
              </w:rPr>
            </w:pPr>
            <w:r w:rsidRPr="00E13128">
              <w:rPr>
                <w:rFonts w:cstheme="minorHAnsi"/>
                <w:sz w:val="22"/>
                <w:szCs w:val="22"/>
              </w:rPr>
              <w:t xml:space="preserve">In Armenia, COP guidelines for </w:t>
            </w:r>
            <w:hyperlink r:id="rId37" w:history="1">
              <w:r w:rsidRPr="00E13128">
                <w:rPr>
                  <w:rStyle w:val="Hyperlink"/>
                  <w:rFonts w:cstheme="minorHAnsi"/>
                  <w:color w:val="auto"/>
                  <w:sz w:val="22"/>
                  <w:szCs w:val="22"/>
                </w:rPr>
                <w:t>policy-makers</w:t>
              </w:r>
            </w:hyperlink>
            <w:r w:rsidRPr="00E13128">
              <w:rPr>
                <w:rFonts w:cstheme="minorHAnsi"/>
                <w:sz w:val="22"/>
                <w:szCs w:val="22"/>
              </w:rPr>
              <w:t xml:space="preserve">, </w:t>
            </w:r>
            <w:hyperlink r:id="rId38" w:history="1">
              <w:r w:rsidRPr="00E13128">
                <w:rPr>
                  <w:rStyle w:val="Hyperlink"/>
                  <w:rFonts w:cstheme="minorHAnsi"/>
                  <w:color w:val="auto"/>
                  <w:sz w:val="22"/>
                  <w:szCs w:val="22"/>
                </w:rPr>
                <w:t>industry</w:t>
              </w:r>
            </w:hyperlink>
            <w:r w:rsidRPr="00E13128">
              <w:rPr>
                <w:rFonts w:cstheme="minorHAnsi"/>
                <w:sz w:val="22"/>
                <w:szCs w:val="22"/>
              </w:rPr>
              <w:t xml:space="preserve">, </w:t>
            </w:r>
            <w:hyperlink r:id="rId39" w:history="1">
              <w:r w:rsidRPr="00E13128">
                <w:rPr>
                  <w:rStyle w:val="Hyperlink"/>
                  <w:rFonts w:cstheme="minorHAnsi"/>
                  <w:color w:val="auto"/>
                  <w:sz w:val="22"/>
                  <w:szCs w:val="22"/>
                </w:rPr>
                <w:t>parents and teachers</w:t>
              </w:r>
            </w:hyperlink>
            <w:r w:rsidRPr="00E13128">
              <w:rPr>
                <w:rFonts w:cstheme="minorHAnsi"/>
                <w:sz w:val="22"/>
                <w:szCs w:val="22"/>
              </w:rPr>
              <w:t xml:space="preserve"> were localized into Armenian and disseminated broadly. In 2022 a series on offline training covered 1 400 children in 29 schools from 10 different regions to raise awareness on the topic.</w:t>
            </w:r>
          </w:p>
          <w:p w14:paraId="2A3F3174" w14:textId="447F413E" w:rsidR="00B406B4" w:rsidRPr="00E13128" w:rsidRDefault="00B406B4" w:rsidP="00E13128">
            <w:pPr>
              <w:pStyle w:val="ListParagraph"/>
              <w:numPr>
                <w:ilvl w:val="0"/>
                <w:numId w:val="6"/>
              </w:numPr>
              <w:spacing w:before="60" w:after="60"/>
              <w:ind w:left="714" w:hanging="357"/>
              <w:contextualSpacing w:val="0"/>
              <w:rPr>
                <w:rFonts w:cstheme="minorBidi"/>
                <w:sz w:val="22"/>
                <w:szCs w:val="22"/>
              </w:rPr>
            </w:pPr>
            <w:r w:rsidRPr="00E13128">
              <w:rPr>
                <w:rFonts w:cstheme="minorBidi"/>
                <w:sz w:val="22"/>
                <w:szCs w:val="22"/>
              </w:rPr>
              <w:t>An assessment of child online protection was carried out in Kazakhstan in partnership with UNICEF. It included an evaluation of existing Internet safety measures in the country and the development of concrete recommendations for each key sector and the responsible ministry so as to strengthen national legislation and capabilities to ensure the Internet is a safe place for children.</w:t>
            </w:r>
          </w:p>
          <w:p w14:paraId="5ECBE4CB" w14:textId="03FFBDEF" w:rsidR="00B406B4" w:rsidRPr="00E13128" w:rsidRDefault="04BBB39A" w:rsidP="00E13128">
            <w:pPr>
              <w:spacing w:before="60" w:after="60"/>
              <w:rPr>
                <w:rFonts w:ascii="Calibri" w:hAnsi="Calibri"/>
                <w:i/>
                <w:iCs/>
                <w:sz w:val="22"/>
                <w:szCs w:val="22"/>
              </w:rPr>
            </w:pPr>
            <w:r w:rsidRPr="00E13128">
              <w:rPr>
                <w:rFonts w:cstheme="minorBidi"/>
                <w:i/>
                <w:iCs/>
                <w:sz w:val="22"/>
                <w:szCs w:val="22"/>
              </w:rPr>
              <w:t xml:space="preserve">Europe </w:t>
            </w:r>
            <w:r w:rsidR="00484EDF" w:rsidRPr="00E13128">
              <w:rPr>
                <w:rFonts w:cstheme="minorBidi"/>
                <w:i/>
                <w:iCs/>
                <w:sz w:val="22"/>
                <w:szCs w:val="22"/>
              </w:rPr>
              <w:t>r</w:t>
            </w:r>
            <w:r w:rsidRPr="00E13128">
              <w:rPr>
                <w:rFonts w:cstheme="minorBidi"/>
                <w:i/>
                <w:iCs/>
                <w:sz w:val="22"/>
                <w:szCs w:val="22"/>
              </w:rPr>
              <w:t>egion</w:t>
            </w:r>
          </w:p>
          <w:p w14:paraId="76EE9EED" w14:textId="30295B70" w:rsidR="00B406B4" w:rsidRPr="00E13128" w:rsidRDefault="04BBB39A" w:rsidP="00E13128">
            <w:pPr>
              <w:pStyle w:val="ListParagraph"/>
              <w:numPr>
                <w:ilvl w:val="0"/>
                <w:numId w:val="48"/>
              </w:numPr>
              <w:spacing w:before="60" w:after="60"/>
              <w:ind w:left="714" w:hanging="357"/>
              <w:contextualSpacing w:val="0"/>
              <w:rPr>
                <w:rFonts w:cstheme="minorBidi"/>
                <w:sz w:val="22"/>
                <w:szCs w:val="22"/>
              </w:rPr>
            </w:pPr>
            <w:r w:rsidRPr="00E13128">
              <w:rPr>
                <w:rFonts w:cstheme="minorBidi"/>
                <w:sz w:val="22"/>
                <w:szCs w:val="22"/>
                <w:lang w:val="en-US"/>
              </w:rPr>
              <w:t xml:space="preserve">Albania is the first pilot country to roll out the Child Online Protection Global </w:t>
            </w:r>
            <w:proofErr w:type="spellStart"/>
            <w:r w:rsidRPr="00E13128">
              <w:rPr>
                <w:rFonts w:cstheme="minorBidi"/>
                <w:sz w:val="22"/>
                <w:szCs w:val="22"/>
                <w:lang w:val="en-US"/>
              </w:rPr>
              <w:t>Programme</w:t>
            </w:r>
            <w:proofErr w:type="spellEnd"/>
            <w:r w:rsidRPr="00E13128">
              <w:rPr>
                <w:rFonts w:cstheme="minorBidi"/>
                <w:sz w:val="22"/>
                <w:szCs w:val="22"/>
                <w:lang w:val="en-US"/>
              </w:rPr>
              <w:t xml:space="preserve"> at the national level. By the end of 2022, 250 secondary school students, 320 parents and educators, as well as 50 industry representatives have been trained on child online protection based on the ITU COP Guidelines. </w:t>
            </w:r>
          </w:p>
          <w:p w14:paraId="277E3E3A" w14:textId="51EB1770" w:rsidR="00B406B4" w:rsidRPr="00E13128" w:rsidRDefault="5FF1E545" w:rsidP="00E13128">
            <w:pPr>
              <w:pStyle w:val="ListParagraph"/>
              <w:numPr>
                <w:ilvl w:val="0"/>
                <w:numId w:val="48"/>
              </w:numPr>
              <w:spacing w:before="60" w:after="60"/>
              <w:ind w:left="714" w:hanging="357"/>
              <w:contextualSpacing w:val="0"/>
              <w:rPr>
                <w:rFonts w:cstheme="minorBidi"/>
                <w:sz w:val="22"/>
                <w:szCs w:val="22"/>
              </w:rPr>
            </w:pPr>
            <w:r w:rsidRPr="00E13128">
              <w:rPr>
                <w:rFonts w:cstheme="minorBidi"/>
                <w:sz w:val="22"/>
                <w:szCs w:val="22"/>
                <w:lang w:val="en-US"/>
              </w:rPr>
              <w:t>The National Child Online Safety Assessment for North Macedonia has been completed upon the request of and in collaboration with the Ministry of Information Society and Administration. Th</w:t>
            </w:r>
            <w:r w:rsidR="00FB5D70" w:rsidRPr="00E13128">
              <w:rPr>
                <w:rFonts w:cstheme="minorBidi"/>
                <w:sz w:val="22"/>
                <w:szCs w:val="22"/>
                <w:lang w:val="en-US"/>
              </w:rPr>
              <w:t>e</w:t>
            </w:r>
            <w:r w:rsidRPr="00E13128">
              <w:rPr>
                <w:rFonts w:cstheme="minorBidi"/>
                <w:sz w:val="22"/>
                <w:szCs w:val="22"/>
                <w:lang w:val="en-US"/>
              </w:rPr>
              <w:t xml:space="preserve"> report covers a</w:t>
            </w:r>
            <w:r w:rsidR="00FB5D70" w:rsidRPr="00E13128">
              <w:rPr>
                <w:rFonts w:cstheme="minorBidi"/>
                <w:sz w:val="22"/>
                <w:szCs w:val="22"/>
                <w:lang w:val="en-US"/>
              </w:rPr>
              <w:t>n</w:t>
            </w:r>
            <w:r w:rsidRPr="00E13128">
              <w:rPr>
                <w:rFonts w:cstheme="minorBidi"/>
                <w:sz w:val="22"/>
                <w:szCs w:val="22"/>
                <w:lang w:val="en-US"/>
              </w:rPr>
              <w:t xml:space="preserve"> assessment of the existing infrastructure, education</w:t>
            </w:r>
            <w:r w:rsidR="00E057DF" w:rsidRPr="00E13128">
              <w:rPr>
                <w:rFonts w:cstheme="minorBidi"/>
                <w:sz w:val="22"/>
                <w:szCs w:val="22"/>
                <w:lang w:val="en-US"/>
              </w:rPr>
              <w:t xml:space="preserve"> a</w:t>
            </w:r>
            <w:r w:rsidR="00FC4F78" w:rsidRPr="00E13128">
              <w:rPr>
                <w:rFonts w:cstheme="minorBidi"/>
                <w:sz w:val="22"/>
                <w:szCs w:val="22"/>
                <w:lang w:val="en-US"/>
              </w:rPr>
              <w:t>n</w:t>
            </w:r>
            <w:r w:rsidR="00E057DF" w:rsidRPr="00E13128">
              <w:rPr>
                <w:rFonts w:cstheme="minorBidi"/>
                <w:sz w:val="22"/>
                <w:szCs w:val="22"/>
                <w:lang w:val="en-US"/>
              </w:rPr>
              <w:t>d</w:t>
            </w:r>
            <w:r w:rsidRPr="00E13128">
              <w:rPr>
                <w:rFonts w:cstheme="minorBidi"/>
                <w:sz w:val="22"/>
                <w:szCs w:val="22"/>
                <w:lang w:val="en-US"/>
              </w:rPr>
              <w:t xml:space="preserve"> organizational activities</w:t>
            </w:r>
            <w:r w:rsidR="00FC4F78" w:rsidRPr="00E13128">
              <w:rPr>
                <w:rFonts w:cstheme="minorBidi"/>
                <w:sz w:val="22"/>
                <w:szCs w:val="22"/>
                <w:lang w:val="en-US"/>
              </w:rPr>
              <w:t>,</w:t>
            </w:r>
            <w:r w:rsidRPr="00E13128">
              <w:rPr>
                <w:rFonts w:cstheme="minorBidi"/>
                <w:sz w:val="22"/>
                <w:szCs w:val="22"/>
                <w:lang w:val="en-US"/>
              </w:rPr>
              <w:t xml:space="preserve"> and child protection legislation as well as recommendation</w:t>
            </w:r>
            <w:r w:rsidR="00116BD9" w:rsidRPr="00E13128">
              <w:rPr>
                <w:rFonts w:cstheme="minorBidi"/>
                <w:sz w:val="22"/>
                <w:szCs w:val="22"/>
                <w:lang w:val="en-US"/>
              </w:rPr>
              <w:t>s for a national online safety strategy and action plan towards enhancing online safety</w:t>
            </w:r>
            <w:r w:rsidRPr="00E13128">
              <w:rPr>
                <w:rFonts w:cstheme="minorBidi"/>
                <w:sz w:val="22"/>
                <w:szCs w:val="22"/>
                <w:lang w:val="en-US"/>
              </w:rPr>
              <w:t xml:space="preserve">. </w:t>
            </w:r>
            <w:r w:rsidR="04BBB39A" w:rsidRPr="00E13128">
              <w:rPr>
                <w:rFonts w:cstheme="minorBidi"/>
                <w:sz w:val="22"/>
                <w:szCs w:val="22"/>
                <w:lang w:val="en-US"/>
              </w:rPr>
              <w:t xml:space="preserve">The </w:t>
            </w:r>
            <w:r w:rsidR="00902F08" w:rsidRPr="00E13128">
              <w:rPr>
                <w:rFonts w:cstheme="minorBidi"/>
                <w:sz w:val="22"/>
                <w:szCs w:val="22"/>
                <w:lang w:val="en-US"/>
              </w:rPr>
              <w:t>a</w:t>
            </w:r>
            <w:r w:rsidR="04BBB39A" w:rsidRPr="00E13128">
              <w:rPr>
                <w:rFonts w:cstheme="minorBidi"/>
                <w:sz w:val="22"/>
                <w:szCs w:val="22"/>
                <w:lang w:val="en-US"/>
              </w:rPr>
              <w:t>ssessment and</w:t>
            </w:r>
            <w:r w:rsidR="00902F08" w:rsidRPr="00E13128">
              <w:rPr>
                <w:rFonts w:cstheme="minorBidi"/>
                <w:sz w:val="22"/>
                <w:szCs w:val="22"/>
                <w:lang w:val="en-US"/>
              </w:rPr>
              <w:t xml:space="preserve"> the</w:t>
            </w:r>
            <w:r w:rsidR="04BBB39A" w:rsidRPr="00E13128">
              <w:rPr>
                <w:rFonts w:cstheme="minorBidi"/>
                <w:sz w:val="22"/>
                <w:szCs w:val="22"/>
                <w:lang w:val="en-US"/>
              </w:rPr>
              <w:t xml:space="preserve"> related national workshop led to a Memorandum of Cooperation between the Ministry of Information Society and Administration and the Ministry of Education.</w:t>
            </w:r>
            <w:r w:rsidR="005E75F3">
              <w:rPr>
                <w:rFonts w:cstheme="minorBidi"/>
                <w:sz w:val="22"/>
                <w:szCs w:val="22"/>
                <w:lang w:val="en-US"/>
              </w:rPr>
              <w:t xml:space="preserve"> </w:t>
            </w:r>
          </w:p>
          <w:p w14:paraId="634CD34B" w14:textId="26C5970C" w:rsidR="00B406B4" w:rsidRPr="00E13128" w:rsidRDefault="04BBB39A" w:rsidP="00E13128">
            <w:pPr>
              <w:pStyle w:val="ListParagraph"/>
              <w:numPr>
                <w:ilvl w:val="0"/>
                <w:numId w:val="48"/>
              </w:numPr>
              <w:spacing w:before="60" w:after="60"/>
              <w:ind w:left="714" w:hanging="357"/>
              <w:contextualSpacing w:val="0"/>
              <w:rPr>
                <w:rFonts w:cstheme="minorBidi"/>
                <w:sz w:val="22"/>
                <w:szCs w:val="22"/>
              </w:rPr>
            </w:pPr>
            <w:r w:rsidRPr="00E13128">
              <w:rPr>
                <w:rFonts w:cstheme="minorBidi"/>
                <w:sz w:val="22"/>
                <w:szCs w:val="22"/>
              </w:rPr>
              <w:t xml:space="preserve">In collaboration with the Malta Foundation for the Wellbeing of Society, ITU is delivering training of trainer module </w:t>
            </w:r>
            <w:r w:rsidR="00FA1ECB" w:rsidRPr="00E13128">
              <w:rPr>
                <w:rFonts w:cstheme="minorBidi"/>
                <w:sz w:val="22"/>
                <w:szCs w:val="22"/>
              </w:rPr>
              <w:t>for</w:t>
            </w:r>
            <w:r w:rsidRPr="00E13128">
              <w:rPr>
                <w:rFonts w:cstheme="minorBidi"/>
                <w:sz w:val="22"/>
                <w:szCs w:val="22"/>
              </w:rPr>
              <w:t xml:space="preserve"> social workers </w:t>
            </w:r>
            <w:r w:rsidR="008F790A" w:rsidRPr="00E13128">
              <w:rPr>
                <w:rFonts w:cstheme="minorBidi"/>
                <w:sz w:val="22"/>
                <w:szCs w:val="22"/>
              </w:rPr>
              <w:t>active in</w:t>
            </w:r>
            <w:r w:rsidRPr="00E13128">
              <w:rPr>
                <w:rFonts w:cstheme="minorBidi"/>
                <w:sz w:val="22"/>
                <w:szCs w:val="22"/>
              </w:rPr>
              <w:t xml:space="preserve"> secondary schools. The first </w:t>
            </w:r>
            <w:r w:rsidR="001E63EB" w:rsidRPr="00E13128">
              <w:rPr>
                <w:rFonts w:cstheme="minorBidi"/>
                <w:sz w:val="22"/>
                <w:szCs w:val="22"/>
              </w:rPr>
              <w:t>module</w:t>
            </w:r>
            <w:r w:rsidRPr="00E13128">
              <w:rPr>
                <w:rFonts w:cstheme="minorBidi"/>
                <w:sz w:val="22"/>
                <w:szCs w:val="22"/>
              </w:rPr>
              <w:t xml:space="preserve"> rolled out in 2022 trained 35 </w:t>
            </w:r>
            <w:r w:rsidR="210D28C4" w:rsidRPr="00E13128">
              <w:rPr>
                <w:rFonts w:cstheme="minorBidi"/>
                <w:sz w:val="22"/>
                <w:szCs w:val="22"/>
              </w:rPr>
              <w:t>trainers</w:t>
            </w:r>
            <w:r w:rsidR="27B992F5" w:rsidRPr="00E13128">
              <w:rPr>
                <w:rFonts w:cstheme="minorBidi"/>
                <w:sz w:val="22"/>
                <w:szCs w:val="22"/>
              </w:rPr>
              <w:t>.</w:t>
            </w:r>
            <w:r w:rsidR="09AE5337" w:rsidRPr="00E13128">
              <w:rPr>
                <w:rFonts w:cstheme="minorBidi"/>
                <w:sz w:val="22"/>
                <w:szCs w:val="22"/>
              </w:rPr>
              <w:t xml:space="preserve"> </w:t>
            </w:r>
          </w:p>
          <w:p w14:paraId="1AC25127" w14:textId="1184E42E" w:rsidR="00B406B4" w:rsidRPr="00E13128" w:rsidRDefault="00B718E3" w:rsidP="00E13128">
            <w:pPr>
              <w:pStyle w:val="ListParagraph"/>
              <w:numPr>
                <w:ilvl w:val="0"/>
                <w:numId w:val="48"/>
              </w:numPr>
              <w:spacing w:before="60" w:after="60"/>
              <w:ind w:left="714" w:hanging="357"/>
              <w:contextualSpacing w:val="0"/>
              <w:rPr>
                <w:rFonts w:cstheme="minorBidi"/>
                <w:sz w:val="22"/>
                <w:szCs w:val="22"/>
              </w:rPr>
            </w:pPr>
            <w:r w:rsidRPr="00E13128">
              <w:rPr>
                <w:rFonts w:cstheme="minorBidi"/>
                <w:sz w:val="22"/>
                <w:szCs w:val="22"/>
              </w:rPr>
              <w:t>BDT</w:t>
            </w:r>
            <w:r w:rsidR="72760A3C" w:rsidRPr="00E13128">
              <w:rPr>
                <w:rFonts w:cstheme="minorBidi"/>
                <w:sz w:val="22"/>
                <w:szCs w:val="22"/>
              </w:rPr>
              <w:t xml:space="preserve"> assisted in the assessment of Moldova’s readiness to implement a national Computer Incident Response Team (CIRT). </w:t>
            </w:r>
            <w:r w:rsidR="005A224D" w:rsidRPr="00E13128">
              <w:rPr>
                <w:rFonts w:cstheme="minorBidi"/>
                <w:sz w:val="22"/>
                <w:szCs w:val="22"/>
              </w:rPr>
              <w:t>Building on it, t</w:t>
            </w:r>
            <w:r w:rsidR="7DE93D0F" w:rsidRPr="00E13128">
              <w:rPr>
                <w:rFonts w:cstheme="minorBidi"/>
                <w:sz w:val="22"/>
                <w:szCs w:val="22"/>
              </w:rPr>
              <w:t xml:space="preserve">wo executive workshops, </w:t>
            </w:r>
            <w:r w:rsidR="5DE2055F" w:rsidRPr="00E13128">
              <w:rPr>
                <w:rFonts w:cstheme="minorBidi"/>
                <w:sz w:val="22"/>
                <w:szCs w:val="22"/>
              </w:rPr>
              <w:t>offer</w:t>
            </w:r>
            <w:r w:rsidR="5E4A02C3" w:rsidRPr="00E13128">
              <w:rPr>
                <w:rFonts w:cstheme="minorBidi"/>
                <w:sz w:val="22"/>
                <w:szCs w:val="22"/>
              </w:rPr>
              <w:t>ed</w:t>
            </w:r>
            <w:r w:rsidR="7DE93D0F" w:rsidRPr="00E13128">
              <w:rPr>
                <w:rFonts w:cstheme="minorBidi"/>
                <w:sz w:val="22"/>
                <w:szCs w:val="22"/>
              </w:rPr>
              <w:t xml:space="preserve"> an opportunity to validate conclusions of the analysis and set of </w:t>
            </w:r>
            <w:r w:rsidR="007B1896" w:rsidRPr="00E13128">
              <w:rPr>
                <w:rFonts w:cstheme="minorBidi"/>
                <w:sz w:val="22"/>
                <w:szCs w:val="22"/>
              </w:rPr>
              <w:t>recommendations</w:t>
            </w:r>
            <w:r w:rsidR="7DE93D0F" w:rsidRPr="00E13128">
              <w:rPr>
                <w:rFonts w:cstheme="minorBidi"/>
                <w:sz w:val="22"/>
                <w:szCs w:val="22"/>
              </w:rPr>
              <w:t xml:space="preserve"> on establishing </w:t>
            </w:r>
            <w:r w:rsidR="007B1896" w:rsidRPr="00E13128">
              <w:rPr>
                <w:rFonts w:cstheme="minorBidi"/>
                <w:sz w:val="22"/>
                <w:szCs w:val="22"/>
              </w:rPr>
              <w:t>a</w:t>
            </w:r>
            <w:r w:rsidR="7DE93D0F" w:rsidRPr="00E13128">
              <w:rPr>
                <w:rFonts w:cstheme="minorBidi"/>
                <w:sz w:val="22"/>
                <w:szCs w:val="22"/>
              </w:rPr>
              <w:t xml:space="preserve"> national CSIRT.</w:t>
            </w:r>
          </w:p>
        </w:tc>
      </w:tr>
    </w:tbl>
    <w:p w14:paraId="4BB19898" w14:textId="623C0FDE" w:rsidR="00B406B4" w:rsidRPr="00E13128" w:rsidRDefault="00B406B4" w:rsidP="00E13128">
      <w:pPr>
        <w:pStyle w:val="Heading1"/>
        <w:numPr>
          <w:ilvl w:val="0"/>
          <w:numId w:val="22"/>
        </w:numPr>
        <w:spacing w:before="120" w:after="120"/>
        <w:ind w:left="357" w:hanging="357"/>
        <w:rPr>
          <w:sz w:val="24"/>
          <w:szCs w:val="24"/>
          <w:lang w:val="en-US"/>
        </w:rPr>
      </w:pPr>
      <w:r w:rsidRPr="00E13128">
        <w:rPr>
          <w:sz w:val="24"/>
          <w:szCs w:val="24"/>
          <w:lang w:val="en-US"/>
        </w:rPr>
        <w:lastRenderedPageBreak/>
        <w:t>Digital inclusion: Building inclusive policies for equal ICT access and use</w:t>
      </w:r>
    </w:p>
    <w:p w14:paraId="7737E8F1" w14:textId="77777777" w:rsidR="00B406B4" w:rsidRPr="00E13128" w:rsidRDefault="00B406B4" w:rsidP="00E13128">
      <w:pPr>
        <w:pStyle w:val="Heading3"/>
        <w:spacing w:before="120" w:after="120"/>
        <w:rPr>
          <w:rFonts w:eastAsiaTheme="minorHAnsi"/>
          <w:szCs w:val="24"/>
          <w:lang w:val="en-US"/>
        </w:rPr>
      </w:pPr>
      <w:r w:rsidRPr="00E13128">
        <w:rPr>
          <w:rFonts w:eastAsiaTheme="minorHAnsi"/>
          <w:szCs w:val="24"/>
          <w:lang w:val="en-US"/>
        </w:rPr>
        <w:t>Digital inclusion</w:t>
      </w:r>
    </w:p>
    <w:p w14:paraId="36F04AB4" w14:textId="77777777" w:rsidR="00B406B4" w:rsidRPr="00E13128" w:rsidRDefault="00B406B4" w:rsidP="00E13128">
      <w:pPr>
        <w:spacing w:after="120"/>
        <w:rPr>
          <w:rFonts w:cstheme="minorHAnsi"/>
          <w:szCs w:val="24"/>
        </w:rPr>
      </w:pPr>
      <w:r w:rsidRPr="00E13128">
        <w:rPr>
          <w:rFonts w:cstheme="minorHAnsi"/>
          <w:szCs w:val="24"/>
        </w:rPr>
        <w:t>BDT carried out several training programmes promoting digital inclusion for various groups:</w:t>
      </w:r>
    </w:p>
    <w:p w14:paraId="3B6EBD9F" w14:textId="77777777" w:rsidR="00B406B4" w:rsidRPr="00E13128" w:rsidRDefault="00B406B4" w:rsidP="00E13128">
      <w:pPr>
        <w:pStyle w:val="ListParagraph"/>
        <w:numPr>
          <w:ilvl w:val="0"/>
          <w:numId w:val="43"/>
        </w:numPr>
        <w:tabs>
          <w:tab w:val="clear" w:pos="1134"/>
        </w:tabs>
        <w:overflowPunct/>
        <w:autoSpaceDE/>
        <w:autoSpaceDN/>
        <w:adjustRightInd/>
        <w:spacing w:before="60" w:after="60"/>
        <w:ind w:left="357" w:hanging="357"/>
        <w:contextualSpacing w:val="0"/>
        <w:textAlignment w:val="auto"/>
        <w:rPr>
          <w:rFonts w:cstheme="minorHAnsi"/>
          <w:szCs w:val="24"/>
        </w:rPr>
      </w:pPr>
      <w:r w:rsidRPr="00E13128">
        <w:rPr>
          <w:rFonts w:cstheme="minorHAnsi"/>
          <w:szCs w:val="24"/>
        </w:rPr>
        <w:t xml:space="preserve">Executive trainings comprised of face-to-face and virtual sessions engaged 459 stakeholders from 75 countries in ICT/digital accessibility through at regional thematic events, such as the Accessible– ICT for ALL regional forums (for </w:t>
      </w:r>
      <w:hyperlink r:id="rId40" w:history="1">
        <w:r w:rsidRPr="00E13128">
          <w:rPr>
            <w:rStyle w:val="Hyperlink"/>
            <w:rFonts w:cstheme="minorHAnsi"/>
            <w:color w:val="auto"/>
            <w:szCs w:val="24"/>
            <w:shd w:val="clear" w:color="auto" w:fill="FFFFFF"/>
          </w:rPr>
          <w:t>Asia and the Pacific</w:t>
        </w:r>
      </w:hyperlink>
      <w:r w:rsidRPr="00E13128">
        <w:rPr>
          <w:rStyle w:val="Hyperlink"/>
          <w:rFonts w:cstheme="minorHAnsi"/>
          <w:color w:val="auto"/>
          <w:szCs w:val="24"/>
          <w:shd w:val="clear" w:color="auto" w:fill="FFFFFF"/>
        </w:rPr>
        <w:t>,</w:t>
      </w:r>
      <w:r w:rsidRPr="00E13128">
        <w:rPr>
          <w:rFonts w:cstheme="minorHAnsi"/>
          <w:szCs w:val="24"/>
          <w:shd w:val="clear" w:color="auto" w:fill="FFFFFF"/>
        </w:rPr>
        <w:t xml:space="preserve"> </w:t>
      </w:r>
      <w:hyperlink r:id="rId41" w:anchor=":~:text=The%209th%20edition%20of%20Accessible,)%2C%20the%20Brazilian%20regulatory%20authority." w:history="1">
        <w:r w:rsidRPr="00E13128">
          <w:rPr>
            <w:rStyle w:val="Hyperlink"/>
            <w:rFonts w:cstheme="minorHAnsi"/>
            <w:color w:val="auto"/>
            <w:szCs w:val="24"/>
            <w:shd w:val="clear" w:color="auto" w:fill="FFFFFF"/>
          </w:rPr>
          <w:t>Americas,</w:t>
        </w:r>
      </w:hyperlink>
      <w:r w:rsidRPr="00E13128">
        <w:rPr>
          <w:rFonts w:cstheme="minorHAnsi"/>
          <w:szCs w:val="24"/>
          <w:shd w:val="clear" w:color="auto" w:fill="FFFFFF"/>
        </w:rPr>
        <w:t xml:space="preserve"> </w:t>
      </w:r>
      <w:hyperlink r:id="rId42" w:anchor=":~:text=The%20special%20event%20for%20Europe,virtually%20on%206%20December%202022." w:history="1">
        <w:r w:rsidRPr="00E13128">
          <w:rPr>
            <w:rStyle w:val="Hyperlink"/>
            <w:rFonts w:cstheme="minorHAnsi"/>
            <w:color w:val="auto"/>
            <w:szCs w:val="24"/>
            <w:shd w:val="clear" w:color="auto" w:fill="FFFFFF"/>
          </w:rPr>
          <w:t>Europe</w:t>
        </w:r>
      </w:hyperlink>
      <w:r w:rsidRPr="00E13128">
        <w:rPr>
          <w:rFonts w:cstheme="minorHAnsi"/>
          <w:szCs w:val="24"/>
          <w:shd w:val="clear" w:color="auto" w:fill="FFFFFF"/>
        </w:rPr>
        <w:t xml:space="preserve"> and </w:t>
      </w:r>
      <w:hyperlink r:id="rId43" w:anchor=":~:text=The%20International%20Telecommunication%20Union%20(ITU,in%20Arabic%2C%20English%20and%20French." w:history="1">
        <w:r w:rsidRPr="00E13128">
          <w:rPr>
            <w:rStyle w:val="Hyperlink"/>
            <w:rFonts w:cstheme="minorHAnsi"/>
            <w:color w:val="auto"/>
            <w:szCs w:val="24"/>
            <w:shd w:val="clear" w:color="auto" w:fill="FFFFFF"/>
          </w:rPr>
          <w:t>Arab States</w:t>
        </w:r>
      </w:hyperlink>
      <w:r w:rsidRPr="00E13128">
        <w:rPr>
          <w:rFonts w:cstheme="minorHAnsi"/>
          <w:szCs w:val="24"/>
        </w:rPr>
        <w:t xml:space="preserve">. </w:t>
      </w:r>
    </w:p>
    <w:p w14:paraId="226D5BA0" w14:textId="77777777" w:rsidR="00B406B4" w:rsidRPr="00E13128" w:rsidRDefault="00B406B4" w:rsidP="00E13128">
      <w:pPr>
        <w:pStyle w:val="ListParagraph"/>
        <w:numPr>
          <w:ilvl w:val="0"/>
          <w:numId w:val="43"/>
        </w:numPr>
        <w:tabs>
          <w:tab w:val="clear" w:pos="1134"/>
        </w:tabs>
        <w:overflowPunct/>
        <w:autoSpaceDE/>
        <w:autoSpaceDN/>
        <w:adjustRightInd/>
        <w:spacing w:before="60" w:after="60"/>
        <w:ind w:left="357" w:hanging="357"/>
        <w:contextualSpacing w:val="0"/>
        <w:textAlignment w:val="auto"/>
        <w:rPr>
          <w:rFonts w:cstheme="minorHAnsi"/>
          <w:szCs w:val="24"/>
        </w:rPr>
      </w:pPr>
      <w:r w:rsidRPr="00E13128">
        <w:rPr>
          <w:rFonts w:cstheme="minorHAnsi"/>
          <w:szCs w:val="24"/>
        </w:rPr>
        <w:t>Some 700 participants registered for ITU online self-paced training on ICT accessibility and over 3,000 stakeholders used ITU-D resources in ICT/digital accessibility.</w:t>
      </w:r>
    </w:p>
    <w:p w14:paraId="5860BAF3" w14:textId="77777777" w:rsidR="00B406B4" w:rsidRPr="00E13128" w:rsidRDefault="00B406B4" w:rsidP="00E13128">
      <w:pPr>
        <w:pStyle w:val="ListParagraph"/>
        <w:numPr>
          <w:ilvl w:val="0"/>
          <w:numId w:val="43"/>
        </w:numPr>
        <w:tabs>
          <w:tab w:val="clear" w:pos="1134"/>
        </w:tabs>
        <w:overflowPunct/>
        <w:autoSpaceDE/>
        <w:autoSpaceDN/>
        <w:adjustRightInd/>
        <w:spacing w:before="60" w:after="60"/>
        <w:ind w:left="357" w:hanging="357"/>
        <w:contextualSpacing w:val="0"/>
        <w:textAlignment w:val="auto"/>
        <w:rPr>
          <w:rFonts w:cstheme="minorHAnsi"/>
          <w:szCs w:val="24"/>
        </w:rPr>
      </w:pPr>
      <w:r w:rsidRPr="00E13128">
        <w:rPr>
          <w:rFonts w:cstheme="minorHAnsi"/>
          <w:szCs w:val="24"/>
        </w:rPr>
        <w:t xml:space="preserve">The accessible online self-paced training on </w:t>
      </w:r>
      <w:hyperlink r:id="rId44" w:tooltip="Online Self Paced Training - ICTs for better ageing and livelihood in the digital landscape" w:history="1">
        <w:r w:rsidRPr="00E13128">
          <w:rPr>
            <w:rStyle w:val="Strong"/>
            <w:rFonts w:cstheme="minorHAnsi"/>
            <w:b w:val="0"/>
            <w:bCs w:val="0"/>
            <w:szCs w:val="24"/>
            <w:u w:val="single"/>
            <w:bdr w:val="none" w:sz="0" w:space="0" w:color="auto" w:frame="1"/>
            <w:shd w:val="clear" w:color="auto" w:fill="FFFFFF"/>
          </w:rPr>
          <w:t>ICTs for better ageing and livelihood in the digital landscape</w:t>
        </w:r>
      </w:hyperlink>
      <w:r w:rsidRPr="00E13128">
        <w:rPr>
          <w:rFonts w:cstheme="minorHAnsi"/>
          <w:szCs w:val="24"/>
        </w:rPr>
        <w:t xml:space="preserve"> is now available in English, French, and Spanish.</w:t>
      </w:r>
    </w:p>
    <w:p w14:paraId="63DF3A31" w14:textId="68B9FC0F" w:rsidR="00B406B4" w:rsidRPr="00E13128" w:rsidRDefault="00B406B4" w:rsidP="00E13128">
      <w:pPr>
        <w:pStyle w:val="xxmsonormal"/>
        <w:numPr>
          <w:ilvl w:val="0"/>
          <w:numId w:val="43"/>
        </w:numPr>
        <w:spacing w:before="60" w:after="60"/>
        <w:ind w:left="357" w:hanging="357"/>
        <w:rPr>
          <w:rFonts w:asciiTheme="minorHAnsi" w:hAnsiTheme="minorHAnsi" w:cstheme="minorHAnsi"/>
          <w:sz w:val="24"/>
          <w:szCs w:val="24"/>
        </w:rPr>
      </w:pPr>
      <w:r w:rsidRPr="00E13128">
        <w:rPr>
          <w:rFonts w:asciiTheme="minorHAnsi" w:hAnsiTheme="minorHAnsi" w:cstheme="minorHAnsi"/>
          <w:sz w:val="24"/>
          <w:szCs w:val="24"/>
        </w:rPr>
        <w:lastRenderedPageBreak/>
        <w:t xml:space="preserve">Two indigenous training programs were also conducted. In collaboration with the Fund for the Development of the Indigenous Peoples of Latin America and the Caribbean (FILAC), BDT delivered two editions of the online tutor-led training program covered topics related to </w:t>
      </w:r>
      <w:hyperlink r:id="rId45" w:history="1">
        <w:r w:rsidRPr="00E13128">
          <w:rPr>
            <w:rStyle w:val="Hyperlink"/>
            <w:rFonts w:asciiTheme="minorHAnsi" w:hAnsiTheme="minorHAnsi" w:cstheme="minorHAnsi"/>
            <w:color w:val="auto"/>
            <w:sz w:val="24"/>
            <w:szCs w:val="24"/>
          </w:rPr>
          <w:t>Innovative communication tools to strengthen the capacities of indigenous communities with a focus on how to develop, manage, and operate community networks.</w:t>
        </w:r>
      </w:hyperlink>
      <w:r w:rsidR="005E75F3">
        <w:rPr>
          <w:rFonts w:asciiTheme="minorHAnsi" w:hAnsiTheme="minorHAnsi" w:cstheme="minorHAnsi"/>
          <w:sz w:val="24"/>
          <w:szCs w:val="24"/>
          <w:u w:val="single"/>
          <w:lang w:eastAsia="en-US"/>
          <w14:ligatures w14:val="standardContextual"/>
        </w:rPr>
        <w:t xml:space="preserve"> </w:t>
      </w:r>
      <w:r w:rsidRPr="00E13128">
        <w:rPr>
          <w:rFonts w:asciiTheme="minorHAnsi" w:hAnsiTheme="minorHAnsi" w:cstheme="minorHAnsi"/>
          <w:sz w:val="24"/>
          <w:szCs w:val="24"/>
          <w:lang w:eastAsia="en-US"/>
          <w14:ligatures w14:val="standardContextual"/>
        </w:rPr>
        <w:t xml:space="preserve">Also, </w:t>
      </w:r>
      <w:r w:rsidRPr="00E13128">
        <w:rPr>
          <w:rFonts w:asciiTheme="minorHAnsi" w:hAnsiTheme="minorHAnsi" w:cstheme="minorHAnsi"/>
          <w:sz w:val="24"/>
          <w:szCs w:val="24"/>
        </w:rPr>
        <w:t xml:space="preserve">a blended tutor-led training program was delivered through ITU Academy and face-to-face in Colombia for </w:t>
      </w:r>
      <w:hyperlink r:id="rId46" w:history="1">
        <w:r w:rsidRPr="00E13128">
          <w:rPr>
            <w:rStyle w:val="Hyperlink"/>
            <w:rFonts w:asciiTheme="minorHAnsi" w:hAnsiTheme="minorHAnsi" w:cstheme="minorHAnsi"/>
            <w:color w:val="auto"/>
            <w:sz w:val="24"/>
            <w:szCs w:val="24"/>
          </w:rPr>
          <w:t>Managers in ICT Networks in Indigenous and Rural Communities in Latin America</w:t>
        </w:r>
      </w:hyperlink>
      <w:r w:rsidRPr="00E13128">
        <w:rPr>
          <w:rFonts w:asciiTheme="minorHAnsi" w:hAnsiTheme="minorHAnsi" w:cstheme="minorHAnsi"/>
          <w:sz w:val="24"/>
          <w:szCs w:val="24"/>
        </w:rPr>
        <w:t xml:space="preserve">. The program is the result of a joint effort between ITU, Redes </w:t>
      </w:r>
      <w:proofErr w:type="spellStart"/>
      <w:r w:rsidRPr="00E13128">
        <w:rPr>
          <w:rFonts w:asciiTheme="minorHAnsi" w:hAnsiTheme="minorHAnsi" w:cstheme="minorHAnsi"/>
          <w:sz w:val="24"/>
          <w:szCs w:val="24"/>
        </w:rPr>
        <w:t>por</w:t>
      </w:r>
      <w:proofErr w:type="spellEnd"/>
      <w:r w:rsidRPr="00E13128">
        <w:rPr>
          <w:rFonts w:asciiTheme="minorHAnsi" w:hAnsiTheme="minorHAnsi" w:cstheme="minorHAnsi"/>
          <w:sz w:val="24"/>
          <w:szCs w:val="24"/>
        </w:rPr>
        <w:t xml:space="preserve"> la </w:t>
      </w:r>
      <w:proofErr w:type="spellStart"/>
      <w:r w:rsidRPr="00E13128">
        <w:rPr>
          <w:rFonts w:asciiTheme="minorHAnsi" w:hAnsiTheme="minorHAnsi" w:cstheme="minorHAnsi"/>
          <w:sz w:val="24"/>
          <w:szCs w:val="24"/>
        </w:rPr>
        <w:t>Diversidad</w:t>
      </w:r>
      <w:proofErr w:type="spellEnd"/>
      <w:r w:rsidRPr="00E13128">
        <w:rPr>
          <w:rFonts w:asciiTheme="minorHAnsi" w:hAnsiTheme="minorHAnsi" w:cstheme="minorHAnsi"/>
          <w:sz w:val="24"/>
          <w:szCs w:val="24"/>
        </w:rPr>
        <w:t xml:space="preserve">, </w:t>
      </w:r>
      <w:proofErr w:type="spellStart"/>
      <w:r w:rsidRPr="00E13128">
        <w:rPr>
          <w:rFonts w:asciiTheme="minorHAnsi" w:hAnsiTheme="minorHAnsi" w:cstheme="minorHAnsi"/>
          <w:sz w:val="24"/>
          <w:szCs w:val="24"/>
        </w:rPr>
        <w:t>Equidad</w:t>
      </w:r>
      <w:proofErr w:type="spellEnd"/>
      <w:r w:rsidRPr="00E13128">
        <w:rPr>
          <w:rFonts w:asciiTheme="minorHAnsi" w:hAnsiTheme="minorHAnsi" w:cstheme="minorHAnsi"/>
          <w:sz w:val="24"/>
          <w:szCs w:val="24"/>
        </w:rPr>
        <w:t xml:space="preserve"> y </w:t>
      </w:r>
      <w:proofErr w:type="spellStart"/>
      <w:r w:rsidRPr="00E13128">
        <w:rPr>
          <w:rFonts w:asciiTheme="minorHAnsi" w:hAnsiTheme="minorHAnsi" w:cstheme="minorHAnsi"/>
          <w:sz w:val="24"/>
          <w:szCs w:val="24"/>
        </w:rPr>
        <w:t>Sustentabilidad</w:t>
      </w:r>
      <w:proofErr w:type="spellEnd"/>
      <w:r w:rsidRPr="00E13128">
        <w:rPr>
          <w:rFonts w:asciiTheme="minorHAnsi" w:hAnsiTheme="minorHAnsi" w:cstheme="minorHAnsi"/>
          <w:sz w:val="24"/>
          <w:szCs w:val="24"/>
        </w:rPr>
        <w:t xml:space="preserve"> AC, and organizations related to community and indigenous communication in the LAC region that developed the </w:t>
      </w:r>
      <w:proofErr w:type="spellStart"/>
      <w:r w:rsidRPr="00E13128">
        <w:rPr>
          <w:rFonts w:asciiTheme="minorHAnsi" w:hAnsiTheme="minorHAnsi" w:cstheme="minorHAnsi"/>
          <w:sz w:val="24"/>
          <w:szCs w:val="24"/>
        </w:rPr>
        <w:t>Techio</w:t>
      </w:r>
      <w:proofErr w:type="spellEnd"/>
      <w:r w:rsidRPr="00E13128">
        <w:rPr>
          <w:rFonts w:asciiTheme="minorHAnsi" w:hAnsiTheme="minorHAnsi" w:cstheme="minorHAnsi"/>
          <w:sz w:val="24"/>
          <w:szCs w:val="24"/>
        </w:rPr>
        <w:t xml:space="preserve"> </w:t>
      </w:r>
      <w:proofErr w:type="spellStart"/>
      <w:r w:rsidRPr="00E13128">
        <w:rPr>
          <w:rFonts w:asciiTheme="minorHAnsi" w:hAnsiTheme="minorHAnsi" w:cstheme="minorHAnsi"/>
          <w:sz w:val="24"/>
          <w:szCs w:val="24"/>
        </w:rPr>
        <w:t>Comunitario</w:t>
      </w:r>
      <w:proofErr w:type="spellEnd"/>
      <w:r w:rsidRPr="00E13128">
        <w:rPr>
          <w:rFonts w:asciiTheme="minorHAnsi" w:hAnsiTheme="minorHAnsi" w:cstheme="minorHAnsi"/>
          <w:sz w:val="24"/>
          <w:szCs w:val="24"/>
        </w:rPr>
        <w:t xml:space="preserve"> program (check the </w:t>
      </w:r>
      <w:hyperlink r:id="rId47" w:history="1">
        <w:r w:rsidRPr="00E13128">
          <w:rPr>
            <w:rStyle w:val="Hyperlink"/>
            <w:rFonts w:asciiTheme="minorHAnsi" w:hAnsiTheme="minorHAnsi" w:cstheme="minorHAnsi"/>
            <w:color w:val="auto"/>
            <w:sz w:val="24"/>
            <w:szCs w:val="24"/>
            <w:lang w:val="en-US"/>
          </w:rPr>
          <w:t>video</w:t>
        </w:r>
      </w:hyperlink>
      <w:r w:rsidRPr="00E13128">
        <w:rPr>
          <w:rFonts w:asciiTheme="minorHAnsi" w:hAnsiTheme="minorHAnsi" w:cstheme="minorHAnsi"/>
          <w:sz w:val="24"/>
          <w:szCs w:val="24"/>
          <w:lang w:val="en-US"/>
        </w:rPr>
        <w:t xml:space="preserve"> developed by participants</w:t>
      </w:r>
      <w:r w:rsidRPr="00E13128">
        <w:rPr>
          <w:rFonts w:asciiTheme="minorHAnsi" w:hAnsiTheme="minorHAnsi" w:cstheme="minorHAnsi"/>
          <w:sz w:val="24"/>
          <w:szCs w:val="24"/>
        </w:rPr>
        <w:t>).</w:t>
      </w:r>
    </w:p>
    <w:p w14:paraId="05C85627" w14:textId="77777777" w:rsidR="00B406B4" w:rsidRPr="00E13128" w:rsidRDefault="00B406B4" w:rsidP="00E13128">
      <w:pPr>
        <w:pStyle w:val="Heading3"/>
        <w:spacing w:before="120" w:after="120"/>
        <w:rPr>
          <w:szCs w:val="24"/>
          <w:lang w:val="en-US"/>
        </w:rPr>
      </w:pPr>
      <w:r w:rsidRPr="00E13128">
        <w:rPr>
          <w:szCs w:val="24"/>
          <w:lang w:val="en-US"/>
        </w:rPr>
        <w:t>ICT Accessibility</w:t>
      </w:r>
    </w:p>
    <w:p w14:paraId="719DBC4E" w14:textId="10538898" w:rsidR="00B406B4" w:rsidRPr="00E13128" w:rsidRDefault="00B406B4" w:rsidP="00E13128">
      <w:pPr>
        <w:spacing w:after="120"/>
        <w:rPr>
          <w:rFonts w:cstheme="minorHAnsi"/>
          <w:szCs w:val="24"/>
        </w:rPr>
      </w:pPr>
      <w:r w:rsidRPr="00E13128">
        <w:rPr>
          <w:rFonts w:cstheme="minorHAnsi"/>
          <w:szCs w:val="24"/>
        </w:rPr>
        <w:t>A number of guidelines, toolkits, and online self-paced training courses were made accessible, including t</w:t>
      </w:r>
      <w:r w:rsidRPr="00E13128">
        <w:rPr>
          <w:rStyle w:val="normaltextrun"/>
          <w:rFonts w:cstheme="minorHAnsi"/>
          <w:szCs w:val="24"/>
        </w:rPr>
        <w:t xml:space="preserve">he ITU-ILO </w:t>
      </w:r>
      <w:hyperlink r:id="rId48" w:tgtFrame="_blank" w:history="1">
        <w:r w:rsidRPr="00E13128">
          <w:rPr>
            <w:rStyle w:val="normaltextrun"/>
            <w:rFonts w:cstheme="minorHAnsi"/>
            <w:szCs w:val="24"/>
            <w:u w:val="single"/>
          </w:rPr>
          <w:t>Guidebook on accessibility of online job application and recruitment systems</w:t>
        </w:r>
      </w:hyperlink>
      <w:r w:rsidRPr="00E13128">
        <w:rPr>
          <w:rStyle w:val="normaltextrun"/>
          <w:rFonts w:cstheme="minorHAnsi"/>
          <w:szCs w:val="24"/>
        </w:rPr>
        <w:t xml:space="preserve"> and as well as the related online self-paced training in </w:t>
      </w:r>
      <w:r w:rsidRPr="00E13128">
        <w:rPr>
          <w:rFonts w:cstheme="minorHAnsi"/>
          <w:szCs w:val="24"/>
          <w:shd w:val="clear" w:color="auto" w:fill="FFFFFF"/>
        </w:rPr>
        <w:t>English</w:t>
      </w:r>
      <w:r w:rsidRPr="00E13128">
        <w:rPr>
          <w:rStyle w:val="normaltextrun"/>
          <w:rFonts w:cstheme="minorHAnsi"/>
          <w:szCs w:val="24"/>
        </w:rPr>
        <w:t xml:space="preserve"> on</w:t>
      </w:r>
      <w:r w:rsidRPr="00E13128">
        <w:rPr>
          <w:rFonts w:cstheme="minorHAnsi"/>
          <w:szCs w:val="24"/>
          <w:shd w:val="clear" w:color="auto" w:fill="FFFFFF"/>
        </w:rPr>
        <w:t> </w:t>
      </w:r>
      <w:hyperlink r:id="rId49" w:tooltip="Online Self Paced Course - How to ensure that online job applications and recruitment systems are accessible to all" w:history="1">
        <w:r w:rsidRPr="00E13128">
          <w:rPr>
            <w:rStyle w:val="Strong"/>
            <w:rFonts w:cstheme="minorHAnsi"/>
            <w:b w:val="0"/>
            <w:bCs w:val="0"/>
            <w:szCs w:val="24"/>
            <w:u w:val="single"/>
            <w:bdr w:val="none" w:sz="0" w:space="0" w:color="auto" w:frame="1"/>
            <w:shd w:val="clear" w:color="auto" w:fill="FFFFFF"/>
          </w:rPr>
          <w:t>How to ensure that online job applications and recruitment systems are accessible to all</w:t>
        </w:r>
      </w:hyperlink>
      <w:r w:rsidRPr="00E13128">
        <w:rPr>
          <w:rFonts w:cstheme="minorHAnsi"/>
          <w:szCs w:val="24"/>
          <w:u w:val="single"/>
        </w:rPr>
        <w:t>;</w:t>
      </w:r>
      <w:r w:rsidR="005E75F3">
        <w:rPr>
          <w:rFonts w:cstheme="minorHAnsi"/>
          <w:szCs w:val="24"/>
          <w:shd w:val="clear" w:color="auto" w:fill="FFFFFF"/>
        </w:rPr>
        <w:t xml:space="preserve"> </w:t>
      </w:r>
      <w:r w:rsidRPr="00E13128">
        <w:rPr>
          <w:rStyle w:val="normaltextrun"/>
          <w:rFonts w:cstheme="minorHAnsi"/>
          <w:szCs w:val="24"/>
        </w:rPr>
        <w:t xml:space="preserve">the </w:t>
      </w:r>
      <w:r w:rsidRPr="00E13128">
        <w:rPr>
          <w:rFonts w:cstheme="minorHAnsi"/>
          <w:szCs w:val="24"/>
          <w:shd w:val="clear" w:color="auto" w:fill="FFFFFF"/>
        </w:rPr>
        <w:t xml:space="preserve">ITU-D online self-paced training on </w:t>
      </w:r>
      <w:hyperlink r:id="rId50" w:tooltip="Online Self Paced Course - How to ensure inclusive digital communication during crises and emergency situations" w:history="1">
        <w:r w:rsidRPr="00E13128">
          <w:rPr>
            <w:rStyle w:val="Strong"/>
            <w:rFonts w:cstheme="minorHAnsi"/>
            <w:b w:val="0"/>
            <w:bCs w:val="0"/>
            <w:szCs w:val="24"/>
            <w:u w:val="single"/>
            <w:bdr w:val="none" w:sz="0" w:space="0" w:color="auto" w:frame="1"/>
            <w:shd w:val="clear" w:color="auto" w:fill="FFFFFF"/>
          </w:rPr>
          <w:t>How to ensure inclusive digital communication during crises and emergency situations</w:t>
        </w:r>
      </w:hyperlink>
      <w:r w:rsidR="005E75F3">
        <w:rPr>
          <w:rFonts w:cstheme="minorHAnsi"/>
          <w:b/>
          <w:bCs/>
          <w:szCs w:val="24"/>
        </w:rPr>
        <w:t xml:space="preserve"> </w:t>
      </w:r>
      <w:r w:rsidRPr="00E13128">
        <w:rPr>
          <w:rFonts w:cstheme="minorHAnsi"/>
          <w:szCs w:val="24"/>
        </w:rPr>
        <w:t>in Arabic (in addition to the existing</w:t>
      </w:r>
      <w:r w:rsidRPr="00E13128">
        <w:rPr>
          <w:rFonts w:cstheme="minorHAnsi"/>
          <w:szCs w:val="24"/>
          <w:shd w:val="clear" w:color="auto" w:fill="FFFFFF"/>
        </w:rPr>
        <w:t xml:space="preserve"> English, French and Spanish versions); </w:t>
      </w:r>
      <w:hyperlink r:id="rId51" w:history="1">
        <w:r w:rsidRPr="00E13128">
          <w:rPr>
            <w:rStyle w:val="Hyperlink"/>
            <w:rFonts w:cstheme="minorHAnsi"/>
            <w:color w:val="auto"/>
            <w:szCs w:val="24"/>
          </w:rPr>
          <w:t>the ITU toolkit and self-assessment for ICT accessibility implementation “Towards building inclusive digital communities</w:t>
        </w:r>
      </w:hyperlink>
      <w:r w:rsidRPr="00E13128">
        <w:rPr>
          <w:rStyle w:val="normaltextrun"/>
          <w:rFonts w:cstheme="minorHAnsi"/>
          <w:szCs w:val="24"/>
        </w:rPr>
        <w:t>“ in Russian and Spanish</w:t>
      </w:r>
      <w:r w:rsidRPr="00E13128">
        <w:rPr>
          <w:rFonts w:cstheme="minorHAnsi"/>
          <w:szCs w:val="24"/>
        </w:rPr>
        <w:t>.</w:t>
      </w:r>
    </w:p>
    <w:p w14:paraId="4B4DE7A2" w14:textId="77777777" w:rsidR="00B406B4" w:rsidRPr="00E13128" w:rsidRDefault="00B406B4" w:rsidP="00E13128">
      <w:pPr>
        <w:spacing w:after="120"/>
        <w:rPr>
          <w:rFonts w:cstheme="minorHAnsi"/>
          <w:szCs w:val="24"/>
        </w:rPr>
      </w:pPr>
      <w:r w:rsidRPr="00E13128">
        <w:rPr>
          <w:rFonts w:cstheme="minorHAnsi"/>
          <w:szCs w:val="24"/>
        </w:rPr>
        <w:t xml:space="preserve">BDT provided expert advice on ICT accessibility to support ITU members’ efforts advance digital inclusion in at the national and regional level and </w:t>
      </w:r>
      <w:hyperlink r:id="rId52" w:history="1">
        <w:r w:rsidRPr="00E13128">
          <w:rPr>
            <w:rStyle w:val="Hyperlink"/>
            <w:rFonts w:cstheme="minorHAnsi"/>
            <w:color w:val="auto"/>
            <w:szCs w:val="24"/>
          </w:rPr>
          <w:t>raised awareness of over 70 available tools and resources on ICT/digital accessibility</w:t>
        </w:r>
      </w:hyperlink>
      <w:r w:rsidRPr="00E13128">
        <w:rPr>
          <w:rFonts w:cstheme="minorHAnsi"/>
          <w:szCs w:val="24"/>
        </w:rPr>
        <w:t xml:space="preserve"> in multiple languages as universal design of technology, which are essential for fostering an inclusive digital transformation process for all, regardless of age, gender, ability or location. </w:t>
      </w:r>
    </w:p>
    <w:tbl>
      <w:tblPr>
        <w:tblStyle w:val="TableGrid"/>
        <w:tblW w:w="9776" w:type="dxa"/>
        <w:tblLook w:val="04A0" w:firstRow="1" w:lastRow="0" w:firstColumn="1" w:lastColumn="0" w:noHBand="0" w:noVBand="1"/>
      </w:tblPr>
      <w:tblGrid>
        <w:gridCol w:w="9776"/>
      </w:tblGrid>
      <w:tr w:rsidR="00B406B4" w:rsidRPr="0074089C" w14:paraId="26F36954" w14:textId="77777777" w:rsidTr="00E13128">
        <w:tc>
          <w:tcPr>
            <w:tcW w:w="9776" w:type="dxa"/>
          </w:tcPr>
          <w:p w14:paraId="06BC0FE4" w14:textId="2345578D" w:rsidR="00B406B4" w:rsidRPr="00E13128" w:rsidRDefault="00B406B4" w:rsidP="00E13128">
            <w:pPr>
              <w:spacing w:before="60" w:after="60"/>
              <w:rPr>
                <w:rFonts w:cstheme="minorHAnsi"/>
                <w:b/>
                <w:bCs/>
                <w:sz w:val="22"/>
                <w:szCs w:val="22"/>
              </w:rPr>
            </w:pPr>
            <w:r w:rsidRPr="00E13128">
              <w:rPr>
                <w:rFonts w:cstheme="minorHAnsi"/>
                <w:b/>
                <w:bCs/>
                <w:sz w:val="22"/>
                <w:szCs w:val="22"/>
              </w:rPr>
              <w:t>Regional Initiatives</w:t>
            </w:r>
          </w:p>
          <w:p w14:paraId="1E05963A" w14:textId="56542768" w:rsidR="006A73CA" w:rsidRPr="00E13128" w:rsidRDefault="006A73CA" w:rsidP="00E13128">
            <w:pPr>
              <w:tabs>
                <w:tab w:val="left" w:pos="1134"/>
                <w:tab w:val="left" w:pos="1871"/>
                <w:tab w:val="left" w:pos="2268"/>
              </w:tabs>
              <w:spacing w:before="60" w:after="60"/>
              <w:rPr>
                <w:rFonts w:cstheme="minorHAnsi"/>
                <w:i/>
                <w:iCs/>
                <w:sz w:val="22"/>
                <w:szCs w:val="22"/>
              </w:rPr>
            </w:pPr>
            <w:r w:rsidRPr="00E13128">
              <w:rPr>
                <w:rFonts w:cstheme="minorHAnsi"/>
                <w:i/>
                <w:iCs/>
                <w:sz w:val="22"/>
                <w:szCs w:val="22"/>
              </w:rPr>
              <w:t>Africa region</w:t>
            </w:r>
          </w:p>
          <w:p w14:paraId="71FBD041" w14:textId="304716C9" w:rsidR="006A73CA" w:rsidRPr="00E13128" w:rsidRDefault="006A73CA" w:rsidP="00E13128">
            <w:pPr>
              <w:pStyle w:val="ListParagraph"/>
              <w:numPr>
                <w:ilvl w:val="0"/>
                <w:numId w:val="54"/>
              </w:numPr>
              <w:spacing w:before="60" w:after="60"/>
              <w:contextualSpacing w:val="0"/>
              <w:rPr>
                <w:rFonts w:cstheme="minorHAnsi"/>
                <w:sz w:val="22"/>
                <w:szCs w:val="22"/>
                <w:lang w:val="en-US"/>
              </w:rPr>
            </w:pPr>
            <w:r w:rsidRPr="00E13128">
              <w:rPr>
                <w:rFonts w:cstheme="minorHAnsi"/>
                <w:sz w:val="22"/>
                <w:szCs w:val="22"/>
                <w:lang w:val="en-US"/>
              </w:rPr>
              <w:t>Girls in ICT Day celebrations 2022:</w:t>
            </w:r>
            <w:r w:rsidRPr="00E13128">
              <w:rPr>
                <w:rFonts w:cstheme="minorHAnsi"/>
                <w:b/>
                <w:bCs/>
                <w:sz w:val="22"/>
                <w:szCs w:val="22"/>
                <w:lang w:val="en-US"/>
              </w:rPr>
              <w:t xml:space="preserve"> </w:t>
            </w:r>
            <w:r w:rsidRPr="00E13128">
              <w:rPr>
                <w:rFonts w:cstheme="minorHAnsi"/>
                <w:sz w:val="22"/>
                <w:szCs w:val="22"/>
                <w:lang w:val="en-US"/>
              </w:rPr>
              <w:t xml:space="preserve">On 28 April, the Girls in ICT Day was celebrated in the Africa region </w:t>
            </w:r>
            <w:r w:rsidR="00CE44E4" w:rsidRPr="00E13128">
              <w:rPr>
                <w:rFonts w:cstheme="minorHAnsi"/>
                <w:sz w:val="22"/>
                <w:szCs w:val="22"/>
                <w:lang w:val="en-US"/>
              </w:rPr>
              <w:t>in conjunction</w:t>
            </w:r>
            <w:r w:rsidRPr="00E13128">
              <w:rPr>
                <w:rFonts w:cstheme="minorHAnsi"/>
                <w:sz w:val="22"/>
                <w:szCs w:val="22"/>
                <w:lang w:val="en-US"/>
              </w:rPr>
              <w:t xml:space="preserve"> with Generation Connect youth envoys and the Africa Network of Women with several participants joining online and with close to 100 young girls in Addis Ababa, Ethiopia. During the event, the challenges and opportunities in safely accessing the </w:t>
            </w:r>
            <w:r w:rsidR="00586EE6" w:rsidRPr="00E13128">
              <w:rPr>
                <w:rFonts w:cstheme="minorHAnsi"/>
                <w:sz w:val="22"/>
                <w:szCs w:val="22"/>
                <w:lang w:val="en-US"/>
              </w:rPr>
              <w:t>I</w:t>
            </w:r>
            <w:r w:rsidRPr="00E13128">
              <w:rPr>
                <w:rFonts w:cstheme="minorHAnsi"/>
                <w:sz w:val="22"/>
                <w:szCs w:val="22"/>
                <w:lang w:val="en-US"/>
              </w:rPr>
              <w:t>nternet were discussed as the main theme. Celebrations were also held by various partners including Governments in more than 20 countries in the region. World Telecommunication and Information Society Day and the Girls in ICT Day events in Cameroon were organized during one month with training, conferences and talks in schools, a hackathon, competition on best ICT solutions and projects, and training over 300 girls on coding. In Zambia, the Digital Transformation Centre also trained 150 girls from underprivileged communities in ICT digital skills and inspire them to take up studies in STEM subjects.</w:t>
            </w:r>
            <w:r w:rsidR="005E75F3">
              <w:rPr>
                <w:rFonts w:cstheme="minorHAnsi"/>
                <w:sz w:val="22"/>
                <w:szCs w:val="22"/>
                <w:lang w:val="en-US"/>
              </w:rPr>
              <w:t xml:space="preserve"> </w:t>
            </w:r>
          </w:p>
          <w:p w14:paraId="0E8EBD51" w14:textId="669CC760" w:rsidR="006A73CA" w:rsidRPr="00E13128" w:rsidRDefault="006A73CA" w:rsidP="00E13128">
            <w:pPr>
              <w:pStyle w:val="ListParagraph"/>
              <w:numPr>
                <w:ilvl w:val="0"/>
                <w:numId w:val="54"/>
              </w:numPr>
              <w:spacing w:before="60" w:after="60"/>
              <w:contextualSpacing w:val="0"/>
              <w:rPr>
                <w:rFonts w:cstheme="minorHAnsi"/>
                <w:sz w:val="22"/>
                <w:szCs w:val="22"/>
                <w:lang w:val="en-US"/>
              </w:rPr>
            </w:pPr>
            <w:r w:rsidRPr="00E13128">
              <w:rPr>
                <w:rFonts w:cstheme="minorHAnsi"/>
                <w:sz w:val="22"/>
                <w:szCs w:val="22"/>
                <w:lang w:val="en-US"/>
              </w:rPr>
              <w:t xml:space="preserve">The second phase of the African Girls Can Code Initiative (AGCCI) was launched in collaboration with the African Union Commission, UN Women, UNECA, UNICEF, UNESCO and other partners with financial support from the Government of Belgium. The second phase will aim to equip young girls with digital skills through national </w:t>
            </w:r>
            <w:proofErr w:type="spellStart"/>
            <w:r w:rsidRPr="00E13128">
              <w:rPr>
                <w:rFonts w:cstheme="minorHAnsi"/>
                <w:sz w:val="22"/>
                <w:szCs w:val="22"/>
                <w:lang w:val="en-US"/>
              </w:rPr>
              <w:t>programmes</w:t>
            </w:r>
            <w:proofErr w:type="spellEnd"/>
            <w:r w:rsidRPr="00E13128">
              <w:rPr>
                <w:rFonts w:cstheme="minorHAnsi"/>
                <w:sz w:val="22"/>
                <w:szCs w:val="22"/>
                <w:lang w:val="en-US"/>
              </w:rPr>
              <w:t xml:space="preserve"> in eleven selected countries.</w:t>
            </w:r>
          </w:p>
          <w:p w14:paraId="34BE0B94" w14:textId="5760E072" w:rsidR="005C76E0" w:rsidRPr="00E13128" w:rsidRDefault="005C76E0" w:rsidP="00E13128">
            <w:pPr>
              <w:tabs>
                <w:tab w:val="left" w:pos="1134"/>
                <w:tab w:val="left" w:pos="1871"/>
                <w:tab w:val="left" w:pos="2268"/>
              </w:tabs>
              <w:spacing w:before="60" w:after="60"/>
              <w:rPr>
                <w:rFonts w:cstheme="minorHAnsi"/>
                <w:i/>
                <w:iCs/>
                <w:sz w:val="22"/>
                <w:szCs w:val="22"/>
              </w:rPr>
            </w:pPr>
            <w:r w:rsidRPr="00E13128">
              <w:rPr>
                <w:rFonts w:cstheme="minorHAnsi"/>
                <w:i/>
                <w:iCs/>
                <w:sz w:val="22"/>
                <w:szCs w:val="22"/>
              </w:rPr>
              <w:t>Americas</w:t>
            </w:r>
            <w:r w:rsidR="006A73CA" w:rsidRPr="00E13128">
              <w:rPr>
                <w:rFonts w:cstheme="minorHAnsi"/>
                <w:i/>
                <w:iCs/>
                <w:sz w:val="22"/>
                <w:szCs w:val="22"/>
              </w:rPr>
              <w:t xml:space="preserve"> region</w:t>
            </w:r>
          </w:p>
          <w:p w14:paraId="00C88688" w14:textId="62F085A8" w:rsidR="00546238" w:rsidRPr="00E13128" w:rsidRDefault="00546238" w:rsidP="00E13128">
            <w:pPr>
              <w:pStyle w:val="ListParagraph"/>
              <w:numPr>
                <w:ilvl w:val="0"/>
                <w:numId w:val="51"/>
              </w:numPr>
              <w:spacing w:before="60" w:after="60"/>
              <w:contextualSpacing w:val="0"/>
              <w:rPr>
                <w:rFonts w:cstheme="minorHAnsi"/>
                <w:sz w:val="22"/>
                <w:szCs w:val="22"/>
              </w:rPr>
            </w:pPr>
            <w:r w:rsidRPr="00E13128">
              <w:rPr>
                <w:rFonts w:cstheme="minorHAnsi"/>
                <w:sz w:val="22"/>
                <w:szCs w:val="22"/>
              </w:rPr>
              <w:t xml:space="preserve">The </w:t>
            </w:r>
            <w:r w:rsidR="00575349" w:rsidRPr="00E13128">
              <w:rPr>
                <w:rFonts w:cstheme="minorHAnsi"/>
                <w:sz w:val="22"/>
                <w:szCs w:val="22"/>
              </w:rPr>
              <w:t>9</w:t>
            </w:r>
            <w:r w:rsidRPr="00E13128">
              <w:rPr>
                <w:rFonts w:cstheme="minorHAnsi"/>
                <w:sz w:val="22"/>
                <w:szCs w:val="22"/>
              </w:rPr>
              <w:t>th edition of Accessible Americas was held in Brasilia</w:t>
            </w:r>
            <w:r w:rsidR="00DA01C2" w:rsidRPr="00E13128">
              <w:rPr>
                <w:rFonts w:cstheme="minorHAnsi"/>
                <w:sz w:val="22"/>
                <w:szCs w:val="22"/>
              </w:rPr>
              <w:t xml:space="preserve"> in November </w:t>
            </w:r>
            <w:r w:rsidRPr="00E13128">
              <w:rPr>
                <w:rFonts w:cstheme="minorHAnsi"/>
                <w:sz w:val="22"/>
                <w:szCs w:val="22"/>
              </w:rPr>
              <w:t>in close collaboration with the Brazilian Administration, ANATEL</w:t>
            </w:r>
            <w:r w:rsidR="00DA01C2" w:rsidRPr="00E13128">
              <w:rPr>
                <w:rFonts w:cstheme="minorHAnsi"/>
                <w:sz w:val="22"/>
                <w:szCs w:val="22"/>
              </w:rPr>
              <w:t xml:space="preserve">. </w:t>
            </w:r>
            <w:r w:rsidR="00340E15" w:rsidRPr="00E13128">
              <w:rPr>
                <w:rFonts w:cstheme="minorHAnsi"/>
                <w:sz w:val="22"/>
                <w:szCs w:val="22"/>
              </w:rPr>
              <w:t xml:space="preserve">Some </w:t>
            </w:r>
            <w:r w:rsidRPr="00E13128">
              <w:rPr>
                <w:rFonts w:cstheme="minorHAnsi"/>
                <w:sz w:val="22"/>
                <w:szCs w:val="22"/>
              </w:rPr>
              <w:t>19</w:t>
            </w:r>
            <w:r w:rsidR="00340E15" w:rsidRPr="00E13128">
              <w:rPr>
                <w:rFonts w:cstheme="minorHAnsi"/>
                <w:sz w:val="22"/>
                <w:szCs w:val="22"/>
              </w:rPr>
              <w:t>0</w:t>
            </w:r>
            <w:r w:rsidRPr="00E13128">
              <w:rPr>
                <w:rFonts w:cstheme="minorHAnsi"/>
                <w:sz w:val="22"/>
                <w:szCs w:val="22"/>
              </w:rPr>
              <w:t xml:space="preserve"> participants from 11 countries</w:t>
            </w:r>
            <w:r w:rsidR="00340E15" w:rsidRPr="00E13128">
              <w:rPr>
                <w:rFonts w:cstheme="minorHAnsi"/>
                <w:sz w:val="22"/>
                <w:szCs w:val="22"/>
              </w:rPr>
              <w:t xml:space="preserve"> attended the event to</w:t>
            </w:r>
            <w:r w:rsidRPr="00E13128">
              <w:rPr>
                <w:rFonts w:cstheme="minorHAnsi"/>
                <w:sz w:val="22"/>
                <w:szCs w:val="22"/>
              </w:rPr>
              <w:t xml:space="preserve"> share good practices, as well as discuss </w:t>
            </w:r>
            <w:r w:rsidR="00330FD1" w:rsidRPr="00E13128">
              <w:rPr>
                <w:rFonts w:cstheme="minorHAnsi"/>
                <w:sz w:val="22"/>
                <w:szCs w:val="22"/>
              </w:rPr>
              <w:t xml:space="preserve">topical </w:t>
            </w:r>
            <w:r w:rsidRPr="00E13128">
              <w:rPr>
                <w:rFonts w:cstheme="minorHAnsi"/>
                <w:sz w:val="22"/>
                <w:szCs w:val="22"/>
              </w:rPr>
              <w:t xml:space="preserve">issues related to digital inclusion and accessible </w:t>
            </w:r>
            <w:r w:rsidRPr="00E13128">
              <w:rPr>
                <w:rFonts w:cstheme="minorHAnsi"/>
                <w:sz w:val="22"/>
                <w:szCs w:val="22"/>
              </w:rPr>
              <w:lastRenderedPageBreak/>
              <w:t>ICTs. ITU led an Executive training on the Fundamentals of ICT Accessibility and key concepts of digital inclusion during the event.</w:t>
            </w:r>
          </w:p>
          <w:p w14:paraId="04900269" w14:textId="20FFE8DB" w:rsidR="007F170D" w:rsidRPr="00E13128" w:rsidRDefault="007F170D" w:rsidP="00E13128">
            <w:pPr>
              <w:pStyle w:val="ListParagraph"/>
              <w:numPr>
                <w:ilvl w:val="0"/>
                <w:numId w:val="51"/>
              </w:numPr>
              <w:spacing w:before="60" w:after="60"/>
              <w:contextualSpacing w:val="0"/>
              <w:rPr>
                <w:rFonts w:cstheme="minorHAnsi"/>
                <w:sz w:val="22"/>
                <w:szCs w:val="22"/>
              </w:rPr>
            </w:pPr>
            <w:r w:rsidRPr="00E13128">
              <w:rPr>
                <w:rFonts w:cstheme="minorHAnsi"/>
                <w:sz w:val="22"/>
                <w:szCs w:val="22"/>
              </w:rPr>
              <w:t>Americas Girls Can Code (AGCC)</w:t>
            </w:r>
            <w:r w:rsidR="00AC584B" w:rsidRPr="00E13128">
              <w:rPr>
                <w:rFonts w:cstheme="minorHAnsi"/>
                <w:sz w:val="22"/>
                <w:szCs w:val="22"/>
              </w:rPr>
              <w:t xml:space="preserve"> was </w:t>
            </w:r>
            <w:r w:rsidR="005A494F" w:rsidRPr="00E13128">
              <w:rPr>
                <w:rFonts w:cstheme="minorHAnsi"/>
                <w:sz w:val="22"/>
                <w:szCs w:val="22"/>
              </w:rPr>
              <w:t>implemented</w:t>
            </w:r>
            <w:r w:rsidRPr="00E13128">
              <w:rPr>
                <w:rFonts w:cstheme="minorHAnsi"/>
                <w:sz w:val="22"/>
                <w:szCs w:val="22"/>
              </w:rPr>
              <w:t xml:space="preserve"> in partnership with META</w:t>
            </w:r>
            <w:r w:rsidR="005A494F" w:rsidRPr="00E13128">
              <w:rPr>
                <w:rFonts w:cstheme="minorHAnsi"/>
                <w:sz w:val="22"/>
                <w:szCs w:val="22"/>
              </w:rPr>
              <w:t>. I</w:t>
            </w:r>
            <w:r w:rsidRPr="00E13128">
              <w:rPr>
                <w:rFonts w:cstheme="minorHAnsi"/>
                <w:sz w:val="22"/>
                <w:szCs w:val="22"/>
              </w:rPr>
              <w:t xml:space="preserve">n 2022 more than 1000 girls and young women benefited from AGCC online and face-to-face </w:t>
            </w:r>
            <w:r w:rsidR="005F3877" w:rsidRPr="00E13128">
              <w:rPr>
                <w:rFonts w:cstheme="minorHAnsi"/>
                <w:sz w:val="22"/>
                <w:szCs w:val="22"/>
              </w:rPr>
              <w:t>training activities</w:t>
            </w:r>
            <w:r w:rsidRPr="00E13128">
              <w:rPr>
                <w:rFonts w:cstheme="minorHAnsi"/>
                <w:sz w:val="22"/>
                <w:szCs w:val="22"/>
              </w:rPr>
              <w:t xml:space="preserve">. Six reports on policy and strategies for gender digital inclusion have been prepared for the project beneficiary countries (Argentina, </w:t>
            </w:r>
            <w:r w:rsidR="005F3877" w:rsidRPr="00E13128">
              <w:rPr>
                <w:rFonts w:cstheme="minorHAnsi"/>
                <w:sz w:val="22"/>
                <w:szCs w:val="22"/>
              </w:rPr>
              <w:t xml:space="preserve">Brazil, </w:t>
            </w:r>
            <w:r w:rsidRPr="00E13128">
              <w:rPr>
                <w:rFonts w:cstheme="minorHAnsi"/>
                <w:sz w:val="22"/>
                <w:szCs w:val="22"/>
              </w:rPr>
              <w:t xml:space="preserve">Ecuador and Mexico) and number of </w:t>
            </w:r>
            <w:hyperlink r:id="rId53" w:history="1">
              <w:r w:rsidRPr="00E13128">
                <w:rPr>
                  <w:rStyle w:val="Hyperlink"/>
                  <w:rFonts w:cstheme="minorHAnsi"/>
                  <w:sz w:val="22"/>
                  <w:szCs w:val="22"/>
                </w:rPr>
                <w:t>digital campaigns on training opportunities</w:t>
              </w:r>
            </w:hyperlink>
            <w:r w:rsidRPr="00E13128">
              <w:rPr>
                <w:rFonts w:cstheme="minorHAnsi"/>
                <w:sz w:val="22"/>
                <w:szCs w:val="22"/>
              </w:rPr>
              <w:t xml:space="preserve"> were launched. </w:t>
            </w:r>
          </w:p>
          <w:p w14:paraId="23B9189D" w14:textId="36156917" w:rsidR="007F170D" w:rsidRPr="00E13128" w:rsidRDefault="000C3A69" w:rsidP="00E13128">
            <w:pPr>
              <w:pStyle w:val="ListParagraph"/>
              <w:numPr>
                <w:ilvl w:val="0"/>
                <w:numId w:val="51"/>
              </w:numPr>
              <w:spacing w:before="60" w:after="60"/>
              <w:contextualSpacing w:val="0"/>
              <w:rPr>
                <w:rFonts w:cstheme="minorHAnsi"/>
                <w:sz w:val="22"/>
                <w:szCs w:val="22"/>
              </w:rPr>
            </w:pPr>
            <w:r w:rsidRPr="00E13128">
              <w:rPr>
                <w:rFonts w:cstheme="minorHAnsi"/>
                <w:sz w:val="22"/>
                <w:szCs w:val="22"/>
              </w:rPr>
              <w:t xml:space="preserve">The </w:t>
            </w:r>
            <w:r w:rsidR="007F170D" w:rsidRPr="00E13128">
              <w:rPr>
                <w:rFonts w:cstheme="minorHAnsi"/>
                <w:sz w:val="22"/>
                <w:szCs w:val="22"/>
              </w:rPr>
              <w:t xml:space="preserve">ITU </w:t>
            </w:r>
            <w:r w:rsidR="00B41276" w:rsidRPr="00E13128">
              <w:rPr>
                <w:rFonts w:cstheme="minorHAnsi"/>
                <w:sz w:val="22"/>
                <w:szCs w:val="22"/>
              </w:rPr>
              <w:t xml:space="preserve">Regional Office for the </w:t>
            </w:r>
            <w:r w:rsidR="007F170D" w:rsidRPr="00E13128">
              <w:rPr>
                <w:rFonts w:cstheme="minorHAnsi"/>
                <w:sz w:val="22"/>
                <w:szCs w:val="22"/>
              </w:rPr>
              <w:t>Americas started the “DIGITAL KIT initiative for the development of skills in entrepreneurs and in micro and small businesses” compris</w:t>
            </w:r>
            <w:r w:rsidR="00B41276" w:rsidRPr="00E13128">
              <w:rPr>
                <w:rFonts w:cstheme="minorHAnsi"/>
                <w:sz w:val="22"/>
                <w:szCs w:val="22"/>
              </w:rPr>
              <w:t>ed of</w:t>
            </w:r>
            <w:r w:rsidR="007F170D" w:rsidRPr="00E13128">
              <w:rPr>
                <w:rFonts w:cstheme="minorHAnsi"/>
                <w:sz w:val="22"/>
                <w:szCs w:val="22"/>
              </w:rPr>
              <w:t xml:space="preserve"> a handbook and 37 accompanying videos. ITU partnered with UN Women to pilot </w:t>
            </w:r>
            <w:r w:rsidR="00B41276" w:rsidRPr="00E13128">
              <w:rPr>
                <w:rFonts w:cstheme="minorHAnsi"/>
                <w:sz w:val="22"/>
                <w:szCs w:val="22"/>
              </w:rPr>
              <w:t>the toolkit</w:t>
            </w:r>
            <w:r w:rsidR="007F170D" w:rsidRPr="00E13128">
              <w:rPr>
                <w:rFonts w:cstheme="minorHAnsi"/>
                <w:sz w:val="22"/>
                <w:szCs w:val="22"/>
              </w:rPr>
              <w:t xml:space="preserve"> in 15 </w:t>
            </w:r>
            <w:r w:rsidR="00B41276" w:rsidRPr="00E13128">
              <w:rPr>
                <w:rFonts w:cstheme="minorHAnsi"/>
                <w:sz w:val="22"/>
                <w:szCs w:val="22"/>
              </w:rPr>
              <w:t xml:space="preserve">women-led </w:t>
            </w:r>
            <w:r w:rsidR="007F170D" w:rsidRPr="00E13128">
              <w:rPr>
                <w:rFonts w:cstheme="minorHAnsi"/>
                <w:sz w:val="22"/>
                <w:szCs w:val="22"/>
              </w:rPr>
              <w:t xml:space="preserve">micro enterprises in El Salvador. </w:t>
            </w:r>
          </w:p>
          <w:p w14:paraId="06B125AE" w14:textId="2D4288EF" w:rsidR="007F170D" w:rsidRPr="00E13128" w:rsidRDefault="007F170D" w:rsidP="00E13128">
            <w:pPr>
              <w:pStyle w:val="ListParagraph"/>
              <w:numPr>
                <w:ilvl w:val="0"/>
                <w:numId w:val="51"/>
              </w:numPr>
              <w:spacing w:before="60" w:after="60"/>
              <w:contextualSpacing w:val="0"/>
              <w:rPr>
                <w:rFonts w:cstheme="minorHAnsi"/>
                <w:sz w:val="22"/>
                <w:szCs w:val="22"/>
              </w:rPr>
            </w:pPr>
            <w:r w:rsidRPr="00E13128">
              <w:rPr>
                <w:rFonts w:cstheme="minorHAnsi"/>
                <w:sz w:val="22"/>
                <w:szCs w:val="22"/>
              </w:rPr>
              <w:t xml:space="preserve">ITU together with its partner Fundación Gran Chaco (FGC) began implementing the project “Youth Digital Inclusion” to promote ICT capacity development activities in benefit of youth from the Gran Chaco region, a remote territory in Argentina, Bolivia and Paraguay, home to vulnerable rural and indigenous communities, as well as to support these countries with the development of national strategies to build an enabling environment for youth innovation and entrepreneurship. </w:t>
            </w:r>
          </w:p>
          <w:p w14:paraId="419191B9" w14:textId="77777777" w:rsidR="00B406B4" w:rsidRPr="00E13128" w:rsidRDefault="00B406B4" w:rsidP="00E13128">
            <w:pPr>
              <w:tabs>
                <w:tab w:val="left" w:pos="1134"/>
                <w:tab w:val="left" w:pos="1871"/>
                <w:tab w:val="left" w:pos="2268"/>
              </w:tabs>
              <w:spacing w:before="60" w:after="60"/>
              <w:rPr>
                <w:rFonts w:cstheme="minorHAnsi"/>
                <w:i/>
                <w:iCs/>
                <w:sz w:val="22"/>
                <w:szCs w:val="22"/>
              </w:rPr>
            </w:pPr>
            <w:r w:rsidRPr="00E13128">
              <w:rPr>
                <w:rFonts w:cstheme="minorHAnsi"/>
                <w:i/>
                <w:iCs/>
                <w:sz w:val="22"/>
                <w:szCs w:val="22"/>
              </w:rPr>
              <w:t>Arab States region</w:t>
            </w:r>
          </w:p>
          <w:p w14:paraId="22600DBD" w14:textId="77777777" w:rsidR="00B406B4" w:rsidRPr="00E13128" w:rsidRDefault="79E6254C" w:rsidP="00E13128">
            <w:pPr>
              <w:pStyle w:val="ListParagraph"/>
              <w:numPr>
                <w:ilvl w:val="0"/>
                <w:numId w:val="19"/>
              </w:numPr>
              <w:tabs>
                <w:tab w:val="clear" w:pos="1134"/>
                <w:tab w:val="clear" w:pos="1871"/>
                <w:tab w:val="clear" w:pos="2268"/>
              </w:tabs>
              <w:overflowPunct/>
              <w:autoSpaceDE/>
              <w:autoSpaceDN/>
              <w:adjustRightInd/>
              <w:spacing w:before="60" w:after="60"/>
              <w:ind w:left="700"/>
              <w:contextualSpacing w:val="0"/>
              <w:textAlignment w:val="auto"/>
              <w:rPr>
                <w:rFonts w:cstheme="minorBidi"/>
                <w:sz w:val="22"/>
                <w:szCs w:val="22"/>
              </w:rPr>
            </w:pPr>
            <w:r w:rsidRPr="00E13128">
              <w:rPr>
                <w:rFonts w:cstheme="minorBidi"/>
                <w:sz w:val="22"/>
                <w:szCs w:val="22"/>
              </w:rPr>
              <w:t xml:space="preserve">ITU has been working on digital inclusion efforts, including providing resources in Arabic for ICT accessibility, organizing Girls in ICT events and supporting gender mainstreaming activities. </w:t>
            </w:r>
          </w:p>
          <w:p w14:paraId="371D2433" w14:textId="6A899B56" w:rsidR="6DB7A5A2" w:rsidRPr="00E13128" w:rsidRDefault="6DB7A5A2" w:rsidP="00E13128">
            <w:pPr>
              <w:pStyle w:val="ListParagraph"/>
              <w:numPr>
                <w:ilvl w:val="0"/>
                <w:numId w:val="19"/>
              </w:numPr>
              <w:tabs>
                <w:tab w:val="clear" w:pos="1134"/>
                <w:tab w:val="clear" w:pos="1871"/>
                <w:tab w:val="clear" w:pos="2268"/>
              </w:tabs>
              <w:spacing w:before="60" w:after="60"/>
              <w:ind w:left="700"/>
              <w:contextualSpacing w:val="0"/>
              <w:rPr>
                <w:rFonts w:ascii="Calibri" w:hAnsi="Calibri" w:cstheme="minorBidi"/>
                <w:sz w:val="22"/>
                <w:szCs w:val="22"/>
              </w:rPr>
            </w:pPr>
            <w:r w:rsidRPr="00E13128">
              <w:rPr>
                <w:rFonts w:ascii="Calibri" w:hAnsi="Calibri" w:cstheme="minorBidi"/>
                <w:sz w:val="22"/>
                <w:szCs w:val="22"/>
              </w:rPr>
              <w:t>The regional office, in collaboration with several regional partners, organized a "Digital Inclusion Week”, which consisted of a series of events at national levels across the region targeting digital inclusion.</w:t>
            </w:r>
          </w:p>
          <w:p w14:paraId="59FBD085" w14:textId="77777777" w:rsidR="00B406B4" w:rsidRPr="00E13128" w:rsidRDefault="00B406B4" w:rsidP="00E13128">
            <w:pPr>
              <w:pStyle w:val="ListParagraph"/>
              <w:numPr>
                <w:ilvl w:val="0"/>
                <w:numId w:val="19"/>
              </w:numPr>
              <w:tabs>
                <w:tab w:val="clear" w:pos="1134"/>
                <w:tab w:val="clear" w:pos="1871"/>
                <w:tab w:val="clear" w:pos="2268"/>
              </w:tabs>
              <w:overflowPunct/>
              <w:autoSpaceDE/>
              <w:autoSpaceDN/>
              <w:adjustRightInd/>
              <w:spacing w:before="60" w:after="60"/>
              <w:ind w:left="700"/>
              <w:contextualSpacing w:val="0"/>
              <w:textAlignment w:val="auto"/>
              <w:rPr>
                <w:rFonts w:cstheme="minorHAnsi"/>
                <w:sz w:val="22"/>
                <w:szCs w:val="22"/>
              </w:rPr>
            </w:pPr>
            <w:r w:rsidRPr="00E13128">
              <w:rPr>
                <w:rFonts w:cstheme="minorBidi"/>
                <w:sz w:val="22"/>
                <w:szCs w:val="22"/>
              </w:rPr>
              <w:t xml:space="preserve">ITU has also been working on youth empowerment through the Generation Connect Youth Envoy program and organizing events on digital accessibility. </w:t>
            </w:r>
          </w:p>
          <w:p w14:paraId="2C7B5562" w14:textId="77777777" w:rsidR="00B406B4" w:rsidRPr="00E13128" w:rsidRDefault="00B406B4" w:rsidP="00E13128">
            <w:pPr>
              <w:pStyle w:val="ListParagraph"/>
              <w:numPr>
                <w:ilvl w:val="0"/>
                <w:numId w:val="19"/>
              </w:numPr>
              <w:tabs>
                <w:tab w:val="clear" w:pos="1134"/>
                <w:tab w:val="clear" w:pos="1871"/>
                <w:tab w:val="clear" w:pos="2268"/>
              </w:tabs>
              <w:overflowPunct/>
              <w:autoSpaceDE/>
              <w:autoSpaceDN/>
              <w:adjustRightInd/>
              <w:spacing w:before="60" w:after="60"/>
              <w:ind w:left="700"/>
              <w:contextualSpacing w:val="0"/>
              <w:textAlignment w:val="auto"/>
              <w:rPr>
                <w:rFonts w:cstheme="minorHAnsi"/>
                <w:sz w:val="22"/>
                <w:szCs w:val="22"/>
              </w:rPr>
            </w:pPr>
            <w:r w:rsidRPr="00E13128">
              <w:rPr>
                <w:rFonts w:cstheme="minorBidi"/>
                <w:sz w:val="22"/>
                <w:szCs w:val="22"/>
              </w:rPr>
              <w:t>The second edition of "Accessible Arab Region: ICTs for All" was virtually organized with the aim of fostering implementation and mainstreaming digital accessibility.</w:t>
            </w:r>
          </w:p>
          <w:p w14:paraId="706CFE53" w14:textId="19244B30" w:rsidR="00B406B4" w:rsidRPr="00E13128" w:rsidRDefault="00B406B4" w:rsidP="00E13128">
            <w:pPr>
              <w:pStyle w:val="ListParagraph"/>
              <w:numPr>
                <w:ilvl w:val="0"/>
                <w:numId w:val="19"/>
              </w:numPr>
              <w:tabs>
                <w:tab w:val="clear" w:pos="1134"/>
                <w:tab w:val="clear" w:pos="1871"/>
                <w:tab w:val="clear" w:pos="2268"/>
              </w:tabs>
              <w:overflowPunct/>
              <w:autoSpaceDE/>
              <w:autoSpaceDN/>
              <w:adjustRightInd/>
              <w:spacing w:before="60" w:after="60"/>
              <w:ind w:left="700"/>
              <w:contextualSpacing w:val="0"/>
              <w:textAlignment w:val="auto"/>
              <w:rPr>
                <w:rFonts w:cstheme="minorHAnsi"/>
                <w:sz w:val="22"/>
                <w:szCs w:val="22"/>
              </w:rPr>
            </w:pPr>
            <w:r w:rsidRPr="00E13128">
              <w:rPr>
                <w:rFonts w:cstheme="minorBidi"/>
                <w:sz w:val="22"/>
                <w:szCs w:val="22"/>
              </w:rPr>
              <w:t>The Network of Women in the Arab region (</w:t>
            </w:r>
            <w:proofErr w:type="spellStart"/>
            <w:r w:rsidRPr="00E13128">
              <w:rPr>
                <w:rFonts w:cstheme="minorBidi"/>
                <w:sz w:val="22"/>
                <w:szCs w:val="22"/>
              </w:rPr>
              <w:t>NoW</w:t>
            </w:r>
            <w:proofErr w:type="spellEnd"/>
            <w:r w:rsidRPr="00E13128">
              <w:rPr>
                <w:rFonts w:cstheme="minorBidi"/>
                <w:sz w:val="22"/>
                <w:szCs w:val="22"/>
              </w:rPr>
              <w:t xml:space="preserve"> ARAB) has established its steering committee and held meetings to support and empower female delegates' participation in ITU conferences.</w:t>
            </w:r>
          </w:p>
          <w:p w14:paraId="20659CE2" w14:textId="77777777" w:rsidR="00B406B4" w:rsidRPr="00E13128" w:rsidRDefault="00B406B4" w:rsidP="00E13128">
            <w:pPr>
              <w:spacing w:before="60" w:after="60"/>
              <w:rPr>
                <w:rFonts w:cstheme="minorHAnsi"/>
                <w:i/>
                <w:iCs/>
                <w:sz w:val="22"/>
                <w:szCs w:val="22"/>
              </w:rPr>
            </w:pPr>
            <w:r w:rsidRPr="00E13128">
              <w:rPr>
                <w:rFonts w:cstheme="minorHAnsi"/>
                <w:i/>
                <w:iCs/>
                <w:sz w:val="22"/>
                <w:szCs w:val="22"/>
              </w:rPr>
              <w:t>Asia-Pacific region</w:t>
            </w:r>
          </w:p>
          <w:p w14:paraId="3CB5265E" w14:textId="77777777" w:rsidR="00B406B4" w:rsidRPr="00E13128" w:rsidRDefault="00B406B4" w:rsidP="00E13128">
            <w:pPr>
              <w:pStyle w:val="ListParagraph"/>
              <w:numPr>
                <w:ilvl w:val="0"/>
                <w:numId w:val="11"/>
              </w:numPr>
              <w:overflowPunct/>
              <w:autoSpaceDE/>
              <w:autoSpaceDN/>
              <w:adjustRightInd/>
              <w:spacing w:before="60" w:after="60"/>
              <w:contextualSpacing w:val="0"/>
              <w:textAlignment w:val="auto"/>
              <w:rPr>
                <w:rFonts w:cstheme="minorHAnsi"/>
                <w:sz w:val="22"/>
                <w:szCs w:val="22"/>
              </w:rPr>
            </w:pPr>
            <w:r w:rsidRPr="00E13128">
              <w:rPr>
                <w:rFonts w:cstheme="minorHAnsi"/>
                <w:sz w:val="22"/>
                <w:szCs w:val="22"/>
              </w:rPr>
              <w:t xml:space="preserve">In the work of ICT Accessibility, a total of 25 policymakers, regulators and CSOs from 14 countries including South Asia, North Asia, Southeast Asia and the Pacific enhanced capacity on the subject of ICT Accessibility and ICT Accessibility assessment, with support from DITRDC. </w:t>
            </w:r>
          </w:p>
          <w:p w14:paraId="0C8DC87B" w14:textId="77777777" w:rsidR="00B406B4" w:rsidRPr="00E13128" w:rsidRDefault="00B406B4" w:rsidP="00E13128">
            <w:pPr>
              <w:pStyle w:val="ListParagraph"/>
              <w:numPr>
                <w:ilvl w:val="0"/>
                <w:numId w:val="11"/>
              </w:numPr>
              <w:overflowPunct/>
              <w:autoSpaceDE/>
              <w:autoSpaceDN/>
              <w:adjustRightInd/>
              <w:spacing w:before="60" w:after="60"/>
              <w:contextualSpacing w:val="0"/>
              <w:textAlignment w:val="auto"/>
              <w:rPr>
                <w:rFonts w:cstheme="minorHAnsi"/>
                <w:sz w:val="22"/>
                <w:szCs w:val="22"/>
              </w:rPr>
            </w:pPr>
            <w:r w:rsidRPr="00E13128">
              <w:rPr>
                <w:rFonts w:cstheme="minorHAnsi"/>
                <w:sz w:val="22"/>
                <w:szCs w:val="22"/>
              </w:rPr>
              <w:t xml:space="preserve">A group of 20 blind persons and persons with visual impairment enhanced their digital literacy in a pilot training for persons with disabilities. This pilot program is part of ITU’s technical assistance for Pakistan to establish an accessible cybercafe for all, especially persons with disabilities. The training was supported by DITRDC and done in collaboration with DTC Pakistan. </w:t>
            </w:r>
          </w:p>
          <w:p w14:paraId="3650D27A" w14:textId="041143F0" w:rsidR="00B406B4" w:rsidRPr="00E13128" w:rsidRDefault="00B406B4" w:rsidP="00E13128">
            <w:pPr>
              <w:numPr>
                <w:ilvl w:val="0"/>
                <w:numId w:val="11"/>
              </w:numPr>
              <w:tabs>
                <w:tab w:val="clear" w:pos="794"/>
                <w:tab w:val="clear" w:pos="1191"/>
                <w:tab w:val="clear" w:pos="1588"/>
                <w:tab w:val="clear" w:pos="1985"/>
              </w:tabs>
              <w:overflowPunct/>
              <w:autoSpaceDE/>
              <w:autoSpaceDN/>
              <w:adjustRightInd/>
              <w:spacing w:before="60" w:after="60"/>
              <w:textAlignment w:val="auto"/>
              <w:rPr>
                <w:rFonts w:cstheme="minorHAnsi"/>
                <w:sz w:val="22"/>
                <w:szCs w:val="22"/>
              </w:rPr>
            </w:pPr>
            <w:r w:rsidRPr="00E13128">
              <w:rPr>
                <w:rFonts w:cstheme="minorHAnsi"/>
                <w:sz w:val="22"/>
                <w:szCs w:val="22"/>
              </w:rPr>
              <w:t xml:space="preserve">In promoting digital inclusion at the national level in Pakistan, ITU, with the support of </w:t>
            </w:r>
            <w:proofErr w:type="spellStart"/>
            <w:r w:rsidRPr="00E13128">
              <w:rPr>
                <w:rFonts w:cstheme="minorHAnsi"/>
                <w:sz w:val="22"/>
                <w:szCs w:val="22"/>
              </w:rPr>
              <w:t>MoITT</w:t>
            </w:r>
            <w:proofErr w:type="spellEnd"/>
            <w:r w:rsidRPr="00E13128">
              <w:rPr>
                <w:rFonts w:cstheme="minorHAnsi"/>
                <w:sz w:val="22"/>
                <w:szCs w:val="22"/>
              </w:rPr>
              <w:t xml:space="preserve"> and DITRDC, organised the Digital Inclusion week: Meaningful ICT for All Pakistan, in Islamabad Pakistan. The event </w:t>
            </w:r>
            <w:r w:rsidR="007F31B8" w:rsidRPr="00E13128">
              <w:rPr>
                <w:rFonts w:cstheme="minorHAnsi"/>
                <w:sz w:val="22"/>
                <w:szCs w:val="22"/>
              </w:rPr>
              <w:t>will</w:t>
            </w:r>
            <w:r w:rsidRPr="00E13128">
              <w:rPr>
                <w:rFonts w:cstheme="minorHAnsi"/>
                <w:sz w:val="22"/>
                <w:szCs w:val="22"/>
              </w:rPr>
              <w:t xml:space="preserve"> promote a multi-stakeholder and inclusive approach to digital development, including three ongoing digital inclusion initiatives such as the Girls in ICT Day, Child Online Protection, and digital literacy training for persons with disabilities. In addition, ITU organized five workshops of mobile apps development and e-commerce.</w:t>
            </w:r>
          </w:p>
          <w:p w14:paraId="55A76A36" w14:textId="20260F38" w:rsidR="00B406B4" w:rsidRPr="00E13128" w:rsidRDefault="00B406B4" w:rsidP="00E13128">
            <w:pPr>
              <w:numPr>
                <w:ilvl w:val="0"/>
                <w:numId w:val="11"/>
              </w:numPr>
              <w:tabs>
                <w:tab w:val="clear" w:pos="794"/>
                <w:tab w:val="clear" w:pos="1191"/>
                <w:tab w:val="clear" w:pos="1588"/>
                <w:tab w:val="clear" w:pos="1985"/>
              </w:tabs>
              <w:overflowPunct/>
              <w:autoSpaceDE/>
              <w:autoSpaceDN/>
              <w:adjustRightInd/>
              <w:spacing w:before="60" w:after="60"/>
              <w:textAlignment w:val="auto"/>
              <w:rPr>
                <w:rFonts w:cstheme="minorHAnsi"/>
                <w:sz w:val="22"/>
                <w:szCs w:val="22"/>
              </w:rPr>
            </w:pPr>
            <w:r w:rsidRPr="00E13128">
              <w:rPr>
                <w:rFonts w:cstheme="minorHAnsi"/>
                <w:sz w:val="22"/>
                <w:szCs w:val="22"/>
              </w:rPr>
              <w:t xml:space="preserve">In Thailand, six trainings on leaderships, digital literacy, digital inclusion with participation of 310 girls and young women were organized in 2022 with support from the Office of the National Broadcasting Telecommunication Commission (NBTC), Ministry of Digital Society and Economy Thailand, the Asia Pacific </w:t>
            </w:r>
            <w:proofErr w:type="spellStart"/>
            <w:r w:rsidRPr="00E13128">
              <w:rPr>
                <w:rFonts w:cstheme="minorHAnsi"/>
                <w:sz w:val="22"/>
                <w:szCs w:val="22"/>
              </w:rPr>
              <w:t>Telecommunity</w:t>
            </w:r>
            <w:proofErr w:type="spellEnd"/>
            <w:r w:rsidRPr="00E13128">
              <w:rPr>
                <w:rFonts w:cstheme="minorHAnsi"/>
                <w:sz w:val="22"/>
                <w:szCs w:val="22"/>
              </w:rPr>
              <w:t xml:space="preserve"> (APT), UN agencies and academia.</w:t>
            </w:r>
          </w:p>
          <w:p w14:paraId="12A275EF" w14:textId="1BC99195" w:rsidR="00B406B4" w:rsidRPr="00E13128" w:rsidRDefault="00B406B4" w:rsidP="00E13128">
            <w:pPr>
              <w:numPr>
                <w:ilvl w:val="0"/>
                <w:numId w:val="11"/>
              </w:numPr>
              <w:tabs>
                <w:tab w:val="clear" w:pos="794"/>
                <w:tab w:val="clear" w:pos="1191"/>
                <w:tab w:val="clear" w:pos="1588"/>
                <w:tab w:val="clear" w:pos="1985"/>
              </w:tabs>
              <w:overflowPunct/>
              <w:autoSpaceDE/>
              <w:autoSpaceDN/>
              <w:adjustRightInd/>
              <w:spacing w:before="60" w:after="60"/>
              <w:textAlignment w:val="auto"/>
              <w:rPr>
                <w:rFonts w:cstheme="minorHAnsi"/>
                <w:sz w:val="22"/>
                <w:szCs w:val="22"/>
              </w:rPr>
            </w:pPr>
            <w:r w:rsidRPr="00E13128">
              <w:rPr>
                <w:rFonts w:cstheme="minorHAnsi"/>
                <w:sz w:val="22"/>
                <w:szCs w:val="22"/>
              </w:rPr>
              <w:lastRenderedPageBreak/>
              <w:t xml:space="preserve"> “Indonesian Women in Tech” carried out a Python programming training with participation of 1500 graduates (young women) with support from </w:t>
            </w:r>
            <w:r w:rsidR="00B03256" w:rsidRPr="00E13128">
              <w:rPr>
                <w:rFonts w:cstheme="minorHAnsi"/>
                <w:sz w:val="22"/>
                <w:szCs w:val="22"/>
              </w:rPr>
              <w:t xml:space="preserve">ITU and the </w:t>
            </w:r>
            <w:r w:rsidRPr="00E13128">
              <w:rPr>
                <w:rFonts w:cstheme="minorHAnsi"/>
                <w:sz w:val="22"/>
                <w:szCs w:val="22"/>
              </w:rPr>
              <w:t>Ministry of Transport and Communications Timor-Leste and national stakeholders.</w:t>
            </w:r>
          </w:p>
          <w:p w14:paraId="7D92FCE8" w14:textId="084DF8FD" w:rsidR="00B406B4" w:rsidRPr="00E13128" w:rsidRDefault="00B03256" w:rsidP="00E13128">
            <w:pPr>
              <w:pStyle w:val="ListParagraph"/>
              <w:numPr>
                <w:ilvl w:val="0"/>
                <w:numId w:val="11"/>
              </w:numPr>
              <w:overflowPunct/>
              <w:autoSpaceDE/>
              <w:autoSpaceDN/>
              <w:adjustRightInd/>
              <w:spacing w:before="60" w:after="60"/>
              <w:contextualSpacing w:val="0"/>
              <w:textAlignment w:val="auto"/>
              <w:rPr>
                <w:rFonts w:cstheme="minorHAnsi"/>
                <w:sz w:val="22"/>
                <w:szCs w:val="22"/>
              </w:rPr>
            </w:pPr>
            <w:r w:rsidRPr="00E13128">
              <w:rPr>
                <w:rFonts w:cstheme="minorHAnsi"/>
                <w:sz w:val="22"/>
                <w:szCs w:val="22"/>
              </w:rPr>
              <w:t>U</w:t>
            </w:r>
            <w:r w:rsidR="00B406B4" w:rsidRPr="00E13128">
              <w:rPr>
                <w:rFonts w:cstheme="minorHAnsi"/>
                <w:sz w:val="22"/>
                <w:szCs w:val="22"/>
              </w:rPr>
              <w:t xml:space="preserve">nder the Girls in ICT Day activities in Thailand, Indonesia, Cambodia, Timor-Leste, and Pakistan, 14 trainings were organized by ITU together with the Girls in ICT Day partners from the governments, UN agencies, private sectors, academia, </w:t>
            </w:r>
            <w:r w:rsidR="007F31B8" w:rsidRPr="00E13128">
              <w:rPr>
                <w:rFonts w:cstheme="minorHAnsi"/>
                <w:sz w:val="22"/>
                <w:szCs w:val="22"/>
              </w:rPr>
              <w:t>c</w:t>
            </w:r>
            <w:r w:rsidR="00B406B4" w:rsidRPr="00E13128">
              <w:rPr>
                <w:rFonts w:cstheme="minorHAnsi"/>
                <w:sz w:val="22"/>
                <w:szCs w:val="22"/>
              </w:rPr>
              <w:t xml:space="preserve">ivil </w:t>
            </w:r>
            <w:r w:rsidR="007F31B8" w:rsidRPr="00E13128">
              <w:rPr>
                <w:rFonts w:cstheme="minorHAnsi"/>
                <w:sz w:val="22"/>
                <w:szCs w:val="22"/>
              </w:rPr>
              <w:t>s</w:t>
            </w:r>
            <w:r w:rsidR="00B406B4" w:rsidRPr="00E13128">
              <w:rPr>
                <w:rFonts w:cstheme="minorHAnsi"/>
                <w:sz w:val="22"/>
                <w:szCs w:val="22"/>
              </w:rPr>
              <w:t xml:space="preserve">ociety </w:t>
            </w:r>
            <w:r w:rsidR="007F31B8" w:rsidRPr="00E13128">
              <w:rPr>
                <w:rFonts w:cstheme="minorHAnsi"/>
                <w:sz w:val="22"/>
                <w:szCs w:val="22"/>
              </w:rPr>
              <w:t xml:space="preserve">and </w:t>
            </w:r>
            <w:r w:rsidR="00B406B4" w:rsidRPr="00E13128">
              <w:rPr>
                <w:rFonts w:cstheme="minorHAnsi"/>
                <w:sz w:val="22"/>
                <w:szCs w:val="22"/>
              </w:rPr>
              <w:t>youth organisation impacting more than 2200 girls and young women in Asia and the Pacific.</w:t>
            </w:r>
          </w:p>
          <w:p w14:paraId="2FD23BBA" w14:textId="48900C73" w:rsidR="00B406B4" w:rsidRPr="00E13128" w:rsidRDefault="00B406B4" w:rsidP="00E13128">
            <w:pPr>
              <w:numPr>
                <w:ilvl w:val="0"/>
                <w:numId w:val="11"/>
              </w:numPr>
              <w:tabs>
                <w:tab w:val="clear" w:pos="794"/>
                <w:tab w:val="clear" w:pos="1191"/>
                <w:tab w:val="clear" w:pos="1588"/>
                <w:tab w:val="clear" w:pos="1985"/>
              </w:tabs>
              <w:overflowPunct/>
              <w:autoSpaceDE/>
              <w:autoSpaceDN/>
              <w:adjustRightInd/>
              <w:spacing w:before="60" w:after="60"/>
              <w:textAlignment w:val="auto"/>
              <w:rPr>
                <w:rFonts w:cstheme="minorHAnsi"/>
                <w:sz w:val="22"/>
                <w:szCs w:val="22"/>
              </w:rPr>
            </w:pPr>
            <w:r w:rsidRPr="00E13128">
              <w:rPr>
                <w:rFonts w:cstheme="minorHAnsi"/>
                <w:sz w:val="22"/>
                <w:szCs w:val="22"/>
              </w:rPr>
              <w:t>ITU organized a hybrid digital skills training event ‘GC ASP: Walk into ICT Industry’ in April 2022. The event was hosted by Huawei Thailand and engaged 20 Thai girls from rural area and GC-ASP youth envoys.</w:t>
            </w:r>
          </w:p>
          <w:p w14:paraId="2F4A2723" w14:textId="77777777" w:rsidR="00B406B4" w:rsidRPr="00E13128" w:rsidRDefault="00B406B4" w:rsidP="00E13128">
            <w:pPr>
              <w:spacing w:before="60" w:after="60"/>
              <w:rPr>
                <w:rFonts w:cstheme="minorHAnsi"/>
                <w:i/>
                <w:iCs/>
                <w:sz w:val="22"/>
                <w:szCs w:val="22"/>
              </w:rPr>
            </w:pPr>
            <w:r w:rsidRPr="00E13128">
              <w:rPr>
                <w:rFonts w:cstheme="minorHAnsi"/>
                <w:i/>
                <w:iCs/>
                <w:sz w:val="22"/>
                <w:szCs w:val="22"/>
              </w:rPr>
              <w:t>CIS region</w:t>
            </w:r>
          </w:p>
          <w:p w14:paraId="4ACC3804" w14:textId="77777777" w:rsidR="00B406B4" w:rsidRPr="00E13128" w:rsidRDefault="00B406B4" w:rsidP="00E13128">
            <w:pPr>
              <w:pStyle w:val="ListParagraph"/>
              <w:numPr>
                <w:ilvl w:val="0"/>
                <w:numId w:val="7"/>
              </w:numPr>
              <w:overflowPunct/>
              <w:autoSpaceDE/>
              <w:autoSpaceDN/>
              <w:adjustRightInd/>
              <w:spacing w:before="60" w:after="60"/>
              <w:ind w:left="700"/>
              <w:contextualSpacing w:val="0"/>
              <w:textAlignment w:val="auto"/>
              <w:rPr>
                <w:rFonts w:cstheme="minorHAnsi"/>
                <w:sz w:val="22"/>
                <w:szCs w:val="22"/>
              </w:rPr>
            </w:pPr>
            <w:r w:rsidRPr="00E13128">
              <w:rPr>
                <w:rStyle w:val="normaltextrun"/>
                <w:rFonts w:cstheme="minorHAnsi"/>
                <w:sz w:val="22"/>
                <w:szCs w:val="22"/>
                <w:shd w:val="clear" w:color="auto" w:fill="FFFFFF"/>
              </w:rPr>
              <w:t xml:space="preserve">Between 2018 and 2022, </w:t>
            </w:r>
            <w:r w:rsidRPr="00E13128">
              <w:rPr>
                <w:rFonts w:cstheme="minorHAnsi"/>
                <w:sz w:val="22"/>
                <w:szCs w:val="22"/>
              </w:rPr>
              <w:t xml:space="preserve">ITU continued to support the enhancement of specialized centres for children with disabilities in Belarus (two centres in Minsk and Vitebsk under the Belarus State Academy of Communication) and in Kyrgyzstan (one centre in Bishkek under the Institute of Electronics and Telecommunications). </w:t>
            </w:r>
          </w:p>
          <w:p w14:paraId="178DC42D" w14:textId="77777777" w:rsidR="00B406B4" w:rsidRPr="00E13128" w:rsidRDefault="00B406B4" w:rsidP="00E13128">
            <w:pPr>
              <w:pStyle w:val="ListParagraph"/>
              <w:numPr>
                <w:ilvl w:val="0"/>
                <w:numId w:val="7"/>
              </w:numPr>
              <w:overflowPunct/>
              <w:autoSpaceDE/>
              <w:autoSpaceDN/>
              <w:adjustRightInd/>
              <w:spacing w:before="60" w:after="60"/>
              <w:ind w:left="700"/>
              <w:contextualSpacing w:val="0"/>
              <w:textAlignment w:val="auto"/>
              <w:rPr>
                <w:rFonts w:cstheme="minorHAnsi"/>
                <w:sz w:val="22"/>
                <w:szCs w:val="22"/>
              </w:rPr>
            </w:pPr>
            <w:r w:rsidRPr="00E13128">
              <w:rPr>
                <w:rFonts w:cstheme="minorHAnsi"/>
                <w:sz w:val="22"/>
                <w:szCs w:val="22"/>
              </w:rPr>
              <w:t xml:space="preserve">In February 2022, ITU Regional Offices for the CIS and Europe regions participated in the </w:t>
            </w:r>
            <w:hyperlink r:id="rId54" w:history="1">
              <w:r w:rsidRPr="00E13128">
                <w:rPr>
                  <w:rStyle w:val="Hyperlink"/>
                  <w:rFonts w:cstheme="minorHAnsi"/>
                  <w:color w:val="auto"/>
                  <w:sz w:val="22"/>
                  <w:szCs w:val="22"/>
                </w:rPr>
                <w:t>European Regional Disability Summit ("Perspectives on pan-European international cooperation")</w:t>
              </w:r>
            </w:hyperlink>
            <w:r w:rsidRPr="00E13128">
              <w:rPr>
                <w:rFonts w:cstheme="minorHAnsi"/>
                <w:sz w:val="22"/>
                <w:szCs w:val="22"/>
              </w:rPr>
              <w:t xml:space="preserve">. ITU reported on its experience with the creation of digital skills training centres for persons with disabilities, its capacity-building work aimed at teachers for those centres, and its research in the domain. </w:t>
            </w:r>
          </w:p>
          <w:p w14:paraId="34ABBA34" w14:textId="77777777" w:rsidR="00B406B4" w:rsidRPr="00E13128" w:rsidRDefault="00B406B4" w:rsidP="00E13128">
            <w:pPr>
              <w:pStyle w:val="ListParagraph"/>
              <w:numPr>
                <w:ilvl w:val="0"/>
                <w:numId w:val="7"/>
              </w:numPr>
              <w:overflowPunct/>
              <w:autoSpaceDE/>
              <w:autoSpaceDN/>
              <w:adjustRightInd/>
              <w:spacing w:before="60" w:after="60"/>
              <w:ind w:left="700"/>
              <w:contextualSpacing w:val="0"/>
              <w:textAlignment w:val="auto"/>
              <w:rPr>
                <w:rFonts w:cstheme="minorHAnsi"/>
                <w:sz w:val="22"/>
                <w:szCs w:val="22"/>
              </w:rPr>
            </w:pPr>
            <w:r w:rsidRPr="00E13128">
              <w:rPr>
                <w:rFonts w:cstheme="minorHAnsi"/>
                <w:sz w:val="22"/>
                <w:szCs w:val="22"/>
              </w:rPr>
              <w:t>As part of the UNECE Regional Forum on Sustainable Development, a virtual event was held on 6 April 2022 "Digital Inclusion for Persons with Disabilities", organized by the ITU Regional Office for CIS with support from UNESCO, IITE brought together representatives of Armenia, Kyrgyzstan to share and promote digital accessibility. The event also provided an overview of current practice for achieving digital inclusion for persons with disabilities and exchange lessons learnt from providing digital skills training to persons with disabilities.</w:t>
            </w:r>
          </w:p>
          <w:p w14:paraId="3B133E26" w14:textId="77777777" w:rsidR="00B406B4" w:rsidRPr="00E13128" w:rsidRDefault="00B406B4" w:rsidP="00E13128">
            <w:pPr>
              <w:pStyle w:val="ListParagraph"/>
              <w:numPr>
                <w:ilvl w:val="0"/>
                <w:numId w:val="7"/>
              </w:numPr>
              <w:overflowPunct/>
              <w:autoSpaceDE/>
              <w:autoSpaceDN/>
              <w:adjustRightInd/>
              <w:spacing w:before="60" w:after="60"/>
              <w:ind w:left="700"/>
              <w:contextualSpacing w:val="0"/>
              <w:textAlignment w:val="auto"/>
              <w:rPr>
                <w:rFonts w:cstheme="minorHAnsi"/>
                <w:sz w:val="22"/>
                <w:szCs w:val="22"/>
              </w:rPr>
            </w:pPr>
            <w:r w:rsidRPr="00E13128">
              <w:rPr>
                <w:rFonts w:cstheme="minorHAnsi"/>
                <w:sz w:val="22"/>
                <w:szCs w:val="22"/>
              </w:rPr>
              <w:t xml:space="preserve">Jointly with Saint-Petersburg Telecommunication University a “Youth Model ITU” was held, bringing together young people interested in learning about ITU in October 2022. </w:t>
            </w:r>
          </w:p>
          <w:p w14:paraId="6C4408CD" w14:textId="77777777" w:rsidR="00B406B4" w:rsidRPr="00E13128" w:rsidRDefault="00B406B4" w:rsidP="00E13128">
            <w:pPr>
              <w:pStyle w:val="ListParagraph"/>
              <w:numPr>
                <w:ilvl w:val="0"/>
                <w:numId w:val="7"/>
              </w:numPr>
              <w:overflowPunct/>
              <w:autoSpaceDE/>
              <w:autoSpaceDN/>
              <w:adjustRightInd/>
              <w:spacing w:before="60" w:after="60"/>
              <w:ind w:left="700"/>
              <w:contextualSpacing w:val="0"/>
              <w:textAlignment w:val="auto"/>
              <w:rPr>
                <w:rFonts w:cstheme="minorHAnsi"/>
                <w:sz w:val="22"/>
                <w:szCs w:val="22"/>
              </w:rPr>
            </w:pPr>
            <w:r w:rsidRPr="00E13128">
              <w:rPr>
                <w:rFonts w:cstheme="minorHAnsi"/>
                <w:sz w:val="22"/>
                <w:szCs w:val="22"/>
              </w:rPr>
              <w:t>For the International Girls in ICT Day held on 28 April 2022, a regional online dialogue on "Skills development – What are we offering" and a regional roundtable took place in Tashkent, Uzbekistan. These sessions, aimed at bridging the digital gender divide and incentivizing girls and women to pursue STEM education and work, were organized by ITU with support from the Ministry for Development of Information Technologies and Communications of the Republic of Uzbekistan. More than 70 participants attended, including various Member States and Sector Members.</w:t>
            </w:r>
          </w:p>
          <w:p w14:paraId="30D068DD" w14:textId="2F79512D" w:rsidR="00B406B4" w:rsidRPr="00E13128" w:rsidRDefault="00B406B4" w:rsidP="00E13128">
            <w:pPr>
              <w:pStyle w:val="ListParagraph"/>
              <w:numPr>
                <w:ilvl w:val="0"/>
                <w:numId w:val="19"/>
              </w:numPr>
              <w:tabs>
                <w:tab w:val="clear" w:pos="1134"/>
                <w:tab w:val="clear" w:pos="1871"/>
                <w:tab w:val="clear" w:pos="2268"/>
              </w:tabs>
              <w:overflowPunct/>
              <w:autoSpaceDE/>
              <w:autoSpaceDN/>
              <w:adjustRightInd/>
              <w:spacing w:before="60" w:after="60"/>
              <w:ind w:left="700"/>
              <w:contextualSpacing w:val="0"/>
              <w:textAlignment w:val="auto"/>
              <w:rPr>
                <w:rFonts w:cstheme="minorBidi"/>
                <w:sz w:val="22"/>
                <w:szCs w:val="22"/>
              </w:rPr>
            </w:pPr>
            <w:r w:rsidRPr="00E13128">
              <w:rPr>
                <w:rFonts w:cstheme="minorBidi"/>
                <w:sz w:val="22"/>
                <w:szCs w:val="22"/>
              </w:rPr>
              <w:t>From August to October 2022, a digital gender divide research was conducted in partnership with UNDP Uzbekistan. Held both online and offline, the survey reached all regions of the country, with responses from more than 9 000 persons. The result is a body of representative data about various aspects of the digital gender divide in Uzbekistan, including the gap in ownership of Internet-capable devices, the digital skills gap using ITU methodology, access to the Internet, and key barriers to more active Internet utilization. The results will be used in the analysis of the current situation in the country and in planning activities to address the issues.</w:t>
            </w:r>
          </w:p>
          <w:p w14:paraId="1136E93F" w14:textId="01214E51" w:rsidR="00B406B4" w:rsidRPr="00E13128" w:rsidRDefault="75F9D040" w:rsidP="00E13128">
            <w:pPr>
              <w:overflowPunct/>
              <w:autoSpaceDE/>
              <w:autoSpaceDN/>
              <w:adjustRightInd/>
              <w:spacing w:before="60" w:after="60"/>
              <w:textAlignment w:val="auto"/>
              <w:rPr>
                <w:rFonts w:ascii="Calibri" w:hAnsi="Calibri" w:cstheme="minorBidi"/>
                <w:i/>
                <w:iCs/>
                <w:sz w:val="22"/>
                <w:szCs w:val="22"/>
              </w:rPr>
            </w:pPr>
            <w:r w:rsidRPr="00E13128">
              <w:rPr>
                <w:rFonts w:ascii="Calibri" w:hAnsi="Calibri" w:cstheme="minorBidi"/>
                <w:i/>
                <w:iCs/>
                <w:sz w:val="22"/>
                <w:szCs w:val="22"/>
              </w:rPr>
              <w:t xml:space="preserve">Europe </w:t>
            </w:r>
            <w:r w:rsidR="00484EDF" w:rsidRPr="00E13128">
              <w:rPr>
                <w:rFonts w:ascii="Calibri" w:hAnsi="Calibri" w:cstheme="minorBidi"/>
                <w:i/>
                <w:iCs/>
                <w:sz w:val="22"/>
                <w:szCs w:val="22"/>
              </w:rPr>
              <w:t>r</w:t>
            </w:r>
            <w:r w:rsidRPr="00E13128">
              <w:rPr>
                <w:rFonts w:ascii="Calibri" w:hAnsi="Calibri" w:cstheme="minorBidi"/>
                <w:i/>
                <w:iCs/>
                <w:sz w:val="22"/>
                <w:szCs w:val="22"/>
              </w:rPr>
              <w:t>egion</w:t>
            </w:r>
          </w:p>
          <w:p w14:paraId="0C0E9992" w14:textId="794FFC84" w:rsidR="00B406B4" w:rsidRPr="00E13128" w:rsidRDefault="00F5529B" w:rsidP="00E13128">
            <w:pPr>
              <w:pStyle w:val="ListParagraph"/>
              <w:numPr>
                <w:ilvl w:val="0"/>
                <w:numId w:val="46"/>
              </w:numPr>
              <w:tabs>
                <w:tab w:val="clear" w:pos="1134"/>
                <w:tab w:val="clear" w:pos="1871"/>
                <w:tab w:val="clear" w:pos="2268"/>
              </w:tabs>
              <w:overflowPunct/>
              <w:autoSpaceDE/>
              <w:autoSpaceDN/>
              <w:adjustRightInd/>
              <w:spacing w:before="60" w:after="60"/>
              <w:contextualSpacing w:val="0"/>
              <w:textAlignment w:val="auto"/>
              <w:rPr>
                <w:rFonts w:eastAsia="Calibri" w:cs="Calibri"/>
                <w:sz w:val="22"/>
                <w:szCs w:val="22"/>
              </w:rPr>
            </w:pPr>
            <w:r w:rsidRPr="00E13128">
              <w:rPr>
                <w:rFonts w:ascii="Calibri" w:eastAsia="Calibri" w:hAnsi="Calibri" w:cs="Calibri"/>
                <w:sz w:val="22"/>
                <w:szCs w:val="22"/>
              </w:rPr>
              <w:t>As part of t</w:t>
            </w:r>
            <w:r w:rsidR="42708683" w:rsidRPr="00E13128">
              <w:rPr>
                <w:rFonts w:ascii="Calibri" w:eastAsia="Calibri" w:hAnsi="Calibri" w:cs="Calibri"/>
                <w:sz w:val="22"/>
                <w:szCs w:val="22"/>
              </w:rPr>
              <w:t>he fourth edition of Accessible Europe: ICT 4 All "Celebration of the International Day of Persons with Disabilities" was held on December 2022</w:t>
            </w:r>
            <w:r w:rsidR="00B35E35" w:rsidRPr="00E13128">
              <w:rPr>
                <w:rFonts w:ascii="Calibri" w:eastAsia="Calibri" w:hAnsi="Calibri" w:cs="Calibri"/>
                <w:sz w:val="22"/>
                <w:szCs w:val="22"/>
              </w:rPr>
              <w:t xml:space="preserve">, </w:t>
            </w:r>
            <w:r w:rsidR="42708683" w:rsidRPr="00E13128">
              <w:rPr>
                <w:rFonts w:ascii="Calibri" w:eastAsia="Calibri" w:hAnsi="Calibri" w:cs="Calibri"/>
                <w:sz w:val="22"/>
                <w:szCs w:val="22"/>
              </w:rPr>
              <w:t>commemorat</w:t>
            </w:r>
            <w:r w:rsidR="00B35E35" w:rsidRPr="00E13128">
              <w:rPr>
                <w:rFonts w:ascii="Calibri" w:eastAsia="Calibri" w:hAnsi="Calibri" w:cs="Calibri"/>
                <w:sz w:val="22"/>
                <w:szCs w:val="22"/>
              </w:rPr>
              <w:t>ing</w:t>
            </w:r>
            <w:r w:rsidR="42708683" w:rsidRPr="00E13128">
              <w:rPr>
                <w:rFonts w:ascii="Calibri" w:eastAsia="Calibri" w:hAnsi="Calibri" w:cs="Calibri"/>
                <w:sz w:val="22"/>
                <w:szCs w:val="22"/>
              </w:rPr>
              <w:t xml:space="preserve"> the International Day of Persons with Disabilities. </w:t>
            </w:r>
            <w:r w:rsidR="06F7CFF7" w:rsidRPr="00E13128">
              <w:rPr>
                <w:rFonts w:eastAsia="Calibri" w:cs="Calibri"/>
                <w:sz w:val="22"/>
                <w:szCs w:val="22"/>
              </w:rPr>
              <w:t xml:space="preserve">The event highlighted the importance of establishing a harmonized approach to ensure the full and equal participation of persons with disabilities in the digital world. It also looked into the importance of digital tool and service standardization in answering needs of </w:t>
            </w:r>
            <w:r w:rsidR="06F7CFF7" w:rsidRPr="00E13128">
              <w:rPr>
                <w:rFonts w:eastAsia="Calibri" w:cs="Calibri"/>
                <w:sz w:val="22"/>
                <w:szCs w:val="22"/>
              </w:rPr>
              <w:lastRenderedPageBreak/>
              <w:t>persons with disabilities. In line with the European Year of Youth, the event also included a special youth segment.</w:t>
            </w:r>
          </w:p>
          <w:p w14:paraId="2752DF54" w14:textId="4AD0E8CF" w:rsidR="00B406B4" w:rsidRPr="00E13128" w:rsidRDefault="53D5A0CC" w:rsidP="00E13128">
            <w:pPr>
              <w:pStyle w:val="ListParagraph"/>
              <w:numPr>
                <w:ilvl w:val="0"/>
                <w:numId w:val="46"/>
              </w:numPr>
              <w:tabs>
                <w:tab w:val="clear" w:pos="1134"/>
                <w:tab w:val="clear" w:pos="1871"/>
                <w:tab w:val="clear" w:pos="2268"/>
              </w:tabs>
              <w:overflowPunct/>
              <w:autoSpaceDE/>
              <w:autoSpaceDN/>
              <w:adjustRightInd/>
              <w:spacing w:before="60" w:after="60"/>
              <w:contextualSpacing w:val="0"/>
              <w:textAlignment w:val="auto"/>
              <w:rPr>
                <w:rFonts w:eastAsia="Calibri" w:cs="Calibri"/>
                <w:sz w:val="22"/>
                <w:szCs w:val="22"/>
              </w:rPr>
            </w:pPr>
            <w:r w:rsidRPr="00E13128">
              <w:rPr>
                <w:rFonts w:eastAsia="Calibri" w:cs="Calibri"/>
                <w:sz w:val="22"/>
                <w:szCs w:val="22"/>
              </w:rPr>
              <w:t>For the International Day of Girls in ICT, an event was held in coordination with the Regional Network of Women (</w:t>
            </w:r>
            <w:proofErr w:type="spellStart"/>
            <w:r w:rsidRPr="00E13128">
              <w:rPr>
                <w:rFonts w:eastAsia="Calibri" w:cs="Calibri"/>
                <w:sz w:val="22"/>
                <w:szCs w:val="22"/>
              </w:rPr>
              <w:t>NoW</w:t>
            </w:r>
            <w:proofErr w:type="spellEnd"/>
            <w:r w:rsidRPr="00E13128">
              <w:rPr>
                <w:rFonts w:eastAsia="Calibri" w:cs="Calibri"/>
                <w:sz w:val="22"/>
                <w:szCs w:val="22"/>
              </w:rPr>
              <w:t>). The event aimed at providing high representatives of the European Regional Network of Women with the opportunity to exchange on first-hand experiences and act as role models to encourage European girls and young women to pursue an education and career in STEM.</w:t>
            </w:r>
          </w:p>
          <w:p w14:paraId="091287E1" w14:textId="4CA037D5" w:rsidR="00B406B4" w:rsidRPr="00E13128" w:rsidRDefault="46D5D1B0" w:rsidP="00E13128">
            <w:pPr>
              <w:pStyle w:val="ListParagraph"/>
              <w:numPr>
                <w:ilvl w:val="0"/>
                <w:numId w:val="46"/>
              </w:numPr>
              <w:tabs>
                <w:tab w:val="clear" w:pos="1134"/>
                <w:tab w:val="clear" w:pos="1871"/>
                <w:tab w:val="clear" w:pos="2268"/>
              </w:tabs>
              <w:overflowPunct/>
              <w:autoSpaceDE/>
              <w:autoSpaceDN/>
              <w:adjustRightInd/>
              <w:spacing w:before="60" w:after="60"/>
              <w:contextualSpacing w:val="0"/>
              <w:textAlignment w:val="auto"/>
              <w:rPr>
                <w:rFonts w:eastAsia="Calibri" w:cs="Calibri"/>
                <w:sz w:val="22"/>
                <w:szCs w:val="22"/>
              </w:rPr>
            </w:pPr>
            <w:r w:rsidRPr="00E13128">
              <w:rPr>
                <w:rFonts w:eastAsia="Calibri" w:cs="Calibri"/>
                <w:sz w:val="22"/>
                <w:szCs w:val="22"/>
              </w:rPr>
              <w:t>Within the framework of the UNECE Regional Forum on Sustainable Development, ITU contributed to the Business roundtable on 'Advancing gender equality and women's leadership in selected industries’ focusing on gendered digital divide and women in tech.</w:t>
            </w:r>
          </w:p>
        </w:tc>
      </w:tr>
    </w:tbl>
    <w:p w14:paraId="57FCD3DD" w14:textId="33A53C49" w:rsidR="00B406B4" w:rsidRPr="00E13128" w:rsidRDefault="00B406B4" w:rsidP="00E13128">
      <w:pPr>
        <w:pStyle w:val="Heading1"/>
        <w:numPr>
          <w:ilvl w:val="0"/>
          <w:numId w:val="22"/>
        </w:numPr>
        <w:spacing w:before="120" w:after="120"/>
        <w:ind w:left="357" w:hanging="357"/>
        <w:rPr>
          <w:sz w:val="24"/>
          <w:szCs w:val="24"/>
          <w:lang w:val="en-US"/>
        </w:rPr>
      </w:pPr>
      <w:r w:rsidRPr="00E13128">
        <w:rPr>
          <w:sz w:val="24"/>
          <w:szCs w:val="24"/>
          <w:lang w:val="en-US"/>
        </w:rPr>
        <w:lastRenderedPageBreak/>
        <w:t>Digital innovation ecosystems: Accelerating digital transformation by nurturing entrepreneurship-driven innovation and competitive digital ecosystems</w:t>
      </w:r>
      <w:r w:rsidRPr="00E13128">
        <w:rPr>
          <w:sz w:val="24"/>
          <w:szCs w:val="24"/>
          <w:lang w:val="en-US"/>
        </w:rPr>
        <w:tab/>
      </w:r>
    </w:p>
    <w:p w14:paraId="19589FCD" w14:textId="77777777" w:rsidR="00B406B4" w:rsidRPr="00E13128" w:rsidRDefault="00B406B4" w:rsidP="00E13128">
      <w:pPr>
        <w:pStyle w:val="Heading3"/>
        <w:spacing w:before="120" w:after="120"/>
        <w:rPr>
          <w:szCs w:val="24"/>
          <w:lang w:val="en-US"/>
        </w:rPr>
      </w:pPr>
      <w:r w:rsidRPr="00E13128">
        <w:rPr>
          <w:szCs w:val="24"/>
          <w:lang w:val="en-US"/>
        </w:rPr>
        <w:t>Innovation challenges</w:t>
      </w:r>
    </w:p>
    <w:p w14:paraId="77F73F21" w14:textId="77777777" w:rsidR="00B406B4" w:rsidRPr="00E13128" w:rsidRDefault="00B406B4" w:rsidP="00E13128">
      <w:pPr>
        <w:spacing w:after="120"/>
        <w:rPr>
          <w:rFonts w:cstheme="minorHAnsi"/>
          <w:szCs w:val="24"/>
        </w:rPr>
      </w:pPr>
      <w:r w:rsidRPr="00E13128">
        <w:rPr>
          <w:rFonts w:cstheme="minorHAnsi"/>
          <w:szCs w:val="24"/>
        </w:rPr>
        <w:t xml:space="preserve">The </w:t>
      </w:r>
      <w:hyperlink r:id="rId55" w:history="1">
        <w:r w:rsidRPr="00E13128">
          <w:rPr>
            <w:rStyle w:val="Hyperlink"/>
            <w:rFonts w:cstheme="minorHAnsi"/>
            <w:color w:val="auto"/>
            <w:szCs w:val="24"/>
          </w:rPr>
          <w:t>innovation challenges</w:t>
        </w:r>
      </w:hyperlink>
      <w:r w:rsidRPr="00E13128">
        <w:rPr>
          <w:rFonts w:cstheme="minorHAnsi"/>
          <w:szCs w:val="24"/>
        </w:rPr>
        <w:t xml:space="preserve"> served as an open platform for people to present their ideas and projects, which can contribute to the digital transformation of individuals, communities and society through innovation, a life-</w:t>
      </w:r>
      <w:hyperlink r:id="rId56" w:history="1">
        <w:r w:rsidRPr="00E13128">
          <w:rPr>
            <w:rStyle w:val="Hyperlink"/>
            <w:rFonts w:cstheme="minorHAnsi"/>
            <w:color w:val="auto"/>
            <w:szCs w:val="24"/>
          </w:rPr>
          <w:t>changing experience</w:t>
        </w:r>
      </w:hyperlink>
      <w:r w:rsidRPr="00E13128">
        <w:rPr>
          <w:rFonts w:cstheme="minorHAnsi"/>
          <w:szCs w:val="24"/>
        </w:rPr>
        <w:t xml:space="preserve"> for many of the participants. In 2022, ITU, in partnership with UNFPA and WIPO, ITU run an </w:t>
      </w:r>
      <w:hyperlink r:id="rId57" w:history="1">
        <w:r w:rsidRPr="00E13128">
          <w:rPr>
            <w:rStyle w:val="Hyperlink"/>
            <w:rFonts w:cstheme="minorHAnsi"/>
            <w:color w:val="auto"/>
            <w:szCs w:val="24"/>
          </w:rPr>
          <w:t>innovation challenge to empower women and girls</w:t>
        </w:r>
      </w:hyperlink>
      <w:r w:rsidRPr="00E13128">
        <w:rPr>
          <w:rFonts w:cstheme="minorHAnsi"/>
          <w:szCs w:val="24"/>
        </w:rPr>
        <w:t>. The partners selected 10 winning proposals who received up to $60,000 from UNFPA to position their innovation to scale. ITU provided the mentoring and the training capacity needed to scale the innovation. ITU also run similar joint innovation challenge, the WEA Digital Innovation collaboration with the</w:t>
      </w:r>
      <w:hyperlink r:id="rId58" w:history="1">
        <w:r w:rsidRPr="00E13128">
          <w:rPr>
            <w:rStyle w:val="Hyperlink"/>
            <w:rFonts w:cstheme="minorHAnsi"/>
            <w:color w:val="auto"/>
            <w:szCs w:val="24"/>
          </w:rPr>
          <w:t> Women's Entrepreneurship Accelerator </w:t>
        </w:r>
      </w:hyperlink>
      <w:r w:rsidRPr="00E13128">
        <w:rPr>
          <w:rFonts w:cstheme="minorHAnsi"/>
          <w:szCs w:val="24"/>
        </w:rPr>
        <w:t> (WEA) and </w:t>
      </w:r>
      <w:hyperlink r:id="rId59" w:history="1">
        <w:r w:rsidRPr="00E13128">
          <w:rPr>
            <w:rStyle w:val="Hyperlink"/>
            <w:rFonts w:cstheme="minorHAnsi"/>
            <w:color w:val="auto"/>
            <w:szCs w:val="24"/>
          </w:rPr>
          <w:t>Mary Kay Global</w:t>
        </w:r>
      </w:hyperlink>
      <w:r w:rsidRPr="00E13128">
        <w:rPr>
          <w:rFonts w:cstheme="minorHAnsi"/>
          <w:szCs w:val="24"/>
        </w:rPr>
        <w:t>, supporting the commitment of WEA to empower 5 million women entrepreneurs by 2030 WEA. </w:t>
      </w:r>
    </w:p>
    <w:p w14:paraId="633DD603" w14:textId="77777777" w:rsidR="00B406B4" w:rsidRPr="00E13128" w:rsidRDefault="00B406B4" w:rsidP="00E13128">
      <w:pPr>
        <w:pStyle w:val="Heading3"/>
        <w:spacing w:before="120" w:after="120"/>
        <w:rPr>
          <w:szCs w:val="24"/>
          <w:lang w:val="en-US"/>
        </w:rPr>
      </w:pPr>
      <w:bookmarkStart w:id="10" w:name="_Toc100266103"/>
      <w:r w:rsidRPr="00E13128">
        <w:rPr>
          <w:szCs w:val="24"/>
          <w:lang w:val="en-US"/>
        </w:rPr>
        <w:t>Ecosystem development strategies, roadmaps and projects</w:t>
      </w:r>
      <w:bookmarkEnd w:id="10"/>
    </w:p>
    <w:p w14:paraId="56482933" w14:textId="786B427A" w:rsidR="00B406B4" w:rsidRPr="00E13128" w:rsidRDefault="00B406B4" w:rsidP="00E13128">
      <w:pPr>
        <w:spacing w:after="120"/>
        <w:rPr>
          <w:rFonts w:cstheme="minorHAnsi"/>
          <w:szCs w:val="24"/>
          <w:shd w:val="clear" w:color="auto" w:fill="FFFF00"/>
        </w:rPr>
      </w:pPr>
      <w:r w:rsidRPr="00E13128">
        <w:rPr>
          <w:rFonts w:cstheme="minorHAnsi"/>
          <w:szCs w:val="24"/>
        </w:rPr>
        <w:t xml:space="preserve">ITU helped countries obtain an accurate diagnosis of their digital innovation ecosystems' status and develop strategies to inform national policies through technical assistance. Technical assistance was provided to Georgia, Mali, Montenegro, Niger, </w:t>
      </w:r>
      <w:r w:rsidR="00D36566" w:rsidRPr="00E13128">
        <w:rPr>
          <w:rFonts w:cstheme="minorHAnsi"/>
          <w:szCs w:val="24"/>
        </w:rPr>
        <w:t xml:space="preserve">North Macedonia, </w:t>
      </w:r>
      <w:r w:rsidRPr="00E13128">
        <w:rPr>
          <w:rFonts w:cstheme="minorHAnsi"/>
          <w:szCs w:val="24"/>
        </w:rPr>
        <w:t xml:space="preserve">the Philippines, Serbia, and Trinidad and Tobago to draft digital innovation profiles, which offer an ecosystem blueprint to accelerate digital transformation to leverage entrepreneurship and innovation. ITU also worked with countries to develop proven blueprints or mechanisms enabling digital innovation acceleration at the national level. In 2021, ITU started working with South Africa </w:t>
      </w:r>
      <w:r w:rsidR="00B70A3C" w:rsidRPr="00E13128">
        <w:rPr>
          <w:rFonts w:cstheme="minorHAnsi"/>
          <w:szCs w:val="24"/>
        </w:rPr>
        <w:t xml:space="preserve">on a multi-year project to </w:t>
      </w:r>
      <w:r w:rsidRPr="00E13128">
        <w:rPr>
          <w:rFonts w:cstheme="minorHAnsi"/>
          <w:szCs w:val="24"/>
        </w:rPr>
        <w:t>develop</w:t>
      </w:r>
      <w:r w:rsidR="00B70A3C" w:rsidRPr="00E13128">
        <w:rPr>
          <w:rFonts w:cstheme="minorHAnsi"/>
          <w:szCs w:val="24"/>
        </w:rPr>
        <w:t xml:space="preserve"> an</w:t>
      </w:r>
      <w:r w:rsidRPr="00E13128">
        <w:rPr>
          <w:rFonts w:cstheme="minorHAnsi"/>
          <w:szCs w:val="24"/>
        </w:rPr>
        <w:t xml:space="preserve"> African Digital Transformation Centre to help accelerate digital transformation across key sectors of the economy. Testing for the blueprint for the centre also started in 2021 and will offer additional technical assistance in the future. </w:t>
      </w:r>
      <w:r w:rsidRPr="00E13128">
        <w:rPr>
          <w:rFonts w:cstheme="minorHAnsi"/>
          <w:szCs w:val="24"/>
          <w:shd w:val="clear" w:color="auto" w:fill="FFFFFF"/>
        </w:rPr>
        <w:t xml:space="preserve">Finally, in 2021, a mentorship program for building innovation capacity was developed and launched. </w:t>
      </w:r>
      <w:r w:rsidRPr="00E13128">
        <w:rPr>
          <w:rFonts w:cstheme="minorHAnsi"/>
          <w:szCs w:val="24"/>
        </w:rPr>
        <w:t>In 2022, ITU accelerated the development of a new project with UNFPA, Tech4Youth, which also led to the development a platform called Tech4Girls, which delivered two cohort of participants, young girls aged 16 to 24 through the two programs of Tech4Girls.</w:t>
      </w:r>
    </w:p>
    <w:p w14:paraId="296169E3" w14:textId="77777777" w:rsidR="00B406B4" w:rsidRPr="00E13128" w:rsidRDefault="00B406B4" w:rsidP="00E13128">
      <w:pPr>
        <w:spacing w:after="120"/>
        <w:rPr>
          <w:rFonts w:eastAsia="Calibri" w:cstheme="minorHAnsi"/>
          <w:szCs w:val="24"/>
        </w:rPr>
      </w:pPr>
      <w:r w:rsidRPr="00E13128">
        <w:rPr>
          <w:rFonts w:eastAsia="Calibri" w:cstheme="minorHAnsi"/>
          <w:szCs w:val="24"/>
        </w:rPr>
        <w:t xml:space="preserve">ITU organize a side event at the Global Youth Forum on the side-line of WTDC, </w:t>
      </w:r>
      <w:hyperlink r:id="rId60" w:history="1">
        <w:r w:rsidRPr="00E13128">
          <w:rPr>
            <w:rStyle w:val="Hyperlink"/>
            <w:rFonts w:eastAsia="Calibri" w:cstheme="minorHAnsi"/>
            <w:color w:val="auto"/>
            <w:szCs w:val="24"/>
          </w:rPr>
          <w:t>Innov4Youth - The Missing Links</w:t>
        </w:r>
      </w:hyperlink>
      <w:r w:rsidRPr="00E13128">
        <w:rPr>
          <w:rFonts w:eastAsia="Calibri" w:cstheme="minorHAnsi"/>
          <w:szCs w:val="24"/>
        </w:rPr>
        <w:t>. The event focused on mechanisms that need to be unlocked for the young African talents, including with soliciting pledges for the P2C Digital coalition.</w:t>
      </w:r>
    </w:p>
    <w:p w14:paraId="1927F392" w14:textId="77777777" w:rsidR="00B406B4" w:rsidRPr="00E13128" w:rsidRDefault="00B406B4" w:rsidP="00E13128">
      <w:pPr>
        <w:spacing w:after="120"/>
        <w:rPr>
          <w:rFonts w:cstheme="minorHAnsi"/>
          <w:szCs w:val="24"/>
        </w:rPr>
      </w:pPr>
      <w:r w:rsidRPr="00E13128">
        <w:rPr>
          <w:rFonts w:cstheme="minorHAnsi"/>
          <w:szCs w:val="24"/>
        </w:rPr>
        <w:t xml:space="preserve">Innovation and ecosystem capacity development builds stakeholders' capabilities in innovation and entrepreneurship, enabling them to assess the systemic issues of digital ecosystems and help them develop targeted intervention to make them sustainable and competitive. In 2022, ITU organized several courses including continued delivery of the ecosystem 101 courses in all </w:t>
      </w:r>
      <w:r w:rsidRPr="00E13128">
        <w:rPr>
          <w:rFonts w:cstheme="minorHAnsi"/>
          <w:szCs w:val="24"/>
        </w:rPr>
        <w:lastRenderedPageBreak/>
        <w:t>languages, and new courses with SMART Africa and other partners. Many of the tools developed and taught in the courses are being turned into toolkits in the future.</w:t>
      </w:r>
    </w:p>
    <w:tbl>
      <w:tblPr>
        <w:tblStyle w:val="TableGrid"/>
        <w:tblW w:w="9776" w:type="dxa"/>
        <w:tblLook w:val="04A0" w:firstRow="1" w:lastRow="0" w:firstColumn="1" w:lastColumn="0" w:noHBand="0" w:noVBand="1"/>
      </w:tblPr>
      <w:tblGrid>
        <w:gridCol w:w="9776"/>
      </w:tblGrid>
      <w:tr w:rsidR="00B406B4" w:rsidRPr="0074089C" w14:paraId="04021FCE" w14:textId="77777777" w:rsidTr="00E13128">
        <w:tc>
          <w:tcPr>
            <w:tcW w:w="9776" w:type="dxa"/>
          </w:tcPr>
          <w:p w14:paraId="2CB7F42B" w14:textId="77777777" w:rsidR="00B406B4" w:rsidRPr="0074089C" w:rsidRDefault="00B406B4" w:rsidP="009C6393">
            <w:pPr>
              <w:tabs>
                <w:tab w:val="left" w:pos="1134"/>
                <w:tab w:val="left" w:pos="1871"/>
                <w:tab w:val="left" w:pos="2268"/>
              </w:tabs>
              <w:spacing w:before="60" w:after="60"/>
              <w:rPr>
                <w:rFonts w:cstheme="minorHAnsi"/>
                <w:b/>
                <w:bCs/>
                <w:sz w:val="22"/>
                <w:szCs w:val="22"/>
              </w:rPr>
            </w:pPr>
            <w:r w:rsidRPr="0074089C">
              <w:rPr>
                <w:rFonts w:cstheme="minorHAnsi"/>
                <w:b/>
                <w:bCs/>
                <w:sz w:val="22"/>
                <w:szCs w:val="22"/>
              </w:rPr>
              <w:t>Regional initiatives</w:t>
            </w:r>
          </w:p>
          <w:p w14:paraId="0087F5AF" w14:textId="0450F884" w:rsidR="00DD4830" w:rsidRDefault="00DD4830" w:rsidP="00E13128">
            <w:pPr>
              <w:keepNext/>
              <w:tabs>
                <w:tab w:val="left" w:pos="1134"/>
                <w:tab w:val="left" w:pos="1871"/>
                <w:tab w:val="left" w:pos="2268"/>
              </w:tabs>
              <w:spacing w:before="60" w:after="60"/>
              <w:rPr>
                <w:rFonts w:cstheme="minorHAnsi"/>
                <w:i/>
                <w:iCs/>
                <w:sz w:val="22"/>
                <w:szCs w:val="22"/>
              </w:rPr>
            </w:pPr>
            <w:r>
              <w:rPr>
                <w:rFonts w:cstheme="minorHAnsi"/>
                <w:i/>
                <w:iCs/>
                <w:sz w:val="22"/>
                <w:szCs w:val="22"/>
              </w:rPr>
              <w:t>Africa region</w:t>
            </w:r>
          </w:p>
          <w:p w14:paraId="0D1717B1" w14:textId="65BFF1B4" w:rsidR="00DD4830" w:rsidRPr="00DD50A2" w:rsidRDefault="00DD4830" w:rsidP="009C6393">
            <w:pPr>
              <w:pStyle w:val="ListParagraph"/>
              <w:numPr>
                <w:ilvl w:val="0"/>
                <w:numId w:val="19"/>
              </w:numPr>
              <w:spacing w:before="60" w:after="60"/>
              <w:ind w:left="714" w:hanging="357"/>
              <w:contextualSpacing w:val="0"/>
              <w:rPr>
                <w:rFonts w:cstheme="minorHAnsi"/>
                <w:sz w:val="22"/>
                <w:szCs w:val="22"/>
              </w:rPr>
            </w:pPr>
            <w:r w:rsidRPr="601FE38F">
              <w:rPr>
                <w:rFonts w:cstheme="minorBidi"/>
                <w:sz w:val="22"/>
                <w:szCs w:val="22"/>
              </w:rPr>
              <w:t>ITU and UNFPA teamed up to assist, nurture and support the local digital innovation ecosystem in Benin and develop uses cases that can be applied for other countries in the region for the development of a sustainable and inclusive initiatives to accelerate inclusive digital transformation.</w:t>
            </w:r>
            <w:r w:rsidR="00A005D0" w:rsidRPr="601FE38F">
              <w:rPr>
                <w:rFonts w:cstheme="minorBidi"/>
                <w:sz w:val="22"/>
                <w:szCs w:val="22"/>
              </w:rPr>
              <w:t xml:space="preserve"> The initiative allowed scaling up the impact and sustainability of the UNFOA-launched #Tech4Youth initiative and Task force </w:t>
            </w:r>
            <w:proofErr w:type="spellStart"/>
            <w:r w:rsidR="00A005D0" w:rsidRPr="601FE38F">
              <w:rPr>
                <w:rFonts w:cstheme="minorBidi"/>
                <w:sz w:val="22"/>
                <w:szCs w:val="22"/>
              </w:rPr>
              <w:t>Innov</w:t>
            </w:r>
            <w:proofErr w:type="spellEnd"/>
            <w:r w:rsidR="00A005D0" w:rsidRPr="601FE38F">
              <w:rPr>
                <w:rFonts w:cstheme="minorBidi"/>
                <w:sz w:val="22"/>
                <w:szCs w:val="22"/>
              </w:rPr>
              <w:t xml:space="preserve"> Covid-19 for local youth resilience and digital innovation in Benin.</w:t>
            </w:r>
          </w:p>
          <w:p w14:paraId="62D6F516" w14:textId="77777777" w:rsidR="00DD50A2" w:rsidRPr="00DD50A2" w:rsidRDefault="00DD4830" w:rsidP="009C6393">
            <w:pPr>
              <w:pStyle w:val="ListParagraph"/>
              <w:numPr>
                <w:ilvl w:val="0"/>
                <w:numId w:val="19"/>
              </w:numPr>
              <w:spacing w:before="60" w:after="60"/>
              <w:ind w:left="714" w:hanging="357"/>
              <w:contextualSpacing w:val="0"/>
              <w:rPr>
                <w:rFonts w:cstheme="minorHAnsi"/>
                <w:sz w:val="22"/>
                <w:szCs w:val="22"/>
              </w:rPr>
            </w:pPr>
            <w:r w:rsidRPr="601FE38F">
              <w:rPr>
                <w:rFonts w:cstheme="minorBidi"/>
                <w:sz w:val="22"/>
                <w:szCs w:val="22"/>
              </w:rPr>
              <w:t xml:space="preserve">Cameroon inaugurated the Cameroon Digital Innovation </w:t>
            </w:r>
            <w:proofErr w:type="spellStart"/>
            <w:r w:rsidRPr="601FE38F">
              <w:rPr>
                <w:rFonts w:cstheme="minorBidi"/>
                <w:sz w:val="22"/>
                <w:szCs w:val="22"/>
              </w:rPr>
              <w:t>Center</w:t>
            </w:r>
            <w:proofErr w:type="spellEnd"/>
            <w:r w:rsidRPr="601FE38F">
              <w:rPr>
                <w:rFonts w:cstheme="minorBidi"/>
                <w:sz w:val="22"/>
                <w:szCs w:val="22"/>
              </w:rPr>
              <w:t xml:space="preserve"> offering </w:t>
            </w:r>
            <w:proofErr w:type="spellStart"/>
            <w:r w:rsidRPr="601FE38F">
              <w:rPr>
                <w:rFonts w:cstheme="minorBidi"/>
                <w:sz w:val="22"/>
                <w:szCs w:val="22"/>
              </w:rPr>
              <w:t>Fablabs</w:t>
            </w:r>
            <w:proofErr w:type="spellEnd"/>
            <w:r w:rsidRPr="601FE38F">
              <w:rPr>
                <w:rFonts w:cstheme="minorBidi"/>
                <w:sz w:val="22"/>
                <w:szCs w:val="22"/>
              </w:rPr>
              <w:t xml:space="preserve">, multimedia studios, coworking space, digital academy, for start- ups and a call </w:t>
            </w:r>
            <w:proofErr w:type="spellStart"/>
            <w:r w:rsidRPr="601FE38F">
              <w:rPr>
                <w:rFonts w:cstheme="minorBidi"/>
                <w:sz w:val="22"/>
                <w:szCs w:val="22"/>
              </w:rPr>
              <w:t>center</w:t>
            </w:r>
            <w:proofErr w:type="spellEnd"/>
            <w:r w:rsidRPr="601FE38F">
              <w:rPr>
                <w:rFonts w:cstheme="minorBidi"/>
                <w:sz w:val="22"/>
                <w:szCs w:val="22"/>
              </w:rPr>
              <w:t xml:space="preserve">. Young people </w:t>
            </w:r>
            <w:r w:rsidR="00DD50A2" w:rsidRPr="601FE38F">
              <w:rPr>
                <w:rFonts w:cstheme="minorBidi"/>
                <w:sz w:val="22"/>
                <w:szCs w:val="22"/>
              </w:rPr>
              <w:t>will be</w:t>
            </w:r>
            <w:r w:rsidRPr="601FE38F">
              <w:rPr>
                <w:rFonts w:cstheme="minorBidi"/>
                <w:sz w:val="22"/>
                <w:szCs w:val="22"/>
              </w:rPr>
              <w:t xml:space="preserve"> trained in conceptualizing innovative solutions for digital transformation projects, assisted by experts through coaching sessions. </w:t>
            </w:r>
          </w:p>
          <w:p w14:paraId="7AB7160D" w14:textId="36BA65ED" w:rsidR="00DD4830" w:rsidRPr="00DD50A2" w:rsidRDefault="00DD50A2" w:rsidP="009C6393">
            <w:pPr>
              <w:pStyle w:val="ListParagraph"/>
              <w:numPr>
                <w:ilvl w:val="0"/>
                <w:numId w:val="19"/>
              </w:numPr>
              <w:spacing w:before="60" w:after="60"/>
              <w:ind w:left="714" w:hanging="357"/>
              <w:contextualSpacing w:val="0"/>
              <w:rPr>
                <w:rFonts w:cstheme="minorHAnsi"/>
                <w:sz w:val="22"/>
                <w:szCs w:val="22"/>
              </w:rPr>
            </w:pPr>
            <w:r w:rsidRPr="601FE38F">
              <w:rPr>
                <w:rFonts w:cstheme="minorBidi"/>
                <w:sz w:val="22"/>
                <w:szCs w:val="22"/>
              </w:rPr>
              <w:t xml:space="preserve">With BDT assistance, </w:t>
            </w:r>
            <w:r w:rsidR="00DD4830" w:rsidRPr="601FE38F">
              <w:rPr>
                <w:rFonts w:cstheme="minorBidi"/>
                <w:sz w:val="22"/>
                <w:szCs w:val="22"/>
              </w:rPr>
              <w:t xml:space="preserve">Congo launched at </w:t>
            </w:r>
            <w:proofErr w:type="spellStart"/>
            <w:r w:rsidR="00DD4830" w:rsidRPr="601FE38F">
              <w:rPr>
                <w:rFonts w:cstheme="minorBidi"/>
                <w:sz w:val="22"/>
                <w:szCs w:val="22"/>
              </w:rPr>
              <w:t>Kintele</w:t>
            </w:r>
            <w:proofErr w:type="spellEnd"/>
            <w:r w:rsidR="00DD4830" w:rsidRPr="601FE38F">
              <w:rPr>
                <w:rFonts w:cstheme="minorBidi"/>
                <w:sz w:val="22"/>
                <w:szCs w:val="22"/>
              </w:rPr>
              <w:t xml:space="preserve"> University an Artificial Intelligence research </w:t>
            </w:r>
            <w:proofErr w:type="spellStart"/>
            <w:r w:rsidR="00DD4830" w:rsidRPr="601FE38F">
              <w:rPr>
                <w:rFonts w:cstheme="minorBidi"/>
                <w:sz w:val="22"/>
                <w:szCs w:val="22"/>
              </w:rPr>
              <w:t>center</w:t>
            </w:r>
            <w:proofErr w:type="spellEnd"/>
            <w:r w:rsidR="00DD4830" w:rsidRPr="601FE38F">
              <w:rPr>
                <w:rFonts w:cstheme="minorBidi"/>
                <w:sz w:val="22"/>
                <w:szCs w:val="22"/>
              </w:rPr>
              <w:t xml:space="preserve"> and lab, offering Master 1 and Master 2 curricula</w:t>
            </w:r>
            <w:r w:rsidR="00A005D0" w:rsidRPr="601FE38F">
              <w:rPr>
                <w:rFonts w:cstheme="minorBidi"/>
                <w:sz w:val="22"/>
                <w:szCs w:val="22"/>
              </w:rPr>
              <w:t>.</w:t>
            </w:r>
          </w:p>
          <w:p w14:paraId="433A718B" w14:textId="7245F2FE" w:rsidR="00B406B4" w:rsidRPr="0074089C" w:rsidRDefault="00B406B4" w:rsidP="00E13128">
            <w:pPr>
              <w:tabs>
                <w:tab w:val="left" w:pos="1134"/>
                <w:tab w:val="left" w:pos="1871"/>
                <w:tab w:val="left" w:pos="2268"/>
              </w:tabs>
              <w:spacing w:before="60" w:after="60"/>
              <w:rPr>
                <w:rFonts w:cstheme="minorHAnsi"/>
                <w:i/>
                <w:iCs/>
                <w:sz w:val="22"/>
                <w:szCs w:val="22"/>
              </w:rPr>
            </w:pPr>
            <w:r w:rsidRPr="0074089C">
              <w:rPr>
                <w:rFonts w:cstheme="minorHAnsi"/>
                <w:i/>
                <w:iCs/>
                <w:sz w:val="22"/>
                <w:szCs w:val="22"/>
              </w:rPr>
              <w:t>Arab States region</w:t>
            </w:r>
          </w:p>
          <w:p w14:paraId="32F569DD" w14:textId="25F33B41" w:rsidR="00B406B4" w:rsidRPr="0074089C" w:rsidRDefault="79E6254C" w:rsidP="009C6393">
            <w:pPr>
              <w:pStyle w:val="ListParagraph"/>
              <w:numPr>
                <w:ilvl w:val="0"/>
                <w:numId w:val="20"/>
              </w:numPr>
              <w:tabs>
                <w:tab w:val="clear" w:pos="1134"/>
                <w:tab w:val="clear" w:pos="1871"/>
                <w:tab w:val="clear" w:pos="2268"/>
              </w:tabs>
              <w:overflowPunct/>
              <w:autoSpaceDE/>
              <w:autoSpaceDN/>
              <w:adjustRightInd/>
              <w:spacing w:before="60" w:after="60"/>
              <w:ind w:left="714" w:hanging="357"/>
              <w:contextualSpacing w:val="0"/>
              <w:textAlignment w:val="auto"/>
              <w:rPr>
                <w:rFonts w:cstheme="minorBidi"/>
                <w:sz w:val="22"/>
                <w:szCs w:val="22"/>
              </w:rPr>
            </w:pPr>
            <w:r w:rsidRPr="6DFF32B6">
              <w:rPr>
                <w:rFonts w:cstheme="minorBidi"/>
                <w:sz w:val="22"/>
                <w:szCs w:val="22"/>
              </w:rPr>
              <w:t>The Regional Office for Arab States,</w:t>
            </w:r>
            <w:r w:rsidR="005E75F3">
              <w:rPr>
                <w:rFonts w:cstheme="minorBidi"/>
                <w:sz w:val="22"/>
                <w:szCs w:val="22"/>
              </w:rPr>
              <w:t xml:space="preserve"> </w:t>
            </w:r>
            <w:r w:rsidRPr="6DFF32B6">
              <w:rPr>
                <w:rFonts w:cstheme="minorBidi"/>
                <w:sz w:val="22"/>
                <w:szCs w:val="22"/>
              </w:rPr>
              <w:t xml:space="preserve">has engaged with Oman in developing digital innovation country profiles to assess their digital ecosystems' capacity and maturity. </w:t>
            </w:r>
          </w:p>
          <w:p w14:paraId="0BEB1A6E" w14:textId="77777777" w:rsidR="00B406B4" w:rsidRPr="0074089C" w:rsidRDefault="00B406B4" w:rsidP="009C6393">
            <w:pPr>
              <w:pStyle w:val="ListParagraph"/>
              <w:numPr>
                <w:ilvl w:val="0"/>
                <w:numId w:val="20"/>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 w:val="22"/>
                <w:szCs w:val="22"/>
              </w:rPr>
            </w:pPr>
            <w:r w:rsidRPr="0074089C">
              <w:rPr>
                <w:rFonts w:cstheme="minorHAnsi"/>
                <w:sz w:val="22"/>
                <w:szCs w:val="22"/>
              </w:rPr>
              <w:t xml:space="preserve">The office has also provided innovation and entrepreneurship training through the ITU Academy, including incubation and design thinking courses in English, French, and Arabic. </w:t>
            </w:r>
          </w:p>
          <w:p w14:paraId="5561AAF4" w14:textId="1B76B00D" w:rsidR="00B406B4" w:rsidRPr="0074089C" w:rsidRDefault="79E6254C" w:rsidP="009C6393">
            <w:pPr>
              <w:pStyle w:val="ListParagraph"/>
              <w:numPr>
                <w:ilvl w:val="0"/>
                <w:numId w:val="20"/>
              </w:numPr>
              <w:tabs>
                <w:tab w:val="clear" w:pos="1134"/>
                <w:tab w:val="clear" w:pos="1871"/>
                <w:tab w:val="clear" w:pos="2268"/>
              </w:tabs>
              <w:overflowPunct/>
              <w:autoSpaceDE/>
              <w:autoSpaceDN/>
              <w:adjustRightInd/>
              <w:spacing w:before="60" w:after="60"/>
              <w:ind w:left="714" w:hanging="357"/>
              <w:contextualSpacing w:val="0"/>
              <w:textAlignment w:val="auto"/>
              <w:rPr>
                <w:rFonts w:cstheme="minorBidi"/>
                <w:sz w:val="22"/>
                <w:szCs w:val="22"/>
              </w:rPr>
            </w:pPr>
            <w:r w:rsidRPr="6DFF32B6">
              <w:rPr>
                <w:rFonts w:cstheme="minorBidi"/>
                <w:sz w:val="22"/>
                <w:szCs w:val="22"/>
              </w:rPr>
              <w:t xml:space="preserve">The Arab Innovation and Entrepreneurship Network </w:t>
            </w:r>
            <w:r w:rsidR="649AD9A1" w:rsidRPr="6DFF32B6">
              <w:rPr>
                <w:rFonts w:cstheme="minorBidi"/>
                <w:sz w:val="22"/>
                <w:szCs w:val="22"/>
              </w:rPr>
              <w:t xml:space="preserve">(AIEN) </w:t>
            </w:r>
            <w:r w:rsidRPr="6DFF32B6">
              <w:rPr>
                <w:rFonts w:cstheme="minorBidi"/>
                <w:sz w:val="22"/>
                <w:szCs w:val="22"/>
              </w:rPr>
              <w:t>has supported a soft-landing program, with 57 startups applying. Further discussions are ongoing to extend the project with KAUST in Saudi Arabia considering the great economic benefits this project could bring to the region if it was uplifted with more activities at the regional and global levels.</w:t>
            </w:r>
          </w:p>
          <w:p w14:paraId="3960AC8A" w14:textId="301783BD" w:rsidR="00B406B4" w:rsidRPr="0074089C" w:rsidRDefault="00B406B4" w:rsidP="00E13128">
            <w:pPr>
              <w:tabs>
                <w:tab w:val="left" w:pos="1134"/>
                <w:tab w:val="left" w:pos="1871"/>
                <w:tab w:val="left" w:pos="2268"/>
              </w:tabs>
              <w:spacing w:before="60" w:after="60"/>
              <w:rPr>
                <w:rFonts w:cstheme="minorHAnsi"/>
                <w:sz w:val="22"/>
                <w:szCs w:val="22"/>
              </w:rPr>
            </w:pPr>
            <w:r w:rsidRPr="0074089C">
              <w:rPr>
                <w:rFonts w:cstheme="minorHAnsi"/>
                <w:i/>
                <w:iCs/>
                <w:sz w:val="22"/>
                <w:szCs w:val="22"/>
              </w:rPr>
              <w:t>Asia-Pacific region</w:t>
            </w:r>
          </w:p>
          <w:p w14:paraId="4CC802FF" w14:textId="77777777" w:rsidR="00B406B4" w:rsidRPr="0074089C" w:rsidRDefault="00B406B4" w:rsidP="00E13128">
            <w:pPr>
              <w:pStyle w:val="ListParagraph"/>
              <w:numPr>
                <w:ilvl w:val="0"/>
                <w:numId w:val="8"/>
              </w:numPr>
              <w:overflowPunct/>
              <w:autoSpaceDE/>
              <w:autoSpaceDN/>
              <w:adjustRightInd/>
              <w:spacing w:before="60" w:after="60"/>
              <w:ind w:left="700"/>
              <w:contextualSpacing w:val="0"/>
              <w:textAlignment w:val="auto"/>
              <w:rPr>
                <w:rFonts w:cstheme="minorHAnsi"/>
                <w:sz w:val="22"/>
                <w:szCs w:val="22"/>
              </w:rPr>
            </w:pPr>
            <w:r w:rsidRPr="0074089C">
              <w:rPr>
                <w:rFonts w:cstheme="minorHAnsi"/>
                <w:sz w:val="22"/>
                <w:szCs w:val="22"/>
              </w:rPr>
              <w:t>ITU also co-organized with the Telecommunications Standards Development Society, India (TSDSI) a series of webinars on Digital Technology Innovations. The series focused on Artificial Intelligence (AI) and the potential gender and social biases linked with them and was hosted with the support from the Department of Telecommunications.</w:t>
            </w:r>
          </w:p>
          <w:p w14:paraId="2DE4F899" w14:textId="56735E7E" w:rsidR="00B406B4" w:rsidRPr="0074089C" w:rsidRDefault="00B406B4" w:rsidP="00E13128">
            <w:pPr>
              <w:pStyle w:val="ListParagraph"/>
              <w:numPr>
                <w:ilvl w:val="0"/>
                <w:numId w:val="8"/>
              </w:numPr>
              <w:overflowPunct/>
              <w:autoSpaceDE/>
              <w:autoSpaceDN/>
              <w:adjustRightInd/>
              <w:spacing w:before="60" w:after="60"/>
              <w:ind w:left="700"/>
              <w:contextualSpacing w:val="0"/>
              <w:textAlignment w:val="auto"/>
              <w:rPr>
                <w:rFonts w:cstheme="minorBidi"/>
                <w:sz w:val="22"/>
                <w:szCs w:val="22"/>
              </w:rPr>
            </w:pPr>
            <w:r w:rsidRPr="34F72856">
              <w:rPr>
                <w:rFonts w:cstheme="minorBidi"/>
                <w:sz w:val="22"/>
                <w:szCs w:val="22"/>
              </w:rPr>
              <w:t>ITU conducted a multi-stakeholder co-creation workshop in Brunei Darussalam, in preparation for the 2023 national Digital Innovation Profile.</w:t>
            </w:r>
          </w:p>
          <w:p w14:paraId="06444772" w14:textId="4E706EB2" w:rsidR="00B406B4" w:rsidRPr="0074089C" w:rsidRDefault="4B005538" w:rsidP="00E13128">
            <w:pPr>
              <w:overflowPunct/>
              <w:autoSpaceDE/>
              <w:autoSpaceDN/>
              <w:adjustRightInd/>
              <w:spacing w:before="60" w:after="60"/>
              <w:textAlignment w:val="auto"/>
              <w:rPr>
                <w:rFonts w:ascii="Calibri" w:hAnsi="Calibri" w:cstheme="minorBidi"/>
                <w:sz w:val="22"/>
                <w:szCs w:val="22"/>
              </w:rPr>
            </w:pPr>
            <w:r w:rsidRPr="34F72856">
              <w:rPr>
                <w:rFonts w:ascii="Calibri" w:hAnsi="Calibri" w:cstheme="minorBidi"/>
                <w:i/>
                <w:iCs/>
                <w:sz w:val="22"/>
                <w:szCs w:val="22"/>
              </w:rPr>
              <w:t xml:space="preserve">Europe </w:t>
            </w:r>
            <w:r w:rsidR="00484EDF">
              <w:rPr>
                <w:rFonts w:ascii="Calibri" w:hAnsi="Calibri" w:cstheme="minorBidi"/>
                <w:i/>
                <w:iCs/>
                <w:sz w:val="22"/>
                <w:szCs w:val="22"/>
              </w:rPr>
              <w:t>r</w:t>
            </w:r>
            <w:r w:rsidRPr="34F72856">
              <w:rPr>
                <w:rFonts w:ascii="Calibri" w:hAnsi="Calibri" w:cstheme="minorBidi"/>
                <w:i/>
                <w:iCs/>
                <w:sz w:val="22"/>
                <w:szCs w:val="22"/>
              </w:rPr>
              <w:t>egion</w:t>
            </w:r>
          </w:p>
          <w:p w14:paraId="514A9A39" w14:textId="14614385" w:rsidR="00B406B4" w:rsidRPr="0074089C" w:rsidRDefault="76FC2D8F" w:rsidP="009C6393">
            <w:pPr>
              <w:pStyle w:val="ListParagraph"/>
              <w:numPr>
                <w:ilvl w:val="0"/>
                <w:numId w:val="8"/>
              </w:numPr>
              <w:spacing w:before="60" w:after="60"/>
              <w:ind w:left="697" w:hanging="357"/>
              <w:contextualSpacing w:val="0"/>
              <w:rPr>
                <w:rFonts w:cstheme="minorBidi"/>
                <w:sz w:val="22"/>
                <w:szCs w:val="22"/>
              </w:rPr>
            </w:pPr>
            <w:r w:rsidRPr="34F72856">
              <w:rPr>
                <w:rFonts w:cstheme="minorBidi"/>
                <w:sz w:val="22"/>
                <w:szCs w:val="22"/>
              </w:rPr>
              <w:t xml:space="preserve">The ITU Office for Europe has completed a series of </w:t>
            </w:r>
            <w:r w:rsidR="3001267C" w:rsidRPr="34F72856">
              <w:rPr>
                <w:rFonts w:cstheme="minorBidi"/>
                <w:sz w:val="22"/>
                <w:szCs w:val="22"/>
              </w:rPr>
              <w:t xml:space="preserve">three </w:t>
            </w:r>
            <w:r w:rsidRPr="34F72856">
              <w:rPr>
                <w:rFonts w:cstheme="minorBidi"/>
                <w:sz w:val="22"/>
                <w:szCs w:val="22"/>
              </w:rPr>
              <w:t>digital innovation profiles for Georgia, Serbia and North Macedonia</w:t>
            </w:r>
            <w:r w:rsidR="086A1902" w:rsidRPr="34F72856">
              <w:rPr>
                <w:rFonts w:cstheme="minorBidi"/>
                <w:sz w:val="22"/>
                <w:szCs w:val="22"/>
              </w:rPr>
              <w:t xml:space="preserve">. The profiles </w:t>
            </w:r>
            <w:r w:rsidR="00887866">
              <w:rPr>
                <w:rFonts w:cstheme="minorBidi"/>
                <w:sz w:val="22"/>
                <w:szCs w:val="22"/>
              </w:rPr>
              <w:t>developed</w:t>
            </w:r>
            <w:r w:rsidR="086A1902" w:rsidRPr="34F72856">
              <w:rPr>
                <w:rFonts w:cstheme="minorBidi"/>
                <w:sz w:val="22"/>
                <w:szCs w:val="22"/>
              </w:rPr>
              <w:t xml:space="preserve"> in cooperation</w:t>
            </w:r>
            <w:r w:rsidRPr="34F72856">
              <w:rPr>
                <w:rFonts w:cstheme="minorBidi"/>
                <w:sz w:val="22"/>
                <w:szCs w:val="22"/>
              </w:rPr>
              <w:t xml:space="preserve"> with </w:t>
            </w:r>
            <w:r w:rsidR="587DA8AD" w:rsidRPr="34F72856">
              <w:rPr>
                <w:rFonts w:cstheme="minorBidi"/>
                <w:sz w:val="22"/>
                <w:szCs w:val="22"/>
              </w:rPr>
              <w:t xml:space="preserve">the </w:t>
            </w:r>
            <w:r w:rsidR="00A005D0">
              <w:rPr>
                <w:rFonts w:cstheme="minorBidi"/>
                <w:sz w:val="22"/>
                <w:szCs w:val="22"/>
              </w:rPr>
              <w:t>Member State</w:t>
            </w:r>
            <w:r w:rsidR="5ABB087B" w:rsidRPr="34F72856">
              <w:rPr>
                <w:rFonts w:cstheme="minorBidi"/>
                <w:sz w:val="22"/>
                <w:szCs w:val="22"/>
              </w:rPr>
              <w:t xml:space="preserve"> Administration</w:t>
            </w:r>
            <w:r w:rsidR="00A005D0">
              <w:rPr>
                <w:rFonts w:cstheme="minorBidi"/>
                <w:sz w:val="22"/>
                <w:szCs w:val="22"/>
              </w:rPr>
              <w:t xml:space="preserve">s </w:t>
            </w:r>
            <w:r w:rsidRPr="34F72856">
              <w:rPr>
                <w:rFonts w:cstheme="minorBidi"/>
                <w:sz w:val="22"/>
                <w:szCs w:val="22"/>
              </w:rPr>
              <w:t xml:space="preserve">offer an in-depth analysis of </w:t>
            </w:r>
            <w:r w:rsidR="00A005D0">
              <w:rPr>
                <w:rFonts w:cstheme="minorBidi"/>
                <w:sz w:val="22"/>
                <w:szCs w:val="22"/>
              </w:rPr>
              <w:t>national</w:t>
            </w:r>
            <w:r w:rsidRPr="34F72856">
              <w:rPr>
                <w:rFonts w:cstheme="minorBidi"/>
                <w:sz w:val="22"/>
                <w:szCs w:val="22"/>
              </w:rPr>
              <w:t xml:space="preserve"> digital innovation landscape</w:t>
            </w:r>
            <w:r w:rsidR="00A005D0">
              <w:rPr>
                <w:rFonts w:cstheme="minorBidi"/>
                <w:sz w:val="22"/>
                <w:szCs w:val="22"/>
              </w:rPr>
              <w:t>s</w:t>
            </w:r>
            <w:r w:rsidRPr="34F72856">
              <w:rPr>
                <w:rFonts w:cstheme="minorBidi"/>
                <w:sz w:val="22"/>
                <w:szCs w:val="22"/>
              </w:rPr>
              <w:t>, identifying their strengths and weaknesses and providing recommendations t</w:t>
            </w:r>
            <w:r w:rsidR="564EA028" w:rsidRPr="34F72856">
              <w:rPr>
                <w:rFonts w:cstheme="minorBidi"/>
                <w:sz w:val="22"/>
                <w:szCs w:val="22"/>
              </w:rPr>
              <w:t>o foster digital innovation</w:t>
            </w:r>
            <w:r w:rsidRPr="34F72856">
              <w:rPr>
                <w:rFonts w:cstheme="minorBidi"/>
                <w:sz w:val="22"/>
                <w:szCs w:val="22"/>
              </w:rPr>
              <w:t>. This work is essential to support digital transformation of</w:t>
            </w:r>
            <w:r w:rsidR="290AF2B0" w:rsidRPr="34F72856">
              <w:rPr>
                <w:rFonts w:cstheme="minorBidi"/>
                <w:sz w:val="22"/>
                <w:szCs w:val="22"/>
              </w:rPr>
              <w:t xml:space="preserve"> </w:t>
            </w:r>
            <w:r w:rsidRPr="34F72856">
              <w:rPr>
                <w:rFonts w:cstheme="minorBidi"/>
                <w:sz w:val="22"/>
                <w:szCs w:val="22"/>
              </w:rPr>
              <w:t>countries and help them reach their full potential in the digital economy.</w:t>
            </w:r>
          </w:p>
          <w:p w14:paraId="3027DAD0" w14:textId="3A036284" w:rsidR="00B406B4" w:rsidRPr="0074089C" w:rsidRDefault="00A005D0" w:rsidP="009C6393">
            <w:pPr>
              <w:pStyle w:val="ListParagraph"/>
              <w:numPr>
                <w:ilvl w:val="0"/>
                <w:numId w:val="8"/>
              </w:numPr>
              <w:overflowPunct/>
              <w:autoSpaceDE/>
              <w:autoSpaceDN/>
              <w:adjustRightInd/>
              <w:spacing w:before="60" w:after="60"/>
              <w:ind w:left="697" w:hanging="357"/>
              <w:contextualSpacing w:val="0"/>
              <w:textAlignment w:val="auto"/>
              <w:rPr>
                <w:rFonts w:ascii="Calibri" w:hAnsi="Calibri"/>
                <w:szCs w:val="24"/>
              </w:rPr>
            </w:pPr>
            <w:r>
              <w:rPr>
                <w:rFonts w:ascii="Calibri" w:hAnsi="Calibri" w:cstheme="minorBidi"/>
                <w:sz w:val="22"/>
                <w:szCs w:val="22"/>
              </w:rPr>
              <w:t xml:space="preserve">The </w:t>
            </w:r>
            <w:r w:rsidR="461403B9" w:rsidRPr="7192AB39">
              <w:rPr>
                <w:rFonts w:ascii="Calibri" w:hAnsi="Calibri" w:cstheme="minorBidi"/>
                <w:sz w:val="22"/>
                <w:szCs w:val="22"/>
              </w:rPr>
              <w:t xml:space="preserve">Office </w:t>
            </w:r>
            <w:r w:rsidR="461403B9" w:rsidRPr="18DAD547">
              <w:rPr>
                <w:rFonts w:ascii="Calibri" w:hAnsi="Calibri" w:cstheme="minorBidi"/>
                <w:sz w:val="22"/>
                <w:szCs w:val="22"/>
              </w:rPr>
              <w:t xml:space="preserve">collaborated closely with </w:t>
            </w:r>
            <w:r w:rsidR="461403B9" w:rsidRPr="718561D9">
              <w:rPr>
                <w:rFonts w:ascii="Calibri" w:hAnsi="Calibri" w:cstheme="minorBidi"/>
                <w:sz w:val="22"/>
                <w:szCs w:val="22"/>
              </w:rPr>
              <w:t xml:space="preserve">the </w:t>
            </w:r>
            <w:r w:rsidR="461403B9" w:rsidRPr="18DAD547">
              <w:rPr>
                <w:rFonts w:ascii="Calibri" w:hAnsi="Calibri" w:cstheme="minorBidi"/>
                <w:sz w:val="22"/>
                <w:szCs w:val="22"/>
              </w:rPr>
              <w:t xml:space="preserve">National Regulatory Authorities and multi-stakeholders </w:t>
            </w:r>
            <w:r w:rsidR="461403B9" w:rsidRPr="718561D9">
              <w:rPr>
                <w:rFonts w:ascii="Calibri" w:hAnsi="Calibri" w:cstheme="minorBidi"/>
                <w:sz w:val="22"/>
                <w:szCs w:val="22"/>
              </w:rPr>
              <w:t xml:space="preserve">of </w:t>
            </w:r>
            <w:r w:rsidR="461403B9" w:rsidRPr="327104F3">
              <w:rPr>
                <w:rFonts w:ascii="Calibri" w:hAnsi="Calibri" w:cstheme="minorBidi"/>
                <w:sz w:val="22"/>
                <w:szCs w:val="22"/>
              </w:rPr>
              <w:t xml:space="preserve">Western Balkans, </w:t>
            </w:r>
            <w:r w:rsidR="00746E17">
              <w:rPr>
                <w:rFonts w:ascii="Calibri" w:hAnsi="Calibri" w:cstheme="minorBidi"/>
                <w:sz w:val="22"/>
                <w:szCs w:val="22"/>
              </w:rPr>
              <w:t>including</w:t>
            </w:r>
            <w:r w:rsidR="461403B9" w:rsidRPr="327104F3">
              <w:rPr>
                <w:rFonts w:ascii="Calibri" w:hAnsi="Calibri" w:cstheme="minorBidi"/>
                <w:sz w:val="22"/>
                <w:szCs w:val="22"/>
              </w:rPr>
              <w:t xml:space="preserve"> </w:t>
            </w:r>
            <w:r w:rsidR="461403B9" w:rsidRPr="257B849D">
              <w:rPr>
                <w:rFonts w:ascii="Calibri" w:hAnsi="Calibri" w:cstheme="minorBidi"/>
                <w:sz w:val="22"/>
                <w:szCs w:val="22"/>
              </w:rPr>
              <w:t>Albania</w:t>
            </w:r>
            <w:r w:rsidR="461403B9" w:rsidRPr="18DAD547">
              <w:rPr>
                <w:rFonts w:ascii="Calibri" w:hAnsi="Calibri" w:cstheme="minorBidi"/>
                <w:sz w:val="22"/>
                <w:szCs w:val="22"/>
              </w:rPr>
              <w:t>, Bosnia and Herzegovina, Moldova, Serbia, Montenegro and North Macedonia</w:t>
            </w:r>
            <w:r w:rsidR="00746E17">
              <w:rPr>
                <w:rFonts w:ascii="Calibri" w:hAnsi="Calibri" w:cstheme="minorBidi"/>
                <w:sz w:val="22"/>
                <w:szCs w:val="22"/>
              </w:rPr>
              <w:t xml:space="preserve"> t</w:t>
            </w:r>
            <w:r w:rsidR="461403B9" w:rsidRPr="00746E17">
              <w:rPr>
                <w:rFonts w:ascii="Calibri" w:hAnsi="Calibri" w:cstheme="minorBidi"/>
                <w:sz w:val="22"/>
                <w:szCs w:val="22"/>
              </w:rPr>
              <w:t>o unlock the potential for digital transformation at the regional level.</w:t>
            </w:r>
          </w:p>
        </w:tc>
      </w:tr>
    </w:tbl>
    <w:p w14:paraId="46ADCC30" w14:textId="18FD5A87" w:rsidR="00B406B4" w:rsidRPr="00E13128" w:rsidRDefault="00B406B4" w:rsidP="00E13128">
      <w:pPr>
        <w:pStyle w:val="Heading1"/>
        <w:numPr>
          <w:ilvl w:val="0"/>
          <w:numId w:val="22"/>
        </w:numPr>
        <w:spacing w:before="120" w:after="120"/>
        <w:ind w:left="357" w:hanging="357"/>
        <w:rPr>
          <w:sz w:val="24"/>
          <w:szCs w:val="24"/>
          <w:lang w:val="en-US"/>
        </w:rPr>
      </w:pPr>
      <w:r w:rsidRPr="00E13128">
        <w:rPr>
          <w:sz w:val="24"/>
          <w:szCs w:val="24"/>
          <w:lang w:val="en-US"/>
        </w:rPr>
        <w:lastRenderedPageBreak/>
        <w:t>Digital services and applications: Creating transformative digital strategies and application services</w:t>
      </w:r>
      <w:r w:rsidRPr="00E13128">
        <w:rPr>
          <w:sz w:val="24"/>
          <w:szCs w:val="24"/>
          <w:lang w:val="en-US"/>
        </w:rPr>
        <w:tab/>
      </w:r>
    </w:p>
    <w:p w14:paraId="147F18BE" w14:textId="77777777" w:rsidR="00B406B4" w:rsidRPr="00E13128" w:rsidRDefault="00B406B4" w:rsidP="00E13128">
      <w:pPr>
        <w:pStyle w:val="Heading3"/>
        <w:spacing w:before="120" w:after="120"/>
        <w:ind w:left="0" w:firstLine="0"/>
        <w:rPr>
          <w:szCs w:val="24"/>
          <w:lang w:val="en-US"/>
        </w:rPr>
      </w:pPr>
      <w:r w:rsidRPr="00E13128">
        <w:rPr>
          <w:szCs w:val="24"/>
          <w:lang w:val="en-US"/>
        </w:rPr>
        <w:t>Accelerating digital government transformation through the adoption of whole-of-government Building Block approach (</w:t>
      </w:r>
      <w:proofErr w:type="spellStart"/>
      <w:r w:rsidR="009C6393">
        <w:fldChar w:fldCharType="begin"/>
      </w:r>
      <w:r w:rsidR="009C6393">
        <w:instrText>HYPERLINK "https://www.govstack.global/"</w:instrText>
      </w:r>
      <w:r w:rsidR="009C6393">
        <w:fldChar w:fldCharType="separate"/>
      </w:r>
      <w:r w:rsidRPr="00E13128">
        <w:rPr>
          <w:szCs w:val="24"/>
          <w:lang w:val="en-US"/>
        </w:rPr>
        <w:t>GovStack</w:t>
      </w:r>
      <w:proofErr w:type="spellEnd"/>
      <w:r w:rsidR="009C6393">
        <w:rPr>
          <w:szCs w:val="24"/>
          <w:lang w:val="en-US"/>
        </w:rPr>
        <w:fldChar w:fldCharType="end"/>
      </w:r>
      <w:r w:rsidRPr="00E13128">
        <w:rPr>
          <w:szCs w:val="24"/>
          <w:lang w:val="en-US"/>
        </w:rPr>
        <w:t xml:space="preserve">) </w:t>
      </w:r>
    </w:p>
    <w:p w14:paraId="01F80BA7" w14:textId="19291F10" w:rsidR="00B406B4" w:rsidRPr="00E13128" w:rsidRDefault="00B406B4" w:rsidP="00E13128">
      <w:pPr>
        <w:spacing w:after="120"/>
        <w:rPr>
          <w:szCs w:val="24"/>
        </w:rPr>
      </w:pPr>
      <w:r w:rsidRPr="00E13128">
        <w:rPr>
          <w:szCs w:val="24"/>
        </w:rPr>
        <w:t xml:space="preserve">The </w:t>
      </w:r>
      <w:proofErr w:type="spellStart"/>
      <w:r w:rsidRPr="00E13128">
        <w:rPr>
          <w:szCs w:val="24"/>
        </w:rPr>
        <w:t>GovStack</w:t>
      </w:r>
      <w:proofErr w:type="spellEnd"/>
      <w:r w:rsidRPr="00E13128">
        <w:rPr>
          <w:szCs w:val="24"/>
        </w:rPr>
        <w:t xml:space="preserve"> initiative was founded by 4 partners ITU, GIZ, Estonia and DIAL to accelerate digital government transformation. It addresses foundational and critical challenges in relation to establishing Trust, Interoperability and reusability frameworks as the basis to enable transformational and citizen centric digital services. It is bringing to life core principles of re-use, Open API, Open Standards, security by design, architectural approaches and citizen centric design. This is achieved by facilitating knowledge and skills transfer through the unpacking of different core building blocks that power digital transformation and in making available a global Sandbox where countries and organizations can learn by example and move quickly from ideas and strategies to implementation. </w:t>
      </w:r>
    </w:p>
    <w:p w14:paraId="23E3AA4F" w14:textId="77777777" w:rsidR="00B406B4" w:rsidRPr="00E13128" w:rsidRDefault="00B406B4" w:rsidP="00E13128">
      <w:pPr>
        <w:spacing w:after="120"/>
        <w:rPr>
          <w:szCs w:val="24"/>
        </w:rPr>
      </w:pPr>
      <w:bookmarkStart w:id="11" w:name="_zeo3d7gh6d9m" w:colFirst="0" w:colLast="0"/>
      <w:bookmarkEnd w:id="11"/>
      <w:r w:rsidRPr="00E13128">
        <w:rPr>
          <w:szCs w:val="24"/>
        </w:rPr>
        <w:t xml:space="preserve">From June-December 2022, the </w:t>
      </w:r>
      <w:proofErr w:type="spellStart"/>
      <w:r w:rsidRPr="00E13128">
        <w:rPr>
          <w:szCs w:val="24"/>
        </w:rPr>
        <w:t>GovStack</w:t>
      </w:r>
      <w:proofErr w:type="spellEnd"/>
      <w:r w:rsidRPr="00E13128">
        <w:rPr>
          <w:szCs w:val="24"/>
        </w:rPr>
        <w:t xml:space="preserve"> has implemented the below activities:</w:t>
      </w:r>
    </w:p>
    <w:p w14:paraId="70096BB8" w14:textId="77777777"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t>11 Tech Specs (ID, Payments, SMS, Scheduling, WF, Registries/Registration, IM, Information Consent) </w:t>
      </w:r>
    </w:p>
    <w:p w14:paraId="34766C94" w14:textId="47DCAB11"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t xml:space="preserve">Five Tech Specs under development, UX/UI, eSignature, GIS, Cloud/Infrastructure, </w:t>
      </w:r>
      <w:proofErr w:type="spellStart"/>
      <w:r w:rsidRPr="00E13128">
        <w:rPr>
          <w:szCs w:val="24"/>
        </w:rPr>
        <w:t>MarketPlace</w:t>
      </w:r>
      <w:proofErr w:type="spellEnd"/>
      <w:r w:rsidRPr="00E13128">
        <w:rPr>
          <w:szCs w:val="24"/>
        </w:rPr>
        <w:t xml:space="preserve"> ready to be launch</w:t>
      </w:r>
      <w:r w:rsidR="00D05C17" w:rsidRPr="00E13128">
        <w:rPr>
          <w:szCs w:val="24"/>
        </w:rPr>
        <w:t>ed in</w:t>
      </w:r>
      <w:r w:rsidRPr="00E13128">
        <w:rPr>
          <w:szCs w:val="24"/>
        </w:rPr>
        <w:t xml:space="preserve"> 2023</w:t>
      </w:r>
    </w:p>
    <w:p w14:paraId="3E30319F" w14:textId="777AACAC"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t xml:space="preserve">Four BB Open-source software Building Blocks Reference Implementation development for ID, Payments, Information Mediation and consent on going </w:t>
      </w:r>
      <w:r w:rsidR="00D05C17" w:rsidRPr="00E13128">
        <w:rPr>
          <w:szCs w:val="24"/>
        </w:rPr>
        <w:t>t</w:t>
      </w:r>
      <w:r w:rsidRPr="00E13128">
        <w:rPr>
          <w:szCs w:val="24"/>
        </w:rPr>
        <w:t xml:space="preserve">o be </w:t>
      </w:r>
      <w:r w:rsidR="00D05C17" w:rsidRPr="00E13128">
        <w:rPr>
          <w:szCs w:val="24"/>
        </w:rPr>
        <w:t xml:space="preserve">delivered </w:t>
      </w:r>
      <w:r w:rsidR="008B4D52" w:rsidRPr="00E13128">
        <w:rPr>
          <w:szCs w:val="24"/>
        </w:rPr>
        <w:t>through</w:t>
      </w:r>
      <w:r w:rsidRPr="00E13128">
        <w:rPr>
          <w:szCs w:val="24"/>
        </w:rPr>
        <w:t xml:space="preserve"> </w:t>
      </w:r>
      <w:proofErr w:type="spellStart"/>
      <w:r w:rsidRPr="00E13128">
        <w:rPr>
          <w:szCs w:val="24"/>
        </w:rPr>
        <w:t>GovStack</w:t>
      </w:r>
      <w:proofErr w:type="spellEnd"/>
      <w:r w:rsidRPr="00E13128">
        <w:rPr>
          <w:szCs w:val="24"/>
        </w:rPr>
        <w:t xml:space="preserve"> </w:t>
      </w:r>
      <w:proofErr w:type="spellStart"/>
      <w:r w:rsidRPr="00E13128">
        <w:rPr>
          <w:szCs w:val="24"/>
        </w:rPr>
        <w:t>SandBox</w:t>
      </w:r>
      <w:proofErr w:type="spellEnd"/>
      <w:r w:rsidRPr="00E13128">
        <w:rPr>
          <w:szCs w:val="24"/>
        </w:rPr>
        <w:t xml:space="preserve"> </w:t>
      </w:r>
      <w:r w:rsidR="008B4D52" w:rsidRPr="00E13128">
        <w:rPr>
          <w:szCs w:val="24"/>
        </w:rPr>
        <w:t>in</w:t>
      </w:r>
      <w:r w:rsidRPr="00E13128">
        <w:rPr>
          <w:szCs w:val="24"/>
        </w:rPr>
        <w:t xml:space="preserve"> 2023</w:t>
      </w:r>
    </w:p>
    <w:p w14:paraId="59EC8204" w14:textId="77777777"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t xml:space="preserve">Reference use cases for Cash Transfer, </w:t>
      </w:r>
      <w:proofErr w:type="spellStart"/>
      <w:r w:rsidRPr="00E13128">
        <w:rPr>
          <w:szCs w:val="24"/>
        </w:rPr>
        <w:t>eConstruction</w:t>
      </w:r>
      <w:proofErr w:type="spellEnd"/>
      <w:r w:rsidRPr="00E13128">
        <w:rPr>
          <w:szCs w:val="24"/>
        </w:rPr>
        <w:t xml:space="preserve"> permits ready to be demo in </w:t>
      </w:r>
      <w:proofErr w:type="spellStart"/>
      <w:r w:rsidRPr="00E13128">
        <w:rPr>
          <w:szCs w:val="24"/>
        </w:rPr>
        <w:t>GovStack</w:t>
      </w:r>
      <w:proofErr w:type="spellEnd"/>
      <w:r w:rsidRPr="00E13128">
        <w:rPr>
          <w:szCs w:val="24"/>
        </w:rPr>
        <w:t xml:space="preserve"> </w:t>
      </w:r>
      <w:proofErr w:type="spellStart"/>
      <w:r w:rsidRPr="00E13128">
        <w:rPr>
          <w:szCs w:val="24"/>
        </w:rPr>
        <w:t>SandBox</w:t>
      </w:r>
      <w:proofErr w:type="spellEnd"/>
      <w:r w:rsidRPr="00E13128">
        <w:rPr>
          <w:szCs w:val="24"/>
        </w:rPr>
        <w:t xml:space="preserve"> 2023</w:t>
      </w:r>
    </w:p>
    <w:p w14:paraId="6144CAD0" w14:textId="2C574F14"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t xml:space="preserve">20 eLearning topics to be launched </w:t>
      </w:r>
      <w:r w:rsidR="008B4D52" w:rsidRPr="00E13128">
        <w:rPr>
          <w:szCs w:val="24"/>
        </w:rPr>
        <w:t>in 2023-</w:t>
      </w:r>
      <w:r w:rsidRPr="00E13128">
        <w:rPr>
          <w:szCs w:val="24"/>
        </w:rPr>
        <w:t>2024 in Online Learning Management System</w:t>
      </w:r>
      <w:r w:rsidR="005E75F3">
        <w:rPr>
          <w:szCs w:val="24"/>
        </w:rPr>
        <w:t xml:space="preserve"> </w:t>
      </w:r>
    </w:p>
    <w:p w14:paraId="272574F7" w14:textId="02310A31"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t xml:space="preserve">Five reference implementations on-going Horn of Africa Countries: Djibouti, </w:t>
      </w:r>
      <w:r w:rsidR="008B4D52" w:rsidRPr="00E13128">
        <w:rPr>
          <w:szCs w:val="24"/>
        </w:rPr>
        <w:t xml:space="preserve">Egypt, </w:t>
      </w:r>
      <w:r w:rsidRPr="00E13128">
        <w:rPr>
          <w:szCs w:val="24"/>
        </w:rPr>
        <w:t>Kenya</w:t>
      </w:r>
      <w:r w:rsidR="008B4D52" w:rsidRPr="00E13128">
        <w:rPr>
          <w:szCs w:val="24"/>
        </w:rPr>
        <w:t>,</w:t>
      </w:r>
      <w:r w:rsidRPr="00E13128">
        <w:rPr>
          <w:szCs w:val="24"/>
        </w:rPr>
        <w:t xml:space="preserve"> Rwanda</w:t>
      </w:r>
      <w:r w:rsidR="008B4D52" w:rsidRPr="00E13128">
        <w:rPr>
          <w:szCs w:val="24"/>
        </w:rPr>
        <w:t xml:space="preserve"> and</w:t>
      </w:r>
      <w:r w:rsidRPr="00E13128">
        <w:rPr>
          <w:szCs w:val="24"/>
        </w:rPr>
        <w:t> </w:t>
      </w:r>
      <w:r w:rsidR="008B4D52" w:rsidRPr="00E13128">
        <w:rPr>
          <w:szCs w:val="24"/>
        </w:rPr>
        <w:t>Somalia,</w:t>
      </w:r>
    </w:p>
    <w:p w14:paraId="6304F4AE" w14:textId="0A5AAEEE"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t xml:space="preserve">Women in </w:t>
      </w:r>
      <w:proofErr w:type="spellStart"/>
      <w:r w:rsidRPr="00E13128">
        <w:rPr>
          <w:szCs w:val="24"/>
        </w:rPr>
        <w:t>GovTech</w:t>
      </w:r>
      <w:proofErr w:type="spellEnd"/>
      <w:r w:rsidRPr="00E13128">
        <w:rPr>
          <w:szCs w:val="24"/>
        </w:rPr>
        <w:t xml:space="preserve"> Challenge launched and will run </w:t>
      </w:r>
      <w:r w:rsidR="0022044E" w:rsidRPr="00E13128">
        <w:rPr>
          <w:szCs w:val="24"/>
        </w:rPr>
        <w:t>in 2023-2024</w:t>
      </w:r>
      <w:r w:rsidRPr="00E13128">
        <w:rPr>
          <w:szCs w:val="24"/>
        </w:rPr>
        <w:t xml:space="preserve"> with best digital services show cased in WSIS 2024 </w:t>
      </w:r>
    </w:p>
    <w:p w14:paraId="502BA5F4" w14:textId="77777777" w:rsidR="00B406B4" w:rsidRPr="00E13128" w:rsidRDefault="00B406B4" w:rsidP="00E13128">
      <w:pPr>
        <w:pStyle w:val="ListParagraph"/>
        <w:numPr>
          <w:ilvl w:val="0"/>
          <w:numId w:val="27"/>
        </w:numPr>
        <w:spacing w:before="60" w:after="60"/>
        <w:ind w:left="357" w:hanging="357"/>
        <w:contextualSpacing w:val="0"/>
        <w:rPr>
          <w:szCs w:val="24"/>
        </w:rPr>
      </w:pPr>
      <w:proofErr w:type="spellStart"/>
      <w:r w:rsidRPr="00E13128">
        <w:rPr>
          <w:szCs w:val="24"/>
        </w:rPr>
        <w:t>GovStack</w:t>
      </w:r>
      <w:proofErr w:type="spellEnd"/>
      <w:r w:rsidRPr="00E13128">
        <w:rPr>
          <w:szCs w:val="24"/>
        </w:rPr>
        <w:t xml:space="preserve"> Implementation Playbook updated as country implementations progress</w:t>
      </w:r>
    </w:p>
    <w:p w14:paraId="358A6D50" w14:textId="77777777"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t>Global Ex-Change under development (</w:t>
      </w:r>
      <w:proofErr w:type="spellStart"/>
      <w:r w:rsidRPr="00E13128">
        <w:rPr>
          <w:szCs w:val="24"/>
        </w:rPr>
        <w:t>eMarket</w:t>
      </w:r>
      <w:proofErr w:type="spellEnd"/>
      <w:r w:rsidRPr="00E13128">
        <w:rPr>
          <w:szCs w:val="24"/>
        </w:rPr>
        <w:t xml:space="preserve"> Place of DPGs).</w:t>
      </w:r>
    </w:p>
    <w:p w14:paraId="1A907094" w14:textId="77777777" w:rsidR="00B406B4" w:rsidRPr="00E13128" w:rsidRDefault="00B406B4" w:rsidP="00E13128">
      <w:pPr>
        <w:pStyle w:val="Heading3"/>
        <w:spacing w:before="120" w:after="120"/>
        <w:rPr>
          <w:szCs w:val="24"/>
        </w:rPr>
      </w:pPr>
      <w:r w:rsidRPr="00E13128">
        <w:rPr>
          <w:szCs w:val="24"/>
        </w:rPr>
        <w:t>Digital Public Goods (DPGs) - Establishing an ITU wide Open-Source Programme Office (OSPO)</w:t>
      </w:r>
    </w:p>
    <w:p w14:paraId="323BA16D" w14:textId="77777777" w:rsidR="00B406B4" w:rsidRPr="00E13128" w:rsidRDefault="00B406B4" w:rsidP="00E13128">
      <w:pPr>
        <w:spacing w:after="120"/>
        <w:rPr>
          <w:szCs w:val="24"/>
        </w:rPr>
      </w:pPr>
      <w:r w:rsidRPr="00E13128">
        <w:rPr>
          <w:szCs w:val="24"/>
        </w:rPr>
        <w:t>In collaboration with GitHub, ITU is in the process of establishing an ITU wide Open-Source Programme Office (OSPO) that will aim at:</w:t>
      </w:r>
    </w:p>
    <w:p w14:paraId="34ACAD43" w14:textId="77777777"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t>Strengthening effective engagement with ITU member states, including ministries of ICT and other sector members to raise awareness about the potential use of Digital Public Goods and open-source to build Digital Public Infrastructure and digital services</w:t>
      </w:r>
    </w:p>
    <w:p w14:paraId="5F7FB4EF" w14:textId="77777777"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t>Supporting different ITU projects that use open-source for connectivity, spectrum management, documents management, video conferencing, etc.</w:t>
      </w:r>
    </w:p>
    <w:p w14:paraId="414D2D9C" w14:textId="77777777"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t>Developing learning and capacity building materials and resources on the use and adoption of DPG and open-source</w:t>
      </w:r>
    </w:p>
    <w:p w14:paraId="48DB8C05" w14:textId="7E8754E5"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t>Encouraging inclusive software design and development among low- and middle-income</w:t>
      </w:r>
      <w:r w:rsidR="005E75F3">
        <w:rPr>
          <w:szCs w:val="24"/>
        </w:rPr>
        <w:t xml:space="preserve"> </w:t>
      </w:r>
      <w:r w:rsidRPr="00E13128">
        <w:rPr>
          <w:szCs w:val="24"/>
        </w:rPr>
        <w:t>countries</w:t>
      </w:r>
    </w:p>
    <w:p w14:paraId="29976732" w14:textId="77777777"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lastRenderedPageBreak/>
        <w:t>Improving legal capacity and understanding around open-source licenses.</w:t>
      </w:r>
    </w:p>
    <w:p w14:paraId="305EB8AA" w14:textId="77777777"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t>Enabling collaborations with other UN agencies around open-source and DPGs</w:t>
      </w:r>
    </w:p>
    <w:p w14:paraId="3CDF20E2" w14:textId="77777777" w:rsidR="00B406B4" w:rsidRPr="00E13128" w:rsidRDefault="00B406B4" w:rsidP="00E13128">
      <w:pPr>
        <w:pStyle w:val="Heading3"/>
        <w:spacing w:before="120" w:after="120"/>
        <w:rPr>
          <w:szCs w:val="24"/>
        </w:rPr>
      </w:pPr>
      <w:r w:rsidRPr="00E13128">
        <w:rPr>
          <w:szCs w:val="24"/>
        </w:rPr>
        <w:t>Digital Public Goods (DPGs) - Open-source Ecosystem Enablement for Public Services Innovation</w:t>
      </w:r>
    </w:p>
    <w:p w14:paraId="56FD50BF" w14:textId="77777777" w:rsidR="00B406B4" w:rsidRPr="00E13128" w:rsidRDefault="00B406B4" w:rsidP="00E13128">
      <w:pPr>
        <w:spacing w:after="120"/>
        <w:rPr>
          <w:szCs w:val="24"/>
        </w:rPr>
      </w:pPr>
      <w:r w:rsidRPr="00E13128">
        <w:rPr>
          <w:szCs w:val="24"/>
        </w:rPr>
        <w:t xml:space="preserve">To advance the maturity of the adoption of DPG and open-source for government digital services, a multifaceted project is under development as a collaboration between ITU, EU and UNDP around enabling open-source ecosystems through: </w:t>
      </w:r>
    </w:p>
    <w:p w14:paraId="4F0F96A3" w14:textId="1F85F5CC"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t>the development of Open-Source Ecosystem Enablement Framework to guide work that promotes structural change to accelerate the adoption of open-source software and data</w:t>
      </w:r>
      <w:r w:rsidR="005E75F3">
        <w:rPr>
          <w:szCs w:val="24"/>
        </w:rPr>
        <w:t>;</w:t>
      </w:r>
    </w:p>
    <w:p w14:paraId="2412D098" w14:textId="77777777"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t xml:space="preserve">pilot initiatives using the Framework in selected countries to establish Open-Source Technical capabilities to act as focal points to strengthen local open-source ecosystem and; </w:t>
      </w:r>
    </w:p>
    <w:p w14:paraId="00D927D9" w14:textId="77777777" w:rsidR="00B406B4" w:rsidRPr="00E13128" w:rsidRDefault="00B406B4" w:rsidP="00E13128">
      <w:pPr>
        <w:pStyle w:val="ListParagraph"/>
        <w:numPr>
          <w:ilvl w:val="0"/>
          <w:numId w:val="27"/>
        </w:numPr>
        <w:spacing w:before="60" w:after="60"/>
        <w:ind w:left="357" w:hanging="357"/>
        <w:contextualSpacing w:val="0"/>
        <w:rPr>
          <w:szCs w:val="24"/>
        </w:rPr>
      </w:pPr>
      <w:r w:rsidRPr="00E13128">
        <w:rPr>
          <w:szCs w:val="24"/>
        </w:rPr>
        <w:t>share knowledge globally and build skills to replicate models of successful open-source ecosystem development through producing relevant knowledge products, trainings, and developing communities of practice which can be further be adopted by governments at different levels.</w:t>
      </w:r>
    </w:p>
    <w:p w14:paraId="25DA4E08" w14:textId="77777777" w:rsidR="00B406B4" w:rsidRPr="00E13128" w:rsidRDefault="00B406B4" w:rsidP="00E13128">
      <w:pPr>
        <w:pStyle w:val="Heading3"/>
        <w:spacing w:before="120" w:after="120"/>
        <w:rPr>
          <w:szCs w:val="24"/>
        </w:rPr>
      </w:pPr>
      <w:r w:rsidRPr="00E13128">
        <w:rPr>
          <w:szCs w:val="24"/>
        </w:rPr>
        <w:t>Digital Health</w:t>
      </w:r>
    </w:p>
    <w:p w14:paraId="42F0441A" w14:textId="77777777" w:rsidR="00B406B4" w:rsidRPr="00E13128" w:rsidRDefault="00B406B4" w:rsidP="00E13128">
      <w:pPr>
        <w:spacing w:after="120"/>
        <w:rPr>
          <w:szCs w:val="24"/>
        </w:rPr>
      </w:pPr>
      <w:r w:rsidRPr="00E13128">
        <w:rPr>
          <w:szCs w:val="24"/>
        </w:rPr>
        <w:t>Developing a global Digital Health Business Case in collaboration with UNIATF on Non-communicable Diseases (August-December 2022):</w:t>
      </w:r>
    </w:p>
    <w:p w14:paraId="16716B75" w14:textId="1A47C94A" w:rsidR="00B406B4" w:rsidRPr="00E13128" w:rsidRDefault="009C26C8" w:rsidP="00E13128">
      <w:pPr>
        <w:pStyle w:val="ListParagraph"/>
        <w:numPr>
          <w:ilvl w:val="0"/>
          <w:numId w:val="24"/>
        </w:numPr>
        <w:spacing w:before="60" w:after="60"/>
        <w:ind w:left="357" w:hanging="357"/>
        <w:contextualSpacing w:val="0"/>
        <w:rPr>
          <w:szCs w:val="24"/>
        </w:rPr>
      </w:pPr>
      <w:r w:rsidRPr="00E13128">
        <w:rPr>
          <w:szCs w:val="24"/>
        </w:rPr>
        <w:t>s</w:t>
      </w:r>
      <w:r w:rsidR="00B406B4" w:rsidRPr="00E13128">
        <w:rPr>
          <w:szCs w:val="24"/>
        </w:rPr>
        <w:t>upported the analysis of clinical and health-system effectiveness of digital health interventions;</w:t>
      </w:r>
    </w:p>
    <w:p w14:paraId="183426BF" w14:textId="12C7B63F" w:rsidR="00B406B4" w:rsidRPr="00E13128" w:rsidRDefault="009C26C8" w:rsidP="00E13128">
      <w:pPr>
        <w:pStyle w:val="ListParagraph"/>
        <w:numPr>
          <w:ilvl w:val="0"/>
          <w:numId w:val="24"/>
        </w:numPr>
        <w:spacing w:before="60" w:after="60"/>
        <w:contextualSpacing w:val="0"/>
        <w:rPr>
          <w:szCs w:val="24"/>
        </w:rPr>
      </w:pPr>
      <w:r w:rsidRPr="00E13128">
        <w:rPr>
          <w:szCs w:val="24"/>
        </w:rPr>
        <w:t>c</w:t>
      </w:r>
      <w:r w:rsidR="00B406B4" w:rsidRPr="00E13128">
        <w:rPr>
          <w:szCs w:val="24"/>
        </w:rPr>
        <w:t>ontributed to the assessment of costs of selected digital health interventions;</w:t>
      </w:r>
    </w:p>
    <w:p w14:paraId="23BF2C8E" w14:textId="578C55A3" w:rsidR="00B406B4" w:rsidRPr="00E13128" w:rsidRDefault="009C26C8" w:rsidP="00E13128">
      <w:pPr>
        <w:pStyle w:val="ListParagraph"/>
        <w:numPr>
          <w:ilvl w:val="0"/>
          <w:numId w:val="24"/>
        </w:numPr>
        <w:spacing w:before="60" w:after="60"/>
        <w:contextualSpacing w:val="0"/>
        <w:rPr>
          <w:szCs w:val="24"/>
        </w:rPr>
      </w:pPr>
      <w:r w:rsidRPr="00E13128">
        <w:rPr>
          <w:szCs w:val="24"/>
        </w:rPr>
        <w:t>s</w:t>
      </w:r>
      <w:r w:rsidR="00B406B4" w:rsidRPr="00E13128">
        <w:rPr>
          <w:szCs w:val="24"/>
        </w:rPr>
        <w:t>upported the identification of stakeholders and stakeholder interviews</w:t>
      </w:r>
      <w:r w:rsidR="005E75F3">
        <w:rPr>
          <w:szCs w:val="24"/>
        </w:rPr>
        <w:t>;</w:t>
      </w:r>
    </w:p>
    <w:p w14:paraId="781CFBC7" w14:textId="4466A37F" w:rsidR="00B406B4" w:rsidRPr="00E13128" w:rsidRDefault="009C26C8" w:rsidP="00E13128">
      <w:pPr>
        <w:pStyle w:val="ListParagraph"/>
        <w:numPr>
          <w:ilvl w:val="0"/>
          <w:numId w:val="24"/>
        </w:numPr>
        <w:spacing w:before="60" w:after="60"/>
        <w:contextualSpacing w:val="0"/>
        <w:rPr>
          <w:szCs w:val="24"/>
        </w:rPr>
      </w:pPr>
      <w:r w:rsidRPr="00E13128">
        <w:rPr>
          <w:szCs w:val="24"/>
        </w:rPr>
        <w:t>d</w:t>
      </w:r>
      <w:r w:rsidR="00B406B4" w:rsidRPr="00E13128">
        <w:rPr>
          <w:szCs w:val="24"/>
        </w:rPr>
        <w:t>eveloped technical contribution on eHealth and Telemedicine to the ITU Study Group Q2/2 and made a presentation at the Study Group meeting in December 2022</w:t>
      </w:r>
      <w:r w:rsidR="005E75F3">
        <w:rPr>
          <w:szCs w:val="24"/>
        </w:rPr>
        <w:t>;</w:t>
      </w:r>
      <w:r w:rsidR="00B406B4" w:rsidRPr="00E13128">
        <w:rPr>
          <w:szCs w:val="24"/>
        </w:rPr>
        <w:t xml:space="preserve"> </w:t>
      </w:r>
    </w:p>
    <w:p w14:paraId="0AF40A57" w14:textId="4AE5EBCD" w:rsidR="00B406B4" w:rsidRPr="00E13128" w:rsidRDefault="009C26C8" w:rsidP="00E13128">
      <w:pPr>
        <w:pStyle w:val="ListParagraph"/>
        <w:numPr>
          <w:ilvl w:val="0"/>
          <w:numId w:val="24"/>
        </w:numPr>
        <w:spacing w:before="60" w:after="60"/>
        <w:contextualSpacing w:val="0"/>
        <w:rPr>
          <w:szCs w:val="24"/>
        </w:rPr>
      </w:pPr>
      <w:r w:rsidRPr="00E13128">
        <w:rPr>
          <w:szCs w:val="24"/>
        </w:rPr>
        <w:t>p</w:t>
      </w:r>
      <w:r w:rsidR="00B406B4" w:rsidRPr="00E13128">
        <w:rPr>
          <w:szCs w:val="24"/>
        </w:rPr>
        <w:t>resented at a thematic workshop “Telemedicine Capacity Building Country workshop” for the AFRO region held in Cabo Verde, Praia 21-25 November 2022Conducted an informal evaluation of an awareness raising SMS campaign in June 2022</w:t>
      </w:r>
      <w:r w:rsidR="005E75F3">
        <w:rPr>
          <w:szCs w:val="24"/>
        </w:rPr>
        <w:t>;</w:t>
      </w:r>
    </w:p>
    <w:p w14:paraId="4F3D679F" w14:textId="01D100EF" w:rsidR="00B406B4" w:rsidRPr="00E13128" w:rsidRDefault="009C26C8" w:rsidP="00E13128">
      <w:pPr>
        <w:pStyle w:val="ListParagraph"/>
        <w:numPr>
          <w:ilvl w:val="0"/>
          <w:numId w:val="24"/>
        </w:numPr>
        <w:spacing w:before="60" w:after="60"/>
        <w:contextualSpacing w:val="0"/>
        <w:rPr>
          <w:szCs w:val="24"/>
        </w:rPr>
      </w:pPr>
      <w:r w:rsidRPr="00E13128">
        <w:rPr>
          <w:szCs w:val="24"/>
        </w:rPr>
        <w:t>c</w:t>
      </w:r>
      <w:r w:rsidR="00B406B4" w:rsidRPr="00E13128">
        <w:rPr>
          <w:szCs w:val="24"/>
        </w:rPr>
        <w:t xml:space="preserve">ontributed to development and release of the WHO </w:t>
      </w:r>
      <w:hyperlink r:id="rId61" w:history="1">
        <w:r w:rsidR="00B406B4" w:rsidRPr="00E13128">
          <w:rPr>
            <w:rStyle w:val="Hyperlink"/>
            <w:szCs w:val="24"/>
          </w:rPr>
          <w:t>Assessment framework for tobacco cessation mobile apps</w:t>
        </w:r>
      </w:hyperlink>
      <w:r w:rsidR="005E75F3">
        <w:rPr>
          <w:szCs w:val="24"/>
        </w:rPr>
        <w:t>;</w:t>
      </w:r>
    </w:p>
    <w:p w14:paraId="01BD2B90" w14:textId="34035FA4" w:rsidR="00B406B4" w:rsidRPr="00E13128" w:rsidRDefault="009C26C8" w:rsidP="00E13128">
      <w:pPr>
        <w:pStyle w:val="ListParagraph"/>
        <w:numPr>
          <w:ilvl w:val="0"/>
          <w:numId w:val="24"/>
        </w:numPr>
        <w:spacing w:before="60" w:after="120"/>
        <w:ind w:left="357" w:hanging="357"/>
        <w:contextualSpacing w:val="0"/>
        <w:rPr>
          <w:szCs w:val="24"/>
        </w:rPr>
      </w:pPr>
      <w:r w:rsidRPr="00E13128">
        <w:rPr>
          <w:szCs w:val="24"/>
        </w:rPr>
        <w:t>c</w:t>
      </w:r>
      <w:r w:rsidR="00B406B4" w:rsidRPr="00E13128">
        <w:rPr>
          <w:szCs w:val="24"/>
        </w:rPr>
        <w:t>ontributed to the OSAA expert conversation on digital health in December 2022.</w:t>
      </w:r>
    </w:p>
    <w:tbl>
      <w:tblPr>
        <w:tblStyle w:val="TableGrid"/>
        <w:tblW w:w="9776" w:type="dxa"/>
        <w:tblLook w:val="04A0" w:firstRow="1" w:lastRow="0" w:firstColumn="1" w:lastColumn="0" w:noHBand="0" w:noVBand="1"/>
      </w:tblPr>
      <w:tblGrid>
        <w:gridCol w:w="9776"/>
      </w:tblGrid>
      <w:tr w:rsidR="00B406B4" w:rsidRPr="0074089C" w14:paraId="155E10A3" w14:textId="77777777" w:rsidTr="00E13128">
        <w:tc>
          <w:tcPr>
            <w:tcW w:w="9776" w:type="dxa"/>
          </w:tcPr>
          <w:p w14:paraId="5B7060E9" w14:textId="6557B650" w:rsidR="00B406B4" w:rsidRPr="00E13128" w:rsidRDefault="00B406B4" w:rsidP="00E13128">
            <w:pPr>
              <w:spacing w:before="60" w:after="60"/>
              <w:rPr>
                <w:rFonts w:cstheme="minorHAnsi"/>
                <w:b/>
                <w:bCs/>
                <w:sz w:val="22"/>
                <w:szCs w:val="22"/>
              </w:rPr>
            </w:pPr>
            <w:r w:rsidRPr="00E13128">
              <w:rPr>
                <w:rFonts w:cstheme="minorHAnsi"/>
                <w:b/>
                <w:bCs/>
                <w:sz w:val="22"/>
                <w:szCs w:val="22"/>
              </w:rPr>
              <w:t xml:space="preserve">Regional </w:t>
            </w:r>
            <w:r w:rsidR="009C26C8" w:rsidRPr="00E13128">
              <w:rPr>
                <w:rFonts w:cstheme="minorHAnsi"/>
                <w:b/>
                <w:bCs/>
                <w:sz w:val="22"/>
                <w:szCs w:val="22"/>
              </w:rPr>
              <w:t>I</w:t>
            </w:r>
            <w:r w:rsidRPr="00E13128">
              <w:rPr>
                <w:rFonts w:cstheme="minorHAnsi"/>
                <w:b/>
                <w:bCs/>
                <w:sz w:val="22"/>
                <w:szCs w:val="22"/>
              </w:rPr>
              <w:t>nitiatives</w:t>
            </w:r>
          </w:p>
          <w:p w14:paraId="5AD3CDD5" w14:textId="315361F0" w:rsidR="0015650C" w:rsidRPr="00E13128" w:rsidRDefault="0015650C" w:rsidP="00E13128">
            <w:pPr>
              <w:spacing w:before="60" w:after="60"/>
              <w:rPr>
                <w:rFonts w:cstheme="minorHAnsi"/>
                <w:i/>
                <w:iCs/>
                <w:sz w:val="22"/>
                <w:szCs w:val="22"/>
              </w:rPr>
            </w:pPr>
            <w:r w:rsidRPr="00E13128">
              <w:rPr>
                <w:rFonts w:cstheme="minorHAnsi"/>
                <w:i/>
                <w:iCs/>
                <w:sz w:val="22"/>
                <w:szCs w:val="22"/>
              </w:rPr>
              <w:t>Africa region</w:t>
            </w:r>
          </w:p>
          <w:p w14:paraId="5FC7B809" w14:textId="316B514B" w:rsidR="0015650C" w:rsidRPr="00E13128" w:rsidRDefault="0015650C" w:rsidP="00D86D9B">
            <w:pPr>
              <w:pStyle w:val="ListParagraph"/>
              <w:numPr>
                <w:ilvl w:val="0"/>
                <w:numId w:val="53"/>
              </w:numPr>
              <w:spacing w:before="60" w:after="60"/>
              <w:ind w:left="714" w:hanging="357"/>
              <w:contextualSpacing w:val="0"/>
              <w:rPr>
                <w:rFonts w:cstheme="minorHAnsi"/>
                <w:sz w:val="22"/>
                <w:szCs w:val="22"/>
              </w:rPr>
            </w:pPr>
            <w:r w:rsidRPr="00E13128">
              <w:rPr>
                <w:rFonts w:cstheme="minorHAnsi"/>
                <w:sz w:val="22"/>
                <w:szCs w:val="22"/>
              </w:rPr>
              <w:t xml:space="preserve">Under the Liberia UNCT Joint initiative on ‘Building Resilience of Youth, Women and Vulnerable Groups through Social Protection Floor in Liberia using ICT’ led by the UN Resident Coordinator’s Office, ITU </w:t>
            </w:r>
            <w:r w:rsidR="00350966" w:rsidRPr="00E13128">
              <w:rPr>
                <w:rFonts w:cstheme="minorHAnsi"/>
                <w:sz w:val="22"/>
                <w:szCs w:val="22"/>
              </w:rPr>
              <w:t>ha</w:t>
            </w:r>
            <w:r w:rsidR="00D86D9B">
              <w:rPr>
                <w:rFonts w:cstheme="minorHAnsi"/>
                <w:sz w:val="22"/>
                <w:szCs w:val="22"/>
              </w:rPr>
              <w:t>s</w:t>
            </w:r>
            <w:r w:rsidR="00350966" w:rsidRPr="00E13128">
              <w:rPr>
                <w:rFonts w:cstheme="minorHAnsi"/>
                <w:sz w:val="22"/>
                <w:szCs w:val="22"/>
              </w:rPr>
              <w:t xml:space="preserve"> been</w:t>
            </w:r>
            <w:r w:rsidRPr="00E13128">
              <w:rPr>
                <w:rFonts w:cstheme="minorHAnsi"/>
                <w:sz w:val="22"/>
                <w:szCs w:val="22"/>
              </w:rPr>
              <w:t xml:space="preserve"> providing technical support to develop a model on Smart Villages for Liberia. Building upon the experiences from Niger and the Blueprint developed, stakeholder consultations have been undertaken and site assessments in three selected counties planned to provide an initial understanding of the current landscape and identify priority areas</w:t>
            </w:r>
            <w:r w:rsidR="00350966" w:rsidRPr="00E13128">
              <w:rPr>
                <w:rFonts w:cstheme="minorHAnsi"/>
                <w:sz w:val="22"/>
                <w:szCs w:val="22"/>
              </w:rPr>
              <w:t xml:space="preserve"> and </w:t>
            </w:r>
            <w:r w:rsidRPr="00E13128">
              <w:rPr>
                <w:rFonts w:cstheme="minorHAnsi"/>
                <w:sz w:val="22"/>
                <w:szCs w:val="22"/>
              </w:rPr>
              <w:t>sectors that can leverage the smart village initiative to advance digital transformation.</w:t>
            </w:r>
          </w:p>
          <w:p w14:paraId="0142AB15" w14:textId="3390F355" w:rsidR="00B406B4" w:rsidRPr="00E13128" w:rsidRDefault="00B406B4" w:rsidP="00E13128">
            <w:pPr>
              <w:spacing w:before="60" w:after="60"/>
              <w:rPr>
                <w:rFonts w:cstheme="minorHAnsi"/>
                <w:i/>
                <w:iCs/>
                <w:sz w:val="22"/>
                <w:szCs w:val="22"/>
              </w:rPr>
            </w:pPr>
            <w:r w:rsidRPr="00E13128">
              <w:rPr>
                <w:rFonts w:cstheme="minorHAnsi"/>
                <w:i/>
                <w:iCs/>
                <w:sz w:val="22"/>
                <w:szCs w:val="22"/>
              </w:rPr>
              <w:t>Arab States region</w:t>
            </w:r>
          </w:p>
          <w:p w14:paraId="134FA49E" w14:textId="77777777" w:rsidR="00B406B4" w:rsidRPr="00E13128" w:rsidRDefault="00B406B4" w:rsidP="00D86D9B">
            <w:pPr>
              <w:pStyle w:val="ListParagraph"/>
              <w:numPr>
                <w:ilvl w:val="0"/>
                <w:numId w:val="2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 w:val="22"/>
                <w:szCs w:val="22"/>
              </w:rPr>
            </w:pPr>
            <w:r w:rsidRPr="00E13128">
              <w:rPr>
                <w:rFonts w:cstheme="minorHAnsi"/>
                <w:sz w:val="22"/>
                <w:szCs w:val="22"/>
              </w:rPr>
              <w:t xml:space="preserve">The Regional Office for Arab States has been involved and supporting HQ in assisting countries in the Arab region with their digital services platforms and strategies. </w:t>
            </w:r>
          </w:p>
          <w:p w14:paraId="716AEF7A" w14:textId="77777777" w:rsidR="00B406B4" w:rsidRPr="00E13128" w:rsidRDefault="00B406B4" w:rsidP="00D86D9B">
            <w:pPr>
              <w:pStyle w:val="ListParagraph"/>
              <w:numPr>
                <w:ilvl w:val="0"/>
                <w:numId w:val="2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 w:val="22"/>
                <w:szCs w:val="22"/>
              </w:rPr>
            </w:pPr>
            <w:r w:rsidRPr="00E13128">
              <w:rPr>
                <w:rFonts w:cstheme="minorHAnsi"/>
                <w:sz w:val="22"/>
                <w:szCs w:val="22"/>
              </w:rPr>
              <w:lastRenderedPageBreak/>
              <w:t xml:space="preserve">The Regional Office has engaged with Jordan to develop a digital health national strategy through a multistakeholder approach and organized a joint session with FAO on digital agriculture. </w:t>
            </w:r>
          </w:p>
          <w:p w14:paraId="68EA68C5" w14:textId="384DD096" w:rsidR="00B406B4" w:rsidRPr="00E13128" w:rsidRDefault="79E6254C" w:rsidP="00D86D9B">
            <w:pPr>
              <w:pStyle w:val="ListParagraph"/>
              <w:numPr>
                <w:ilvl w:val="0"/>
                <w:numId w:val="21"/>
              </w:numPr>
              <w:tabs>
                <w:tab w:val="clear" w:pos="1134"/>
                <w:tab w:val="clear" w:pos="1871"/>
                <w:tab w:val="clear" w:pos="2268"/>
              </w:tabs>
              <w:overflowPunct/>
              <w:autoSpaceDE/>
              <w:autoSpaceDN/>
              <w:adjustRightInd/>
              <w:spacing w:before="60" w:after="60"/>
              <w:ind w:left="714" w:hanging="357"/>
              <w:contextualSpacing w:val="0"/>
              <w:textAlignment w:val="auto"/>
              <w:rPr>
                <w:rFonts w:cstheme="minorBidi"/>
                <w:sz w:val="22"/>
                <w:szCs w:val="22"/>
              </w:rPr>
            </w:pPr>
            <w:r w:rsidRPr="00E13128">
              <w:rPr>
                <w:rFonts w:cstheme="minorBidi"/>
                <w:sz w:val="22"/>
                <w:szCs w:val="22"/>
              </w:rPr>
              <w:t xml:space="preserve">ITU also launched </w:t>
            </w:r>
            <w:proofErr w:type="spellStart"/>
            <w:r w:rsidRPr="00E13128">
              <w:rPr>
                <w:rFonts w:cstheme="minorBidi"/>
                <w:sz w:val="22"/>
                <w:szCs w:val="22"/>
              </w:rPr>
              <w:t>Govstack</w:t>
            </w:r>
            <w:proofErr w:type="spellEnd"/>
            <w:r w:rsidRPr="00E13128">
              <w:rPr>
                <w:rFonts w:cstheme="minorBidi"/>
                <w:sz w:val="22"/>
                <w:szCs w:val="22"/>
              </w:rPr>
              <w:t xml:space="preserve"> activities in the Arab region, starting with assistance focusing on LDCs including Djibouti, Somalia and Mauritania with the aim of enhancing digital government service delivery and improving national and regional cybersecurity. In Mauritania, ITU has also initiated a pilot implementation under Partner2Connect </w:t>
            </w:r>
            <w:proofErr w:type="spellStart"/>
            <w:r w:rsidRPr="00E13128">
              <w:rPr>
                <w:rFonts w:cstheme="minorBidi"/>
                <w:sz w:val="22"/>
                <w:szCs w:val="22"/>
              </w:rPr>
              <w:t>Initiative.</w:t>
            </w:r>
            <w:r w:rsidR="5AC16E50" w:rsidRPr="00E13128">
              <w:rPr>
                <w:rFonts w:ascii="Calibri" w:eastAsia="Calibri" w:hAnsi="Calibri" w:cs="Calibri"/>
                <w:sz w:val="22"/>
                <w:szCs w:val="22"/>
              </w:rPr>
              <w:t>ITU</w:t>
            </w:r>
            <w:proofErr w:type="spellEnd"/>
            <w:r w:rsidR="5AC16E50" w:rsidRPr="00E13128">
              <w:rPr>
                <w:rFonts w:ascii="Calibri" w:eastAsia="Calibri" w:hAnsi="Calibri" w:cs="Calibri"/>
                <w:sz w:val="22"/>
                <w:szCs w:val="22"/>
              </w:rPr>
              <w:t xml:space="preserve"> has also trained 1000 children In Jordan on digital financial literacy as part of the Malee project in collaboration with Meem Ain from Saudi Arabia.</w:t>
            </w:r>
          </w:p>
          <w:p w14:paraId="4C7C9AC9" w14:textId="77777777" w:rsidR="00B406B4" w:rsidRPr="00E13128" w:rsidRDefault="00B406B4" w:rsidP="00E13128">
            <w:pPr>
              <w:spacing w:before="60" w:after="60"/>
              <w:rPr>
                <w:rFonts w:cstheme="minorHAnsi"/>
                <w:i/>
                <w:iCs/>
                <w:sz w:val="22"/>
                <w:szCs w:val="22"/>
              </w:rPr>
            </w:pPr>
            <w:r w:rsidRPr="00E13128">
              <w:rPr>
                <w:rFonts w:cstheme="minorHAnsi"/>
                <w:i/>
                <w:iCs/>
                <w:sz w:val="22"/>
                <w:szCs w:val="22"/>
              </w:rPr>
              <w:t>Asia-Pacific region</w:t>
            </w:r>
          </w:p>
          <w:p w14:paraId="4E0695BD" w14:textId="473D2399" w:rsidR="00B406B4" w:rsidRPr="00E13128" w:rsidRDefault="00B406B4" w:rsidP="00D86D9B">
            <w:pPr>
              <w:pStyle w:val="ListParagraph"/>
              <w:numPr>
                <w:ilvl w:val="0"/>
                <w:numId w:val="9"/>
              </w:numPr>
              <w:overflowPunct/>
              <w:autoSpaceDE/>
              <w:autoSpaceDN/>
              <w:adjustRightInd/>
              <w:spacing w:before="60" w:after="60"/>
              <w:ind w:left="714" w:hanging="357"/>
              <w:contextualSpacing w:val="0"/>
              <w:textAlignment w:val="auto"/>
              <w:rPr>
                <w:rFonts w:cstheme="minorHAnsi"/>
                <w:sz w:val="22"/>
                <w:szCs w:val="22"/>
              </w:rPr>
            </w:pPr>
            <w:r w:rsidRPr="00E13128">
              <w:rPr>
                <w:rFonts w:cstheme="minorHAnsi"/>
                <w:sz w:val="22"/>
                <w:szCs w:val="22"/>
              </w:rPr>
              <w:t>By April 2023, the Smart Villages and Smart Islands Initiative (SVSI) attracted expression of interest from around 15 countries in the region. In 2022, the ITU Smart Villages and Smart Islands Initiative (SVSI) was rolled out in Samoa with needs assessment and community engagement,</w:t>
            </w:r>
            <w:r w:rsidR="00E6212E" w:rsidRPr="00E13128">
              <w:rPr>
                <w:rFonts w:cstheme="minorHAnsi"/>
                <w:sz w:val="22"/>
                <w:szCs w:val="22"/>
              </w:rPr>
              <w:t xml:space="preserve"> </w:t>
            </w:r>
            <w:r w:rsidR="005A25B9" w:rsidRPr="00E13128">
              <w:rPr>
                <w:rFonts w:cstheme="minorHAnsi"/>
                <w:sz w:val="22"/>
                <w:szCs w:val="22"/>
              </w:rPr>
              <w:t xml:space="preserve">enhanced community engagement </w:t>
            </w:r>
            <w:r w:rsidRPr="00E13128">
              <w:rPr>
                <w:rFonts w:cstheme="minorHAnsi"/>
                <w:sz w:val="22"/>
                <w:szCs w:val="22"/>
              </w:rPr>
              <w:t xml:space="preserve">in Pakistan and Vanuatu updated needs assessments and the delivery of new services. SVSI is being implemented in close collaboration with national governments, UN agencies, the private sector and implementation partners, and has attracted support by a number of projects funded by the Joint SDG Fund, the government of Australia (DITRDCA), the government of Japan (MIC), Asian Development Bank and Huawei. It also garnered support of G20 Members during their 2022 meeting. </w:t>
            </w:r>
          </w:p>
          <w:p w14:paraId="6DAB4721" w14:textId="77777777" w:rsidR="00B406B4" w:rsidRPr="00E13128" w:rsidRDefault="00B406B4" w:rsidP="00D86D9B">
            <w:pPr>
              <w:pStyle w:val="ListParagraph"/>
              <w:numPr>
                <w:ilvl w:val="0"/>
                <w:numId w:val="9"/>
              </w:numPr>
              <w:overflowPunct/>
              <w:autoSpaceDE/>
              <w:autoSpaceDN/>
              <w:adjustRightInd/>
              <w:spacing w:before="60" w:after="60"/>
              <w:ind w:left="714" w:hanging="357"/>
              <w:contextualSpacing w:val="0"/>
              <w:textAlignment w:val="auto"/>
              <w:rPr>
                <w:rFonts w:cstheme="minorHAnsi"/>
                <w:sz w:val="22"/>
                <w:szCs w:val="22"/>
              </w:rPr>
            </w:pPr>
            <w:r w:rsidRPr="00E13128">
              <w:rPr>
                <w:rFonts w:cstheme="minorHAnsi"/>
                <w:sz w:val="22"/>
                <w:szCs w:val="22"/>
              </w:rPr>
              <w:t xml:space="preserve">A whole-of-government approach was facilitated in Bhutan through assistance on developing a digital dashboard for the Prime Ministers’ Office to facilitate data-driven decision-making. These assistances were supported by ITU-DITRDCA and </w:t>
            </w:r>
            <w:proofErr w:type="spellStart"/>
            <w:r w:rsidRPr="00E13128">
              <w:rPr>
                <w:rFonts w:cstheme="minorHAnsi"/>
                <w:sz w:val="22"/>
                <w:szCs w:val="22"/>
              </w:rPr>
              <w:t>GovStack</w:t>
            </w:r>
            <w:proofErr w:type="spellEnd"/>
            <w:r w:rsidRPr="00E13128">
              <w:rPr>
                <w:rFonts w:cstheme="minorHAnsi"/>
                <w:sz w:val="22"/>
                <w:szCs w:val="22"/>
              </w:rPr>
              <w:t xml:space="preserve"> project. </w:t>
            </w:r>
          </w:p>
          <w:p w14:paraId="5ED4A42A" w14:textId="77777777" w:rsidR="00B406B4" w:rsidRPr="00E13128" w:rsidRDefault="00B406B4" w:rsidP="00D86D9B">
            <w:pPr>
              <w:pStyle w:val="ListParagraph"/>
              <w:numPr>
                <w:ilvl w:val="0"/>
                <w:numId w:val="9"/>
              </w:numPr>
              <w:overflowPunct/>
              <w:autoSpaceDE/>
              <w:autoSpaceDN/>
              <w:adjustRightInd/>
              <w:spacing w:before="60" w:after="60"/>
              <w:ind w:left="714" w:hanging="357"/>
              <w:contextualSpacing w:val="0"/>
              <w:textAlignment w:val="auto"/>
              <w:rPr>
                <w:rFonts w:cstheme="minorHAnsi"/>
                <w:sz w:val="22"/>
                <w:szCs w:val="22"/>
              </w:rPr>
            </w:pPr>
            <w:r w:rsidRPr="00E13128">
              <w:rPr>
                <w:rFonts w:cstheme="minorHAnsi"/>
                <w:sz w:val="22"/>
                <w:szCs w:val="22"/>
              </w:rPr>
              <w:t xml:space="preserve">Two joint programmes, supported by the Joint SDG fund were launched to assist identified Pacific islands countries in developing their national digital transformation strategies and building human and institutional capacity inter-alia. ITU Members in Asia-Pacific increased awareness of </w:t>
            </w:r>
            <w:proofErr w:type="spellStart"/>
            <w:r w:rsidRPr="00E13128">
              <w:rPr>
                <w:rFonts w:cstheme="minorHAnsi"/>
                <w:sz w:val="22"/>
                <w:szCs w:val="22"/>
              </w:rPr>
              <w:t>GovStack</w:t>
            </w:r>
            <w:proofErr w:type="spellEnd"/>
            <w:r w:rsidRPr="00E13128">
              <w:rPr>
                <w:rFonts w:cstheme="minorHAnsi"/>
                <w:sz w:val="22"/>
                <w:szCs w:val="22"/>
              </w:rPr>
              <w:t xml:space="preserve"> and building block approach, which has resulted in growing interest from ITU Members in </w:t>
            </w:r>
            <w:proofErr w:type="spellStart"/>
            <w:r w:rsidRPr="00E13128">
              <w:rPr>
                <w:rFonts w:cstheme="minorHAnsi"/>
                <w:sz w:val="22"/>
                <w:szCs w:val="22"/>
              </w:rPr>
              <w:t>GovStack</w:t>
            </w:r>
            <w:proofErr w:type="spellEnd"/>
            <w:r w:rsidRPr="00E13128">
              <w:rPr>
                <w:rFonts w:cstheme="minorHAnsi"/>
                <w:sz w:val="22"/>
                <w:szCs w:val="22"/>
              </w:rPr>
              <w:t>.</w:t>
            </w:r>
          </w:p>
          <w:p w14:paraId="1EAABDBF" w14:textId="1967C01A" w:rsidR="00B406B4" w:rsidRPr="00E13128" w:rsidRDefault="00B406B4" w:rsidP="00D86D9B">
            <w:pPr>
              <w:pStyle w:val="ListParagraph"/>
              <w:numPr>
                <w:ilvl w:val="0"/>
                <w:numId w:val="9"/>
              </w:numPr>
              <w:overflowPunct/>
              <w:autoSpaceDE/>
              <w:autoSpaceDN/>
              <w:adjustRightInd/>
              <w:spacing w:before="60" w:after="60"/>
              <w:ind w:left="714" w:hanging="357"/>
              <w:contextualSpacing w:val="0"/>
              <w:textAlignment w:val="auto"/>
              <w:rPr>
                <w:rFonts w:cstheme="minorHAnsi"/>
                <w:sz w:val="22"/>
                <w:szCs w:val="22"/>
              </w:rPr>
            </w:pPr>
            <w:r w:rsidRPr="00E13128">
              <w:rPr>
                <w:rFonts w:cstheme="minorHAnsi"/>
                <w:sz w:val="22"/>
                <w:szCs w:val="22"/>
              </w:rPr>
              <w:t>Bangladesh and Cambodia strengthened understanding and capacity to leverage digital agriculture as a result of assessment (Bangladesh) and strategy (Cambodia) respectively provided as part of an ongoing collaboration with FAO. In addition, ITU together with FAO, UNDP, ILO, and UNCDF continue to assist the Government of Papua New Guinea on digital agriculture as part of European Union funded project EU STREIT to support rural entrepreneurship, investment and trade.</w:t>
            </w:r>
          </w:p>
          <w:p w14:paraId="5834CDA9" w14:textId="75792750" w:rsidR="00B406B4" w:rsidRPr="00E13128" w:rsidRDefault="00B406B4" w:rsidP="00E13128">
            <w:pPr>
              <w:tabs>
                <w:tab w:val="left" w:pos="1134"/>
                <w:tab w:val="left" w:pos="1871"/>
                <w:tab w:val="left" w:pos="2268"/>
              </w:tabs>
              <w:spacing w:before="60" w:after="60"/>
              <w:rPr>
                <w:rFonts w:cstheme="minorHAnsi"/>
                <w:sz w:val="22"/>
                <w:szCs w:val="22"/>
              </w:rPr>
            </w:pPr>
            <w:r w:rsidRPr="00E13128">
              <w:rPr>
                <w:rFonts w:cstheme="minorHAnsi"/>
                <w:i/>
                <w:iCs/>
                <w:sz w:val="22"/>
                <w:szCs w:val="22"/>
              </w:rPr>
              <w:t>CIS region</w:t>
            </w:r>
          </w:p>
          <w:p w14:paraId="7CC2A3FB" w14:textId="77777777" w:rsidR="00B406B4" w:rsidRPr="00E13128" w:rsidRDefault="00B406B4" w:rsidP="00D86D9B">
            <w:pPr>
              <w:pStyle w:val="ListParagraph"/>
              <w:numPr>
                <w:ilvl w:val="0"/>
                <w:numId w:val="14"/>
              </w:numPr>
              <w:overflowPunct/>
              <w:autoSpaceDE/>
              <w:autoSpaceDN/>
              <w:adjustRightInd/>
              <w:spacing w:before="60" w:after="60"/>
              <w:ind w:left="714" w:hanging="357"/>
              <w:contextualSpacing w:val="0"/>
              <w:textAlignment w:val="auto"/>
              <w:rPr>
                <w:rFonts w:cstheme="minorHAnsi"/>
                <w:sz w:val="22"/>
                <w:szCs w:val="22"/>
              </w:rPr>
            </w:pPr>
            <w:r w:rsidRPr="00E13128">
              <w:rPr>
                <w:rFonts w:cstheme="minorHAnsi"/>
                <w:sz w:val="22"/>
                <w:szCs w:val="22"/>
              </w:rPr>
              <w:t>Between 2019 and 2022, ITU has continuously worked on developing a regional Startup Central Eurasia platform, which started as a soft coordination mechanism between ICT parks and ecosystems in the CIS and neighbouring countries. It has grown into a full-scale online platform designed to foster the development of startups and SMEs working on digital health, agriculture and smart cities. The 2021 annual Startup Central Eurasia event attracted 350 participants, representing startups, IT parks, venture investors, and government agencies from 16 countries from the CIS region and neighbouring countries.</w:t>
            </w:r>
          </w:p>
          <w:p w14:paraId="5219E159" w14:textId="77777777" w:rsidR="00B406B4" w:rsidRPr="00E13128" w:rsidRDefault="00B406B4" w:rsidP="00D86D9B">
            <w:pPr>
              <w:pStyle w:val="ListParagraph"/>
              <w:numPr>
                <w:ilvl w:val="0"/>
                <w:numId w:val="14"/>
              </w:numPr>
              <w:overflowPunct/>
              <w:autoSpaceDE/>
              <w:autoSpaceDN/>
              <w:adjustRightInd/>
              <w:spacing w:before="60" w:after="60"/>
              <w:ind w:left="714" w:hanging="357"/>
              <w:contextualSpacing w:val="0"/>
              <w:textAlignment w:val="auto"/>
              <w:rPr>
                <w:rFonts w:cstheme="minorHAnsi"/>
                <w:sz w:val="22"/>
                <w:szCs w:val="22"/>
              </w:rPr>
            </w:pPr>
            <w:r w:rsidRPr="00E13128">
              <w:rPr>
                <w:rFonts w:cstheme="minorHAnsi"/>
                <w:sz w:val="22"/>
                <w:szCs w:val="22"/>
              </w:rPr>
              <w:t xml:space="preserve">In 2022, ITU developed an information hub for stakeholders interested in developing a regional start-up ecosystem and the provision of relevant services hosted on the </w:t>
            </w:r>
            <w:hyperlink r:id="rId62" w:history="1">
              <w:r w:rsidRPr="00E13128">
                <w:rPr>
                  <w:rStyle w:val="Hyperlink"/>
                  <w:rFonts w:cstheme="minorHAnsi"/>
                  <w:color w:val="auto"/>
                  <w:sz w:val="22"/>
                  <w:szCs w:val="22"/>
                </w:rPr>
                <w:t>Startup Central Eurasia platform</w:t>
              </w:r>
            </w:hyperlink>
            <w:r w:rsidRPr="00E13128">
              <w:rPr>
                <w:rFonts w:cstheme="minorHAnsi"/>
                <w:sz w:val="22"/>
                <w:szCs w:val="22"/>
              </w:rPr>
              <w:t xml:space="preserve">. Through the hub, ITU supported countries from the region in developing capabilities for developing their national innovation and start-up ecosystem, collaborating with regional start-ups to assess their level of development and provide consultancy on improving their KPIs and preparing for entry to international markets. </w:t>
            </w:r>
          </w:p>
          <w:p w14:paraId="45E6F543" w14:textId="77777777" w:rsidR="00B406B4" w:rsidRPr="00E13128" w:rsidRDefault="00B406B4" w:rsidP="00D86D9B">
            <w:pPr>
              <w:pStyle w:val="ListParagraph"/>
              <w:numPr>
                <w:ilvl w:val="0"/>
                <w:numId w:val="14"/>
              </w:numPr>
              <w:overflowPunct/>
              <w:autoSpaceDE/>
              <w:autoSpaceDN/>
              <w:adjustRightInd/>
              <w:spacing w:before="60" w:after="60"/>
              <w:ind w:left="714" w:hanging="357"/>
              <w:contextualSpacing w:val="0"/>
              <w:textAlignment w:val="auto"/>
              <w:rPr>
                <w:rFonts w:cstheme="minorHAnsi"/>
                <w:sz w:val="22"/>
                <w:szCs w:val="22"/>
              </w:rPr>
            </w:pPr>
            <w:r w:rsidRPr="00E13128">
              <w:rPr>
                <w:rFonts w:cstheme="minorHAnsi"/>
                <w:sz w:val="22"/>
                <w:szCs w:val="22"/>
              </w:rPr>
              <w:t>In 2022, specialized regional events such as Startup Central Eurasia Summit in April, Startup KPIs Day in July and ITU Startup Central Eurasia Forum in November gathered representatives from the start-up ecosystems of Azerbaijan, Georgia, Kazakhstan, Kyrgyzstan, Russia, Tajikistan, Turkmenistan and Uzbekistan.</w:t>
            </w:r>
          </w:p>
          <w:p w14:paraId="485BF4B0" w14:textId="77777777" w:rsidR="00B406B4" w:rsidRPr="00E13128" w:rsidRDefault="00B406B4" w:rsidP="00D86D9B">
            <w:pPr>
              <w:pStyle w:val="ListParagraph"/>
              <w:numPr>
                <w:ilvl w:val="0"/>
                <w:numId w:val="14"/>
              </w:numPr>
              <w:overflowPunct/>
              <w:autoSpaceDE/>
              <w:autoSpaceDN/>
              <w:adjustRightInd/>
              <w:spacing w:before="60" w:after="60"/>
              <w:ind w:left="714" w:hanging="357"/>
              <w:contextualSpacing w:val="0"/>
              <w:textAlignment w:val="auto"/>
              <w:rPr>
                <w:rFonts w:cstheme="minorHAnsi"/>
                <w:sz w:val="22"/>
                <w:szCs w:val="22"/>
              </w:rPr>
            </w:pPr>
            <w:r w:rsidRPr="00E13128">
              <w:rPr>
                <w:rFonts w:cstheme="minorHAnsi"/>
                <w:sz w:val="22"/>
                <w:szCs w:val="22"/>
              </w:rPr>
              <w:lastRenderedPageBreak/>
              <w:t>A first Startup Ecosystems Ranking 2022 report was released. The report is based on data from government bodies, the private sector, and independent research, and providing a complete rating system for start-up ecosystems for the Central Eurasia region using ITU methodology for assessing ICT innovation and start-up ecosystems.</w:t>
            </w:r>
          </w:p>
          <w:p w14:paraId="0AC6EC9E" w14:textId="77777777" w:rsidR="00B406B4" w:rsidRPr="00E13128" w:rsidRDefault="00B406B4" w:rsidP="00D86D9B">
            <w:pPr>
              <w:pStyle w:val="ListParagraph"/>
              <w:numPr>
                <w:ilvl w:val="0"/>
                <w:numId w:val="14"/>
              </w:numPr>
              <w:overflowPunct/>
              <w:autoSpaceDE/>
              <w:autoSpaceDN/>
              <w:adjustRightInd/>
              <w:spacing w:before="60" w:after="60"/>
              <w:ind w:left="714" w:hanging="357"/>
              <w:contextualSpacing w:val="0"/>
              <w:textAlignment w:val="auto"/>
              <w:rPr>
                <w:rFonts w:cstheme="minorHAnsi"/>
                <w:sz w:val="22"/>
                <w:szCs w:val="22"/>
              </w:rPr>
            </w:pPr>
            <w:r w:rsidRPr="00E13128">
              <w:rPr>
                <w:rFonts w:cstheme="minorHAnsi"/>
                <w:sz w:val="22"/>
                <w:szCs w:val="22"/>
              </w:rPr>
              <w:t xml:space="preserve">A Startup KPI Calculator was developed as a tool for start-ups to calculate their development KPIs for the purposes of investor presentations and correction of their business models and development strategies. </w:t>
            </w:r>
          </w:p>
          <w:p w14:paraId="22FECCDE" w14:textId="43D4D57E" w:rsidR="00B406B4" w:rsidRPr="00E13128" w:rsidRDefault="2D45AF23" w:rsidP="00E13128">
            <w:pPr>
              <w:overflowPunct/>
              <w:autoSpaceDE/>
              <w:autoSpaceDN/>
              <w:adjustRightInd/>
              <w:spacing w:before="60" w:after="60"/>
              <w:textAlignment w:val="auto"/>
              <w:rPr>
                <w:rFonts w:ascii="Calibri" w:hAnsi="Calibri"/>
                <w:i/>
                <w:iCs/>
                <w:sz w:val="22"/>
                <w:szCs w:val="22"/>
              </w:rPr>
            </w:pPr>
            <w:r w:rsidRPr="00E13128">
              <w:rPr>
                <w:rFonts w:ascii="Calibri" w:hAnsi="Calibri" w:cstheme="minorBidi"/>
                <w:i/>
                <w:iCs/>
                <w:sz w:val="22"/>
                <w:szCs w:val="22"/>
              </w:rPr>
              <w:t xml:space="preserve">Europe </w:t>
            </w:r>
            <w:r w:rsidR="00746E17" w:rsidRPr="00E13128">
              <w:rPr>
                <w:rFonts w:ascii="Calibri" w:hAnsi="Calibri" w:cstheme="minorBidi"/>
                <w:i/>
                <w:iCs/>
                <w:sz w:val="22"/>
                <w:szCs w:val="22"/>
              </w:rPr>
              <w:t>r</w:t>
            </w:r>
            <w:r w:rsidRPr="00E13128">
              <w:rPr>
                <w:rFonts w:ascii="Calibri" w:hAnsi="Calibri" w:cstheme="minorBidi"/>
                <w:i/>
                <w:iCs/>
                <w:sz w:val="22"/>
                <w:szCs w:val="22"/>
              </w:rPr>
              <w:t xml:space="preserve">egion </w:t>
            </w:r>
          </w:p>
          <w:p w14:paraId="7D915D04" w14:textId="56191E5E" w:rsidR="00B406B4" w:rsidRPr="00E13128" w:rsidRDefault="17C3B1E5" w:rsidP="00D86D9B">
            <w:pPr>
              <w:pStyle w:val="ListParagraph"/>
              <w:numPr>
                <w:ilvl w:val="0"/>
                <w:numId w:val="16"/>
              </w:numPr>
              <w:overflowPunct/>
              <w:autoSpaceDE/>
              <w:autoSpaceDN/>
              <w:adjustRightInd/>
              <w:spacing w:before="60" w:after="60"/>
              <w:ind w:left="714" w:hanging="357"/>
              <w:contextualSpacing w:val="0"/>
              <w:textAlignment w:val="auto"/>
              <w:rPr>
                <w:rFonts w:eastAsia="Calibri" w:cstheme="minorBidi"/>
                <w:sz w:val="22"/>
                <w:szCs w:val="22"/>
              </w:rPr>
            </w:pPr>
            <w:r w:rsidRPr="00E13128">
              <w:rPr>
                <w:rFonts w:eastAsia="Calibri" w:cstheme="minorBidi"/>
                <w:sz w:val="22"/>
                <w:szCs w:val="22"/>
              </w:rPr>
              <w:t xml:space="preserve">ITU and FAO </w:t>
            </w:r>
            <w:r w:rsidR="00871000" w:rsidRPr="00E13128">
              <w:rPr>
                <w:rFonts w:eastAsia="Calibri" w:cstheme="minorBidi"/>
                <w:sz w:val="22"/>
                <w:szCs w:val="22"/>
              </w:rPr>
              <w:t>have been</w:t>
            </w:r>
            <w:r w:rsidRPr="00E13128">
              <w:rPr>
                <w:rFonts w:eastAsia="Calibri" w:cstheme="minorBidi"/>
                <w:sz w:val="22"/>
                <w:szCs w:val="22"/>
              </w:rPr>
              <w:t xml:space="preserve"> collaborating </w:t>
            </w:r>
            <w:r w:rsidR="0F6DE3D9" w:rsidRPr="00E13128">
              <w:rPr>
                <w:rFonts w:eastAsia="Calibri" w:cstheme="minorBidi"/>
                <w:sz w:val="22"/>
                <w:szCs w:val="22"/>
              </w:rPr>
              <w:t xml:space="preserve">to </w:t>
            </w:r>
            <w:r w:rsidR="0F6DE3D9" w:rsidRPr="00E13128">
              <w:rPr>
                <w:rFonts w:eastAsia="Calibri" w:cstheme="minorBidi"/>
                <w:sz w:val="22"/>
                <w:szCs w:val="22"/>
                <w:lang w:val="en-US"/>
              </w:rPr>
              <w:t>guide the European Union’s pre-accession countries to meet the EU Digital Agriculture requirements, to support them in their journey to become equal members of the single EU market and implement their agricultural policies under the umbrella of European Common agricultural policy.</w:t>
            </w:r>
            <w:r w:rsidRPr="00E13128">
              <w:rPr>
                <w:rFonts w:eastAsia="Calibri" w:cstheme="minorBidi"/>
                <w:sz w:val="22"/>
                <w:szCs w:val="22"/>
              </w:rPr>
              <w:t xml:space="preserve"> </w:t>
            </w:r>
            <w:r w:rsidR="00871000" w:rsidRPr="00E13128">
              <w:rPr>
                <w:rFonts w:eastAsia="Calibri" w:cstheme="minorBidi"/>
                <w:sz w:val="22"/>
                <w:szCs w:val="22"/>
              </w:rPr>
              <w:t>To do so</w:t>
            </w:r>
            <w:r w:rsidR="576F4E1D" w:rsidRPr="00E13128">
              <w:rPr>
                <w:rFonts w:eastAsia="Calibri" w:cstheme="minorBidi"/>
                <w:sz w:val="22"/>
                <w:szCs w:val="22"/>
              </w:rPr>
              <w:t xml:space="preserve">, ITU and FAO </w:t>
            </w:r>
            <w:r w:rsidR="6DE229F8" w:rsidRPr="00E13128">
              <w:rPr>
                <w:rFonts w:eastAsia="Calibri" w:cstheme="minorBidi"/>
                <w:sz w:val="22"/>
                <w:szCs w:val="22"/>
              </w:rPr>
              <w:t xml:space="preserve">developed the </w:t>
            </w:r>
            <w:r w:rsidR="16C3F648" w:rsidRPr="00E13128">
              <w:rPr>
                <w:rFonts w:eastAsia="Calibri" w:cstheme="minorBidi"/>
                <w:sz w:val="22"/>
                <w:szCs w:val="22"/>
              </w:rPr>
              <w:t xml:space="preserve">“ITU-FAO Guidelines for pre-accession countries: Meeting the expectations of the EU in terms of digital agriculture” </w:t>
            </w:r>
            <w:r w:rsidR="15E84C95" w:rsidRPr="00E13128">
              <w:rPr>
                <w:rFonts w:eastAsia="Calibri" w:cstheme="minorBidi"/>
                <w:sz w:val="22"/>
                <w:szCs w:val="22"/>
              </w:rPr>
              <w:t xml:space="preserve">that went through a series of consultations and the final version is </w:t>
            </w:r>
            <w:r w:rsidR="7AE034EA" w:rsidRPr="00E13128">
              <w:rPr>
                <w:rFonts w:eastAsia="Calibri" w:cstheme="minorBidi"/>
                <w:sz w:val="22"/>
                <w:szCs w:val="22"/>
              </w:rPr>
              <w:t>to be launched in 2023</w:t>
            </w:r>
            <w:r w:rsidR="61D5E1A2" w:rsidRPr="00E13128">
              <w:rPr>
                <w:rFonts w:eastAsia="Calibri" w:cstheme="minorBidi"/>
                <w:sz w:val="22"/>
                <w:szCs w:val="22"/>
              </w:rPr>
              <w:t>.</w:t>
            </w:r>
            <w:r w:rsidR="7AE034EA" w:rsidRPr="00E13128">
              <w:rPr>
                <w:rFonts w:eastAsia="Calibri" w:cstheme="minorBidi"/>
                <w:sz w:val="22"/>
                <w:szCs w:val="22"/>
              </w:rPr>
              <w:t xml:space="preserve"> </w:t>
            </w:r>
          </w:p>
          <w:p w14:paraId="519B1CD7" w14:textId="66478CF3" w:rsidR="00B406B4" w:rsidRPr="00E13128" w:rsidRDefault="46F36DCB" w:rsidP="00D86D9B">
            <w:pPr>
              <w:pStyle w:val="ListParagraph"/>
              <w:numPr>
                <w:ilvl w:val="0"/>
                <w:numId w:val="16"/>
              </w:numPr>
              <w:spacing w:before="60" w:after="60"/>
              <w:ind w:left="714" w:hanging="357"/>
              <w:contextualSpacing w:val="0"/>
              <w:rPr>
                <w:rFonts w:eastAsia="Calibri" w:cstheme="minorBidi"/>
                <w:sz w:val="22"/>
                <w:szCs w:val="22"/>
              </w:rPr>
            </w:pPr>
            <w:r w:rsidRPr="00E13128">
              <w:rPr>
                <w:rFonts w:eastAsia="Calibri" w:cstheme="minorBidi"/>
                <w:sz w:val="22"/>
                <w:szCs w:val="22"/>
              </w:rPr>
              <w:t xml:space="preserve">ITU and FAO </w:t>
            </w:r>
            <w:r w:rsidR="008575CB" w:rsidRPr="00E13128">
              <w:rPr>
                <w:rFonts w:eastAsia="Calibri" w:cstheme="minorBidi"/>
                <w:sz w:val="22"/>
                <w:szCs w:val="22"/>
              </w:rPr>
              <w:t>have also been</w:t>
            </w:r>
            <w:r w:rsidR="4572FECD" w:rsidRPr="00E13128">
              <w:rPr>
                <w:rFonts w:eastAsia="Calibri" w:cstheme="minorBidi"/>
                <w:sz w:val="22"/>
                <w:szCs w:val="22"/>
              </w:rPr>
              <w:t xml:space="preserve"> collaborating within the framework of the </w:t>
            </w:r>
            <w:r w:rsidRPr="00E13128">
              <w:rPr>
                <w:rFonts w:eastAsia="Calibri" w:cstheme="minorBidi"/>
                <w:sz w:val="22"/>
                <w:szCs w:val="22"/>
              </w:rPr>
              <w:t>“Digital Excellence in Agriculture: ITU</w:t>
            </w:r>
            <w:r w:rsidR="2CAC76C8" w:rsidRPr="00E13128">
              <w:rPr>
                <w:rFonts w:eastAsia="Calibri" w:cstheme="minorBidi"/>
                <w:sz w:val="22"/>
                <w:szCs w:val="22"/>
              </w:rPr>
              <w:t>-</w:t>
            </w:r>
            <w:r w:rsidRPr="00E13128">
              <w:rPr>
                <w:rFonts w:eastAsia="Calibri" w:cstheme="minorBidi"/>
                <w:sz w:val="22"/>
                <w:szCs w:val="22"/>
              </w:rPr>
              <w:t xml:space="preserve">FAO </w:t>
            </w:r>
            <w:r w:rsidR="49C0FE2F" w:rsidRPr="00E13128">
              <w:rPr>
                <w:rFonts w:eastAsia="Calibri" w:cstheme="minorBidi"/>
                <w:sz w:val="22"/>
                <w:szCs w:val="22"/>
              </w:rPr>
              <w:t xml:space="preserve">Regional </w:t>
            </w:r>
            <w:r w:rsidRPr="00E13128">
              <w:rPr>
                <w:rFonts w:eastAsia="Calibri" w:cstheme="minorBidi"/>
                <w:sz w:val="22"/>
                <w:szCs w:val="22"/>
              </w:rPr>
              <w:t xml:space="preserve">Contest in Europe and Central Asia”, with the aim to overcome the various challenges of sustainable and resilient food systems through identifying innovative digital agriculture practices across the regions. </w:t>
            </w:r>
          </w:p>
          <w:p w14:paraId="6DA3B785" w14:textId="2947A87D" w:rsidR="00B406B4" w:rsidRPr="00E13128" w:rsidRDefault="6D23F0A3" w:rsidP="00D86D9B">
            <w:pPr>
              <w:pStyle w:val="ListParagraph"/>
              <w:numPr>
                <w:ilvl w:val="0"/>
                <w:numId w:val="16"/>
              </w:numPr>
              <w:spacing w:before="60" w:after="60"/>
              <w:ind w:left="714" w:hanging="357"/>
              <w:contextualSpacing w:val="0"/>
              <w:rPr>
                <w:rFonts w:eastAsia="Calibri" w:cstheme="minorBidi"/>
                <w:sz w:val="22"/>
                <w:szCs w:val="22"/>
              </w:rPr>
            </w:pPr>
            <w:r w:rsidRPr="00E13128">
              <w:rPr>
                <w:rFonts w:eastAsia="Calibri" w:cstheme="minorBidi"/>
                <w:sz w:val="22"/>
                <w:szCs w:val="22"/>
              </w:rPr>
              <w:t xml:space="preserve">The Regional Office supported the Ministry of Information Society and Administration of North Macedonia in revising and finalizing the Draft National ICT Strategy 2023-2026. This work ensured the inclusion of essential ITU recommendations and the </w:t>
            </w:r>
            <w:proofErr w:type="spellStart"/>
            <w:r w:rsidRPr="00E13128">
              <w:rPr>
                <w:rFonts w:eastAsia="Calibri" w:cstheme="minorBidi"/>
                <w:sz w:val="22"/>
                <w:szCs w:val="22"/>
              </w:rPr>
              <w:t>GovStack</w:t>
            </w:r>
            <w:proofErr w:type="spellEnd"/>
            <w:r w:rsidRPr="00E13128">
              <w:rPr>
                <w:rFonts w:eastAsia="Calibri" w:cstheme="minorBidi"/>
                <w:sz w:val="22"/>
                <w:szCs w:val="22"/>
              </w:rPr>
              <w:t xml:space="preserve"> </w:t>
            </w:r>
            <w:r w:rsidR="0017550A" w:rsidRPr="00E13128">
              <w:rPr>
                <w:rFonts w:eastAsia="Calibri" w:cstheme="minorBidi"/>
                <w:sz w:val="22"/>
                <w:szCs w:val="22"/>
              </w:rPr>
              <w:t>and</w:t>
            </w:r>
            <w:r w:rsidRPr="00E13128">
              <w:rPr>
                <w:rFonts w:eastAsia="Calibri" w:cstheme="minorBidi"/>
                <w:sz w:val="22"/>
                <w:szCs w:val="22"/>
              </w:rPr>
              <w:t xml:space="preserve"> </w:t>
            </w:r>
            <w:r w:rsidR="007C43E1" w:rsidRPr="00E13128">
              <w:rPr>
                <w:rFonts w:eastAsia="Calibri" w:cstheme="minorBidi"/>
                <w:sz w:val="22"/>
                <w:szCs w:val="22"/>
              </w:rPr>
              <w:t>a w</w:t>
            </w:r>
            <w:r w:rsidRPr="00E13128">
              <w:rPr>
                <w:rFonts w:eastAsia="Calibri" w:cstheme="minorBidi"/>
                <w:sz w:val="22"/>
                <w:szCs w:val="22"/>
              </w:rPr>
              <w:t>hole-of-</w:t>
            </w:r>
            <w:r w:rsidR="007C43E1" w:rsidRPr="00E13128">
              <w:rPr>
                <w:rFonts w:eastAsia="Calibri" w:cstheme="minorBidi"/>
                <w:sz w:val="22"/>
                <w:szCs w:val="22"/>
              </w:rPr>
              <w:t>g</w:t>
            </w:r>
            <w:r w:rsidRPr="00E13128">
              <w:rPr>
                <w:rFonts w:eastAsia="Calibri" w:cstheme="minorBidi"/>
                <w:sz w:val="22"/>
                <w:szCs w:val="22"/>
              </w:rPr>
              <w:t>overnment approach</w:t>
            </w:r>
            <w:r w:rsidR="007C43E1" w:rsidRPr="00E13128">
              <w:rPr>
                <w:rFonts w:eastAsia="Calibri" w:cstheme="minorBidi"/>
                <w:sz w:val="22"/>
                <w:szCs w:val="22"/>
              </w:rPr>
              <w:t>. A</w:t>
            </w:r>
            <w:r w:rsidRPr="00E13128">
              <w:rPr>
                <w:rFonts w:eastAsia="Calibri" w:cstheme="minorBidi"/>
                <w:sz w:val="22"/>
                <w:szCs w:val="22"/>
              </w:rPr>
              <w:t xml:space="preserve"> kick-off meeting was held to engage North Macedonia in </w:t>
            </w:r>
            <w:proofErr w:type="spellStart"/>
            <w:r w:rsidRPr="00E13128">
              <w:rPr>
                <w:rFonts w:eastAsia="Calibri" w:cstheme="minorBidi"/>
                <w:sz w:val="22"/>
                <w:szCs w:val="22"/>
              </w:rPr>
              <w:t>GovStack</w:t>
            </w:r>
            <w:proofErr w:type="spellEnd"/>
            <w:r w:rsidRPr="00E13128">
              <w:rPr>
                <w:rFonts w:eastAsia="Calibri" w:cstheme="minorBidi"/>
                <w:sz w:val="22"/>
                <w:szCs w:val="22"/>
              </w:rPr>
              <w:t xml:space="preserve"> and initiate the development of a more comprehensive and effective digital governance infrastructure.</w:t>
            </w:r>
          </w:p>
          <w:p w14:paraId="6FF736C4" w14:textId="394AA94E" w:rsidR="062448F4" w:rsidRPr="00E13128" w:rsidRDefault="3B515EFF" w:rsidP="00D86D9B">
            <w:pPr>
              <w:pStyle w:val="ListParagraph"/>
              <w:numPr>
                <w:ilvl w:val="0"/>
                <w:numId w:val="16"/>
              </w:numPr>
              <w:spacing w:before="60" w:after="60"/>
              <w:ind w:left="714" w:hanging="357"/>
              <w:contextualSpacing w:val="0"/>
              <w:rPr>
                <w:rFonts w:eastAsia="Calibri" w:cstheme="minorBidi"/>
                <w:sz w:val="22"/>
                <w:szCs w:val="22"/>
              </w:rPr>
            </w:pPr>
            <w:r w:rsidRPr="00E13128">
              <w:rPr>
                <w:rFonts w:eastAsia="Calibri" w:cstheme="minorBidi"/>
                <w:sz w:val="22"/>
                <w:szCs w:val="22"/>
              </w:rPr>
              <w:t xml:space="preserve">The engagement in the </w:t>
            </w:r>
            <w:proofErr w:type="spellStart"/>
            <w:r w:rsidRPr="00E13128">
              <w:rPr>
                <w:rFonts w:eastAsia="Calibri" w:cstheme="minorBidi"/>
                <w:sz w:val="22"/>
                <w:szCs w:val="22"/>
              </w:rPr>
              <w:t>GovStack</w:t>
            </w:r>
            <w:proofErr w:type="spellEnd"/>
            <w:r w:rsidRPr="00E13128">
              <w:rPr>
                <w:rFonts w:eastAsia="Calibri" w:cstheme="minorBidi"/>
                <w:sz w:val="22"/>
                <w:szCs w:val="22"/>
              </w:rPr>
              <w:t xml:space="preserve"> activities of the Government of Ukraine advanced significantly and were focused on the Ukrainian Platform of Registries, covering the Fit-Gap analysis as well as exploring the possible future steps in relation to the platform prototype development and its integration into the </w:t>
            </w:r>
            <w:proofErr w:type="spellStart"/>
            <w:r w:rsidRPr="00E13128">
              <w:rPr>
                <w:rFonts w:eastAsia="Calibri" w:cstheme="minorBidi"/>
                <w:sz w:val="22"/>
                <w:szCs w:val="22"/>
              </w:rPr>
              <w:t>GovStack</w:t>
            </w:r>
            <w:proofErr w:type="spellEnd"/>
            <w:r w:rsidRPr="00E13128">
              <w:rPr>
                <w:rFonts w:eastAsia="Calibri" w:cstheme="minorBidi"/>
                <w:sz w:val="22"/>
                <w:szCs w:val="22"/>
              </w:rPr>
              <w:t xml:space="preserve"> Sandbox. These efforts informed the development of the </w:t>
            </w:r>
            <w:proofErr w:type="spellStart"/>
            <w:r w:rsidRPr="00E13128">
              <w:rPr>
                <w:rFonts w:eastAsia="Calibri" w:cstheme="minorBidi"/>
                <w:sz w:val="22"/>
                <w:szCs w:val="22"/>
              </w:rPr>
              <w:t>GovStack</w:t>
            </w:r>
            <w:proofErr w:type="spellEnd"/>
            <w:r w:rsidRPr="00E13128">
              <w:rPr>
                <w:rFonts w:eastAsia="Calibri" w:cstheme="minorBidi"/>
                <w:sz w:val="22"/>
                <w:szCs w:val="22"/>
              </w:rPr>
              <w:t xml:space="preserve"> compliance methodology, paving the way for other countries to join and confirm compliance with </w:t>
            </w:r>
            <w:proofErr w:type="spellStart"/>
            <w:r w:rsidRPr="00E13128">
              <w:rPr>
                <w:rFonts w:eastAsia="Calibri" w:cstheme="minorBidi"/>
                <w:sz w:val="22"/>
                <w:szCs w:val="22"/>
              </w:rPr>
              <w:t>GovStack</w:t>
            </w:r>
            <w:proofErr w:type="spellEnd"/>
            <w:r w:rsidRPr="00E13128">
              <w:rPr>
                <w:rFonts w:eastAsia="Calibri" w:cstheme="minorBidi"/>
                <w:sz w:val="22"/>
                <w:szCs w:val="22"/>
              </w:rPr>
              <w:t xml:space="preserve"> specifications. Also, the Regional Office is continuously supporting the country in positioning itself as a frontrunner in eGovernment.</w:t>
            </w:r>
          </w:p>
          <w:p w14:paraId="42A37F79" w14:textId="6D38A537" w:rsidR="00B406B4" w:rsidRPr="00E13128" w:rsidRDefault="5B14F649" w:rsidP="00D86D9B">
            <w:pPr>
              <w:pStyle w:val="ListParagraph"/>
              <w:numPr>
                <w:ilvl w:val="0"/>
                <w:numId w:val="16"/>
              </w:numPr>
              <w:spacing w:before="60" w:after="60"/>
              <w:ind w:left="714" w:hanging="357"/>
              <w:contextualSpacing w:val="0"/>
              <w:rPr>
                <w:rFonts w:eastAsia="Calibri" w:cstheme="minorBidi"/>
                <w:sz w:val="22"/>
                <w:szCs w:val="22"/>
              </w:rPr>
            </w:pPr>
            <w:r w:rsidRPr="00E13128">
              <w:rPr>
                <w:rFonts w:eastAsia="Calibri" w:cstheme="minorBidi"/>
                <w:sz w:val="22"/>
                <w:szCs w:val="22"/>
                <w:lang w:val="en-US"/>
              </w:rPr>
              <w:t xml:space="preserve">The forces were joined with the European Commission to streamline the </w:t>
            </w:r>
            <w:r w:rsidR="00E23961" w:rsidRPr="00E13128">
              <w:rPr>
                <w:rFonts w:eastAsia="Calibri" w:cstheme="minorBidi"/>
                <w:sz w:val="22"/>
                <w:szCs w:val="22"/>
                <w:lang w:val="en-US"/>
              </w:rPr>
              <w:t>o</w:t>
            </w:r>
            <w:r w:rsidRPr="00E13128">
              <w:rPr>
                <w:rFonts w:eastAsia="Calibri" w:cstheme="minorBidi"/>
                <w:sz w:val="22"/>
                <w:szCs w:val="22"/>
                <w:lang w:val="en-US"/>
              </w:rPr>
              <w:t>pen-</w:t>
            </w:r>
            <w:r w:rsidR="00E23961" w:rsidRPr="00E13128">
              <w:rPr>
                <w:rFonts w:eastAsia="Calibri" w:cstheme="minorBidi"/>
                <w:sz w:val="22"/>
                <w:szCs w:val="22"/>
                <w:lang w:val="en-US"/>
              </w:rPr>
              <w:t>s</w:t>
            </w:r>
            <w:r w:rsidRPr="00E13128">
              <w:rPr>
                <w:rFonts w:eastAsia="Calibri" w:cstheme="minorBidi"/>
                <w:sz w:val="22"/>
                <w:szCs w:val="22"/>
                <w:lang w:val="en-US"/>
              </w:rPr>
              <w:t xml:space="preserve">ource community development as part of the digitalization and multilateralism </w:t>
            </w:r>
            <w:proofErr w:type="spellStart"/>
            <w:r w:rsidRPr="00E13128">
              <w:rPr>
                <w:rFonts w:eastAsia="Calibri" w:cstheme="minorBidi"/>
                <w:sz w:val="22"/>
                <w:szCs w:val="22"/>
                <w:lang w:val="en-US"/>
              </w:rPr>
              <w:t>programme</w:t>
            </w:r>
            <w:proofErr w:type="spellEnd"/>
            <w:r w:rsidR="004E36E1" w:rsidRPr="00E13128">
              <w:rPr>
                <w:rFonts w:eastAsia="Calibri" w:cstheme="minorBidi"/>
                <w:sz w:val="22"/>
                <w:szCs w:val="22"/>
                <w:lang w:val="en-US"/>
              </w:rPr>
              <w:t xml:space="preserve"> starting in 2023</w:t>
            </w:r>
            <w:r w:rsidRPr="00E13128">
              <w:rPr>
                <w:rFonts w:eastAsia="Calibri" w:cstheme="minorBidi"/>
                <w:sz w:val="22"/>
                <w:szCs w:val="22"/>
                <w:lang w:val="en-US"/>
              </w:rPr>
              <w:t>.</w:t>
            </w:r>
            <w:r w:rsidR="005E75F3">
              <w:rPr>
                <w:rFonts w:eastAsia="Calibri" w:cstheme="minorBidi"/>
                <w:sz w:val="22"/>
                <w:szCs w:val="22"/>
                <w:lang w:val="en-US"/>
              </w:rPr>
              <w:t xml:space="preserve"> </w:t>
            </w:r>
          </w:p>
        </w:tc>
      </w:tr>
    </w:tbl>
    <w:p w14:paraId="54B10239" w14:textId="7D1A75FF" w:rsidR="00B406B4" w:rsidRPr="00E13128" w:rsidRDefault="00B406B4" w:rsidP="00E13128">
      <w:pPr>
        <w:pStyle w:val="Heading1"/>
        <w:numPr>
          <w:ilvl w:val="0"/>
          <w:numId w:val="22"/>
        </w:numPr>
        <w:spacing w:before="120" w:after="120"/>
        <w:ind w:left="357" w:hanging="357"/>
        <w:rPr>
          <w:sz w:val="24"/>
          <w:szCs w:val="24"/>
          <w:lang w:val="en-US"/>
        </w:rPr>
      </w:pPr>
      <w:r w:rsidRPr="00E13128">
        <w:rPr>
          <w:sz w:val="24"/>
          <w:szCs w:val="24"/>
          <w:lang w:val="en-US"/>
        </w:rPr>
        <w:lastRenderedPageBreak/>
        <w:t>Emergency telecommunications: Disaster-resilient ICT infrastructure for reduced loss of lives and damages</w:t>
      </w:r>
    </w:p>
    <w:p w14:paraId="25AF29B6" w14:textId="77777777" w:rsidR="00B406B4" w:rsidRPr="00E13128" w:rsidRDefault="00B406B4" w:rsidP="00E13128">
      <w:pPr>
        <w:pStyle w:val="Heading3"/>
        <w:spacing w:before="120" w:after="120"/>
        <w:rPr>
          <w:szCs w:val="24"/>
          <w:lang w:val="en-US"/>
        </w:rPr>
      </w:pPr>
      <w:r w:rsidRPr="00E13128">
        <w:rPr>
          <w:szCs w:val="24"/>
          <w:lang w:val="en-US"/>
        </w:rPr>
        <w:t>Disaster preparedness</w:t>
      </w:r>
    </w:p>
    <w:p w14:paraId="4BDFFF43" w14:textId="431F7FBA" w:rsidR="00B406B4" w:rsidRPr="00E13128" w:rsidRDefault="00B406B4" w:rsidP="00E13128">
      <w:pPr>
        <w:spacing w:after="120"/>
        <w:rPr>
          <w:rFonts w:cstheme="minorHAnsi"/>
          <w:szCs w:val="24"/>
          <w:lang w:val="en-US"/>
        </w:rPr>
      </w:pPr>
      <w:r w:rsidRPr="00E13128">
        <w:rPr>
          <w:rFonts w:cstheme="minorHAnsi"/>
          <w:szCs w:val="24"/>
          <w:lang w:val="en-US"/>
        </w:rPr>
        <w:t>BDT has supported a number of countries in developing a National Emergency Telecommunication Plan (NETP), including Mongolia, Kiribati, Fiji, Dominica and Grenada. Furthermore, ITU undertook baseline assessments to identify the availability of national laws, regulations and policies governing emergency telecommunications within the Arab and Americas Member States, and the Pacific Islands. The assessments help to track ITU’s Strategic Goals and in particular the Target 3.5 and shows that 28% of countries assessed have an NETP.</w:t>
      </w:r>
      <w:r w:rsidR="005E75F3">
        <w:rPr>
          <w:rFonts w:cstheme="minorHAnsi"/>
          <w:szCs w:val="24"/>
          <w:lang w:val="en-US"/>
        </w:rPr>
        <w:t xml:space="preserve"> </w:t>
      </w:r>
    </w:p>
    <w:p w14:paraId="6B508681" w14:textId="77777777" w:rsidR="00B406B4" w:rsidRPr="00E13128" w:rsidRDefault="00B406B4" w:rsidP="00E13128">
      <w:pPr>
        <w:spacing w:after="120"/>
        <w:rPr>
          <w:rFonts w:cstheme="minorHAnsi"/>
          <w:szCs w:val="24"/>
          <w:lang w:val="en-US"/>
        </w:rPr>
      </w:pPr>
      <w:r w:rsidRPr="00E13128">
        <w:rPr>
          <w:rFonts w:cstheme="minorHAnsi"/>
          <w:szCs w:val="24"/>
          <w:lang w:val="en-US"/>
        </w:rPr>
        <w:t>Following the request from Southern African Development Community (SADC), EET developed a SADC Model NETP Situational Analysis the SADC region, focusing on disaster risk analysis and the use of ICTs for disaster risk reduction and management. This model will assist the 16 member states of SADC in identifying key priorities in term of their NETPs. A multi-stakeholder workshop was conducted to present the Situational Analysis to the SADC Member States.</w:t>
      </w:r>
    </w:p>
    <w:p w14:paraId="0B44E28D" w14:textId="77777777" w:rsidR="00B406B4" w:rsidRPr="00E13128" w:rsidRDefault="00B406B4" w:rsidP="00E13128">
      <w:pPr>
        <w:spacing w:after="120"/>
        <w:rPr>
          <w:rFonts w:cstheme="minorHAnsi"/>
          <w:szCs w:val="24"/>
        </w:rPr>
      </w:pPr>
      <w:r w:rsidRPr="00E13128">
        <w:rPr>
          <w:rFonts w:cstheme="minorHAnsi"/>
          <w:szCs w:val="24"/>
        </w:rPr>
        <w:lastRenderedPageBreak/>
        <w:t xml:space="preserve">Launched in 2021, the </w:t>
      </w:r>
      <w:hyperlink r:id="rId63" w:tgtFrame="_blank" w:history="1">
        <w:r w:rsidRPr="00E13128">
          <w:rPr>
            <w:rStyle w:val="Hyperlink"/>
            <w:rFonts w:cstheme="minorHAnsi"/>
            <w:color w:val="auto"/>
            <w:szCs w:val="24"/>
          </w:rPr>
          <w:t>ITU Online Training Modules on Emergency Telecommunications</w:t>
        </w:r>
      </w:hyperlink>
      <w:r w:rsidRPr="00E13128">
        <w:rPr>
          <w:rFonts w:cstheme="minorHAnsi"/>
          <w:szCs w:val="24"/>
          <w:lang w:val="en-US"/>
        </w:rPr>
        <w:t xml:space="preserve"> has proved instrumental in strengthening countries’ capacities in disaster preparedness</w:t>
      </w:r>
      <w:r w:rsidRPr="00E13128">
        <w:rPr>
          <w:rFonts w:cstheme="minorHAnsi"/>
          <w:szCs w:val="24"/>
        </w:rPr>
        <w:t xml:space="preserve">. The available training modules cover (1) the development of NETPs, which are based on the </w:t>
      </w:r>
      <w:hyperlink r:id="rId64" w:tgtFrame="_blank" w:history="1">
        <w:r w:rsidRPr="00E13128">
          <w:rPr>
            <w:rStyle w:val="Hyperlink"/>
            <w:rFonts w:cstheme="minorHAnsi"/>
            <w:color w:val="auto"/>
            <w:szCs w:val="24"/>
          </w:rPr>
          <w:t>ITU Guidelines on NETPs</w:t>
        </w:r>
      </w:hyperlink>
      <w:r w:rsidRPr="00E13128">
        <w:rPr>
          <w:rFonts w:cstheme="minorHAnsi"/>
          <w:szCs w:val="24"/>
        </w:rPr>
        <w:t xml:space="preserve">, (2) the organization of </w:t>
      </w:r>
      <w:hyperlink r:id="rId65" w:tgtFrame="_blank" w:history="1">
        <w:r w:rsidRPr="00E13128">
          <w:rPr>
            <w:rStyle w:val="Hyperlink"/>
            <w:rFonts w:cstheme="minorHAnsi"/>
            <w:color w:val="auto"/>
            <w:szCs w:val="24"/>
          </w:rPr>
          <w:t>tabletop simulation exercises</w:t>
        </w:r>
      </w:hyperlink>
      <w:r w:rsidRPr="00E13128">
        <w:rPr>
          <w:rFonts w:cstheme="minorHAnsi"/>
          <w:b/>
          <w:bCs/>
          <w:szCs w:val="24"/>
          <w:u w:val="single"/>
        </w:rPr>
        <w:t xml:space="preserve"> </w:t>
      </w:r>
      <w:r w:rsidRPr="00E13128">
        <w:rPr>
          <w:rFonts w:cstheme="minorHAnsi"/>
          <w:szCs w:val="24"/>
          <w:u w:val="single"/>
        </w:rPr>
        <w:t>(TTX)</w:t>
      </w:r>
      <w:r w:rsidRPr="00E13128">
        <w:rPr>
          <w:rFonts w:cstheme="minorHAnsi"/>
          <w:szCs w:val="24"/>
        </w:rPr>
        <w:t xml:space="preserve">, and (3) information on the </w:t>
      </w:r>
      <w:hyperlink r:id="rId66" w:tgtFrame="_blank" w:history="1">
        <w:r w:rsidRPr="00E13128">
          <w:rPr>
            <w:rStyle w:val="Hyperlink"/>
            <w:rFonts w:cstheme="minorHAnsi"/>
            <w:color w:val="auto"/>
            <w:szCs w:val="24"/>
          </w:rPr>
          <w:t>Tampere Convention</w:t>
        </w:r>
      </w:hyperlink>
      <w:r w:rsidRPr="00E13128">
        <w:rPr>
          <w:rFonts w:cstheme="minorHAnsi"/>
          <w:szCs w:val="24"/>
        </w:rPr>
        <w:t xml:space="preserve"> and its benefits. A total of 398 participants took the courses during the reported period. </w:t>
      </w:r>
    </w:p>
    <w:p w14:paraId="6CB3ED0C" w14:textId="77777777" w:rsidR="00B406B4" w:rsidRPr="00E13128" w:rsidRDefault="00B406B4" w:rsidP="00E13128">
      <w:pPr>
        <w:pStyle w:val="Heading3"/>
        <w:spacing w:before="120" w:after="120"/>
        <w:rPr>
          <w:szCs w:val="24"/>
          <w:lang w:val="en-US"/>
        </w:rPr>
      </w:pPr>
      <w:r w:rsidRPr="00E13128">
        <w:rPr>
          <w:szCs w:val="24"/>
          <w:lang w:val="en-US"/>
        </w:rPr>
        <w:t>Disaster Response and deployment</w:t>
      </w:r>
    </w:p>
    <w:p w14:paraId="4D99DD8B" w14:textId="77777777" w:rsidR="00B406B4" w:rsidRPr="00E13128" w:rsidRDefault="00B406B4" w:rsidP="00E13128">
      <w:pPr>
        <w:spacing w:after="120"/>
        <w:rPr>
          <w:rFonts w:cstheme="minorHAnsi"/>
          <w:szCs w:val="24"/>
          <w:lang w:val="en-US"/>
        </w:rPr>
      </w:pPr>
      <w:r w:rsidRPr="00E13128">
        <w:rPr>
          <w:rFonts w:cstheme="minorHAnsi"/>
          <w:szCs w:val="24"/>
          <w:lang w:val="en-US"/>
        </w:rPr>
        <w:t xml:space="preserve">As part of continued assistance to Tonga following the loss of connectivity in the wake of the volcanic eruption in January 2022, BDT conducted a stakeholder consultation meeting in March 2023 to draft an NETP. Technical assistance is supported through an ongoing partnership with the Ministry of Internal Affairs and Communications (MIC) Japan. </w:t>
      </w:r>
    </w:p>
    <w:p w14:paraId="22D504D3" w14:textId="77777777" w:rsidR="00B406B4" w:rsidRPr="00E13128" w:rsidRDefault="00B406B4" w:rsidP="00E13128">
      <w:pPr>
        <w:spacing w:after="120"/>
        <w:rPr>
          <w:rFonts w:cstheme="minorHAnsi"/>
          <w:szCs w:val="24"/>
        </w:rPr>
      </w:pPr>
      <w:r w:rsidRPr="00E13128">
        <w:rPr>
          <w:rFonts w:cstheme="minorHAnsi"/>
          <w:szCs w:val="24"/>
        </w:rPr>
        <w:t xml:space="preserve">BDT has also continued to be actively involved in the area of disaster response. </w:t>
      </w:r>
    </w:p>
    <w:p w14:paraId="6126D8A2" w14:textId="77777777" w:rsidR="00B406B4" w:rsidRPr="00E13128" w:rsidRDefault="00B406B4" w:rsidP="00E13128">
      <w:pPr>
        <w:numPr>
          <w:ilvl w:val="0"/>
          <w:numId w:val="2"/>
        </w:numPr>
        <w:tabs>
          <w:tab w:val="clear" w:pos="794"/>
          <w:tab w:val="clear" w:pos="1191"/>
          <w:tab w:val="clear" w:pos="1588"/>
          <w:tab w:val="clear" w:pos="1985"/>
        </w:tabs>
        <w:overflowPunct/>
        <w:autoSpaceDE/>
        <w:autoSpaceDN/>
        <w:adjustRightInd/>
        <w:spacing w:before="60" w:after="60"/>
        <w:ind w:left="357" w:hanging="357"/>
        <w:textAlignment w:val="auto"/>
        <w:rPr>
          <w:rFonts w:cstheme="minorHAnsi"/>
          <w:szCs w:val="24"/>
          <w:lang w:val="en-US"/>
        </w:rPr>
      </w:pPr>
      <w:r w:rsidRPr="00E13128">
        <w:rPr>
          <w:rFonts w:cstheme="minorHAnsi"/>
          <w:szCs w:val="24"/>
          <w:lang w:val="en-US"/>
        </w:rPr>
        <w:t xml:space="preserve">BDT continues to support Tonga since it was hit by disaster in January 2022. ITU provided satellite equipment and airtime and continues to track connectivity through DCM. </w:t>
      </w:r>
    </w:p>
    <w:p w14:paraId="2A51B1B8" w14:textId="77777777" w:rsidR="00B406B4" w:rsidRPr="00E13128" w:rsidRDefault="00B406B4" w:rsidP="00E13128">
      <w:pPr>
        <w:numPr>
          <w:ilvl w:val="0"/>
          <w:numId w:val="2"/>
        </w:numPr>
        <w:tabs>
          <w:tab w:val="clear" w:pos="794"/>
          <w:tab w:val="clear" w:pos="1191"/>
          <w:tab w:val="clear" w:pos="1588"/>
          <w:tab w:val="clear" w:pos="1985"/>
        </w:tabs>
        <w:overflowPunct/>
        <w:autoSpaceDE/>
        <w:autoSpaceDN/>
        <w:adjustRightInd/>
        <w:spacing w:before="60" w:after="60"/>
        <w:ind w:left="357" w:hanging="357"/>
        <w:textAlignment w:val="auto"/>
        <w:rPr>
          <w:rFonts w:cstheme="minorHAnsi"/>
          <w:szCs w:val="24"/>
          <w:lang w:val="en-US"/>
        </w:rPr>
      </w:pPr>
      <w:r w:rsidRPr="00E13128">
        <w:rPr>
          <w:rFonts w:cstheme="minorHAnsi"/>
          <w:szCs w:val="24"/>
          <w:lang w:val="en-US"/>
        </w:rPr>
        <w:t xml:space="preserve">Following the request from Nicaragua, ITU is deploying 10 Iridium satellite phones and 10 Inmarsat Broadband Global Area Networks (BGANs) to support the country in their relief efforts following Hurricane Julia in October 2022. Two members from the ITU Emergency Telecommunications Roster were deployed to deliver equipment and train the local teams on how to use it. They will also visit the affected area and support the response on the field. </w:t>
      </w:r>
    </w:p>
    <w:p w14:paraId="1B1BA4C8" w14:textId="77777777" w:rsidR="00B406B4" w:rsidRPr="00E13128" w:rsidRDefault="00B406B4" w:rsidP="00E13128">
      <w:pPr>
        <w:numPr>
          <w:ilvl w:val="0"/>
          <w:numId w:val="2"/>
        </w:numPr>
        <w:tabs>
          <w:tab w:val="clear" w:pos="794"/>
          <w:tab w:val="clear" w:pos="1191"/>
          <w:tab w:val="clear" w:pos="1588"/>
          <w:tab w:val="clear" w:pos="1985"/>
        </w:tabs>
        <w:overflowPunct/>
        <w:autoSpaceDE/>
        <w:autoSpaceDN/>
        <w:adjustRightInd/>
        <w:spacing w:before="60" w:after="60"/>
        <w:ind w:left="357" w:hanging="357"/>
        <w:textAlignment w:val="auto"/>
        <w:rPr>
          <w:rFonts w:cstheme="minorHAnsi"/>
          <w:szCs w:val="24"/>
          <w:lang w:val="en-US"/>
        </w:rPr>
      </w:pPr>
      <w:r w:rsidRPr="00E13128">
        <w:rPr>
          <w:rFonts w:cstheme="minorHAnsi"/>
          <w:szCs w:val="24"/>
          <w:lang w:val="en-US"/>
        </w:rPr>
        <w:t xml:space="preserve">ITU deployed 25 Thuraya satellite phones to Malawi and 10 Iridium satellite phones to Mozambique following a request from the respective governments as part of their cyclone Freddy disaster response in March 2023. Cyclone Freddy has broken the record as the longest-lasting tropical cyclone on record. </w:t>
      </w:r>
    </w:p>
    <w:p w14:paraId="0E8D4455" w14:textId="77777777" w:rsidR="00B406B4" w:rsidRPr="00E13128" w:rsidRDefault="00B406B4" w:rsidP="00E13128">
      <w:pPr>
        <w:pStyle w:val="Heading3"/>
        <w:spacing w:before="120" w:after="120"/>
        <w:rPr>
          <w:szCs w:val="24"/>
          <w:lang w:val="en-US"/>
        </w:rPr>
      </w:pPr>
      <w:r w:rsidRPr="00E13128">
        <w:rPr>
          <w:szCs w:val="24"/>
          <w:lang w:val="en-US"/>
        </w:rPr>
        <w:t xml:space="preserve">ITU Emergency Telecommunication Roster </w:t>
      </w:r>
    </w:p>
    <w:p w14:paraId="5C8322C8" w14:textId="77777777" w:rsidR="00B406B4" w:rsidRPr="00E13128" w:rsidRDefault="00B406B4" w:rsidP="00E13128">
      <w:pPr>
        <w:spacing w:after="120"/>
        <w:rPr>
          <w:rFonts w:cstheme="minorHAnsi"/>
          <w:szCs w:val="24"/>
          <w:lang w:val="en-US"/>
        </w:rPr>
      </w:pPr>
      <w:r w:rsidRPr="00E13128">
        <w:rPr>
          <w:rFonts w:cstheme="minorHAnsi"/>
          <w:szCs w:val="24"/>
          <w:lang w:val="en-US"/>
        </w:rPr>
        <w:t>The ITU Emergency Telecommunication team, along with one of the members of the Emergency Telecommunication Roster, participated in the “</w:t>
      </w:r>
      <w:proofErr w:type="spellStart"/>
      <w:r w:rsidRPr="00E13128">
        <w:rPr>
          <w:rFonts w:cstheme="minorHAnsi"/>
          <w:szCs w:val="24"/>
          <w:lang w:val="en-US"/>
        </w:rPr>
        <w:t>gear.UP</w:t>
      </w:r>
      <w:proofErr w:type="spellEnd"/>
      <w:r w:rsidRPr="00E13128">
        <w:rPr>
          <w:rFonts w:cstheme="minorHAnsi"/>
          <w:szCs w:val="24"/>
          <w:lang w:val="en-US"/>
        </w:rPr>
        <w:t>” 2022 training in Germany in September 2022. “</w:t>
      </w:r>
      <w:proofErr w:type="spellStart"/>
      <w:r w:rsidRPr="00E13128">
        <w:rPr>
          <w:rFonts w:cstheme="minorHAnsi"/>
          <w:szCs w:val="24"/>
          <w:lang w:val="en-US"/>
        </w:rPr>
        <w:t>gear.UP</w:t>
      </w:r>
      <w:proofErr w:type="spellEnd"/>
      <w:r w:rsidRPr="00E13128">
        <w:rPr>
          <w:rFonts w:cstheme="minorHAnsi"/>
          <w:szCs w:val="24"/>
          <w:lang w:val="en-US"/>
        </w:rPr>
        <w:t>” is a large-scale inter-agency operational exercise and functional training event designed to advance the emergency response capabilities of the global ICT and logistics humanitarian community, organized by ITU’s key partner, ETC.</w:t>
      </w:r>
    </w:p>
    <w:p w14:paraId="2DDA2B73" w14:textId="77777777" w:rsidR="00B406B4" w:rsidRPr="00E13128" w:rsidRDefault="00B406B4" w:rsidP="00E13128">
      <w:pPr>
        <w:spacing w:after="120"/>
        <w:rPr>
          <w:rFonts w:cstheme="minorHAnsi"/>
          <w:szCs w:val="24"/>
          <w:lang w:val="en-US"/>
        </w:rPr>
      </w:pPr>
      <w:r w:rsidRPr="00E13128">
        <w:rPr>
          <w:rFonts w:cstheme="minorHAnsi"/>
          <w:szCs w:val="24"/>
          <w:lang w:val="en-US"/>
        </w:rPr>
        <w:t xml:space="preserve">In August, 2022, the Emergency Telecom team made a presentation to 100 Iridium staff, including CEO Matt </w:t>
      </w:r>
      <w:proofErr w:type="spellStart"/>
      <w:r w:rsidRPr="00E13128">
        <w:rPr>
          <w:rFonts w:cstheme="minorHAnsi"/>
          <w:szCs w:val="24"/>
          <w:lang w:val="en-US"/>
        </w:rPr>
        <w:t>Desch</w:t>
      </w:r>
      <w:proofErr w:type="spellEnd"/>
      <w:r w:rsidRPr="00E13128">
        <w:rPr>
          <w:rFonts w:cstheme="minorHAnsi"/>
          <w:szCs w:val="24"/>
          <w:lang w:val="en-US"/>
        </w:rPr>
        <w:t xml:space="preserve">, to talk about how ITU has deployed Iridium phones to bring back connectivity and save lives in times of disasters since 2008. Iridium provides ITU with 70 satellite phones and free connectivity. </w:t>
      </w:r>
    </w:p>
    <w:p w14:paraId="25C1979F" w14:textId="77777777" w:rsidR="00B406B4" w:rsidRPr="00E13128" w:rsidRDefault="00B406B4" w:rsidP="00E13128">
      <w:pPr>
        <w:pStyle w:val="Heading3"/>
        <w:spacing w:before="120" w:after="120"/>
        <w:rPr>
          <w:szCs w:val="24"/>
          <w:lang w:val="en-US"/>
        </w:rPr>
      </w:pPr>
      <w:r w:rsidRPr="00E13128">
        <w:rPr>
          <w:szCs w:val="24"/>
          <w:lang w:val="en-US"/>
        </w:rPr>
        <w:t>Disaster Connectivity Map</w:t>
      </w:r>
    </w:p>
    <w:p w14:paraId="0EE2751F" w14:textId="38F2A44B" w:rsidR="00B406B4" w:rsidRPr="00E13128" w:rsidRDefault="00B406B4" w:rsidP="00E13128">
      <w:pPr>
        <w:spacing w:after="120"/>
        <w:rPr>
          <w:rFonts w:cstheme="minorHAnsi"/>
          <w:szCs w:val="24"/>
          <w:lang w:val="en-US"/>
        </w:rPr>
      </w:pPr>
      <w:r w:rsidRPr="00E13128">
        <w:rPr>
          <w:rFonts w:cstheme="minorHAnsi"/>
          <w:szCs w:val="24"/>
          <w:lang w:val="en-US"/>
        </w:rPr>
        <w:t xml:space="preserve">The </w:t>
      </w:r>
      <w:hyperlink r:id="rId67" w:history="1">
        <w:r w:rsidRPr="00E13128">
          <w:rPr>
            <w:rStyle w:val="Hyperlink"/>
            <w:rFonts w:cstheme="minorHAnsi"/>
            <w:color w:val="auto"/>
            <w:szCs w:val="24"/>
            <w:lang w:val="en-US"/>
          </w:rPr>
          <w:t>Disaster Connectivity Map</w:t>
        </w:r>
      </w:hyperlink>
      <w:r w:rsidRPr="00E13128">
        <w:rPr>
          <w:rFonts w:cstheme="minorHAnsi"/>
          <w:szCs w:val="24"/>
          <w:lang w:val="en-US"/>
        </w:rPr>
        <w:t xml:space="preserve"> (DCM) is a joint initiative between ITU and Emergency Telecommunications Cluster (ETC) with input from GSMA, which was initiated in 2020 and consists of a live map that can provide information on the type, level, and quality of connectivity available on the ground during times of disasters. The DCM team continues testing and evaluating additional connectivity data sources, developing a high-resolution mobile coverage platform and adding filters to further refine the accuracy of the data that is displayed.</w:t>
      </w:r>
      <w:r w:rsidR="005E75F3">
        <w:rPr>
          <w:rFonts w:cstheme="minorHAnsi"/>
          <w:szCs w:val="24"/>
          <w:lang w:val="en-US"/>
        </w:rPr>
        <w:t xml:space="preserve"> </w:t>
      </w:r>
    </w:p>
    <w:tbl>
      <w:tblPr>
        <w:tblStyle w:val="TableGrid"/>
        <w:tblW w:w="0" w:type="auto"/>
        <w:tblLook w:val="04A0" w:firstRow="1" w:lastRow="0" w:firstColumn="1" w:lastColumn="0" w:noHBand="0" w:noVBand="1"/>
      </w:tblPr>
      <w:tblGrid>
        <w:gridCol w:w="9621"/>
      </w:tblGrid>
      <w:tr w:rsidR="001E33CD" w14:paraId="3485156C" w14:textId="77777777" w:rsidTr="001E33CD">
        <w:tc>
          <w:tcPr>
            <w:tcW w:w="9621" w:type="dxa"/>
          </w:tcPr>
          <w:p w14:paraId="3A07D41B" w14:textId="1C9FB101" w:rsidR="005136D5" w:rsidRPr="005136D5" w:rsidRDefault="005136D5" w:rsidP="009C6393">
            <w:pPr>
              <w:keepNext/>
              <w:spacing w:before="60" w:after="60"/>
              <w:rPr>
                <w:rFonts w:cstheme="minorHAnsi"/>
                <w:i/>
                <w:iCs/>
                <w:sz w:val="22"/>
                <w:szCs w:val="22"/>
              </w:rPr>
            </w:pPr>
            <w:r w:rsidRPr="005136D5">
              <w:rPr>
                <w:rFonts w:cstheme="minorHAnsi"/>
                <w:i/>
                <w:iCs/>
                <w:sz w:val="22"/>
                <w:szCs w:val="22"/>
              </w:rPr>
              <w:lastRenderedPageBreak/>
              <w:t>Americas</w:t>
            </w:r>
            <w:r w:rsidR="00746E17">
              <w:rPr>
                <w:rFonts w:cstheme="minorHAnsi"/>
                <w:i/>
                <w:iCs/>
                <w:sz w:val="22"/>
                <w:szCs w:val="22"/>
              </w:rPr>
              <w:t xml:space="preserve"> region</w:t>
            </w:r>
          </w:p>
          <w:p w14:paraId="79B1CEE8" w14:textId="77777777" w:rsidR="00EA5205" w:rsidRPr="00EA5205" w:rsidRDefault="00EA5205" w:rsidP="00D86D9B">
            <w:pPr>
              <w:pStyle w:val="ListParagraph"/>
              <w:numPr>
                <w:ilvl w:val="0"/>
                <w:numId w:val="49"/>
              </w:numPr>
              <w:spacing w:before="60" w:after="60"/>
              <w:contextualSpacing w:val="0"/>
              <w:rPr>
                <w:rFonts w:cstheme="minorHAnsi"/>
                <w:sz w:val="22"/>
                <w:szCs w:val="22"/>
              </w:rPr>
            </w:pPr>
            <w:r w:rsidRPr="00EA5205">
              <w:rPr>
                <w:rFonts w:cstheme="minorHAnsi"/>
                <w:sz w:val="22"/>
                <w:szCs w:val="22"/>
              </w:rPr>
              <w:t>ITU deployed Broadband Global Area Network (BGAN) terminals and satellite phones to restore communications connectivity after the country was hit by hurricane Julia in October 2022. During the deployment, ITU trained local teams on using the equipment, brought the units to affected areas and presented ITU's work on emergency telecommunication such as development of a National Emergency Telecommunication Plans, early warning systems like cell broadcasting.</w:t>
            </w:r>
          </w:p>
          <w:p w14:paraId="72D6986A" w14:textId="77777777" w:rsidR="00EA5205" w:rsidRPr="00EA5205" w:rsidRDefault="00EA5205" w:rsidP="00D86D9B">
            <w:pPr>
              <w:pStyle w:val="ListParagraph"/>
              <w:numPr>
                <w:ilvl w:val="0"/>
                <w:numId w:val="49"/>
              </w:numPr>
              <w:spacing w:before="60" w:after="60"/>
              <w:contextualSpacing w:val="0"/>
              <w:rPr>
                <w:rFonts w:cstheme="minorHAnsi"/>
                <w:sz w:val="22"/>
                <w:szCs w:val="22"/>
              </w:rPr>
            </w:pPr>
            <w:r w:rsidRPr="00EA5205">
              <w:rPr>
                <w:rFonts w:cstheme="minorHAnsi"/>
                <w:sz w:val="22"/>
                <w:szCs w:val="22"/>
              </w:rPr>
              <w:t xml:space="preserve">In collaboration with the Government of Saint Kitts and Nevis, BDT developed a draft National Emergency Telecommunications Plan. </w:t>
            </w:r>
          </w:p>
          <w:p w14:paraId="79DFD475" w14:textId="031FA344" w:rsidR="001E33CD" w:rsidRPr="001E33CD" w:rsidRDefault="00954D2A" w:rsidP="00D86D9B">
            <w:pPr>
              <w:numPr>
                <w:ilvl w:val="0"/>
                <w:numId w:val="49"/>
              </w:numPr>
              <w:spacing w:before="60" w:after="60"/>
              <w:rPr>
                <w:rFonts w:cstheme="minorHAnsi"/>
                <w:sz w:val="22"/>
                <w:szCs w:val="22"/>
              </w:rPr>
            </w:pPr>
            <w:r w:rsidRPr="00EA5205">
              <w:rPr>
                <w:rFonts w:cstheme="minorHAnsi"/>
                <w:sz w:val="22"/>
                <w:szCs w:val="22"/>
              </w:rPr>
              <w:t>A multi-country p</w:t>
            </w:r>
            <w:r w:rsidR="001E33CD" w:rsidRPr="001E33CD">
              <w:rPr>
                <w:rFonts w:cstheme="minorHAnsi"/>
                <w:sz w:val="22"/>
                <w:szCs w:val="22"/>
              </w:rPr>
              <w:t>roject for the use of ICTs in emergency and disaster situations in the Caribbean region</w:t>
            </w:r>
            <w:r w:rsidRPr="00EA5205">
              <w:rPr>
                <w:rFonts w:cstheme="minorHAnsi"/>
                <w:sz w:val="22"/>
                <w:szCs w:val="22"/>
              </w:rPr>
              <w:t xml:space="preserve"> was completed </w:t>
            </w:r>
            <w:r w:rsidR="001E33CD" w:rsidRPr="00EA5205">
              <w:rPr>
                <w:rFonts w:cstheme="minorHAnsi"/>
                <w:sz w:val="22"/>
                <w:szCs w:val="22"/>
              </w:rPr>
              <w:t>in 2022, benefiting Antigua and Barbuda, Barbados, Dominica, Grenada, Guyana, Jamaica, St Kitts and Nevis. The project consisted of implementing a Regional Emergency Telecommunications Network</w:t>
            </w:r>
            <w:r w:rsidR="00840092" w:rsidRPr="00EA5205">
              <w:rPr>
                <w:rFonts w:cstheme="minorHAnsi"/>
                <w:sz w:val="22"/>
                <w:szCs w:val="22"/>
              </w:rPr>
              <w:t xml:space="preserve"> and</w:t>
            </w:r>
            <w:r w:rsidR="001E33CD" w:rsidRPr="00EA5205">
              <w:rPr>
                <w:rFonts w:cstheme="minorHAnsi"/>
                <w:sz w:val="22"/>
                <w:szCs w:val="22"/>
              </w:rPr>
              <w:t xml:space="preserve"> providing the </w:t>
            </w:r>
            <w:r w:rsidR="00840092" w:rsidRPr="00EA5205">
              <w:rPr>
                <w:rFonts w:cstheme="minorHAnsi"/>
                <w:sz w:val="22"/>
                <w:szCs w:val="22"/>
              </w:rPr>
              <w:t xml:space="preserve">national </w:t>
            </w:r>
            <w:r w:rsidR="001E33CD" w:rsidRPr="00EA5205">
              <w:rPr>
                <w:rFonts w:cstheme="minorHAnsi"/>
                <w:sz w:val="22"/>
                <w:szCs w:val="22"/>
              </w:rPr>
              <w:t xml:space="preserve">Emergency Operations </w:t>
            </w:r>
            <w:proofErr w:type="spellStart"/>
            <w:r w:rsidR="001E33CD" w:rsidRPr="00EA5205">
              <w:rPr>
                <w:rFonts w:cstheme="minorHAnsi"/>
                <w:sz w:val="22"/>
                <w:szCs w:val="22"/>
              </w:rPr>
              <w:t>Centers</w:t>
            </w:r>
            <w:proofErr w:type="spellEnd"/>
            <w:r w:rsidR="001E33CD" w:rsidRPr="00EA5205">
              <w:rPr>
                <w:rFonts w:cstheme="minorHAnsi"/>
                <w:sz w:val="22"/>
                <w:szCs w:val="22"/>
              </w:rPr>
              <w:t xml:space="preserve"> (EOC) with the equipment to connect to </w:t>
            </w:r>
            <w:proofErr w:type="spellStart"/>
            <w:r w:rsidR="001E33CD" w:rsidRPr="00EA5205">
              <w:rPr>
                <w:rFonts w:cstheme="minorHAnsi"/>
                <w:sz w:val="22"/>
                <w:szCs w:val="22"/>
              </w:rPr>
              <w:t>Winlink</w:t>
            </w:r>
            <w:proofErr w:type="spellEnd"/>
            <w:r w:rsidR="001E33CD" w:rsidRPr="00EA5205">
              <w:rPr>
                <w:rFonts w:cstheme="minorHAnsi"/>
                <w:sz w:val="22"/>
                <w:szCs w:val="22"/>
              </w:rPr>
              <w:t xml:space="preserve"> 2000. ITU procured the equipment and donated it to </w:t>
            </w:r>
            <w:r w:rsidR="00816967" w:rsidRPr="00EA5205">
              <w:rPr>
                <w:rFonts w:cstheme="minorHAnsi"/>
                <w:sz w:val="22"/>
                <w:szCs w:val="22"/>
              </w:rPr>
              <w:t>Member State</w:t>
            </w:r>
            <w:r w:rsidR="001E33CD" w:rsidRPr="00EA5205">
              <w:rPr>
                <w:rFonts w:cstheme="minorHAnsi"/>
                <w:sz w:val="22"/>
                <w:szCs w:val="22"/>
              </w:rPr>
              <w:t xml:space="preserve"> Administration</w:t>
            </w:r>
            <w:r w:rsidR="006A5A72" w:rsidRPr="00EA5205">
              <w:rPr>
                <w:rFonts w:cstheme="minorHAnsi"/>
                <w:sz w:val="22"/>
                <w:szCs w:val="22"/>
              </w:rPr>
              <w:t>s</w:t>
            </w:r>
            <w:r w:rsidR="001E33CD" w:rsidRPr="00EA5205">
              <w:rPr>
                <w:rFonts w:cstheme="minorHAnsi"/>
                <w:sz w:val="22"/>
                <w:szCs w:val="22"/>
              </w:rPr>
              <w:t xml:space="preserve">, which </w:t>
            </w:r>
            <w:r w:rsidR="006A5A72" w:rsidRPr="00EA5205">
              <w:rPr>
                <w:rFonts w:cstheme="minorHAnsi"/>
                <w:sz w:val="22"/>
                <w:szCs w:val="22"/>
              </w:rPr>
              <w:t xml:space="preserve">now have </w:t>
            </w:r>
            <w:r w:rsidR="00F402E7" w:rsidRPr="00EA5205">
              <w:rPr>
                <w:rFonts w:cstheme="minorHAnsi"/>
                <w:sz w:val="22"/>
                <w:szCs w:val="22"/>
              </w:rPr>
              <w:t>enhanced</w:t>
            </w:r>
            <w:r w:rsidR="001E33CD" w:rsidRPr="00EA5205">
              <w:rPr>
                <w:rFonts w:cstheme="minorHAnsi"/>
                <w:sz w:val="22"/>
                <w:szCs w:val="22"/>
              </w:rPr>
              <w:t xml:space="preserve"> emergency</w:t>
            </w:r>
            <w:r w:rsidR="00F402E7" w:rsidRPr="00EA5205">
              <w:rPr>
                <w:rFonts w:cstheme="minorHAnsi"/>
                <w:sz w:val="22"/>
                <w:szCs w:val="22"/>
              </w:rPr>
              <w:t xml:space="preserve"> and </w:t>
            </w:r>
            <w:r w:rsidR="001E33CD" w:rsidRPr="00EA5205">
              <w:rPr>
                <w:rFonts w:cstheme="minorHAnsi"/>
                <w:sz w:val="22"/>
                <w:szCs w:val="22"/>
              </w:rPr>
              <w:t xml:space="preserve">disaster response </w:t>
            </w:r>
            <w:r w:rsidR="00F402E7" w:rsidRPr="00EA5205">
              <w:rPr>
                <w:rFonts w:cstheme="minorHAnsi"/>
                <w:sz w:val="22"/>
                <w:szCs w:val="22"/>
              </w:rPr>
              <w:t>capabilities</w:t>
            </w:r>
            <w:r w:rsidR="001E33CD" w:rsidRPr="00EA5205">
              <w:rPr>
                <w:rFonts w:cstheme="minorHAnsi"/>
                <w:sz w:val="22"/>
                <w:szCs w:val="22"/>
              </w:rPr>
              <w:t>.</w:t>
            </w:r>
          </w:p>
          <w:p w14:paraId="0AC2884E" w14:textId="5B6EE2F7" w:rsidR="001E33CD" w:rsidRPr="00EA5205" w:rsidRDefault="003A17C8" w:rsidP="00D86D9B">
            <w:pPr>
              <w:pStyle w:val="ListParagraph"/>
              <w:numPr>
                <w:ilvl w:val="0"/>
                <w:numId w:val="49"/>
              </w:numPr>
              <w:spacing w:before="60" w:after="60"/>
              <w:contextualSpacing w:val="0"/>
              <w:rPr>
                <w:rFonts w:cstheme="minorHAnsi"/>
                <w:sz w:val="22"/>
                <w:szCs w:val="22"/>
              </w:rPr>
            </w:pPr>
            <w:r w:rsidRPr="00EA5205">
              <w:rPr>
                <w:rFonts w:cstheme="minorHAnsi"/>
                <w:sz w:val="22"/>
                <w:szCs w:val="22"/>
              </w:rPr>
              <w:t>BDT has developed a p</w:t>
            </w:r>
            <w:r w:rsidRPr="001E33CD">
              <w:rPr>
                <w:rFonts w:cstheme="minorHAnsi"/>
                <w:sz w:val="22"/>
                <w:szCs w:val="22"/>
              </w:rPr>
              <w:t>ost-</w:t>
            </w:r>
            <w:r w:rsidRPr="00EA5205">
              <w:rPr>
                <w:rFonts w:cstheme="minorHAnsi"/>
                <w:sz w:val="22"/>
                <w:szCs w:val="22"/>
              </w:rPr>
              <w:t>d</w:t>
            </w:r>
            <w:r w:rsidRPr="001E33CD">
              <w:rPr>
                <w:rFonts w:cstheme="minorHAnsi"/>
                <w:sz w:val="22"/>
                <w:szCs w:val="22"/>
              </w:rPr>
              <w:t xml:space="preserve">isaster </w:t>
            </w:r>
            <w:r w:rsidRPr="00EA5205">
              <w:rPr>
                <w:rFonts w:cstheme="minorHAnsi"/>
                <w:sz w:val="22"/>
                <w:szCs w:val="22"/>
              </w:rPr>
              <w:t>r</w:t>
            </w:r>
            <w:r w:rsidRPr="001E33CD">
              <w:rPr>
                <w:rFonts w:cstheme="minorHAnsi"/>
                <w:sz w:val="22"/>
                <w:szCs w:val="22"/>
              </w:rPr>
              <w:t xml:space="preserve">esilience </w:t>
            </w:r>
            <w:r w:rsidRPr="00EA5205">
              <w:rPr>
                <w:rFonts w:cstheme="minorHAnsi"/>
                <w:sz w:val="22"/>
                <w:szCs w:val="22"/>
              </w:rPr>
              <w:t>a</w:t>
            </w:r>
            <w:r w:rsidRPr="001E33CD">
              <w:rPr>
                <w:rFonts w:cstheme="minorHAnsi"/>
                <w:sz w:val="22"/>
                <w:szCs w:val="22"/>
              </w:rPr>
              <w:t>ssessment in Haiti</w:t>
            </w:r>
            <w:r w:rsidRPr="00EA5205">
              <w:rPr>
                <w:rFonts w:cstheme="minorHAnsi"/>
                <w:sz w:val="22"/>
                <w:szCs w:val="22"/>
              </w:rPr>
              <w:t xml:space="preserve"> u</w:t>
            </w:r>
            <w:r w:rsidR="001E33CD" w:rsidRPr="00EA5205">
              <w:rPr>
                <w:rFonts w:cstheme="minorHAnsi"/>
                <w:sz w:val="22"/>
                <w:szCs w:val="22"/>
              </w:rPr>
              <w:t>sing the Connect2Recover methodology and the Guideline on National Emergency Telecommunication Plans</w:t>
            </w:r>
            <w:r w:rsidRPr="00EA5205">
              <w:rPr>
                <w:rFonts w:cstheme="minorHAnsi"/>
                <w:sz w:val="22"/>
                <w:szCs w:val="22"/>
              </w:rPr>
              <w:t xml:space="preserve"> and</w:t>
            </w:r>
            <w:r w:rsidR="001E33CD" w:rsidRPr="00EA5205">
              <w:rPr>
                <w:rFonts w:cstheme="minorHAnsi"/>
                <w:sz w:val="22"/>
                <w:szCs w:val="22"/>
              </w:rPr>
              <w:t xml:space="preserve"> with the support of Area Office for the Caribbean.</w:t>
            </w:r>
          </w:p>
          <w:p w14:paraId="74A9E362" w14:textId="1C373E78" w:rsidR="001E33CD" w:rsidRPr="00F4496A" w:rsidRDefault="00EA5205" w:rsidP="00D86D9B">
            <w:pPr>
              <w:pStyle w:val="ListParagraph"/>
              <w:numPr>
                <w:ilvl w:val="0"/>
                <w:numId w:val="49"/>
              </w:numPr>
              <w:spacing w:before="60" w:after="60"/>
              <w:contextualSpacing w:val="0"/>
              <w:rPr>
                <w:rFonts w:cstheme="minorHAnsi"/>
                <w:sz w:val="22"/>
                <w:szCs w:val="22"/>
              </w:rPr>
            </w:pPr>
            <w:r w:rsidRPr="00EA5205">
              <w:rPr>
                <w:rFonts w:cstheme="minorBidi"/>
                <w:sz w:val="22"/>
                <w:szCs w:val="22"/>
              </w:rPr>
              <w:t>The SMART Seas project implemented in Trinidad and Tobago sets out to preserve the lives of highly vulnerable small-scale fishers in the Caribbean through improved emergency communications at sea.</w:t>
            </w:r>
          </w:p>
        </w:tc>
      </w:tr>
    </w:tbl>
    <w:p w14:paraId="20B3EF3E" w14:textId="645516E4" w:rsidR="00B406B4" w:rsidRPr="00D86D9B" w:rsidRDefault="00B406B4" w:rsidP="00D86D9B">
      <w:pPr>
        <w:pStyle w:val="Heading1"/>
        <w:numPr>
          <w:ilvl w:val="0"/>
          <w:numId w:val="22"/>
        </w:numPr>
        <w:spacing w:before="120" w:after="120"/>
        <w:ind w:left="357" w:hanging="357"/>
        <w:rPr>
          <w:sz w:val="24"/>
          <w:szCs w:val="24"/>
          <w:lang w:val="en-US"/>
        </w:rPr>
      </w:pPr>
      <w:r w:rsidRPr="00D86D9B">
        <w:rPr>
          <w:sz w:val="24"/>
          <w:szCs w:val="24"/>
          <w:lang w:val="en-US"/>
        </w:rPr>
        <w:t>Environment: Creating a Circular Economy for Electronics and Climate Change</w:t>
      </w:r>
    </w:p>
    <w:p w14:paraId="31EDF437" w14:textId="77777777" w:rsidR="00B406B4" w:rsidRPr="00D86D9B" w:rsidRDefault="00B406B4" w:rsidP="00D86D9B">
      <w:pPr>
        <w:pStyle w:val="Heading3"/>
        <w:spacing w:before="120" w:after="120"/>
        <w:rPr>
          <w:szCs w:val="24"/>
          <w:lang w:val="en-US"/>
        </w:rPr>
      </w:pPr>
      <w:r w:rsidRPr="00D86D9B">
        <w:rPr>
          <w:szCs w:val="24"/>
          <w:lang w:val="en-US"/>
        </w:rPr>
        <w:t xml:space="preserve">E-waste data </w:t>
      </w:r>
    </w:p>
    <w:p w14:paraId="10BEC1E4" w14:textId="77777777" w:rsidR="00B406B4" w:rsidRPr="00D86D9B" w:rsidRDefault="00B406B4" w:rsidP="00D86D9B">
      <w:pPr>
        <w:spacing w:after="120"/>
        <w:rPr>
          <w:rFonts w:cstheme="minorHAnsi"/>
          <w:szCs w:val="24"/>
        </w:rPr>
      </w:pPr>
      <w:r w:rsidRPr="00D86D9B">
        <w:rPr>
          <w:rFonts w:cstheme="minorHAnsi"/>
          <w:szCs w:val="24"/>
        </w:rPr>
        <w:t xml:space="preserve">As part of the </w:t>
      </w:r>
      <w:hyperlink r:id="rId68" w:history="1">
        <w:r w:rsidRPr="00D86D9B">
          <w:rPr>
            <w:rStyle w:val="Hyperlink"/>
            <w:rFonts w:cstheme="minorHAnsi"/>
            <w:bCs/>
            <w:color w:val="auto"/>
            <w:szCs w:val="24"/>
          </w:rPr>
          <w:t>Global E-waste Statistics Partnership</w:t>
        </w:r>
      </w:hyperlink>
      <w:r w:rsidRPr="00D86D9B">
        <w:rPr>
          <w:rFonts w:cstheme="minorHAnsi"/>
          <w:bCs/>
          <w:szCs w:val="24"/>
          <w:u w:val="single"/>
        </w:rPr>
        <w:t xml:space="preserve"> (GESP)</w:t>
      </w:r>
      <w:r w:rsidRPr="00D86D9B">
        <w:rPr>
          <w:rFonts w:cstheme="minorHAnsi"/>
          <w:szCs w:val="24"/>
        </w:rPr>
        <w:t xml:space="preserve">, ITU, in cooperation with UNITAR, finalized the </w:t>
      </w:r>
      <w:hyperlink r:id="rId69" w:history="1">
        <w:r w:rsidRPr="00D86D9B">
          <w:rPr>
            <w:rStyle w:val="Hyperlink"/>
            <w:rFonts w:cstheme="minorHAnsi"/>
            <w:color w:val="auto"/>
            <w:szCs w:val="24"/>
          </w:rPr>
          <w:t>project on regional e-waste data harmonization in East Africa</w:t>
        </w:r>
      </w:hyperlink>
      <w:r w:rsidRPr="00D86D9B">
        <w:rPr>
          <w:rFonts w:cstheme="minorHAnsi"/>
          <w:szCs w:val="24"/>
        </w:rPr>
        <w:t>. The project provided technical assistance to the 6 Member States of the East African Communications Organisation (EACO), to support the relevant strategic actions of the EACO Regional E-waste Management Strategy in the area of data and statistics. Technical assistance provided through this project helped Rwanda, Kenya, Tanzania, Burundi, South Sudan and Uganda to track progress and to harmonize the collection of data on e-waste, also termed waste electrical and electronic equipment (WEEE), regionally. This will eventually help to sustain a central database of e-waste within the EACO secretariat. In addition, the project has piloted e-waste data collection through household and business surveys in Kenya and Burundi.</w:t>
      </w:r>
    </w:p>
    <w:p w14:paraId="01210E7D" w14:textId="77777777" w:rsidR="00B406B4" w:rsidRPr="00D86D9B" w:rsidRDefault="00B406B4" w:rsidP="00D86D9B">
      <w:pPr>
        <w:spacing w:after="120"/>
        <w:rPr>
          <w:rFonts w:cstheme="minorHAnsi"/>
          <w:szCs w:val="24"/>
        </w:rPr>
      </w:pPr>
      <w:r w:rsidRPr="00D86D9B">
        <w:rPr>
          <w:rFonts w:cstheme="minorHAnsi"/>
          <w:szCs w:val="24"/>
        </w:rPr>
        <w:t>ITU has been actively engaged in the Global E-waste Statistics Partnership (GESP). GESP</w:t>
      </w:r>
      <w:r w:rsidRPr="00D86D9B">
        <w:rPr>
          <w:rFonts w:cstheme="minorHAnsi"/>
          <w:i/>
          <w:iCs/>
          <w:szCs w:val="24"/>
        </w:rPr>
        <w:t xml:space="preserve"> </w:t>
      </w:r>
      <w:r w:rsidRPr="00D86D9B">
        <w:rPr>
          <w:rFonts w:cstheme="minorHAnsi"/>
          <w:szCs w:val="24"/>
        </w:rPr>
        <w:t>has been</w:t>
      </w:r>
      <w:r w:rsidRPr="00D86D9B">
        <w:rPr>
          <w:rFonts w:cstheme="minorHAnsi"/>
          <w:i/>
          <w:iCs/>
          <w:szCs w:val="24"/>
        </w:rPr>
        <w:t xml:space="preserve"> </w:t>
      </w:r>
      <w:r w:rsidRPr="00D86D9B">
        <w:rPr>
          <w:rFonts w:cstheme="minorHAnsi"/>
          <w:szCs w:val="24"/>
        </w:rPr>
        <w:t xml:space="preserve">further improving its </w:t>
      </w:r>
      <w:hyperlink r:id="rId70" w:history="1">
        <w:r w:rsidRPr="00D86D9B">
          <w:rPr>
            <w:rStyle w:val="Hyperlink"/>
            <w:rFonts w:cstheme="minorHAnsi"/>
            <w:color w:val="auto"/>
            <w:szCs w:val="24"/>
          </w:rPr>
          <w:t>global e-waste statistics portal</w:t>
        </w:r>
      </w:hyperlink>
      <w:r w:rsidRPr="00D86D9B">
        <w:rPr>
          <w:rFonts w:cstheme="minorHAnsi"/>
          <w:szCs w:val="24"/>
        </w:rPr>
        <w:t xml:space="preserve"> where worldwide e-waste statistics are made available publicly for free. Several areas of upgrade were carried out on the website, including improving efficiency, the capacity building pages, publications, data accessibility and hosting for e-learning. An </w:t>
      </w:r>
      <w:hyperlink r:id="rId71" w:history="1">
        <w:r w:rsidRPr="00D86D9B">
          <w:rPr>
            <w:rStyle w:val="Hyperlink"/>
            <w:rFonts w:cstheme="minorHAnsi"/>
            <w:color w:val="auto"/>
            <w:szCs w:val="24"/>
          </w:rPr>
          <w:t>interactive map</w:t>
        </w:r>
      </w:hyperlink>
      <w:r w:rsidRPr="00D86D9B">
        <w:rPr>
          <w:rFonts w:cstheme="minorHAnsi"/>
          <w:szCs w:val="24"/>
        </w:rPr>
        <w:t xml:space="preserve"> allows users to check e-waste data in different countries. GESP has developed a </w:t>
      </w:r>
      <w:hyperlink r:id="rId72" w:history="1">
        <w:r w:rsidRPr="00D86D9B">
          <w:rPr>
            <w:rStyle w:val="Hyperlink"/>
            <w:rFonts w:cstheme="minorHAnsi"/>
            <w:color w:val="auto"/>
            <w:szCs w:val="24"/>
          </w:rPr>
          <w:t>Regional E-waste Monitor for Latin American</w:t>
        </w:r>
      </w:hyperlink>
      <w:r w:rsidRPr="00D86D9B">
        <w:rPr>
          <w:rFonts w:cstheme="minorHAnsi"/>
          <w:szCs w:val="24"/>
        </w:rPr>
        <w:t xml:space="preserve"> countries, and a </w:t>
      </w:r>
      <w:hyperlink r:id="rId73" w:history="1">
        <w:r w:rsidRPr="00D86D9B">
          <w:rPr>
            <w:rStyle w:val="Hyperlink"/>
            <w:rFonts w:cstheme="minorHAnsi"/>
            <w:color w:val="auto"/>
            <w:szCs w:val="24"/>
          </w:rPr>
          <w:t>Regional E-waste Monitor for the Arab States</w:t>
        </w:r>
      </w:hyperlink>
      <w:r w:rsidRPr="00D86D9B">
        <w:rPr>
          <w:rFonts w:cstheme="minorHAnsi"/>
          <w:szCs w:val="24"/>
        </w:rPr>
        <w:t xml:space="preserve">. The BDT Regional Office in Moscow supported the United Nations University (UNU) in the preparation of a </w:t>
      </w:r>
      <w:hyperlink r:id="rId74" w:history="1">
        <w:r w:rsidRPr="00D86D9B">
          <w:rPr>
            <w:rStyle w:val="Hyperlink"/>
            <w:rFonts w:cstheme="minorHAnsi"/>
            <w:color w:val="auto"/>
            <w:szCs w:val="24"/>
          </w:rPr>
          <w:t>Regional E-waste Monitor for the Commonwealth of Independent States (CIS) plus Georgia, Turkmenistan and Ukraine (CIS+)</w:t>
        </w:r>
      </w:hyperlink>
      <w:r w:rsidRPr="00D86D9B">
        <w:rPr>
          <w:rFonts w:cstheme="minorHAnsi"/>
          <w:szCs w:val="24"/>
        </w:rPr>
        <w:t xml:space="preserve">. </w:t>
      </w:r>
    </w:p>
    <w:p w14:paraId="6C358FE6" w14:textId="77777777" w:rsidR="00B406B4" w:rsidRPr="00D86D9B" w:rsidRDefault="00B406B4" w:rsidP="00D86D9B">
      <w:pPr>
        <w:spacing w:after="120"/>
        <w:rPr>
          <w:rFonts w:cstheme="minorHAnsi"/>
          <w:szCs w:val="24"/>
        </w:rPr>
      </w:pPr>
      <w:r w:rsidRPr="00D86D9B">
        <w:rPr>
          <w:rFonts w:cstheme="minorHAnsi"/>
          <w:szCs w:val="24"/>
        </w:rPr>
        <w:t xml:space="preserve">GESP finalized its delivery of technical assistance to </w:t>
      </w:r>
      <w:hyperlink r:id="rId75" w:history="1">
        <w:r w:rsidRPr="00D86D9B">
          <w:rPr>
            <w:rStyle w:val="Hyperlink"/>
            <w:rFonts w:cstheme="minorHAnsi"/>
            <w:color w:val="auto"/>
            <w:szCs w:val="24"/>
          </w:rPr>
          <w:t>Malawi</w:t>
        </w:r>
      </w:hyperlink>
      <w:r w:rsidRPr="00D86D9B">
        <w:rPr>
          <w:rFonts w:cstheme="minorHAnsi"/>
          <w:szCs w:val="24"/>
        </w:rPr>
        <w:t xml:space="preserve">, </w:t>
      </w:r>
      <w:hyperlink r:id="rId76" w:history="1">
        <w:r w:rsidRPr="00D86D9B">
          <w:rPr>
            <w:rStyle w:val="Hyperlink"/>
            <w:rFonts w:cstheme="minorHAnsi"/>
            <w:color w:val="auto"/>
            <w:szCs w:val="24"/>
          </w:rPr>
          <w:t>Botswana</w:t>
        </w:r>
      </w:hyperlink>
      <w:r w:rsidRPr="00D86D9B">
        <w:rPr>
          <w:rFonts w:cstheme="minorHAnsi"/>
          <w:szCs w:val="24"/>
        </w:rPr>
        <w:t xml:space="preserve"> and </w:t>
      </w:r>
      <w:hyperlink r:id="rId77" w:history="1">
        <w:r w:rsidRPr="00D86D9B">
          <w:rPr>
            <w:rStyle w:val="Hyperlink"/>
            <w:rFonts w:cstheme="minorHAnsi"/>
            <w:color w:val="auto"/>
            <w:szCs w:val="24"/>
          </w:rPr>
          <w:t>Namibia</w:t>
        </w:r>
      </w:hyperlink>
      <w:r w:rsidRPr="00D86D9B">
        <w:rPr>
          <w:rFonts w:cstheme="minorHAnsi"/>
          <w:szCs w:val="24"/>
        </w:rPr>
        <w:t xml:space="preserve"> in the area of e-waste statistics and data collection, through online capacity building and close support to national statistics offices and other institutions and ministries. These countries each finalized a </w:t>
      </w:r>
      <w:r w:rsidRPr="00D86D9B">
        <w:rPr>
          <w:rFonts w:cstheme="minorHAnsi"/>
          <w:szCs w:val="24"/>
        </w:rPr>
        <w:lastRenderedPageBreak/>
        <w:t xml:space="preserve">National E-waste Monitor, with the National Statistics Offices having taken the lead in the quantification of e-waste generation, flows and importation of electronics. </w:t>
      </w:r>
    </w:p>
    <w:p w14:paraId="5DDE5720" w14:textId="77777777" w:rsidR="00B406B4" w:rsidRPr="00D86D9B" w:rsidRDefault="00B406B4" w:rsidP="00D86D9B">
      <w:pPr>
        <w:pStyle w:val="Heading3"/>
        <w:spacing w:before="120" w:after="120"/>
        <w:rPr>
          <w:szCs w:val="24"/>
          <w:lang w:val="en-US"/>
        </w:rPr>
      </w:pPr>
      <w:r w:rsidRPr="00D86D9B">
        <w:rPr>
          <w:szCs w:val="24"/>
          <w:lang w:val="en-US"/>
        </w:rPr>
        <w:t>E-waste regulation</w:t>
      </w:r>
    </w:p>
    <w:p w14:paraId="35C153A6" w14:textId="77777777" w:rsidR="00B406B4" w:rsidRPr="00D86D9B" w:rsidRDefault="00B406B4" w:rsidP="00D86D9B">
      <w:pPr>
        <w:keepNext/>
        <w:keepLines/>
        <w:spacing w:after="120"/>
        <w:rPr>
          <w:rFonts w:cstheme="minorHAnsi"/>
          <w:szCs w:val="24"/>
        </w:rPr>
      </w:pPr>
      <w:r w:rsidRPr="00D86D9B">
        <w:rPr>
          <w:rFonts w:cstheme="minorHAnsi"/>
          <w:szCs w:val="24"/>
        </w:rPr>
        <w:t>BDT also supported countries in preparing various instruments for e-waste regulation:</w:t>
      </w:r>
    </w:p>
    <w:p w14:paraId="54B2C5CB" w14:textId="77777777" w:rsidR="00B406B4" w:rsidRPr="00D86D9B" w:rsidRDefault="00B406B4" w:rsidP="00D86D9B">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86D9B">
        <w:rPr>
          <w:rFonts w:cstheme="minorHAnsi"/>
          <w:szCs w:val="24"/>
        </w:rPr>
        <w:t>A draft national e-waste management policy or strategy was developed for Burundi, Botswana, Gambia, Malawi and Namibia.</w:t>
      </w:r>
    </w:p>
    <w:p w14:paraId="695AE951" w14:textId="77777777" w:rsidR="00B406B4" w:rsidRPr="00D86D9B" w:rsidRDefault="00B406B4" w:rsidP="00D86D9B">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86D9B">
        <w:rPr>
          <w:rFonts w:cstheme="minorHAnsi"/>
          <w:szCs w:val="24"/>
        </w:rPr>
        <w:t>A draft national e-waste management regulation was prepared in Dominican Republic</w:t>
      </w:r>
    </w:p>
    <w:p w14:paraId="5FB5A9D5" w14:textId="77777777" w:rsidR="00B406B4" w:rsidRPr="00D86D9B" w:rsidRDefault="00B406B4" w:rsidP="00D86D9B">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86D9B">
        <w:rPr>
          <w:rFonts w:cstheme="minorHAnsi"/>
          <w:szCs w:val="24"/>
        </w:rPr>
        <w:t xml:space="preserve">Support was provided to Uzbekistan with recommendations on how to improve its legal regime governing the management of e-waste. </w:t>
      </w:r>
    </w:p>
    <w:p w14:paraId="57412F50" w14:textId="77777777" w:rsidR="00B406B4" w:rsidRPr="00D86D9B" w:rsidRDefault="00B406B4" w:rsidP="00D86D9B">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86D9B">
        <w:rPr>
          <w:rFonts w:cstheme="minorHAnsi"/>
          <w:szCs w:val="24"/>
        </w:rPr>
        <w:t xml:space="preserve">Further support was delivered to Rwanda for the implementation of the existing e-waste regulation. </w:t>
      </w:r>
    </w:p>
    <w:p w14:paraId="7AC0EF38" w14:textId="77777777" w:rsidR="00B406B4" w:rsidRPr="00D86D9B" w:rsidRDefault="00B406B4" w:rsidP="00D86D9B">
      <w:pPr>
        <w:spacing w:after="120"/>
        <w:rPr>
          <w:rFonts w:cstheme="minorHAnsi"/>
          <w:szCs w:val="24"/>
        </w:rPr>
      </w:pPr>
      <w:r w:rsidRPr="00D86D9B">
        <w:rPr>
          <w:rFonts w:cstheme="minorHAnsi"/>
          <w:szCs w:val="24"/>
        </w:rPr>
        <w:t>Following on from the successful e-learning course on “</w:t>
      </w:r>
      <w:hyperlink r:id="rId78" w:history="1">
        <w:r w:rsidRPr="00D86D9B">
          <w:rPr>
            <w:rStyle w:val="Hyperlink"/>
            <w:rFonts w:cstheme="minorHAnsi"/>
            <w:color w:val="auto"/>
            <w:szCs w:val="24"/>
          </w:rPr>
          <w:t>An Introduction to E-waste Policy</w:t>
        </w:r>
      </w:hyperlink>
      <w:r w:rsidRPr="00D86D9B">
        <w:rPr>
          <w:rFonts w:cstheme="minorHAnsi"/>
          <w:szCs w:val="24"/>
        </w:rPr>
        <w:t xml:space="preserve">” with over 250 participants in the first year, ITU finalized a sequel to this with an e-learning deep dive into the development of e-waste regulation based on the EPR principle. The introductory e-learning is available in English, French, Spanish and Arabic. </w:t>
      </w:r>
    </w:p>
    <w:p w14:paraId="56A62B68" w14:textId="77777777" w:rsidR="00B406B4" w:rsidRPr="00D86D9B" w:rsidRDefault="00B406B4" w:rsidP="00D86D9B">
      <w:pPr>
        <w:pStyle w:val="Heading3"/>
        <w:spacing w:before="120" w:after="120"/>
        <w:rPr>
          <w:szCs w:val="24"/>
          <w:lang w:val="en-US"/>
        </w:rPr>
      </w:pPr>
      <w:r w:rsidRPr="00D86D9B">
        <w:rPr>
          <w:szCs w:val="24"/>
          <w:lang w:val="en-US"/>
        </w:rPr>
        <w:t xml:space="preserve">Greening Digital Transformation </w:t>
      </w:r>
    </w:p>
    <w:p w14:paraId="3FDC1C8F" w14:textId="41D4FB1D" w:rsidR="00B406B4" w:rsidRPr="00D86D9B" w:rsidRDefault="00B406B4" w:rsidP="00D86D9B">
      <w:pPr>
        <w:spacing w:after="120"/>
        <w:rPr>
          <w:rFonts w:cstheme="minorHAnsi"/>
          <w:szCs w:val="24"/>
        </w:rPr>
      </w:pPr>
      <w:r w:rsidRPr="00D86D9B">
        <w:rPr>
          <w:rFonts w:cstheme="minorHAnsi"/>
          <w:szCs w:val="24"/>
        </w:rPr>
        <w:t xml:space="preserve">ITU and the World Benchmarking Alliance (WBA) jointly authored and </w:t>
      </w:r>
      <w:hyperlink r:id="rId79" w:history="1">
        <w:r w:rsidRPr="00D86D9B">
          <w:rPr>
            <w:rStyle w:val="Hyperlink"/>
            <w:rFonts w:cstheme="minorHAnsi"/>
            <w:color w:val="auto"/>
            <w:szCs w:val="24"/>
          </w:rPr>
          <w:t>launched in June 2022</w:t>
        </w:r>
      </w:hyperlink>
      <w:r w:rsidRPr="00D86D9B">
        <w:rPr>
          <w:rFonts w:cstheme="minorHAnsi"/>
          <w:szCs w:val="24"/>
        </w:rPr>
        <w:t xml:space="preserve"> the on </w:t>
      </w:r>
      <w:hyperlink r:id="rId80" w:history="1">
        <w:r w:rsidRPr="00D86D9B">
          <w:rPr>
            <w:rStyle w:val="Hyperlink"/>
            <w:rFonts w:cstheme="minorHAnsi"/>
            <w:color w:val="auto"/>
            <w:szCs w:val="24"/>
          </w:rPr>
          <w:t>'Greening digital companies: Monitoring emissions and climate commitments'</w:t>
        </w:r>
      </w:hyperlink>
      <w:r w:rsidRPr="00D86D9B">
        <w:rPr>
          <w:rFonts w:cstheme="minorHAnsi"/>
          <w:szCs w:val="24"/>
        </w:rPr>
        <w:t xml:space="preserve"> report. It documents the emissions and energy use of 150 of the world's leading tech companies. Beyond assessing corporate climate data and targets, the report highlights best practices for digital companies to slash their emissions and achieve carbon-neutral operations. Based on the findings of the report, ITU and WBA organized </w:t>
      </w:r>
      <w:hyperlink r:id="rId81" w:history="1">
        <w:r w:rsidRPr="00D86D9B">
          <w:rPr>
            <w:rStyle w:val="Hyperlink"/>
            <w:rFonts w:cstheme="minorHAnsi"/>
            <w:color w:val="auto"/>
            <w:szCs w:val="24"/>
          </w:rPr>
          <w:t>two webinars</w:t>
        </w:r>
      </w:hyperlink>
      <w:r w:rsidRPr="00D86D9B">
        <w:rPr>
          <w:rFonts w:cstheme="minorHAnsi"/>
          <w:szCs w:val="24"/>
        </w:rPr>
        <w:t xml:space="preserve"> on Greening Digital Companies in June 2022. For World Environment Day 2022, an </w:t>
      </w:r>
      <w:hyperlink r:id="rId82" w:history="1">
        <w:r w:rsidRPr="00D86D9B">
          <w:rPr>
            <w:rStyle w:val="Hyperlink"/>
            <w:rFonts w:cstheme="minorHAnsi"/>
            <w:color w:val="auto"/>
            <w:szCs w:val="24"/>
          </w:rPr>
          <w:t>ITU News blog</w:t>
        </w:r>
      </w:hyperlink>
      <w:r w:rsidRPr="00D86D9B">
        <w:rPr>
          <w:rFonts w:cstheme="minorHAnsi"/>
          <w:szCs w:val="24"/>
        </w:rPr>
        <w:t xml:space="preserve"> summarized key findings from the report. </w:t>
      </w:r>
    </w:p>
    <w:p w14:paraId="7A406360" w14:textId="77777777" w:rsidR="00B406B4" w:rsidRPr="00D86D9B" w:rsidRDefault="00B406B4" w:rsidP="00D86D9B">
      <w:pPr>
        <w:spacing w:after="120"/>
        <w:rPr>
          <w:rFonts w:cstheme="minorHAnsi"/>
          <w:szCs w:val="24"/>
        </w:rPr>
      </w:pPr>
      <w:r w:rsidRPr="00D86D9B">
        <w:rPr>
          <w:rFonts w:cstheme="minorHAnsi"/>
          <w:szCs w:val="24"/>
        </w:rPr>
        <w:t xml:space="preserve">BDT continued the development of its database and global data collection to monitor and track ICT sector GHG emissions and energy use in countries. Emissions data is being collected from ICT companies that publish such data with estimates made for the missing companies. At the same time, ICT sector regulators are being contacted regarding the feasibility of collecting emissions data to feed into the database in the future. </w:t>
      </w:r>
    </w:p>
    <w:p w14:paraId="13315A61" w14:textId="77777777" w:rsidR="00B406B4" w:rsidRPr="00D86D9B" w:rsidRDefault="00B406B4" w:rsidP="00D86D9B">
      <w:pPr>
        <w:spacing w:after="120"/>
        <w:rPr>
          <w:rFonts w:cstheme="minorHAnsi"/>
          <w:szCs w:val="24"/>
        </w:rPr>
      </w:pPr>
      <w:r w:rsidRPr="00D86D9B">
        <w:rPr>
          <w:rFonts w:cstheme="minorHAnsi"/>
          <w:szCs w:val="24"/>
        </w:rPr>
        <w:t xml:space="preserve">Furthermore, BDT engaged with four master’s students from the Graduate Institute of International and Development Studies, Geneva on a capstone research project on </w:t>
      </w:r>
      <w:hyperlink r:id="rId83" w:history="1">
        <w:r w:rsidRPr="00D86D9B">
          <w:rPr>
            <w:rStyle w:val="Hyperlink"/>
            <w:rFonts w:cstheme="minorHAnsi"/>
            <w:color w:val="auto"/>
            <w:szCs w:val="24"/>
          </w:rPr>
          <w:t>‘ICTs for Climate Change Action’</w:t>
        </w:r>
      </w:hyperlink>
      <w:r w:rsidRPr="00D86D9B">
        <w:rPr>
          <w:rFonts w:cstheme="minorHAnsi"/>
          <w:szCs w:val="24"/>
        </w:rPr>
        <w:t>. The research explored how Internet of Things can be leveraged to mitigate climate change impacts in the agricultural and energy sectors in Sub Saharan Africa. The research found that local capacity building and digital skills training are key to developing and scaling IoT projects for sustainable energy uptake in Africa, with IoT applications in the energy sector relying on more complex infrastructure and technology compared to agriculture projects.</w:t>
      </w:r>
    </w:p>
    <w:tbl>
      <w:tblPr>
        <w:tblStyle w:val="TableGrid"/>
        <w:tblW w:w="9776" w:type="dxa"/>
        <w:tblLook w:val="04A0" w:firstRow="1" w:lastRow="0" w:firstColumn="1" w:lastColumn="0" w:noHBand="0" w:noVBand="1"/>
      </w:tblPr>
      <w:tblGrid>
        <w:gridCol w:w="9776"/>
      </w:tblGrid>
      <w:tr w:rsidR="00B406B4" w:rsidRPr="0074089C" w14:paraId="15F257CD" w14:textId="77777777" w:rsidTr="00D86D9B">
        <w:tc>
          <w:tcPr>
            <w:tcW w:w="9776" w:type="dxa"/>
          </w:tcPr>
          <w:p w14:paraId="6765027E" w14:textId="77777777" w:rsidR="00B406B4" w:rsidRPr="0074089C" w:rsidRDefault="00B406B4" w:rsidP="00D86D9B">
            <w:pPr>
              <w:spacing w:before="60" w:after="60"/>
              <w:rPr>
                <w:rFonts w:cstheme="minorHAnsi"/>
                <w:b/>
                <w:bCs/>
                <w:sz w:val="22"/>
                <w:szCs w:val="22"/>
              </w:rPr>
            </w:pPr>
            <w:r w:rsidRPr="0074089C">
              <w:rPr>
                <w:rFonts w:cstheme="minorHAnsi"/>
                <w:b/>
                <w:bCs/>
                <w:sz w:val="22"/>
                <w:szCs w:val="22"/>
              </w:rPr>
              <w:t>Regional Initiatives</w:t>
            </w:r>
          </w:p>
          <w:p w14:paraId="25B0F63B" w14:textId="24CE12D3" w:rsidR="00F71329" w:rsidRPr="007D3DDE" w:rsidRDefault="00F71329" w:rsidP="00D86D9B">
            <w:pPr>
              <w:pStyle w:val="ListParagraph"/>
              <w:numPr>
                <w:ilvl w:val="0"/>
                <w:numId w:val="15"/>
              </w:numPr>
              <w:overflowPunct/>
              <w:autoSpaceDE/>
              <w:autoSpaceDN/>
              <w:adjustRightInd/>
              <w:spacing w:before="60" w:after="60"/>
              <w:ind w:left="714" w:hanging="357"/>
              <w:contextualSpacing w:val="0"/>
              <w:textAlignment w:val="auto"/>
              <w:rPr>
                <w:rFonts w:cstheme="minorBidi"/>
                <w:sz w:val="22"/>
                <w:szCs w:val="22"/>
              </w:rPr>
            </w:pPr>
            <w:r w:rsidRPr="007D3DDE">
              <w:rPr>
                <w:rFonts w:cstheme="minorBidi"/>
                <w:sz w:val="22"/>
                <w:szCs w:val="22"/>
              </w:rPr>
              <w:t xml:space="preserve">In </w:t>
            </w:r>
            <w:r w:rsidR="004E36E1" w:rsidRPr="007D3DDE">
              <w:rPr>
                <w:rFonts w:cstheme="minorBidi"/>
                <w:sz w:val="22"/>
                <w:szCs w:val="22"/>
              </w:rPr>
              <w:t xml:space="preserve">ITU Regional Office for </w:t>
            </w:r>
            <w:r w:rsidRPr="007D3DDE">
              <w:rPr>
                <w:rFonts w:cstheme="minorBidi"/>
                <w:sz w:val="22"/>
                <w:szCs w:val="22"/>
              </w:rPr>
              <w:t>Africa</w:t>
            </w:r>
            <w:r w:rsidR="004E36E1" w:rsidRPr="007D3DDE">
              <w:rPr>
                <w:rFonts w:cstheme="minorBidi"/>
                <w:sz w:val="22"/>
                <w:szCs w:val="22"/>
              </w:rPr>
              <w:t xml:space="preserve"> </w:t>
            </w:r>
            <w:r w:rsidRPr="007D3DDE">
              <w:rPr>
                <w:rFonts w:cstheme="minorBidi"/>
                <w:sz w:val="22"/>
                <w:szCs w:val="22"/>
              </w:rPr>
              <w:t xml:space="preserve">in partnership with UNEP </w:t>
            </w:r>
            <w:r w:rsidR="004E36E1" w:rsidRPr="007D3DDE">
              <w:rPr>
                <w:rFonts w:cstheme="minorBidi"/>
                <w:sz w:val="22"/>
                <w:szCs w:val="22"/>
              </w:rPr>
              <w:t>has been</w:t>
            </w:r>
            <w:r w:rsidRPr="007D3DDE">
              <w:rPr>
                <w:rFonts w:cstheme="minorBidi"/>
                <w:sz w:val="22"/>
                <w:szCs w:val="22"/>
              </w:rPr>
              <w:t xml:space="preserve"> supporting </w:t>
            </w:r>
            <w:r w:rsidR="004E36E1" w:rsidRPr="007D3DDE">
              <w:rPr>
                <w:rFonts w:cstheme="minorBidi"/>
                <w:sz w:val="22"/>
                <w:szCs w:val="22"/>
              </w:rPr>
              <w:t>African g</w:t>
            </w:r>
            <w:r w:rsidRPr="007D3DDE">
              <w:rPr>
                <w:rFonts w:cstheme="minorBidi"/>
                <w:sz w:val="22"/>
                <w:szCs w:val="22"/>
              </w:rPr>
              <w:t>overnments to develop policies, regulations and strategies including the implementing the Extended Producer Responsibility (EPR) concept to set the basis for a future implementation of the sound management and measurement of electronic waste with support extended 8 countries in sub- Saharan Africa in 2022.</w:t>
            </w:r>
            <w:r w:rsidR="007D3DDE" w:rsidRPr="007D3DDE">
              <w:rPr>
                <w:rFonts w:cstheme="minorBidi"/>
                <w:sz w:val="22"/>
                <w:szCs w:val="22"/>
              </w:rPr>
              <w:t xml:space="preserve"> </w:t>
            </w:r>
          </w:p>
          <w:p w14:paraId="404C7F64" w14:textId="484BF98A" w:rsidR="000E2370" w:rsidRDefault="09FF6351" w:rsidP="00D86D9B">
            <w:pPr>
              <w:pStyle w:val="ListParagraph"/>
              <w:numPr>
                <w:ilvl w:val="0"/>
                <w:numId w:val="15"/>
              </w:numPr>
              <w:overflowPunct/>
              <w:autoSpaceDE/>
              <w:autoSpaceDN/>
              <w:adjustRightInd/>
              <w:spacing w:before="60" w:after="60"/>
              <w:ind w:left="714" w:hanging="357"/>
              <w:contextualSpacing w:val="0"/>
              <w:textAlignment w:val="auto"/>
              <w:rPr>
                <w:rFonts w:cstheme="minorBidi"/>
                <w:sz w:val="22"/>
                <w:szCs w:val="22"/>
              </w:rPr>
            </w:pPr>
            <w:r w:rsidRPr="6DFF32B6">
              <w:rPr>
                <w:rFonts w:cstheme="minorBidi"/>
                <w:sz w:val="22"/>
                <w:szCs w:val="22"/>
              </w:rPr>
              <w:t>The Regional Office for Arab States provided assistance to Iraq and the State of Palestine in developing National Emergency Telecommunications Plans.</w:t>
            </w:r>
          </w:p>
          <w:p w14:paraId="5D223BE9" w14:textId="43A0A510" w:rsidR="4D8D7CED" w:rsidRDefault="4D8D7CED" w:rsidP="00D86D9B">
            <w:pPr>
              <w:pStyle w:val="ListParagraph"/>
              <w:numPr>
                <w:ilvl w:val="0"/>
                <w:numId w:val="15"/>
              </w:numPr>
              <w:spacing w:before="60" w:after="60"/>
              <w:ind w:left="714" w:hanging="357"/>
              <w:contextualSpacing w:val="0"/>
              <w:rPr>
                <w:rFonts w:ascii="Calibri" w:hAnsi="Calibri" w:cstheme="minorBidi"/>
                <w:sz w:val="22"/>
                <w:szCs w:val="22"/>
              </w:rPr>
            </w:pPr>
            <w:r w:rsidRPr="6DFF32B6">
              <w:rPr>
                <w:rFonts w:ascii="Calibri" w:hAnsi="Calibri" w:cstheme="minorBidi"/>
                <w:sz w:val="22"/>
                <w:szCs w:val="22"/>
              </w:rPr>
              <w:lastRenderedPageBreak/>
              <w:t xml:space="preserve">The regional office for the Arab States was also engaged in the </w:t>
            </w:r>
            <w:r w:rsidR="06C4FB92" w:rsidRPr="6DFF32B6">
              <w:rPr>
                <w:rFonts w:ascii="Calibri" w:hAnsi="Calibri" w:cstheme="minorBidi"/>
                <w:sz w:val="22"/>
                <w:szCs w:val="22"/>
              </w:rPr>
              <w:t>preparations</w:t>
            </w:r>
            <w:r w:rsidRPr="6DFF32B6">
              <w:rPr>
                <w:rFonts w:ascii="Calibri" w:hAnsi="Calibri" w:cstheme="minorBidi"/>
                <w:sz w:val="22"/>
                <w:szCs w:val="22"/>
              </w:rPr>
              <w:t xml:space="preserve"> for COP27 which was held in Sharm El Shaikh in Egypt. This was a </w:t>
            </w:r>
            <w:r w:rsidR="5736DE89" w:rsidRPr="6DFF32B6">
              <w:rPr>
                <w:rFonts w:ascii="Calibri" w:hAnsi="Calibri" w:cstheme="minorBidi"/>
                <w:sz w:val="22"/>
                <w:szCs w:val="22"/>
              </w:rPr>
              <w:t>collaboration</w:t>
            </w:r>
            <w:r w:rsidRPr="6DFF32B6">
              <w:rPr>
                <w:rFonts w:ascii="Calibri" w:hAnsi="Calibri" w:cstheme="minorBidi"/>
                <w:sz w:val="22"/>
                <w:szCs w:val="22"/>
              </w:rPr>
              <w:t xml:space="preserve"> as part of the U</w:t>
            </w:r>
            <w:r w:rsidR="17738E14" w:rsidRPr="6DFF32B6">
              <w:rPr>
                <w:rFonts w:ascii="Calibri" w:hAnsi="Calibri" w:cstheme="minorBidi"/>
                <w:sz w:val="22"/>
                <w:szCs w:val="22"/>
              </w:rPr>
              <w:t xml:space="preserve">N system in </w:t>
            </w:r>
            <w:r w:rsidR="68FB10AE" w:rsidRPr="6DFF32B6">
              <w:rPr>
                <w:rFonts w:ascii="Calibri" w:hAnsi="Calibri" w:cstheme="minorBidi"/>
                <w:sz w:val="22"/>
                <w:szCs w:val="22"/>
              </w:rPr>
              <w:t>Egypt</w:t>
            </w:r>
            <w:r w:rsidR="17738E14" w:rsidRPr="6DFF32B6">
              <w:rPr>
                <w:rFonts w:ascii="Calibri" w:hAnsi="Calibri" w:cstheme="minorBidi"/>
                <w:sz w:val="22"/>
                <w:szCs w:val="22"/>
              </w:rPr>
              <w:t xml:space="preserve"> engaging in this event.</w:t>
            </w:r>
          </w:p>
          <w:p w14:paraId="0790595E" w14:textId="47865211" w:rsidR="00B406B4" w:rsidRPr="00455643" w:rsidRDefault="00B406B4" w:rsidP="00D86D9B">
            <w:pPr>
              <w:pStyle w:val="ListParagraph"/>
              <w:numPr>
                <w:ilvl w:val="0"/>
                <w:numId w:val="15"/>
              </w:numPr>
              <w:overflowPunct/>
              <w:autoSpaceDE/>
              <w:autoSpaceDN/>
              <w:adjustRightInd/>
              <w:spacing w:before="60" w:after="60"/>
              <w:ind w:left="714" w:hanging="357"/>
              <w:contextualSpacing w:val="0"/>
              <w:textAlignment w:val="auto"/>
              <w:rPr>
                <w:rFonts w:cstheme="minorBidi"/>
                <w:sz w:val="22"/>
                <w:szCs w:val="22"/>
              </w:rPr>
            </w:pPr>
            <w:r w:rsidRPr="34F72856">
              <w:rPr>
                <w:rFonts w:cstheme="minorBidi"/>
                <w:sz w:val="22"/>
                <w:szCs w:val="22"/>
                <w:shd w:val="clear" w:color="auto" w:fill="FFFFFF"/>
              </w:rPr>
              <w:t xml:space="preserve">In the CIS region, ITU provided support to Kyrgyzstan to develop a spatial data infrastructure (SDI), a common platform to store data related to the monitoring and mapping of climate and water resources, to support policy and regulatory decision-making across Central Asia. SDI hosts data through a combination of remote sensing, geospatial analysis, in-site measurement and regional reporting. SDI enhances sharing of spatial data among government departments and organizations and facilitates better access to information across the region for discovery, viewing and download. </w:t>
            </w:r>
          </w:p>
          <w:p w14:paraId="5604EC84" w14:textId="69C0BE17" w:rsidR="00B406B4" w:rsidRPr="00455643" w:rsidRDefault="349EB572" w:rsidP="00D86D9B">
            <w:pPr>
              <w:pStyle w:val="ListParagraph"/>
              <w:numPr>
                <w:ilvl w:val="0"/>
                <w:numId w:val="15"/>
              </w:numPr>
              <w:overflowPunct/>
              <w:autoSpaceDE/>
              <w:autoSpaceDN/>
              <w:adjustRightInd/>
              <w:spacing w:before="60" w:after="60"/>
              <w:ind w:left="714" w:hanging="357"/>
              <w:contextualSpacing w:val="0"/>
              <w:textAlignment w:val="auto"/>
            </w:pPr>
            <w:r w:rsidRPr="34F72856">
              <w:rPr>
                <w:rFonts w:ascii="Calibri" w:hAnsi="Calibri" w:cstheme="minorBidi"/>
                <w:sz w:val="22"/>
                <w:szCs w:val="22"/>
              </w:rPr>
              <w:t xml:space="preserve">In the Europe Region, the </w:t>
            </w:r>
            <w:r w:rsidRPr="34F72856">
              <w:rPr>
                <w:rFonts w:ascii="Calibri" w:eastAsia="Calibri" w:hAnsi="Calibri" w:cs="Calibri"/>
                <w:color w:val="000000" w:themeColor="text1"/>
                <w:sz w:val="22"/>
                <w:szCs w:val="22"/>
              </w:rPr>
              <w:t xml:space="preserve">joint ITU-UNEP-UNITAR E-Waste Project for the Western Balkans is being rolled out in Albania, Bosnia and Herzegovina, Serbia, Montenegro and North Macedonia. In 2022, the project trained 20+ national focal points across the countries and across entities (Ministries of ICTs, Ministries of Environment, and National Statistical Offices) on how to collect and </w:t>
            </w:r>
            <w:proofErr w:type="spellStart"/>
            <w:r w:rsidRPr="34F72856">
              <w:rPr>
                <w:rFonts w:ascii="Calibri" w:eastAsia="Calibri" w:hAnsi="Calibri" w:cs="Calibri"/>
                <w:color w:val="000000" w:themeColor="text1"/>
                <w:sz w:val="22"/>
                <w:szCs w:val="22"/>
              </w:rPr>
              <w:t>analyze</w:t>
            </w:r>
            <w:proofErr w:type="spellEnd"/>
            <w:r w:rsidRPr="34F72856">
              <w:rPr>
                <w:rFonts w:ascii="Calibri" w:eastAsia="Calibri" w:hAnsi="Calibri" w:cs="Calibri"/>
                <w:color w:val="000000" w:themeColor="text1"/>
                <w:sz w:val="22"/>
                <w:szCs w:val="22"/>
              </w:rPr>
              <w:t xml:space="preserve"> e-waste related data</w:t>
            </w:r>
            <w:r w:rsidR="4C2F76D8" w:rsidRPr="34F72856">
              <w:rPr>
                <w:rFonts w:ascii="Calibri" w:eastAsia="Calibri" w:hAnsi="Calibri" w:cs="Calibri"/>
                <w:color w:val="000000" w:themeColor="text1"/>
                <w:sz w:val="22"/>
                <w:szCs w:val="22"/>
              </w:rPr>
              <w:t xml:space="preserve">. This is along the development of a Regional E-Waste </w:t>
            </w:r>
            <w:r w:rsidR="6AE536B5" w:rsidRPr="34F72856">
              <w:rPr>
                <w:rFonts w:ascii="Calibri" w:eastAsia="Calibri" w:hAnsi="Calibri" w:cs="Calibri"/>
                <w:color w:val="000000" w:themeColor="text1"/>
                <w:sz w:val="22"/>
                <w:szCs w:val="22"/>
              </w:rPr>
              <w:t>Monitor</w:t>
            </w:r>
            <w:r w:rsidR="4C2F76D8" w:rsidRPr="34F72856">
              <w:rPr>
                <w:rFonts w:ascii="Calibri" w:eastAsia="Calibri" w:hAnsi="Calibri" w:cs="Calibri"/>
                <w:color w:val="000000" w:themeColor="text1"/>
                <w:sz w:val="22"/>
                <w:szCs w:val="22"/>
              </w:rPr>
              <w:t xml:space="preserve"> Report</w:t>
            </w:r>
            <w:r w:rsidR="7BAE55EB" w:rsidRPr="34F72856">
              <w:rPr>
                <w:rFonts w:eastAsia="Calibri" w:cs="Calibri"/>
                <w:color w:val="000000" w:themeColor="text1"/>
                <w:sz w:val="22"/>
                <w:szCs w:val="22"/>
              </w:rPr>
              <w:t xml:space="preserve"> to analyse trends in the transboundary movement of e-waste, inform policymakers, industries, and businesses about regional e-waste data, and support the development of national and regional counter-measures through policies, regulations, awareness-raising, and industrial response.</w:t>
            </w:r>
          </w:p>
        </w:tc>
      </w:tr>
    </w:tbl>
    <w:p w14:paraId="7BD2F901" w14:textId="294D9049" w:rsidR="00B406B4" w:rsidRPr="00D86D9B" w:rsidRDefault="00B406B4" w:rsidP="00D86D9B">
      <w:pPr>
        <w:pStyle w:val="Heading1"/>
        <w:numPr>
          <w:ilvl w:val="0"/>
          <w:numId w:val="22"/>
        </w:numPr>
        <w:spacing w:before="120" w:after="120"/>
        <w:ind w:left="357" w:hanging="357"/>
        <w:rPr>
          <w:sz w:val="24"/>
          <w:szCs w:val="24"/>
          <w:lang w:val="en-US"/>
        </w:rPr>
      </w:pPr>
      <w:r w:rsidRPr="00D86D9B">
        <w:rPr>
          <w:sz w:val="24"/>
          <w:szCs w:val="24"/>
          <w:lang w:val="en-US"/>
        </w:rPr>
        <w:lastRenderedPageBreak/>
        <w:t xml:space="preserve"> Networks and digital infrastructure: Making reliable connectivity available to everyone</w:t>
      </w:r>
    </w:p>
    <w:p w14:paraId="67A79857" w14:textId="77777777" w:rsidR="00B406B4" w:rsidRPr="00D86D9B" w:rsidRDefault="00B406B4" w:rsidP="00D86D9B">
      <w:pPr>
        <w:pStyle w:val="Heading3"/>
        <w:spacing w:before="120" w:after="120"/>
        <w:rPr>
          <w:szCs w:val="24"/>
          <w:lang w:val="en-US"/>
        </w:rPr>
      </w:pPr>
      <w:bookmarkStart w:id="12" w:name="_Toc100266119"/>
      <w:r w:rsidRPr="00D86D9B">
        <w:rPr>
          <w:szCs w:val="24"/>
          <w:lang w:val="en-US"/>
        </w:rPr>
        <w:t>ITU broadband maps:</w:t>
      </w:r>
      <w:bookmarkEnd w:id="12"/>
      <w:r w:rsidRPr="00D86D9B">
        <w:rPr>
          <w:szCs w:val="24"/>
          <w:lang w:val="en-US"/>
        </w:rPr>
        <w:t xml:space="preserve"> </w:t>
      </w:r>
      <w:bookmarkStart w:id="13" w:name="_Toc100266120"/>
      <w:r w:rsidRPr="00D86D9B">
        <w:rPr>
          <w:szCs w:val="24"/>
          <w:lang w:val="en-US"/>
        </w:rPr>
        <w:t>Identifying ICT infrastructure availability and gaps to connect people</w:t>
      </w:r>
      <w:bookmarkEnd w:id="13"/>
    </w:p>
    <w:p w14:paraId="238C40E9" w14:textId="507EF2CA" w:rsidR="00B406B4" w:rsidRPr="00D86D9B" w:rsidRDefault="00B406B4" w:rsidP="00D86D9B">
      <w:pPr>
        <w:spacing w:after="120"/>
        <w:rPr>
          <w:rFonts w:cstheme="minorHAnsi"/>
          <w:szCs w:val="24"/>
        </w:rPr>
      </w:pPr>
      <w:r w:rsidRPr="00D86D9B">
        <w:rPr>
          <w:rFonts w:cstheme="minorHAnsi"/>
          <w:szCs w:val="24"/>
        </w:rPr>
        <w:t xml:space="preserve">BDT continued to develop the ITU </w:t>
      </w:r>
      <w:hyperlink r:id="rId84">
        <w:r w:rsidRPr="00D86D9B">
          <w:rPr>
            <w:rStyle w:val="Hyperlink"/>
            <w:rFonts w:cstheme="minorHAnsi"/>
            <w:color w:val="auto"/>
            <w:szCs w:val="24"/>
          </w:rPr>
          <w:t>broadband maps</w:t>
        </w:r>
      </w:hyperlink>
      <w:r w:rsidRPr="00D86D9B">
        <w:rPr>
          <w:rFonts w:cstheme="minorHAnsi"/>
          <w:szCs w:val="24"/>
        </w:rPr>
        <w:t xml:space="preserve"> </w:t>
      </w:r>
      <w:r w:rsidRPr="00D86D9B">
        <w:rPr>
          <w:rFonts w:cstheme="minorHAnsi"/>
          <w:b/>
          <w:bCs/>
          <w:szCs w:val="24"/>
        </w:rPr>
        <w:t xml:space="preserve">and </w:t>
      </w:r>
      <w:r w:rsidRPr="00D86D9B">
        <w:rPr>
          <w:rFonts w:cstheme="minorHAnsi"/>
          <w:szCs w:val="24"/>
        </w:rPr>
        <w:t>data research and validation were enhanced to promote understanding and investment opportunities of network infrastructure to take stock of worldwide connectivity. The ITU data managed on global transmission networks provides unique information from more than 600 operators and 19 million high-speed information highways (backbones). Through the overlaying of multiple ICT infrastructure data and specific industry data (e.g. schools, FinTech, health centres, etc.) the broadband map of ICT infrastructure is providing continued support to key ITU activities and projects focusing on the reliable connectivity to all BDT impact pathways. Examples are</w:t>
      </w:r>
      <w:r w:rsidR="005E75F3">
        <w:rPr>
          <w:rFonts w:cstheme="minorHAnsi"/>
          <w:szCs w:val="24"/>
        </w:rPr>
        <w:t xml:space="preserve"> </w:t>
      </w:r>
      <w:r w:rsidRPr="00D86D9B">
        <w:rPr>
          <w:rFonts w:cstheme="minorHAnsi"/>
          <w:szCs w:val="24"/>
        </w:rPr>
        <w:t>school mapping initiatives (e.g. GIGA, and FCDO-ITU partnership), which use schools</w:t>
      </w:r>
      <w:r w:rsidR="005E75F3">
        <w:rPr>
          <w:rFonts w:cstheme="minorHAnsi"/>
          <w:szCs w:val="24"/>
        </w:rPr>
        <w:t xml:space="preserve"> </w:t>
      </w:r>
      <w:r w:rsidRPr="00D86D9B">
        <w:rPr>
          <w:rFonts w:cstheme="minorHAnsi"/>
          <w:szCs w:val="24"/>
        </w:rPr>
        <w:t xml:space="preserve">and ICT infrastructure data for connectivity analysis, and the </w:t>
      </w:r>
      <w:hyperlink r:id="rId85">
        <w:r w:rsidRPr="00D86D9B">
          <w:rPr>
            <w:rStyle w:val="Hyperlink"/>
            <w:rFonts w:cstheme="minorHAnsi"/>
            <w:color w:val="auto"/>
            <w:szCs w:val="24"/>
          </w:rPr>
          <w:t>Financial Inclusion mapping</w:t>
        </w:r>
      </w:hyperlink>
      <w:r w:rsidRPr="00D86D9B">
        <w:rPr>
          <w:rFonts w:cstheme="minorHAnsi"/>
          <w:szCs w:val="24"/>
        </w:rPr>
        <w:t xml:space="preserve"> for the FIGI initiative. </w:t>
      </w:r>
    </w:p>
    <w:p w14:paraId="56A2F56C" w14:textId="5BFFF23F" w:rsidR="00B406B4" w:rsidRPr="00D86D9B" w:rsidRDefault="00B406B4" w:rsidP="00D86D9B">
      <w:pPr>
        <w:spacing w:after="120"/>
        <w:rPr>
          <w:rFonts w:cstheme="minorHAnsi"/>
          <w:szCs w:val="24"/>
        </w:rPr>
      </w:pPr>
      <w:r w:rsidRPr="00D86D9B">
        <w:rPr>
          <w:rFonts w:cstheme="minorHAnsi"/>
          <w:szCs w:val="24"/>
        </w:rPr>
        <w:t>ITU has developed a methodology and software to assess last-mile infrastructure costs. The following trainings on the methodology and the tools were delivered between May and October 2022:</w:t>
      </w:r>
      <w:r w:rsidR="005E75F3">
        <w:rPr>
          <w:rFonts w:cstheme="minorHAnsi"/>
          <w:szCs w:val="24"/>
        </w:rPr>
        <w:t xml:space="preserve"> </w:t>
      </w:r>
    </w:p>
    <w:p w14:paraId="44AE14B7" w14:textId="77777777" w:rsidR="00B406B4" w:rsidRPr="00D86D9B" w:rsidRDefault="00B406B4" w:rsidP="00D86D9B">
      <w:pPr>
        <w:pStyle w:val="ListParagraph"/>
        <w:numPr>
          <w:ilvl w:val="0"/>
          <w:numId w:val="28"/>
        </w:numPr>
        <w:overflowPunct/>
        <w:autoSpaceDE/>
        <w:autoSpaceDN/>
        <w:adjustRightInd/>
        <w:spacing w:before="60" w:after="60"/>
        <w:ind w:left="357" w:hanging="357"/>
        <w:contextualSpacing w:val="0"/>
        <w:textAlignment w:val="auto"/>
        <w:rPr>
          <w:rFonts w:cstheme="minorHAnsi"/>
          <w:szCs w:val="24"/>
        </w:rPr>
      </w:pPr>
      <w:r w:rsidRPr="00D86D9B">
        <w:rPr>
          <w:rFonts w:cstheme="minorHAnsi"/>
          <w:szCs w:val="24"/>
        </w:rPr>
        <w:t>a Last Mile Connectivity and Mapping training during the Broadband week in Kazakhstan</w:t>
      </w:r>
    </w:p>
    <w:p w14:paraId="655D7A35" w14:textId="77777777" w:rsidR="00B406B4" w:rsidRPr="00D86D9B" w:rsidRDefault="00B406B4" w:rsidP="00D86D9B">
      <w:pPr>
        <w:pStyle w:val="ListParagraph"/>
        <w:numPr>
          <w:ilvl w:val="0"/>
          <w:numId w:val="28"/>
        </w:numPr>
        <w:overflowPunct/>
        <w:autoSpaceDE/>
        <w:autoSpaceDN/>
        <w:adjustRightInd/>
        <w:spacing w:before="60" w:after="60"/>
        <w:ind w:left="357" w:hanging="357"/>
        <w:contextualSpacing w:val="0"/>
        <w:textAlignment w:val="auto"/>
        <w:rPr>
          <w:rFonts w:cstheme="minorHAnsi"/>
          <w:szCs w:val="24"/>
        </w:rPr>
      </w:pPr>
      <w:r w:rsidRPr="00D86D9B">
        <w:rPr>
          <w:rFonts w:cstheme="minorHAnsi"/>
          <w:szCs w:val="24"/>
        </w:rPr>
        <w:t>a Last Mile Internet Connectivity Online instructor-led course</w:t>
      </w:r>
    </w:p>
    <w:p w14:paraId="4E263944" w14:textId="77777777" w:rsidR="00B406B4" w:rsidRPr="00D86D9B" w:rsidRDefault="00B406B4" w:rsidP="00D86D9B">
      <w:pPr>
        <w:pStyle w:val="ListParagraph"/>
        <w:numPr>
          <w:ilvl w:val="0"/>
          <w:numId w:val="28"/>
        </w:numPr>
        <w:overflowPunct/>
        <w:autoSpaceDE/>
        <w:autoSpaceDN/>
        <w:adjustRightInd/>
        <w:spacing w:before="60" w:after="60"/>
        <w:ind w:left="357" w:hanging="357"/>
        <w:contextualSpacing w:val="0"/>
        <w:textAlignment w:val="auto"/>
        <w:rPr>
          <w:rFonts w:cstheme="minorHAnsi"/>
          <w:szCs w:val="24"/>
        </w:rPr>
      </w:pPr>
      <w:r w:rsidRPr="00D86D9B">
        <w:rPr>
          <w:rFonts w:cstheme="minorHAnsi"/>
          <w:szCs w:val="24"/>
        </w:rPr>
        <w:t xml:space="preserve">a regional training </w:t>
      </w:r>
      <w:hyperlink r:id="rId86" w:tgtFrame="_blank" w:tooltip="https://www.itu.int/en/itu-d/regional-presence/asiapacific/pages/events/2022/lmcasp22/main.aspx" w:history="1">
        <w:r w:rsidRPr="00D86D9B">
          <w:rPr>
            <w:szCs w:val="24"/>
          </w:rPr>
          <w:t>on Last Mile Connectivity (LMC) training for Asia and the Pacific 2022</w:t>
        </w:r>
      </w:hyperlink>
      <w:r w:rsidRPr="00D86D9B">
        <w:rPr>
          <w:rFonts w:cstheme="minorHAnsi"/>
          <w:szCs w:val="24"/>
        </w:rPr>
        <w:t xml:space="preserve"> </w:t>
      </w:r>
    </w:p>
    <w:p w14:paraId="2B6FC2C4" w14:textId="03469971" w:rsidR="00B406B4" w:rsidRPr="00D86D9B" w:rsidRDefault="00B406B4" w:rsidP="00D86D9B">
      <w:pPr>
        <w:pStyle w:val="ListParagraph"/>
        <w:numPr>
          <w:ilvl w:val="0"/>
          <w:numId w:val="28"/>
        </w:numPr>
        <w:overflowPunct/>
        <w:autoSpaceDE/>
        <w:autoSpaceDN/>
        <w:adjustRightInd/>
        <w:spacing w:before="60" w:after="60"/>
        <w:ind w:left="357" w:hanging="357"/>
        <w:contextualSpacing w:val="0"/>
        <w:textAlignment w:val="auto"/>
        <w:rPr>
          <w:rFonts w:cstheme="minorHAnsi"/>
          <w:szCs w:val="24"/>
        </w:rPr>
      </w:pPr>
      <w:r w:rsidRPr="00D86D9B">
        <w:rPr>
          <w:rFonts w:cstheme="minorHAnsi"/>
          <w:szCs w:val="24"/>
        </w:rPr>
        <w:t xml:space="preserve">and a self-paced </w:t>
      </w:r>
      <w:hyperlink r:id="rId87" w:tgtFrame="_blank" w:tooltip="https://academy.itu.int/training-courses/full-catalogue/last-mile-internet-connectivity-0" w:history="1">
        <w:r w:rsidRPr="00D86D9B">
          <w:rPr>
            <w:szCs w:val="24"/>
          </w:rPr>
          <w:t>Last mile connectivity course</w:t>
        </w:r>
      </w:hyperlink>
      <w:r w:rsidRPr="00D86D9B">
        <w:rPr>
          <w:rFonts w:cstheme="minorHAnsi"/>
          <w:szCs w:val="24"/>
        </w:rPr>
        <w:t xml:space="preserve"> is available at ITU Academy.</w:t>
      </w:r>
      <w:r w:rsidR="005E75F3">
        <w:rPr>
          <w:rFonts w:cstheme="minorHAnsi"/>
          <w:szCs w:val="24"/>
        </w:rPr>
        <w:t xml:space="preserve"> </w:t>
      </w:r>
    </w:p>
    <w:p w14:paraId="798FA39B" w14:textId="77777777" w:rsidR="00B406B4" w:rsidRPr="00D86D9B" w:rsidRDefault="00B406B4" w:rsidP="00D86D9B">
      <w:pPr>
        <w:spacing w:after="120"/>
        <w:rPr>
          <w:rFonts w:cstheme="minorHAnsi"/>
          <w:szCs w:val="24"/>
        </w:rPr>
      </w:pPr>
      <w:r w:rsidRPr="00D86D9B">
        <w:rPr>
          <w:rFonts w:cstheme="minorHAnsi"/>
          <w:szCs w:val="24"/>
        </w:rPr>
        <w:t>In collaboration with CRASA, ITU facilitated the CRASA workshop on “International Space Regulatory Framework and Space Economy: Harnessing the Potential of the Space to Accelerate Digital Transformation in the Southern African Development Community Region”, held in Kinshasa, Democratic Republic of Congo in March 2022. </w:t>
      </w:r>
    </w:p>
    <w:p w14:paraId="16845950" w14:textId="77777777" w:rsidR="00B406B4" w:rsidRPr="00D86D9B" w:rsidRDefault="00B406B4" w:rsidP="00D86D9B">
      <w:pPr>
        <w:spacing w:after="120"/>
        <w:rPr>
          <w:rFonts w:cstheme="minorHAnsi"/>
          <w:szCs w:val="24"/>
        </w:rPr>
      </w:pPr>
      <w:r w:rsidRPr="00D86D9B">
        <w:rPr>
          <w:rFonts w:cstheme="minorHAnsi"/>
          <w:szCs w:val="24"/>
        </w:rPr>
        <w:t xml:space="preserve">The policy and regulation initiative for Digital Africa region (PRIDA) was launched in 2018 to foster universally accessible and affordable wireless broadband across the Africa region in order to unlock future benefits of Internet-based services. The 3.5-year initiative is a </w:t>
      </w:r>
      <w:hyperlink r:id="rId88">
        <w:r w:rsidRPr="00D86D9B">
          <w:rPr>
            <w:rStyle w:val="Hyperlink"/>
            <w:rFonts w:cstheme="minorHAnsi"/>
            <w:color w:val="auto"/>
            <w:szCs w:val="24"/>
          </w:rPr>
          <w:t>multi-partner project</w:t>
        </w:r>
      </w:hyperlink>
      <w:r w:rsidRPr="00D86D9B">
        <w:rPr>
          <w:rFonts w:cstheme="minorHAnsi"/>
          <w:szCs w:val="24"/>
        </w:rPr>
        <w:t xml:space="preserve"> </w:t>
      </w:r>
      <w:r w:rsidRPr="00D86D9B">
        <w:rPr>
          <w:rFonts w:cstheme="minorHAnsi"/>
          <w:szCs w:val="24"/>
        </w:rPr>
        <w:lastRenderedPageBreak/>
        <w:t>by the European Union, the African Union, and ITU. Key achievements until the end of 2022 include:</w:t>
      </w:r>
    </w:p>
    <w:p w14:paraId="6E630A08" w14:textId="77777777" w:rsidR="00B406B4" w:rsidRPr="00D86D9B" w:rsidRDefault="00B406B4" w:rsidP="00D86D9B">
      <w:pPr>
        <w:pStyle w:val="ListParagraph"/>
        <w:numPr>
          <w:ilvl w:val="0"/>
          <w:numId w:val="28"/>
        </w:numPr>
        <w:overflowPunct/>
        <w:autoSpaceDE/>
        <w:autoSpaceDN/>
        <w:adjustRightInd/>
        <w:spacing w:before="60" w:after="60"/>
        <w:ind w:left="357" w:hanging="357"/>
        <w:contextualSpacing w:val="0"/>
        <w:textAlignment w:val="auto"/>
        <w:rPr>
          <w:rFonts w:cstheme="minorHAnsi"/>
          <w:szCs w:val="24"/>
        </w:rPr>
      </w:pPr>
      <w:r w:rsidRPr="00D86D9B">
        <w:rPr>
          <w:rFonts w:cstheme="minorHAnsi"/>
          <w:szCs w:val="24"/>
        </w:rPr>
        <w:t>the publication of technical reports such as “Guidelines on radio-frequency regulation based on ITU Radio Regulations, ITU-R Recommendations, Reports and Handbooks, regional harmonization frameworks, case studies, country experiences and regional consultations” and “Spectrum Management Guidelines for the Introduction of IMT in Africa”, “Report on the assessment of the current cross-border coordination agreements in Africa”, “Report on the current version of the harmonized calculation method for Africa” and “A gender sensitivity review of the PRIDA project.”</w:t>
      </w:r>
    </w:p>
    <w:p w14:paraId="5603F26D" w14:textId="32B5EED5" w:rsidR="006914B9" w:rsidRPr="00D86D9B" w:rsidRDefault="006914B9" w:rsidP="00D86D9B">
      <w:pPr>
        <w:pStyle w:val="ListParagraph"/>
        <w:numPr>
          <w:ilvl w:val="0"/>
          <w:numId w:val="28"/>
        </w:numPr>
        <w:overflowPunct/>
        <w:autoSpaceDE/>
        <w:autoSpaceDN/>
        <w:adjustRightInd/>
        <w:spacing w:before="60" w:after="60"/>
        <w:ind w:left="357" w:hanging="357"/>
        <w:contextualSpacing w:val="0"/>
        <w:textAlignment w:val="auto"/>
        <w:rPr>
          <w:rFonts w:cstheme="minorHAnsi"/>
          <w:szCs w:val="24"/>
        </w:rPr>
      </w:pPr>
      <w:r w:rsidRPr="00D86D9B">
        <w:rPr>
          <w:rFonts w:cstheme="minorHAnsi"/>
          <w:szCs w:val="24"/>
        </w:rPr>
        <w:t xml:space="preserve">the Harmonized Calculation Method for Africa (HCM4A) agreement was signed by </w:t>
      </w:r>
      <w:r w:rsidR="00AB20BB" w:rsidRPr="00D86D9B">
        <w:rPr>
          <w:rFonts w:cstheme="minorHAnsi"/>
          <w:szCs w:val="24"/>
        </w:rPr>
        <w:t>4</w:t>
      </w:r>
      <w:r w:rsidRPr="00D86D9B">
        <w:rPr>
          <w:rFonts w:cstheme="minorHAnsi"/>
          <w:szCs w:val="24"/>
        </w:rPr>
        <w:t>1 African countries in Addis-Ababa, Ethiopia in September 2022. The signature is one of the major milestones of the PRIDA Project. Next steps will be the agreement on implementation and the development of a dedicated software.</w:t>
      </w:r>
      <w:r w:rsidR="005E75F3">
        <w:rPr>
          <w:rFonts w:cstheme="minorHAnsi"/>
          <w:szCs w:val="24"/>
        </w:rPr>
        <w:t xml:space="preserve"> </w:t>
      </w:r>
    </w:p>
    <w:p w14:paraId="5CB007BC" w14:textId="7DF974AC" w:rsidR="0084074E" w:rsidRPr="00D86D9B" w:rsidRDefault="0084074E" w:rsidP="00D86D9B">
      <w:pPr>
        <w:overflowPunct/>
        <w:autoSpaceDE/>
        <w:autoSpaceDN/>
        <w:adjustRightInd/>
        <w:spacing w:after="120"/>
        <w:textAlignment w:val="auto"/>
        <w:rPr>
          <w:rFonts w:cstheme="minorHAnsi"/>
          <w:szCs w:val="24"/>
        </w:rPr>
      </w:pPr>
      <w:r w:rsidRPr="00D86D9B">
        <w:rPr>
          <w:rFonts w:cstheme="minorHAnsi"/>
          <w:szCs w:val="24"/>
        </w:rPr>
        <w:t>In 2021 ITU and UNHCR further strengthen the global partnership around meaningful connectivity for refugees in pursuit of enhanced digital cooperation in support of forcibly displaced, stateless people and their hosting communities, with impactful projects and initiatives in mind. In September 2021 ITU and UNHCR teams met to exchange, explore and set out the partnership roadmap around four areas under which specific joint opportunities have been identified: joint programmes and</w:t>
      </w:r>
      <w:r w:rsidR="005E7029">
        <w:rPr>
          <w:rFonts w:cstheme="minorHAnsi"/>
          <w:szCs w:val="24"/>
        </w:rPr>
        <w:t xml:space="preserve"> </w:t>
      </w:r>
      <w:r w:rsidRPr="00D86D9B">
        <w:rPr>
          <w:rFonts w:cstheme="minorHAnsi"/>
          <w:szCs w:val="24"/>
        </w:rPr>
        <w:t>operations; research, advocacy and communication; data learning and capacity building, and coordination and partnerships.</w:t>
      </w:r>
    </w:p>
    <w:p w14:paraId="492199D1" w14:textId="77777777" w:rsidR="00B406B4" w:rsidRPr="00D86D9B" w:rsidRDefault="00B406B4" w:rsidP="00D86D9B">
      <w:pPr>
        <w:pStyle w:val="Heading3"/>
        <w:spacing w:before="120" w:after="120"/>
        <w:rPr>
          <w:szCs w:val="24"/>
          <w:lang w:val="en-US"/>
        </w:rPr>
      </w:pPr>
      <w:r w:rsidRPr="00D86D9B">
        <w:rPr>
          <w:szCs w:val="24"/>
          <w:lang w:val="en-US"/>
        </w:rPr>
        <w:t xml:space="preserve">Conformity and interoperability of ICT products and networks </w:t>
      </w:r>
    </w:p>
    <w:p w14:paraId="2916B334" w14:textId="6D35B19A" w:rsidR="00B406B4" w:rsidRPr="00D86D9B" w:rsidRDefault="00B406B4" w:rsidP="00D86D9B">
      <w:pPr>
        <w:spacing w:after="120"/>
        <w:rPr>
          <w:rFonts w:cstheme="minorHAnsi"/>
          <w:szCs w:val="24"/>
        </w:rPr>
      </w:pPr>
      <w:r w:rsidRPr="00D86D9B">
        <w:rPr>
          <w:rFonts w:cstheme="minorHAnsi"/>
          <w:szCs w:val="24"/>
        </w:rPr>
        <w:t xml:space="preserve">ICT products are the proxies to the digital economy. Under the conformance and interoperability (C&amp;I) programme umbrella, BDT has led the implementation of </w:t>
      </w:r>
      <w:r w:rsidR="009C47CE" w:rsidRPr="00D86D9B">
        <w:rPr>
          <w:rFonts w:cstheme="minorHAnsi"/>
          <w:szCs w:val="24"/>
        </w:rPr>
        <w:t>P</w:t>
      </w:r>
      <w:r w:rsidRPr="00D86D9B">
        <w:rPr>
          <w:rFonts w:cstheme="minorHAnsi"/>
          <w:szCs w:val="24"/>
        </w:rPr>
        <w:t>illar</w:t>
      </w:r>
      <w:r w:rsidR="009C47CE" w:rsidRPr="00D86D9B">
        <w:rPr>
          <w:rFonts w:cstheme="minorHAnsi"/>
          <w:szCs w:val="24"/>
        </w:rPr>
        <w:t>s</w:t>
      </w:r>
      <w:r w:rsidRPr="00D86D9B">
        <w:rPr>
          <w:rFonts w:cstheme="minorHAnsi"/>
          <w:szCs w:val="24"/>
        </w:rPr>
        <w:t xml:space="preserve"> 3 (capacity building) and 4 (assistance to membership) by providing guidance on frameworks for market entry of ICT devices. </w:t>
      </w:r>
    </w:p>
    <w:p w14:paraId="66E5A848" w14:textId="58A6E8BD" w:rsidR="00B406B4" w:rsidRPr="00D86D9B" w:rsidRDefault="00B406B4" w:rsidP="00D86D9B">
      <w:pPr>
        <w:spacing w:after="120"/>
        <w:rPr>
          <w:rFonts w:cstheme="minorHAnsi"/>
          <w:szCs w:val="24"/>
        </w:rPr>
      </w:pPr>
      <w:r w:rsidRPr="00D86D9B">
        <w:rPr>
          <w:rFonts w:cstheme="minorHAnsi"/>
          <w:szCs w:val="24"/>
        </w:rPr>
        <w:t>In 2022, English and French-speaking and participants from the Africa region enhanced their skills through trainings on C&amp;I. This included the topics of specific absorption rate, radio frequency, electromagnetic field, and digital terrestrial television (DTTV). DTTV trainings covered legal aspects of conformity and interoperability, guidelines of C&amp;I regimes including type approval regulation, and policy and regulation of conformity and interoperability establishment and</w:t>
      </w:r>
      <w:r w:rsidR="009C47CE" w:rsidRPr="00D86D9B">
        <w:rPr>
          <w:rFonts w:cstheme="minorHAnsi"/>
          <w:szCs w:val="24"/>
        </w:rPr>
        <w:t xml:space="preserve"> </w:t>
      </w:r>
      <w:r w:rsidRPr="00D86D9B">
        <w:rPr>
          <w:rFonts w:cstheme="minorHAnsi"/>
          <w:szCs w:val="24"/>
        </w:rPr>
        <w:t>development.</w:t>
      </w:r>
    </w:p>
    <w:p w14:paraId="1375BC8F" w14:textId="183615CC" w:rsidR="00B406B4" w:rsidRPr="00D86D9B" w:rsidRDefault="00B406B4" w:rsidP="00D86D9B">
      <w:pPr>
        <w:pStyle w:val="Heading3"/>
        <w:spacing w:before="120" w:after="120"/>
        <w:rPr>
          <w:szCs w:val="24"/>
          <w:lang w:val="en-US"/>
        </w:rPr>
      </w:pPr>
      <w:r w:rsidRPr="00D86D9B">
        <w:rPr>
          <w:szCs w:val="24"/>
          <w:lang w:val="en-US"/>
        </w:rPr>
        <w:t>Spectrum Management: WTDC Resolution 9 (Rev. Kigali, 2022)</w:t>
      </w:r>
    </w:p>
    <w:p w14:paraId="26CF6ABB" w14:textId="02E1F355" w:rsidR="00B406B4" w:rsidRPr="00D86D9B" w:rsidRDefault="00B406B4" w:rsidP="00D86D9B">
      <w:pPr>
        <w:spacing w:after="120"/>
        <w:rPr>
          <w:rFonts w:cstheme="minorHAnsi"/>
          <w:szCs w:val="24"/>
        </w:rPr>
      </w:pPr>
      <w:r w:rsidRPr="00D86D9B">
        <w:rPr>
          <w:rFonts w:cstheme="minorHAnsi"/>
          <w:szCs w:val="24"/>
        </w:rPr>
        <w:t>A summary of the ITU activities for the implementation of Resolution 9</w:t>
      </w:r>
      <w:r w:rsidRPr="00D86D9B">
        <w:rPr>
          <w:rFonts w:cstheme="minorHAnsi"/>
          <w:bCs/>
          <w:szCs w:val="24"/>
        </w:rPr>
        <w:t xml:space="preserve"> on spectrum management are listed in the table bel</w:t>
      </w:r>
      <w:r w:rsidRPr="00D86D9B">
        <w:rPr>
          <w:rFonts w:cstheme="minorHAnsi"/>
          <w:szCs w:val="24"/>
        </w:rPr>
        <w:t>ow</w:t>
      </w:r>
      <w:r w:rsidRPr="00D86D9B">
        <w:rPr>
          <w:rFonts w:cstheme="minorHAnsi"/>
          <w:bCs/>
          <w:szCs w:val="24"/>
        </w:rPr>
        <w:t xml:space="preserve"> sorted </w:t>
      </w:r>
      <w:r w:rsidRPr="00D86D9B">
        <w:rPr>
          <w:rFonts w:cstheme="minorHAnsi"/>
          <w:szCs w:val="24"/>
        </w:rPr>
        <w:t xml:space="preserve">by the thematic overview of assistance provided and the number of activities carried out. </w:t>
      </w:r>
    </w:p>
    <w:tbl>
      <w:tblPr>
        <w:tblStyle w:val="GridTable4-Accent51"/>
        <w:tblW w:w="9445" w:type="dxa"/>
        <w:tblLook w:val="04A0" w:firstRow="1" w:lastRow="0" w:firstColumn="1" w:lastColumn="0" w:noHBand="0" w:noVBand="1"/>
      </w:tblPr>
      <w:tblGrid>
        <w:gridCol w:w="8005"/>
        <w:gridCol w:w="1440"/>
      </w:tblGrid>
      <w:tr w:rsidR="00B406B4" w:rsidRPr="00657A1F" w14:paraId="7BD33F80" w14:textId="77777777" w:rsidTr="009C63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05" w:type="dxa"/>
          </w:tcPr>
          <w:p w14:paraId="7E3E44EC" w14:textId="77777777" w:rsidR="00B406B4" w:rsidRPr="00316F13" w:rsidRDefault="00B406B4" w:rsidP="009C47CE">
            <w:pPr>
              <w:jc w:val="both"/>
              <w:rPr>
                <w:rFonts w:cstheme="minorHAnsi"/>
                <w:b w:val="0"/>
                <w:bCs w:val="0"/>
                <w:color w:val="auto"/>
                <w:sz w:val="20"/>
                <w:szCs w:val="20"/>
              </w:rPr>
            </w:pPr>
            <w:bookmarkStart w:id="14" w:name="_Hlk58161661"/>
            <w:r w:rsidRPr="00316F13">
              <w:rPr>
                <w:rFonts w:cstheme="minorHAnsi"/>
                <w:sz w:val="20"/>
              </w:rPr>
              <w:t>Topic</w:t>
            </w:r>
          </w:p>
        </w:tc>
        <w:tc>
          <w:tcPr>
            <w:tcW w:w="1440" w:type="dxa"/>
          </w:tcPr>
          <w:p w14:paraId="35E70C65" w14:textId="77777777" w:rsidR="00B406B4" w:rsidRPr="00316F13" w:rsidRDefault="00B406B4" w:rsidP="008B657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316F13">
              <w:rPr>
                <w:rFonts w:cstheme="minorHAnsi"/>
                <w:sz w:val="20"/>
              </w:rPr>
              <w:t>Number of activities</w:t>
            </w:r>
          </w:p>
        </w:tc>
      </w:tr>
      <w:tr w:rsidR="00B406B4" w:rsidRPr="00657A1F" w14:paraId="68FF929B" w14:textId="77777777" w:rsidTr="008B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72381645" w14:textId="77777777" w:rsidR="00B406B4" w:rsidRPr="00316F13" w:rsidRDefault="00B406B4" w:rsidP="009C47CE">
            <w:pPr>
              <w:ind w:left="360"/>
              <w:jc w:val="both"/>
              <w:rPr>
                <w:rFonts w:cstheme="minorHAnsi"/>
                <w:sz w:val="20"/>
                <w:szCs w:val="20"/>
              </w:rPr>
            </w:pPr>
            <w:r w:rsidRPr="00316F13">
              <w:rPr>
                <w:rFonts w:cstheme="minorHAnsi"/>
                <w:sz w:val="20"/>
              </w:rPr>
              <w:t>Assistance in raising the awareness of national policy-makers as to the importance of effective spectrum management for a country's economic and social development</w:t>
            </w:r>
          </w:p>
        </w:tc>
        <w:tc>
          <w:tcPr>
            <w:tcW w:w="1440" w:type="dxa"/>
          </w:tcPr>
          <w:p w14:paraId="6CBB502C" w14:textId="77777777" w:rsidR="00B406B4" w:rsidRPr="00316F13" w:rsidRDefault="00B406B4" w:rsidP="004556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6F13">
              <w:rPr>
                <w:rFonts w:cstheme="minorHAnsi"/>
                <w:sz w:val="20"/>
              </w:rPr>
              <w:t>35</w:t>
            </w:r>
          </w:p>
        </w:tc>
      </w:tr>
      <w:tr w:rsidR="00B406B4" w:rsidRPr="00657A1F" w14:paraId="368D3408" w14:textId="77777777" w:rsidTr="008B657C">
        <w:tc>
          <w:tcPr>
            <w:cnfStyle w:val="001000000000" w:firstRow="0" w:lastRow="0" w:firstColumn="1" w:lastColumn="0" w:oddVBand="0" w:evenVBand="0" w:oddHBand="0" w:evenHBand="0" w:firstRowFirstColumn="0" w:firstRowLastColumn="0" w:lastRowFirstColumn="0" w:lastRowLastColumn="0"/>
            <w:tcW w:w="8005" w:type="dxa"/>
          </w:tcPr>
          <w:p w14:paraId="2FA8306E" w14:textId="77777777" w:rsidR="00B406B4" w:rsidRPr="00316F13" w:rsidRDefault="00B406B4" w:rsidP="009C47CE">
            <w:pPr>
              <w:ind w:left="360"/>
              <w:jc w:val="both"/>
              <w:rPr>
                <w:rFonts w:cstheme="minorHAnsi"/>
                <w:sz w:val="20"/>
                <w:szCs w:val="20"/>
              </w:rPr>
            </w:pPr>
            <w:r w:rsidRPr="00316F13">
              <w:rPr>
                <w:rFonts w:cstheme="minorHAnsi"/>
                <w:sz w:val="20"/>
              </w:rPr>
              <w:t>Training and dissemination of available ITU documentation</w:t>
            </w:r>
          </w:p>
        </w:tc>
        <w:tc>
          <w:tcPr>
            <w:tcW w:w="1440" w:type="dxa"/>
          </w:tcPr>
          <w:p w14:paraId="6256C9EB" w14:textId="77777777" w:rsidR="00B406B4" w:rsidRPr="00316F13" w:rsidRDefault="00B406B4" w:rsidP="00455643">
            <w:pPr>
              <w:spacing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16F13">
              <w:rPr>
                <w:rFonts w:cstheme="minorHAnsi"/>
                <w:sz w:val="20"/>
              </w:rPr>
              <w:t>25</w:t>
            </w:r>
          </w:p>
        </w:tc>
      </w:tr>
      <w:tr w:rsidR="00B406B4" w:rsidRPr="00657A1F" w14:paraId="176F8B5C" w14:textId="77777777" w:rsidTr="008B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6211F3D1" w14:textId="77777777" w:rsidR="00B406B4" w:rsidRPr="00316F13" w:rsidRDefault="00B406B4" w:rsidP="009C47CE">
            <w:pPr>
              <w:ind w:left="360"/>
              <w:jc w:val="both"/>
              <w:rPr>
                <w:rFonts w:cstheme="minorHAnsi"/>
                <w:sz w:val="20"/>
                <w:szCs w:val="20"/>
              </w:rPr>
            </w:pPr>
            <w:r w:rsidRPr="00316F13">
              <w:rPr>
                <w:rFonts w:cstheme="minorHAnsi"/>
                <w:sz w:val="20"/>
              </w:rPr>
              <w:t>Assistance in developing methodologies for establishing national tables of frequency allocations and spectrum redeployment</w:t>
            </w:r>
          </w:p>
        </w:tc>
        <w:tc>
          <w:tcPr>
            <w:tcW w:w="1440" w:type="dxa"/>
          </w:tcPr>
          <w:p w14:paraId="65C37BC1" w14:textId="77777777" w:rsidR="00B406B4" w:rsidRPr="00316F13" w:rsidRDefault="00B406B4" w:rsidP="00455643">
            <w:pPr>
              <w:spacing w:line="259"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6F13">
              <w:rPr>
                <w:rFonts w:cstheme="minorHAnsi"/>
                <w:sz w:val="20"/>
              </w:rPr>
              <w:t>15</w:t>
            </w:r>
          </w:p>
        </w:tc>
      </w:tr>
      <w:tr w:rsidR="00B406B4" w:rsidRPr="00657A1F" w14:paraId="0DF6D0FF" w14:textId="77777777" w:rsidTr="008B657C">
        <w:tc>
          <w:tcPr>
            <w:cnfStyle w:val="001000000000" w:firstRow="0" w:lastRow="0" w:firstColumn="1" w:lastColumn="0" w:oddVBand="0" w:evenVBand="0" w:oddHBand="0" w:evenHBand="0" w:firstRowFirstColumn="0" w:firstRowLastColumn="0" w:lastRowFirstColumn="0" w:lastRowLastColumn="0"/>
            <w:tcW w:w="8005" w:type="dxa"/>
          </w:tcPr>
          <w:p w14:paraId="2D41FFA5" w14:textId="77777777" w:rsidR="00B406B4" w:rsidRPr="00316F13" w:rsidRDefault="00B406B4" w:rsidP="009C47CE">
            <w:pPr>
              <w:ind w:left="360"/>
              <w:jc w:val="both"/>
              <w:rPr>
                <w:rFonts w:cstheme="minorHAnsi"/>
                <w:sz w:val="20"/>
                <w:szCs w:val="20"/>
              </w:rPr>
            </w:pPr>
            <w:r w:rsidRPr="00316F13">
              <w:rPr>
                <w:rFonts w:cstheme="minorHAnsi"/>
                <w:sz w:val="20"/>
              </w:rPr>
              <w:t>Assistance in setting up computerized frequency management and monitoring systems</w:t>
            </w:r>
          </w:p>
        </w:tc>
        <w:tc>
          <w:tcPr>
            <w:tcW w:w="1440" w:type="dxa"/>
          </w:tcPr>
          <w:p w14:paraId="57F931C2" w14:textId="77777777" w:rsidR="00B406B4" w:rsidRPr="00316F13" w:rsidRDefault="00B406B4" w:rsidP="00455643">
            <w:pPr>
              <w:spacing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16F13">
              <w:rPr>
                <w:rFonts w:cstheme="minorHAnsi"/>
                <w:sz w:val="20"/>
              </w:rPr>
              <w:t>15</w:t>
            </w:r>
          </w:p>
        </w:tc>
      </w:tr>
      <w:tr w:rsidR="00B406B4" w:rsidRPr="00657A1F" w14:paraId="78BC2241" w14:textId="77777777" w:rsidTr="008B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50BC813B" w14:textId="77777777" w:rsidR="00B406B4" w:rsidRPr="00316F13" w:rsidRDefault="00B406B4" w:rsidP="009C47CE">
            <w:pPr>
              <w:ind w:left="360"/>
              <w:jc w:val="both"/>
              <w:rPr>
                <w:rFonts w:cstheme="minorHAnsi"/>
                <w:sz w:val="20"/>
                <w:szCs w:val="20"/>
              </w:rPr>
            </w:pPr>
            <w:r w:rsidRPr="00316F13">
              <w:rPr>
                <w:rFonts w:cstheme="minorHAnsi"/>
                <w:sz w:val="20"/>
              </w:rPr>
              <w:t>Economic and financial aspects of spectrum management</w:t>
            </w:r>
          </w:p>
        </w:tc>
        <w:tc>
          <w:tcPr>
            <w:tcW w:w="1440" w:type="dxa"/>
          </w:tcPr>
          <w:p w14:paraId="6AB68FEB" w14:textId="77777777" w:rsidR="00B406B4" w:rsidRPr="00316F13" w:rsidRDefault="00B406B4" w:rsidP="00455643">
            <w:pPr>
              <w:spacing w:line="259"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6F13">
              <w:rPr>
                <w:rFonts w:cstheme="minorHAnsi"/>
                <w:sz w:val="20"/>
              </w:rPr>
              <w:t>12</w:t>
            </w:r>
          </w:p>
        </w:tc>
      </w:tr>
      <w:tr w:rsidR="00B406B4" w:rsidRPr="00657A1F" w14:paraId="403201D6" w14:textId="77777777" w:rsidTr="008B657C">
        <w:tc>
          <w:tcPr>
            <w:cnfStyle w:val="001000000000" w:firstRow="0" w:lastRow="0" w:firstColumn="1" w:lastColumn="0" w:oddVBand="0" w:evenVBand="0" w:oddHBand="0" w:evenHBand="0" w:firstRowFirstColumn="0" w:firstRowLastColumn="0" w:lastRowFirstColumn="0" w:lastRowLastColumn="0"/>
            <w:tcW w:w="8005" w:type="dxa"/>
          </w:tcPr>
          <w:p w14:paraId="647B096D" w14:textId="77777777" w:rsidR="00B406B4" w:rsidRPr="00316F13" w:rsidRDefault="00B406B4" w:rsidP="009C47CE">
            <w:pPr>
              <w:ind w:left="360"/>
              <w:jc w:val="both"/>
              <w:rPr>
                <w:rFonts w:cstheme="minorHAnsi"/>
                <w:sz w:val="20"/>
                <w:szCs w:val="20"/>
              </w:rPr>
            </w:pPr>
            <w:r w:rsidRPr="00316F13">
              <w:rPr>
                <w:rFonts w:cstheme="minorHAnsi"/>
                <w:sz w:val="20"/>
              </w:rPr>
              <w:lastRenderedPageBreak/>
              <w:t>Assistance with the preparations for world radiocommunication conferences (WRCs) and with follow-up and implementation of WRC decisions</w:t>
            </w:r>
          </w:p>
        </w:tc>
        <w:tc>
          <w:tcPr>
            <w:tcW w:w="1440" w:type="dxa"/>
          </w:tcPr>
          <w:p w14:paraId="5F259780" w14:textId="77777777" w:rsidR="00B406B4" w:rsidRPr="00316F13" w:rsidRDefault="00B406B4" w:rsidP="00455643">
            <w:pPr>
              <w:spacing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16F13">
              <w:rPr>
                <w:rFonts w:cstheme="minorHAnsi"/>
                <w:sz w:val="20"/>
              </w:rPr>
              <w:t>25</w:t>
            </w:r>
          </w:p>
        </w:tc>
      </w:tr>
      <w:tr w:rsidR="00B406B4" w:rsidRPr="00657A1F" w14:paraId="43CB26D3" w14:textId="77777777" w:rsidTr="008B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597D3DA4" w14:textId="77777777" w:rsidR="00B406B4" w:rsidRPr="00316F13" w:rsidRDefault="00B406B4" w:rsidP="009C47CE">
            <w:pPr>
              <w:ind w:left="360"/>
              <w:jc w:val="both"/>
              <w:rPr>
                <w:rFonts w:cstheme="minorHAnsi"/>
                <w:sz w:val="20"/>
                <w:szCs w:val="20"/>
              </w:rPr>
            </w:pPr>
            <w:r w:rsidRPr="00316F13">
              <w:rPr>
                <w:rFonts w:cstheme="minorHAnsi"/>
                <w:sz w:val="20"/>
              </w:rPr>
              <w:t>Assistance with participation in the work of the relevant ITU-R study groups and their working parties</w:t>
            </w:r>
          </w:p>
        </w:tc>
        <w:tc>
          <w:tcPr>
            <w:tcW w:w="1440" w:type="dxa"/>
          </w:tcPr>
          <w:p w14:paraId="34B2A0AF" w14:textId="77777777" w:rsidR="00B406B4" w:rsidRPr="00316F13" w:rsidRDefault="00B406B4" w:rsidP="004556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6F13">
              <w:rPr>
                <w:rFonts w:cstheme="minorHAnsi"/>
                <w:sz w:val="20"/>
              </w:rPr>
              <w:t>8</w:t>
            </w:r>
          </w:p>
        </w:tc>
      </w:tr>
      <w:tr w:rsidR="00B406B4" w:rsidRPr="00657A1F" w14:paraId="17996A9C" w14:textId="77777777" w:rsidTr="008B657C">
        <w:tc>
          <w:tcPr>
            <w:cnfStyle w:val="001000000000" w:firstRow="0" w:lastRow="0" w:firstColumn="1" w:lastColumn="0" w:oddVBand="0" w:evenVBand="0" w:oddHBand="0" w:evenHBand="0" w:firstRowFirstColumn="0" w:firstRowLastColumn="0" w:lastRowFirstColumn="0" w:lastRowLastColumn="0"/>
            <w:tcW w:w="8005" w:type="dxa"/>
          </w:tcPr>
          <w:p w14:paraId="639D50E8" w14:textId="77777777" w:rsidR="00B406B4" w:rsidRPr="00316F13" w:rsidRDefault="00B406B4" w:rsidP="009C47CE">
            <w:pPr>
              <w:ind w:left="360"/>
              <w:jc w:val="both"/>
              <w:rPr>
                <w:rFonts w:cstheme="minorHAnsi"/>
                <w:sz w:val="20"/>
                <w:szCs w:val="20"/>
              </w:rPr>
            </w:pPr>
            <w:r w:rsidRPr="00316F13">
              <w:rPr>
                <w:rFonts w:cstheme="minorHAnsi"/>
                <w:sz w:val="20"/>
              </w:rPr>
              <w:t>Transition to digital terrestrial television broadcasting</w:t>
            </w:r>
          </w:p>
        </w:tc>
        <w:tc>
          <w:tcPr>
            <w:tcW w:w="1440" w:type="dxa"/>
          </w:tcPr>
          <w:p w14:paraId="2535AF79" w14:textId="77777777" w:rsidR="00B406B4" w:rsidRPr="00316F13" w:rsidRDefault="00B406B4" w:rsidP="004556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16F13">
              <w:rPr>
                <w:rFonts w:cstheme="minorHAnsi"/>
                <w:sz w:val="20"/>
              </w:rPr>
              <w:t>1</w:t>
            </w:r>
          </w:p>
        </w:tc>
      </w:tr>
      <w:tr w:rsidR="00B406B4" w:rsidRPr="00657A1F" w14:paraId="4CE513CC" w14:textId="77777777" w:rsidTr="008B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739B983E" w14:textId="77777777" w:rsidR="00B406B4" w:rsidRPr="00316F13" w:rsidRDefault="00B406B4" w:rsidP="009C47CE">
            <w:pPr>
              <w:ind w:left="360"/>
              <w:jc w:val="both"/>
              <w:rPr>
                <w:rFonts w:cstheme="minorHAnsi"/>
                <w:sz w:val="20"/>
                <w:szCs w:val="20"/>
              </w:rPr>
            </w:pPr>
            <w:r w:rsidRPr="00316F13">
              <w:rPr>
                <w:rFonts w:cstheme="minorHAnsi"/>
                <w:sz w:val="20"/>
              </w:rPr>
              <w:t>Assistance in identifying the most efficient ways to utilize the digital dividend</w:t>
            </w:r>
          </w:p>
        </w:tc>
        <w:tc>
          <w:tcPr>
            <w:tcW w:w="1440" w:type="dxa"/>
          </w:tcPr>
          <w:p w14:paraId="332C7DDB" w14:textId="77777777" w:rsidR="00B406B4" w:rsidRPr="00316F13" w:rsidRDefault="00B406B4" w:rsidP="004556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6F13">
              <w:rPr>
                <w:rFonts w:cstheme="minorHAnsi"/>
                <w:sz w:val="20"/>
              </w:rPr>
              <w:t>9</w:t>
            </w:r>
          </w:p>
        </w:tc>
      </w:tr>
      <w:tr w:rsidR="00B406B4" w:rsidRPr="00657A1F" w14:paraId="4C45CFF8" w14:textId="77777777" w:rsidTr="008B657C">
        <w:tc>
          <w:tcPr>
            <w:cnfStyle w:val="001000000000" w:firstRow="0" w:lastRow="0" w:firstColumn="1" w:lastColumn="0" w:oddVBand="0" w:evenVBand="0" w:oddHBand="0" w:evenHBand="0" w:firstRowFirstColumn="0" w:firstRowLastColumn="0" w:lastRowFirstColumn="0" w:lastRowLastColumn="0"/>
            <w:tcW w:w="8005" w:type="dxa"/>
          </w:tcPr>
          <w:p w14:paraId="0B355FC4" w14:textId="77777777" w:rsidR="00B406B4" w:rsidRPr="00316F13" w:rsidRDefault="00B406B4" w:rsidP="009C47CE">
            <w:pPr>
              <w:ind w:left="360"/>
              <w:jc w:val="both"/>
              <w:rPr>
                <w:rFonts w:cstheme="minorHAnsi"/>
                <w:sz w:val="20"/>
                <w:szCs w:val="20"/>
              </w:rPr>
            </w:pPr>
            <w:r w:rsidRPr="00316F13">
              <w:rPr>
                <w:rFonts w:cstheme="minorHAnsi"/>
                <w:sz w:val="20"/>
              </w:rPr>
              <w:t>Emerging technologies and approaches in using spectrum</w:t>
            </w:r>
          </w:p>
        </w:tc>
        <w:tc>
          <w:tcPr>
            <w:tcW w:w="1440" w:type="dxa"/>
          </w:tcPr>
          <w:p w14:paraId="19A78FD6" w14:textId="77777777" w:rsidR="00B406B4" w:rsidRPr="00316F13" w:rsidRDefault="00B406B4" w:rsidP="00455643">
            <w:pPr>
              <w:spacing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16F13">
              <w:rPr>
                <w:rFonts w:cstheme="minorHAnsi"/>
                <w:sz w:val="20"/>
              </w:rPr>
              <w:t>24</w:t>
            </w:r>
          </w:p>
        </w:tc>
      </w:tr>
      <w:tr w:rsidR="00B406B4" w:rsidRPr="00657A1F" w14:paraId="571CE4F8" w14:textId="77777777" w:rsidTr="008B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2D484505" w14:textId="77777777" w:rsidR="00B406B4" w:rsidRPr="00316F13" w:rsidRDefault="00B406B4" w:rsidP="009C47CE">
            <w:pPr>
              <w:ind w:left="360"/>
              <w:jc w:val="both"/>
              <w:rPr>
                <w:rFonts w:cstheme="minorHAnsi"/>
                <w:sz w:val="20"/>
                <w:szCs w:val="20"/>
              </w:rPr>
            </w:pPr>
            <w:r w:rsidRPr="00316F13">
              <w:rPr>
                <w:rFonts w:cstheme="minorHAnsi"/>
                <w:sz w:val="20"/>
              </w:rPr>
              <w:t>Innovative ways of spectrum licensing</w:t>
            </w:r>
          </w:p>
        </w:tc>
        <w:tc>
          <w:tcPr>
            <w:tcW w:w="1440" w:type="dxa"/>
          </w:tcPr>
          <w:p w14:paraId="488CA82F" w14:textId="77777777" w:rsidR="00B406B4" w:rsidRPr="00316F13" w:rsidRDefault="00B406B4" w:rsidP="004556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6F13">
              <w:rPr>
                <w:rFonts w:cstheme="minorHAnsi"/>
                <w:sz w:val="20"/>
              </w:rPr>
              <w:t>12</w:t>
            </w:r>
          </w:p>
        </w:tc>
      </w:tr>
      <w:tr w:rsidR="00B406B4" w:rsidRPr="00657A1F" w14:paraId="021976AE" w14:textId="77777777" w:rsidTr="008B657C">
        <w:tc>
          <w:tcPr>
            <w:cnfStyle w:val="001000000000" w:firstRow="0" w:lastRow="0" w:firstColumn="1" w:lastColumn="0" w:oddVBand="0" w:evenVBand="0" w:oddHBand="0" w:evenHBand="0" w:firstRowFirstColumn="0" w:firstRowLastColumn="0" w:lastRowFirstColumn="0" w:lastRowLastColumn="0"/>
            <w:tcW w:w="8005" w:type="dxa"/>
          </w:tcPr>
          <w:p w14:paraId="0A88EC64" w14:textId="77777777" w:rsidR="00B406B4" w:rsidRPr="00316F13" w:rsidRDefault="00B406B4" w:rsidP="009C47CE">
            <w:pPr>
              <w:ind w:left="360"/>
              <w:jc w:val="both"/>
              <w:rPr>
                <w:rFonts w:cstheme="minorHAnsi"/>
                <w:sz w:val="20"/>
                <w:szCs w:val="20"/>
              </w:rPr>
            </w:pPr>
            <w:r w:rsidRPr="00316F13">
              <w:rPr>
                <w:rFonts w:cstheme="minorHAnsi"/>
                <w:sz w:val="20"/>
              </w:rPr>
              <w:t>Assistance with interference caused by devices in derogation of national spectrum allocations</w:t>
            </w:r>
          </w:p>
        </w:tc>
        <w:tc>
          <w:tcPr>
            <w:tcW w:w="1440" w:type="dxa"/>
          </w:tcPr>
          <w:p w14:paraId="41E17A31" w14:textId="77777777" w:rsidR="00B406B4" w:rsidRPr="00316F13" w:rsidRDefault="00B406B4" w:rsidP="004556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16F13">
              <w:rPr>
                <w:rFonts w:cstheme="minorHAnsi"/>
                <w:sz w:val="20"/>
              </w:rPr>
              <w:t>5</w:t>
            </w:r>
          </w:p>
        </w:tc>
      </w:tr>
      <w:tr w:rsidR="00B406B4" w:rsidRPr="00657A1F" w14:paraId="451ED1BA" w14:textId="77777777" w:rsidTr="008B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25EAB2A0" w14:textId="77777777" w:rsidR="00B406B4" w:rsidRPr="00316F13" w:rsidRDefault="00B406B4" w:rsidP="009C47CE">
            <w:pPr>
              <w:ind w:left="360"/>
              <w:jc w:val="both"/>
              <w:rPr>
                <w:rFonts w:cstheme="minorHAnsi"/>
                <w:sz w:val="20"/>
                <w:szCs w:val="20"/>
              </w:rPr>
            </w:pPr>
            <w:r w:rsidRPr="00316F13">
              <w:rPr>
                <w:rFonts w:cstheme="minorHAnsi"/>
                <w:sz w:val="20"/>
              </w:rPr>
              <w:t>Assistance in resolving seasonal interference caused by anomalous propagation of radio waves</w:t>
            </w:r>
          </w:p>
        </w:tc>
        <w:tc>
          <w:tcPr>
            <w:tcW w:w="1440" w:type="dxa"/>
          </w:tcPr>
          <w:p w14:paraId="37D36D8F" w14:textId="77777777" w:rsidR="00B406B4" w:rsidRPr="00316F13" w:rsidRDefault="00B406B4" w:rsidP="004556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6F13">
              <w:rPr>
                <w:rFonts w:cstheme="minorHAnsi"/>
                <w:sz w:val="20"/>
              </w:rPr>
              <w:t>1</w:t>
            </w:r>
          </w:p>
        </w:tc>
      </w:tr>
      <w:tr w:rsidR="00B406B4" w:rsidRPr="00657A1F" w14:paraId="76F876C9" w14:textId="77777777" w:rsidTr="008B657C">
        <w:tc>
          <w:tcPr>
            <w:cnfStyle w:val="001000000000" w:firstRow="0" w:lastRow="0" w:firstColumn="1" w:lastColumn="0" w:oddVBand="0" w:evenVBand="0" w:oddHBand="0" w:evenHBand="0" w:firstRowFirstColumn="0" w:firstRowLastColumn="0" w:lastRowFirstColumn="0" w:lastRowLastColumn="0"/>
            <w:tcW w:w="8005" w:type="dxa"/>
          </w:tcPr>
          <w:p w14:paraId="4A60B10D" w14:textId="77777777" w:rsidR="00B406B4" w:rsidRPr="00316F13" w:rsidRDefault="00B406B4" w:rsidP="009C47CE">
            <w:pPr>
              <w:ind w:left="360"/>
              <w:jc w:val="both"/>
              <w:rPr>
                <w:rFonts w:cstheme="minorHAnsi"/>
                <w:sz w:val="20"/>
                <w:szCs w:val="20"/>
              </w:rPr>
            </w:pPr>
            <w:r w:rsidRPr="00316F13">
              <w:rPr>
                <w:rFonts w:cstheme="minorHAnsi"/>
                <w:sz w:val="20"/>
              </w:rPr>
              <w:t>SMS4DC development and training</w:t>
            </w:r>
          </w:p>
        </w:tc>
        <w:tc>
          <w:tcPr>
            <w:tcW w:w="1440" w:type="dxa"/>
          </w:tcPr>
          <w:p w14:paraId="7A750973" w14:textId="77777777" w:rsidR="00B406B4" w:rsidRPr="00316F13" w:rsidRDefault="00B406B4" w:rsidP="004556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16F13">
              <w:rPr>
                <w:rFonts w:cstheme="minorHAnsi"/>
                <w:sz w:val="20"/>
              </w:rPr>
              <w:t>11</w:t>
            </w:r>
          </w:p>
        </w:tc>
      </w:tr>
      <w:tr w:rsidR="00B406B4" w:rsidRPr="00657A1F" w14:paraId="0E6B86B1" w14:textId="77777777" w:rsidTr="008B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tcPr>
          <w:p w14:paraId="34F20085" w14:textId="77777777" w:rsidR="00B406B4" w:rsidRPr="00316F13" w:rsidRDefault="00B406B4" w:rsidP="009C47CE">
            <w:pPr>
              <w:jc w:val="both"/>
              <w:rPr>
                <w:rFonts w:cstheme="minorHAnsi"/>
                <w:sz w:val="20"/>
                <w:szCs w:val="20"/>
              </w:rPr>
            </w:pPr>
            <w:r w:rsidRPr="00316F13">
              <w:rPr>
                <w:rFonts w:cstheme="minorHAnsi"/>
                <w:sz w:val="20"/>
              </w:rPr>
              <w:t>Total</w:t>
            </w:r>
          </w:p>
        </w:tc>
        <w:tc>
          <w:tcPr>
            <w:tcW w:w="1440" w:type="dxa"/>
          </w:tcPr>
          <w:p w14:paraId="430ABFC3" w14:textId="77777777" w:rsidR="00B406B4" w:rsidRPr="00316F13" w:rsidRDefault="00B406B4" w:rsidP="004556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6F13">
              <w:rPr>
                <w:rFonts w:cstheme="minorHAnsi"/>
                <w:sz w:val="20"/>
              </w:rPr>
              <w:t>160</w:t>
            </w:r>
          </w:p>
        </w:tc>
      </w:tr>
      <w:bookmarkEnd w:id="14"/>
    </w:tbl>
    <w:p w14:paraId="4E1AE886" w14:textId="77777777" w:rsidR="00B406B4" w:rsidRPr="0074089C" w:rsidRDefault="00B406B4" w:rsidP="009C47CE">
      <w:pPr>
        <w:jc w:val="both"/>
        <w:rPr>
          <w:rFonts w:cstheme="minorHAnsi"/>
          <w:sz w:val="22"/>
          <w:szCs w:val="22"/>
        </w:rPr>
      </w:pPr>
    </w:p>
    <w:tbl>
      <w:tblPr>
        <w:tblStyle w:val="TableGrid"/>
        <w:tblW w:w="9776" w:type="dxa"/>
        <w:tblLook w:val="04A0" w:firstRow="1" w:lastRow="0" w:firstColumn="1" w:lastColumn="0" w:noHBand="0" w:noVBand="1"/>
      </w:tblPr>
      <w:tblGrid>
        <w:gridCol w:w="9776"/>
      </w:tblGrid>
      <w:tr w:rsidR="00B406B4" w:rsidRPr="00F42CA9" w14:paraId="04CA9F1F" w14:textId="77777777" w:rsidTr="008B45AF">
        <w:tc>
          <w:tcPr>
            <w:tcW w:w="9776" w:type="dxa"/>
          </w:tcPr>
          <w:p w14:paraId="79574DAB" w14:textId="77777777" w:rsidR="00B406B4" w:rsidRPr="0074089C" w:rsidRDefault="00B406B4" w:rsidP="00D86D9B">
            <w:pPr>
              <w:spacing w:before="60" w:after="60"/>
              <w:rPr>
                <w:rFonts w:cstheme="minorHAnsi"/>
                <w:b/>
                <w:bCs/>
                <w:sz w:val="22"/>
                <w:szCs w:val="22"/>
                <w:lang w:val="en-US"/>
              </w:rPr>
            </w:pPr>
            <w:r w:rsidRPr="0074089C">
              <w:rPr>
                <w:rFonts w:cstheme="minorHAnsi"/>
                <w:b/>
                <w:bCs/>
                <w:sz w:val="22"/>
                <w:szCs w:val="22"/>
                <w:lang w:val="en-US"/>
              </w:rPr>
              <w:t>Regional activities</w:t>
            </w:r>
          </w:p>
          <w:p w14:paraId="73232A29" w14:textId="541AF48F" w:rsidR="0046653E" w:rsidRDefault="0046653E" w:rsidP="00D86D9B">
            <w:pPr>
              <w:tabs>
                <w:tab w:val="left" w:pos="1134"/>
                <w:tab w:val="left" w:pos="1871"/>
                <w:tab w:val="left" w:pos="2268"/>
              </w:tabs>
              <w:spacing w:before="60" w:after="60"/>
              <w:rPr>
                <w:rFonts w:cstheme="minorHAnsi"/>
                <w:i/>
                <w:iCs/>
                <w:sz w:val="22"/>
                <w:szCs w:val="22"/>
              </w:rPr>
            </w:pPr>
            <w:r>
              <w:rPr>
                <w:rFonts w:cstheme="minorHAnsi"/>
                <w:i/>
                <w:iCs/>
                <w:sz w:val="22"/>
                <w:szCs w:val="22"/>
              </w:rPr>
              <w:t>Africa region</w:t>
            </w:r>
          </w:p>
          <w:p w14:paraId="1A95F2C0" w14:textId="503F0662" w:rsidR="0046653E" w:rsidRPr="00681955" w:rsidRDefault="0046653E" w:rsidP="00D86D9B">
            <w:pPr>
              <w:pStyle w:val="ListParagraph"/>
              <w:numPr>
                <w:ilvl w:val="0"/>
                <w:numId w:val="56"/>
              </w:numPr>
              <w:spacing w:before="60" w:after="60"/>
              <w:contextualSpacing w:val="0"/>
              <w:rPr>
                <w:rFonts w:cstheme="minorHAnsi"/>
                <w:sz w:val="22"/>
                <w:szCs w:val="22"/>
                <w:lang w:val="en-US"/>
              </w:rPr>
            </w:pPr>
            <w:r w:rsidRPr="00681955">
              <w:rPr>
                <w:rFonts w:cstheme="minorHAnsi"/>
                <w:sz w:val="22"/>
                <w:szCs w:val="22"/>
                <w:lang w:val="en-US"/>
              </w:rPr>
              <w:t>In February 2022 the Government of Uganda and ITU project ‘Technical Assistance and Training to Uganda on National ICT Development’, financially supported by China’s South-South Cooperation Assistance Fund (SSCAF) was launched. Transformative projects and partnerships that aim to support countries’ implementation of national digital transformation priority areas are at the forefront of the work in the region.</w:t>
            </w:r>
            <w:r w:rsidR="005E75F3">
              <w:rPr>
                <w:rFonts w:cstheme="minorHAnsi"/>
                <w:sz w:val="22"/>
                <w:szCs w:val="22"/>
                <w:lang w:val="en-US"/>
              </w:rPr>
              <w:t xml:space="preserve"> </w:t>
            </w:r>
          </w:p>
          <w:p w14:paraId="037BAAA8" w14:textId="31BE788B" w:rsidR="00417D41" w:rsidRPr="0084690C" w:rsidRDefault="00417D41" w:rsidP="00D86D9B">
            <w:pPr>
              <w:tabs>
                <w:tab w:val="left" w:pos="1134"/>
                <w:tab w:val="left" w:pos="1871"/>
                <w:tab w:val="left" w:pos="2268"/>
              </w:tabs>
              <w:spacing w:before="60" w:after="60"/>
              <w:rPr>
                <w:rFonts w:cstheme="minorHAnsi"/>
                <w:i/>
                <w:iCs/>
                <w:sz w:val="22"/>
                <w:szCs w:val="22"/>
              </w:rPr>
            </w:pPr>
            <w:r>
              <w:rPr>
                <w:rFonts w:cstheme="minorHAnsi"/>
                <w:i/>
                <w:iCs/>
                <w:sz w:val="22"/>
                <w:szCs w:val="22"/>
              </w:rPr>
              <w:t xml:space="preserve">Americas </w:t>
            </w:r>
            <w:r w:rsidRPr="0084690C">
              <w:rPr>
                <w:rFonts w:cstheme="minorHAnsi"/>
                <w:i/>
                <w:iCs/>
                <w:sz w:val="22"/>
                <w:szCs w:val="22"/>
              </w:rPr>
              <w:t>region</w:t>
            </w:r>
          </w:p>
          <w:p w14:paraId="55826239" w14:textId="5FF2D594" w:rsidR="00B20734" w:rsidRPr="0084690C" w:rsidRDefault="00B55DB5" w:rsidP="00D86D9B">
            <w:pPr>
              <w:pStyle w:val="ListParagraph"/>
              <w:numPr>
                <w:ilvl w:val="0"/>
                <w:numId w:val="52"/>
              </w:numPr>
              <w:spacing w:before="60" w:after="60"/>
              <w:contextualSpacing w:val="0"/>
              <w:rPr>
                <w:rFonts w:cstheme="minorHAnsi"/>
                <w:sz w:val="22"/>
                <w:szCs w:val="22"/>
              </w:rPr>
            </w:pPr>
            <w:r w:rsidRPr="0084690C">
              <w:rPr>
                <w:rFonts w:cstheme="minorHAnsi"/>
                <w:sz w:val="22"/>
                <w:szCs w:val="22"/>
              </w:rPr>
              <w:t>ITU New Technologies and Internet Colloquium (ITEC</w:t>
            </w:r>
            <w:r w:rsidR="005E7029">
              <w:rPr>
                <w:rFonts w:cstheme="minorHAnsi"/>
                <w:sz w:val="22"/>
                <w:szCs w:val="22"/>
              </w:rPr>
              <w:t>-</w:t>
            </w:r>
            <w:r w:rsidRPr="0084690C">
              <w:rPr>
                <w:rFonts w:cstheme="minorHAnsi"/>
                <w:sz w:val="22"/>
                <w:szCs w:val="22"/>
              </w:rPr>
              <w:t>22) was held in Cancún México</w:t>
            </w:r>
            <w:r w:rsidR="00681955" w:rsidRPr="0084690C">
              <w:rPr>
                <w:rFonts w:cstheme="minorHAnsi"/>
                <w:sz w:val="22"/>
                <w:szCs w:val="22"/>
              </w:rPr>
              <w:t xml:space="preserve"> in </w:t>
            </w:r>
            <w:r w:rsidRPr="0084690C">
              <w:rPr>
                <w:rFonts w:cstheme="minorHAnsi"/>
                <w:sz w:val="22"/>
                <w:szCs w:val="22"/>
              </w:rPr>
              <w:t>June.</w:t>
            </w:r>
            <w:r w:rsidR="00215753" w:rsidRPr="0084690C">
              <w:rPr>
                <w:rFonts w:cstheme="minorHAnsi"/>
                <w:sz w:val="22"/>
                <w:szCs w:val="22"/>
              </w:rPr>
              <w:t xml:space="preserve"> </w:t>
            </w:r>
            <w:r w:rsidRPr="0084690C">
              <w:rPr>
                <w:rFonts w:cstheme="minorHAnsi"/>
                <w:sz w:val="22"/>
                <w:szCs w:val="22"/>
              </w:rPr>
              <w:t>ITEC 2022 focuses on the adoption and deployment of new environmentally friendly technologies that support resilience in health</w:t>
            </w:r>
            <w:r w:rsidR="00DF0F98" w:rsidRPr="0084690C">
              <w:rPr>
                <w:rFonts w:cstheme="minorHAnsi"/>
                <w:sz w:val="22"/>
                <w:szCs w:val="22"/>
              </w:rPr>
              <w:t xml:space="preserve"> and </w:t>
            </w:r>
            <w:r w:rsidRPr="0084690C">
              <w:rPr>
                <w:rFonts w:cstheme="minorHAnsi"/>
                <w:sz w:val="22"/>
                <w:szCs w:val="22"/>
              </w:rPr>
              <w:t>was attended by more than 100 delegates from 11 Member States.</w:t>
            </w:r>
          </w:p>
          <w:p w14:paraId="08963685" w14:textId="28DFE127" w:rsidR="00417D41" w:rsidRPr="0084690C" w:rsidRDefault="00417D41" w:rsidP="00D86D9B">
            <w:pPr>
              <w:pStyle w:val="ListParagraph"/>
              <w:numPr>
                <w:ilvl w:val="0"/>
                <w:numId w:val="52"/>
              </w:numPr>
              <w:spacing w:before="60" w:after="60"/>
              <w:contextualSpacing w:val="0"/>
              <w:rPr>
                <w:rFonts w:cstheme="minorHAnsi"/>
                <w:sz w:val="22"/>
                <w:szCs w:val="22"/>
              </w:rPr>
            </w:pPr>
            <w:r w:rsidRPr="0084690C">
              <w:rPr>
                <w:rFonts w:cstheme="minorHAnsi"/>
                <w:sz w:val="22"/>
                <w:szCs w:val="22"/>
              </w:rPr>
              <w:t xml:space="preserve">The Spectrum Monitoring Project for Cuba </w:t>
            </w:r>
            <w:r w:rsidR="00BB60EC" w:rsidRPr="0084690C">
              <w:rPr>
                <w:rFonts w:cstheme="minorHAnsi"/>
                <w:sz w:val="22"/>
                <w:szCs w:val="22"/>
              </w:rPr>
              <w:t>has been implemented</w:t>
            </w:r>
            <w:r w:rsidRPr="0084690C">
              <w:rPr>
                <w:rFonts w:cstheme="minorHAnsi"/>
                <w:sz w:val="22"/>
                <w:szCs w:val="22"/>
              </w:rPr>
              <w:t xml:space="preserve">. It is expected </w:t>
            </w:r>
            <w:r w:rsidR="00BB60EC" w:rsidRPr="0084690C">
              <w:rPr>
                <w:rFonts w:cstheme="minorHAnsi"/>
                <w:sz w:val="22"/>
                <w:szCs w:val="22"/>
              </w:rPr>
              <w:t>to be completed</w:t>
            </w:r>
            <w:r w:rsidRPr="0084690C">
              <w:rPr>
                <w:rFonts w:cstheme="minorHAnsi"/>
                <w:sz w:val="22"/>
                <w:szCs w:val="22"/>
              </w:rPr>
              <w:t xml:space="preserve"> in 2023.</w:t>
            </w:r>
          </w:p>
          <w:p w14:paraId="05B63023" w14:textId="77777777" w:rsidR="00417D41" w:rsidRPr="0084690C" w:rsidRDefault="00417D41" w:rsidP="00D86D9B">
            <w:pPr>
              <w:pStyle w:val="ListParagraph"/>
              <w:numPr>
                <w:ilvl w:val="0"/>
                <w:numId w:val="52"/>
              </w:numPr>
              <w:spacing w:before="60" w:after="60"/>
              <w:contextualSpacing w:val="0"/>
              <w:rPr>
                <w:rFonts w:cstheme="minorHAnsi"/>
                <w:sz w:val="22"/>
                <w:szCs w:val="22"/>
              </w:rPr>
            </w:pPr>
            <w:r w:rsidRPr="0084690C">
              <w:rPr>
                <w:rFonts w:cstheme="minorHAnsi"/>
                <w:sz w:val="22"/>
                <w:szCs w:val="22"/>
              </w:rPr>
              <w:t>Project for Specialized Technical Assistance for the Assessment of Frequency Bands for Advanced Mobile Systems in Ecuador</w:t>
            </w:r>
          </w:p>
          <w:p w14:paraId="39615B73" w14:textId="0B887F53" w:rsidR="00417D41" w:rsidRPr="0084690C" w:rsidRDefault="00AB0069" w:rsidP="00D86D9B">
            <w:pPr>
              <w:pStyle w:val="ListParagraph"/>
              <w:numPr>
                <w:ilvl w:val="0"/>
                <w:numId w:val="52"/>
              </w:numPr>
              <w:spacing w:before="60" w:after="60"/>
              <w:contextualSpacing w:val="0"/>
              <w:rPr>
                <w:rFonts w:cstheme="minorHAnsi"/>
                <w:sz w:val="22"/>
                <w:szCs w:val="22"/>
              </w:rPr>
            </w:pPr>
            <w:r w:rsidRPr="0084690C">
              <w:rPr>
                <w:rFonts w:cstheme="minorHAnsi"/>
                <w:sz w:val="22"/>
                <w:szCs w:val="22"/>
              </w:rPr>
              <w:t xml:space="preserve">In Ecuador, </w:t>
            </w:r>
            <w:r w:rsidR="00C2112B" w:rsidRPr="0084690C">
              <w:rPr>
                <w:rFonts w:cstheme="minorHAnsi"/>
                <w:sz w:val="22"/>
                <w:szCs w:val="22"/>
              </w:rPr>
              <w:t xml:space="preserve">ITU has carried out an </w:t>
            </w:r>
            <w:r w:rsidR="00417D41" w:rsidRPr="0084690C">
              <w:rPr>
                <w:rFonts w:cstheme="minorHAnsi"/>
                <w:sz w:val="22"/>
                <w:szCs w:val="22"/>
              </w:rPr>
              <w:t>assessment of the 850MHz, 900 MHz, extended AWS (1700MHz-2100MHz), 1900MHz, 3.5GHz bands</w:t>
            </w:r>
            <w:r w:rsidR="009A2A16" w:rsidRPr="0084690C">
              <w:rPr>
                <w:rFonts w:cstheme="minorHAnsi"/>
                <w:sz w:val="22"/>
                <w:szCs w:val="22"/>
              </w:rPr>
              <w:t xml:space="preserve"> and their </w:t>
            </w:r>
            <w:r w:rsidR="00417D41" w:rsidRPr="0084690C">
              <w:rPr>
                <w:rFonts w:cstheme="minorHAnsi"/>
                <w:sz w:val="22"/>
                <w:szCs w:val="22"/>
              </w:rPr>
              <w:t>valuation based on a diagnosis of the use of spectrum</w:t>
            </w:r>
            <w:r w:rsidR="009A2A16" w:rsidRPr="0084690C">
              <w:rPr>
                <w:rFonts w:cstheme="minorHAnsi"/>
                <w:sz w:val="22"/>
                <w:szCs w:val="22"/>
              </w:rPr>
              <w:t xml:space="preserve"> and c</w:t>
            </w:r>
            <w:r w:rsidR="00417D41" w:rsidRPr="0084690C">
              <w:rPr>
                <w:rFonts w:cstheme="minorHAnsi"/>
                <w:sz w:val="22"/>
                <w:szCs w:val="22"/>
              </w:rPr>
              <w:t>arrying out a</w:t>
            </w:r>
            <w:r w:rsidR="009A2A16" w:rsidRPr="0084690C">
              <w:rPr>
                <w:rFonts w:cstheme="minorHAnsi"/>
                <w:sz w:val="22"/>
                <w:szCs w:val="22"/>
              </w:rPr>
              <w:t xml:space="preserve"> </w:t>
            </w:r>
            <w:r w:rsidR="00417D41" w:rsidRPr="0084690C">
              <w:rPr>
                <w:rFonts w:cstheme="minorHAnsi"/>
                <w:sz w:val="22"/>
                <w:szCs w:val="22"/>
              </w:rPr>
              <w:t>comparative analysis o</w:t>
            </w:r>
            <w:r w:rsidR="004F3CCD" w:rsidRPr="0084690C">
              <w:rPr>
                <w:rFonts w:cstheme="minorHAnsi"/>
                <w:sz w:val="22"/>
                <w:szCs w:val="22"/>
              </w:rPr>
              <w:t xml:space="preserve">f global best practices. The findings of the assessment </w:t>
            </w:r>
            <w:r w:rsidR="0084690C" w:rsidRPr="0084690C">
              <w:rPr>
                <w:rFonts w:cstheme="minorHAnsi"/>
                <w:sz w:val="22"/>
                <w:szCs w:val="22"/>
              </w:rPr>
              <w:t xml:space="preserve">will </w:t>
            </w:r>
            <w:r w:rsidR="00417D41" w:rsidRPr="0084690C">
              <w:rPr>
                <w:rFonts w:cstheme="minorHAnsi"/>
                <w:sz w:val="22"/>
                <w:szCs w:val="22"/>
              </w:rPr>
              <w:t xml:space="preserve">facilitate the </w:t>
            </w:r>
            <w:r w:rsidR="001E67ED">
              <w:rPr>
                <w:rFonts w:cstheme="minorHAnsi"/>
                <w:sz w:val="22"/>
                <w:szCs w:val="22"/>
              </w:rPr>
              <w:t xml:space="preserve">work of </w:t>
            </w:r>
            <w:r w:rsidR="00417D41" w:rsidRPr="0084690C">
              <w:rPr>
                <w:rFonts w:cstheme="minorHAnsi"/>
                <w:sz w:val="22"/>
                <w:szCs w:val="22"/>
              </w:rPr>
              <w:t>ARCOTEL</w:t>
            </w:r>
            <w:r w:rsidR="0084690C" w:rsidRPr="0084690C">
              <w:rPr>
                <w:rFonts w:cstheme="minorHAnsi"/>
                <w:sz w:val="22"/>
                <w:szCs w:val="22"/>
              </w:rPr>
              <w:t xml:space="preserve"> on</w:t>
            </w:r>
            <w:r w:rsidR="00417D41" w:rsidRPr="0084690C">
              <w:rPr>
                <w:rFonts w:cstheme="minorHAnsi"/>
                <w:sz w:val="22"/>
                <w:szCs w:val="22"/>
              </w:rPr>
              <w:t xml:space="preserve"> grant</w:t>
            </w:r>
            <w:r w:rsidR="0084690C" w:rsidRPr="0084690C">
              <w:rPr>
                <w:rFonts w:cstheme="minorHAnsi"/>
                <w:sz w:val="22"/>
                <w:szCs w:val="22"/>
              </w:rPr>
              <w:t>ing</w:t>
            </w:r>
            <w:r w:rsidR="00417D41" w:rsidRPr="0084690C">
              <w:rPr>
                <w:rFonts w:cstheme="minorHAnsi"/>
                <w:sz w:val="22"/>
                <w:szCs w:val="22"/>
              </w:rPr>
              <w:t xml:space="preserve"> concessions. </w:t>
            </w:r>
          </w:p>
          <w:p w14:paraId="496B787E" w14:textId="5897C98A" w:rsidR="00417D41" w:rsidRPr="0084690C" w:rsidRDefault="00417D41" w:rsidP="00D86D9B">
            <w:pPr>
              <w:pStyle w:val="ListParagraph"/>
              <w:numPr>
                <w:ilvl w:val="0"/>
                <w:numId w:val="52"/>
              </w:numPr>
              <w:spacing w:before="60" w:after="60"/>
              <w:contextualSpacing w:val="0"/>
              <w:rPr>
                <w:rFonts w:cstheme="minorHAnsi"/>
                <w:sz w:val="22"/>
                <w:szCs w:val="22"/>
              </w:rPr>
            </w:pPr>
            <w:r w:rsidRPr="0084690C">
              <w:rPr>
                <w:rFonts w:cstheme="minorHAnsi"/>
                <w:sz w:val="22"/>
                <w:szCs w:val="22"/>
              </w:rPr>
              <w:t>The internet speeds and rates payable by all Government and Government-assisted schools in Barbados were examined to determine the impact on affordability if internet speeds were upgraded based on several scenarios. A</w:t>
            </w:r>
            <w:r w:rsidR="0077124C" w:rsidRPr="0084690C">
              <w:rPr>
                <w:rFonts w:cstheme="minorHAnsi"/>
                <w:sz w:val="22"/>
                <w:szCs w:val="22"/>
              </w:rPr>
              <w:t xml:space="preserve"> complementary</w:t>
            </w:r>
            <w:r w:rsidRPr="0084690C">
              <w:rPr>
                <w:rFonts w:cstheme="minorHAnsi"/>
                <w:sz w:val="22"/>
                <w:szCs w:val="22"/>
              </w:rPr>
              <w:t xml:space="preserve"> project </w:t>
            </w:r>
            <w:r w:rsidR="00141C06" w:rsidRPr="0084690C">
              <w:rPr>
                <w:rFonts w:cstheme="minorHAnsi"/>
                <w:sz w:val="22"/>
                <w:szCs w:val="22"/>
              </w:rPr>
              <w:t>has</w:t>
            </w:r>
            <w:r w:rsidRPr="0084690C">
              <w:rPr>
                <w:rFonts w:cstheme="minorHAnsi"/>
                <w:sz w:val="22"/>
                <w:szCs w:val="22"/>
              </w:rPr>
              <w:t xml:space="preserve"> be</w:t>
            </w:r>
            <w:r w:rsidR="00141C06" w:rsidRPr="0084690C">
              <w:rPr>
                <w:rFonts w:cstheme="minorHAnsi"/>
                <w:sz w:val="22"/>
                <w:szCs w:val="22"/>
              </w:rPr>
              <w:t>e</w:t>
            </w:r>
            <w:r w:rsidRPr="0084690C">
              <w:rPr>
                <w:rFonts w:cstheme="minorHAnsi"/>
                <w:sz w:val="22"/>
                <w:szCs w:val="22"/>
              </w:rPr>
              <w:t xml:space="preserve">n implemented to bridge the digital divide in a rural community in Barbados </w:t>
            </w:r>
            <w:r w:rsidR="0077124C" w:rsidRPr="0084690C">
              <w:rPr>
                <w:rFonts w:cstheme="minorHAnsi"/>
                <w:sz w:val="22"/>
                <w:szCs w:val="22"/>
              </w:rPr>
              <w:t>with</w:t>
            </w:r>
            <w:r w:rsidRPr="0084690C">
              <w:rPr>
                <w:rFonts w:cstheme="minorHAnsi"/>
                <w:sz w:val="22"/>
                <w:szCs w:val="22"/>
              </w:rPr>
              <w:t xml:space="preserve"> limited broadband Internet service</w:t>
            </w:r>
            <w:r w:rsidR="00141C06" w:rsidRPr="0084690C">
              <w:rPr>
                <w:rFonts w:cstheme="minorHAnsi"/>
                <w:sz w:val="22"/>
                <w:szCs w:val="22"/>
              </w:rPr>
              <w:t xml:space="preserve">, which </w:t>
            </w:r>
            <w:r w:rsidR="00D90344" w:rsidRPr="0084690C">
              <w:rPr>
                <w:rFonts w:cstheme="minorHAnsi"/>
                <w:sz w:val="22"/>
                <w:szCs w:val="22"/>
              </w:rPr>
              <w:t>has</w:t>
            </w:r>
            <w:r w:rsidR="00141C06" w:rsidRPr="0084690C">
              <w:rPr>
                <w:rFonts w:cstheme="minorHAnsi"/>
                <w:sz w:val="22"/>
                <w:szCs w:val="22"/>
              </w:rPr>
              <w:t xml:space="preserve"> continue</w:t>
            </w:r>
            <w:r w:rsidR="00D90344" w:rsidRPr="0084690C">
              <w:rPr>
                <w:rFonts w:cstheme="minorHAnsi"/>
                <w:sz w:val="22"/>
                <w:szCs w:val="22"/>
              </w:rPr>
              <w:t>d in 2023</w:t>
            </w:r>
            <w:r w:rsidRPr="0084690C">
              <w:rPr>
                <w:rFonts w:cstheme="minorHAnsi"/>
                <w:sz w:val="22"/>
                <w:szCs w:val="22"/>
              </w:rPr>
              <w:t>.</w:t>
            </w:r>
          </w:p>
          <w:p w14:paraId="5FC75C96" w14:textId="043C7E8C" w:rsidR="00B406B4" w:rsidRPr="0074089C" w:rsidRDefault="00B406B4" w:rsidP="009C6393">
            <w:pPr>
              <w:keepNext/>
              <w:tabs>
                <w:tab w:val="left" w:pos="1134"/>
                <w:tab w:val="left" w:pos="1871"/>
                <w:tab w:val="left" w:pos="2268"/>
              </w:tabs>
              <w:spacing w:before="60" w:after="60"/>
              <w:rPr>
                <w:rFonts w:cstheme="minorHAnsi"/>
                <w:i/>
                <w:iCs/>
                <w:sz w:val="22"/>
                <w:szCs w:val="22"/>
              </w:rPr>
            </w:pPr>
            <w:r w:rsidRPr="009C47CE">
              <w:rPr>
                <w:rFonts w:cstheme="minorHAnsi"/>
                <w:i/>
                <w:iCs/>
                <w:sz w:val="22"/>
                <w:szCs w:val="22"/>
              </w:rPr>
              <w:lastRenderedPageBreak/>
              <w:t>Arab States region</w:t>
            </w:r>
          </w:p>
          <w:p w14:paraId="4101B331" w14:textId="77777777" w:rsidR="00B406B4" w:rsidRPr="0074089C" w:rsidRDefault="00B406B4" w:rsidP="00D86D9B">
            <w:pPr>
              <w:pStyle w:val="ListParagraph"/>
              <w:numPr>
                <w:ilvl w:val="0"/>
                <w:numId w:val="18"/>
              </w:numPr>
              <w:overflowPunct/>
              <w:autoSpaceDE/>
              <w:autoSpaceDN/>
              <w:adjustRightInd/>
              <w:spacing w:before="60" w:after="60"/>
              <w:contextualSpacing w:val="0"/>
              <w:textAlignment w:val="auto"/>
              <w:rPr>
                <w:rFonts w:cstheme="minorHAnsi"/>
                <w:sz w:val="22"/>
                <w:szCs w:val="22"/>
              </w:rPr>
            </w:pPr>
            <w:r w:rsidRPr="0074089C">
              <w:rPr>
                <w:rFonts w:cstheme="minorHAnsi"/>
                <w:sz w:val="22"/>
                <w:szCs w:val="22"/>
              </w:rPr>
              <w:t xml:space="preserve">The Regional Office implemented various capacity development programs such as digital regulation training, IPv6 and IoT training, and satellite communication training for participants from the Arab region and other countries. </w:t>
            </w:r>
          </w:p>
          <w:p w14:paraId="79442C80" w14:textId="77777777" w:rsidR="00B406B4" w:rsidRPr="0074089C" w:rsidRDefault="00B406B4" w:rsidP="00D86D9B">
            <w:pPr>
              <w:pStyle w:val="ListParagraph"/>
              <w:numPr>
                <w:ilvl w:val="0"/>
                <w:numId w:val="18"/>
              </w:numPr>
              <w:overflowPunct/>
              <w:autoSpaceDE/>
              <w:autoSpaceDN/>
              <w:adjustRightInd/>
              <w:spacing w:before="60" w:after="60"/>
              <w:contextualSpacing w:val="0"/>
              <w:textAlignment w:val="auto"/>
              <w:rPr>
                <w:rFonts w:cstheme="minorHAnsi"/>
                <w:sz w:val="22"/>
                <w:szCs w:val="22"/>
              </w:rPr>
            </w:pPr>
            <w:r w:rsidRPr="009C47CE">
              <w:rPr>
                <w:rFonts w:cstheme="minorHAnsi"/>
                <w:sz w:val="22"/>
                <w:szCs w:val="22"/>
              </w:rPr>
              <w:t xml:space="preserve">ITU has been involved in various initiatives related to network and digital infrastructure in the Arab region. In particular, direct assistance was provided to Mauritania to develop a Digital ICT resilient assessment report; four countries from the region were assisted in developing their national IPv6 transition strategies; Sudan and Somalia have received assistance on spectrum utilization and spectrum re-farming. </w:t>
            </w:r>
          </w:p>
          <w:p w14:paraId="476C1233" w14:textId="77777777" w:rsidR="00B406B4" w:rsidRPr="0074089C" w:rsidRDefault="00B406B4" w:rsidP="00D86D9B">
            <w:pPr>
              <w:pStyle w:val="ListParagraph"/>
              <w:numPr>
                <w:ilvl w:val="0"/>
                <w:numId w:val="18"/>
              </w:numPr>
              <w:overflowPunct/>
              <w:autoSpaceDE/>
              <w:autoSpaceDN/>
              <w:adjustRightInd/>
              <w:spacing w:before="60" w:after="60"/>
              <w:contextualSpacing w:val="0"/>
              <w:textAlignment w:val="auto"/>
              <w:rPr>
                <w:rFonts w:cstheme="minorHAnsi"/>
                <w:sz w:val="22"/>
                <w:szCs w:val="22"/>
              </w:rPr>
            </w:pPr>
            <w:r w:rsidRPr="0074089C">
              <w:rPr>
                <w:rFonts w:cstheme="minorHAnsi"/>
                <w:sz w:val="22"/>
                <w:szCs w:val="22"/>
              </w:rPr>
              <w:t>The interactive transmission map for Arab States region was updated though efforts made in liaison with HQ to update the map for the Arab region.</w:t>
            </w:r>
          </w:p>
          <w:p w14:paraId="1803175B" w14:textId="77777777" w:rsidR="00B406B4" w:rsidRPr="0074089C" w:rsidRDefault="00B406B4" w:rsidP="00D86D9B">
            <w:pPr>
              <w:pStyle w:val="ListParagraph"/>
              <w:numPr>
                <w:ilvl w:val="0"/>
                <w:numId w:val="18"/>
              </w:numPr>
              <w:overflowPunct/>
              <w:autoSpaceDE/>
              <w:autoSpaceDN/>
              <w:adjustRightInd/>
              <w:spacing w:before="60" w:after="60"/>
              <w:contextualSpacing w:val="0"/>
              <w:textAlignment w:val="auto"/>
              <w:rPr>
                <w:rFonts w:cstheme="minorHAnsi"/>
                <w:sz w:val="22"/>
                <w:szCs w:val="22"/>
              </w:rPr>
            </w:pPr>
            <w:r w:rsidRPr="009C47CE">
              <w:rPr>
                <w:rFonts w:cstheme="minorHAnsi"/>
                <w:sz w:val="22"/>
                <w:szCs w:val="22"/>
              </w:rPr>
              <w:t>The Regional Office has also supported Giga activities in the region by exploring potential beneficiaries and mapping school connectivity in Palestine.</w:t>
            </w:r>
          </w:p>
          <w:p w14:paraId="28883ED0" w14:textId="77777777" w:rsidR="00B406B4" w:rsidRPr="009C47CE" w:rsidRDefault="00B406B4" w:rsidP="00D86D9B">
            <w:pPr>
              <w:tabs>
                <w:tab w:val="left" w:pos="1134"/>
                <w:tab w:val="left" w:pos="1871"/>
                <w:tab w:val="left" w:pos="2268"/>
              </w:tabs>
              <w:spacing w:before="60" w:after="60"/>
              <w:rPr>
                <w:rFonts w:cstheme="minorHAnsi"/>
                <w:i/>
                <w:iCs/>
                <w:sz w:val="22"/>
                <w:szCs w:val="22"/>
              </w:rPr>
            </w:pPr>
            <w:r w:rsidRPr="009C47CE">
              <w:rPr>
                <w:rFonts w:cstheme="minorHAnsi"/>
                <w:i/>
                <w:iCs/>
                <w:sz w:val="22"/>
                <w:szCs w:val="22"/>
              </w:rPr>
              <w:t>Asia-Pacific region</w:t>
            </w:r>
          </w:p>
          <w:p w14:paraId="2B94373E" w14:textId="77777777" w:rsidR="00B406B4" w:rsidRPr="0074089C" w:rsidRDefault="00B406B4" w:rsidP="00D86D9B">
            <w:pPr>
              <w:pStyle w:val="ListParagraph"/>
              <w:numPr>
                <w:ilvl w:val="0"/>
                <w:numId w:val="12"/>
              </w:numPr>
              <w:tabs>
                <w:tab w:val="clear" w:pos="1134"/>
                <w:tab w:val="clear" w:pos="1871"/>
                <w:tab w:val="clear" w:pos="2268"/>
              </w:tabs>
              <w:overflowPunct/>
              <w:autoSpaceDE/>
              <w:autoSpaceDN/>
              <w:adjustRightInd/>
              <w:spacing w:before="60" w:after="60"/>
              <w:contextualSpacing w:val="0"/>
              <w:textAlignment w:val="auto"/>
              <w:rPr>
                <w:rFonts w:cstheme="minorHAnsi"/>
                <w:sz w:val="22"/>
                <w:szCs w:val="22"/>
              </w:rPr>
            </w:pPr>
            <w:r w:rsidRPr="0074089C">
              <w:rPr>
                <w:rFonts w:cstheme="minorHAnsi"/>
                <w:sz w:val="22"/>
                <w:szCs w:val="22"/>
              </w:rPr>
              <w:t>In 2022, technical assistance was provided to LDCs and SIDS:</w:t>
            </w:r>
          </w:p>
          <w:p w14:paraId="70180150" w14:textId="78490E82" w:rsidR="00B406B4" w:rsidRPr="0074089C" w:rsidRDefault="00B406B4" w:rsidP="00D86D9B">
            <w:pPr>
              <w:pStyle w:val="ListParagraph"/>
              <w:numPr>
                <w:ilvl w:val="0"/>
                <w:numId w:val="30"/>
              </w:numPr>
              <w:spacing w:before="60" w:after="60"/>
              <w:ind w:left="1150"/>
              <w:contextualSpacing w:val="0"/>
              <w:rPr>
                <w:rFonts w:cstheme="minorHAnsi"/>
                <w:sz w:val="22"/>
                <w:szCs w:val="22"/>
              </w:rPr>
            </w:pPr>
            <w:r w:rsidRPr="0074089C">
              <w:rPr>
                <w:rFonts w:cstheme="minorHAnsi"/>
                <w:sz w:val="22"/>
                <w:szCs w:val="22"/>
              </w:rPr>
              <w:t xml:space="preserve">Lao PDR received assistance for the development of Conformance and Interoperability rules for Radio and Telecommunication Terminal Equipment (R&amp;TTE). </w:t>
            </w:r>
          </w:p>
          <w:p w14:paraId="63F75851" w14:textId="1888159C" w:rsidR="00B406B4" w:rsidRPr="0074089C" w:rsidRDefault="00B406B4" w:rsidP="00D86D9B">
            <w:pPr>
              <w:pStyle w:val="ListParagraph"/>
              <w:numPr>
                <w:ilvl w:val="0"/>
                <w:numId w:val="30"/>
              </w:numPr>
              <w:spacing w:before="60" w:after="60"/>
              <w:ind w:left="1150"/>
              <w:contextualSpacing w:val="0"/>
              <w:rPr>
                <w:rFonts w:cstheme="minorHAnsi"/>
                <w:sz w:val="22"/>
                <w:szCs w:val="22"/>
              </w:rPr>
            </w:pPr>
            <w:r w:rsidRPr="0074089C">
              <w:rPr>
                <w:rFonts w:cstheme="minorHAnsi"/>
                <w:sz w:val="22"/>
                <w:szCs w:val="22"/>
              </w:rPr>
              <w:t xml:space="preserve">Papua New Guinea was assisted in developing rules on Quality of Service and Experience. </w:t>
            </w:r>
          </w:p>
          <w:p w14:paraId="2303F7D1" w14:textId="3A734277" w:rsidR="00B406B4" w:rsidRPr="0074089C" w:rsidRDefault="00B406B4" w:rsidP="00D86D9B">
            <w:pPr>
              <w:pStyle w:val="ListParagraph"/>
              <w:numPr>
                <w:ilvl w:val="0"/>
                <w:numId w:val="30"/>
              </w:numPr>
              <w:spacing w:before="60" w:after="60"/>
              <w:ind w:left="1150"/>
              <w:contextualSpacing w:val="0"/>
              <w:rPr>
                <w:rFonts w:cstheme="minorHAnsi"/>
                <w:sz w:val="22"/>
                <w:szCs w:val="22"/>
              </w:rPr>
            </w:pPr>
            <w:r w:rsidRPr="0074089C">
              <w:rPr>
                <w:rFonts w:cstheme="minorHAnsi"/>
                <w:sz w:val="22"/>
                <w:szCs w:val="22"/>
              </w:rPr>
              <w:t xml:space="preserve">Technical assistance was provided to Cambodia on updating National Radio Frequency Spectrum Charging Regime. </w:t>
            </w:r>
          </w:p>
          <w:p w14:paraId="6A46BEFA" w14:textId="77777777" w:rsidR="00B406B4" w:rsidRPr="0074089C" w:rsidRDefault="00B406B4" w:rsidP="00D86D9B">
            <w:pPr>
              <w:pStyle w:val="ListParagraph"/>
              <w:numPr>
                <w:ilvl w:val="0"/>
                <w:numId w:val="12"/>
              </w:numPr>
              <w:tabs>
                <w:tab w:val="clear" w:pos="1134"/>
                <w:tab w:val="clear" w:pos="1871"/>
                <w:tab w:val="clear" w:pos="2268"/>
              </w:tabs>
              <w:overflowPunct/>
              <w:autoSpaceDE/>
              <w:autoSpaceDN/>
              <w:adjustRightInd/>
              <w:spacing w:before="60" w:after="60"/>
              <w:contextualSpacing w:val="0"/>
              <w:textAlignment w:val="auto"/>
              <w:rPr>
                <w:rFonts w:cstheme="minorHAnsi"/>
                <w:sz w:val="22"/>
                <w:szCs w:val="22"/>
              </w:rPr>
            </w:pPr>
            <w:r w:rsidRPr="0074089C">
              <w:rPr>
                <w:rFonts w:cstheme="minorHAnsi"/>
                <w:sz w:val="22"/>
                <w:szCs w:val="22"/>
              </w:rPr>
              <w:t xml:space="preserve">Under the umbrella of the regional Centres of Excellence network, the Regional Office continued the collaboration with the State Radio Monitoring </w:t>
            </w:r>
            <w:proofErr w:type="spellStart"/>
            <w:r w:rsidRPr="0074089C">
              <w:rPr>
                <w:rFonts w:cstheme="minorHAnsi"/>
                <w:sz w:val="22"/>
                <w:szCs w:val="22"/>
              </w:rPr>
              <w:t>Center</w:t>
            </w:r>
            <w:proofErr w:type="spellEnd"/>
            <w:r w:rsidRPr="0074089C">
              <w:rPr>
                <w:rFonts w:cstheme="minorHAnsi"/>
                <w:sz w:val="22"/>
                <w:szCs w:val="22"/>
              </w:rPr>
              <w:t xml:space="preserve"> (SRMC) of China and the University Technology Malaysia (UTM) to develop technical materials in the area of spectrum management, radio frequency monitoring and electromagnetic fields. </w:t>
            </w:r>
          </w:p>
          <w:p w14:paraId="3719638C" w14:textId="77777777" w:rsidR="00B406B4" w:rsidRPr="0074089C" w:rsidRDefault="00B406B4" w:rsidP="00D86D9B">
            <w:pPr>
              <w:pStyle w:val="ListParagraph"/>
              <w:numPr>
                <w:ilvl w:val="0"/>
                <w:numId w:val="12"/>
              </w:numPr>
              <w:tabs>
                <w:tab w:val="clear" w:pos="1134"/>
                <w:tab w:val="clear" w:pos="1871"/>
                <w:tab w:val="clear" w:pos="2268"/>
              </w:tabs>
              <w:overflowPunct/>
              <w:autoSpaceDE/>
              <w:autoSpaceDN/>
              <w:adjustRightInd/>
              <w:spacing w:before="60" w:after="60"/>
              <w:contextualSpacing w:val="0"/>
              <w:textAlignment w:val="auto"/>
              <w:rPr>
                <w:rFonts w:cstheme="minorHAnsi"/>
                <w:sz w:val="22"/>
                <w:szCs w:val="22"/>
              </w:rPr>
            </w:pPr>
            <w:r w:rsidRPr="0074089C">
              <w:rPr>
                <w:rFonts w:cstheme="minorHAnsi"/>
                <w:sz w:val="22"/>
                <w:szCs w:val="22"/>
              </w:rPr>
              <w:t xml:space="preserve">With support from DITRDCA- Australia, the Regional Office organized ITU Regional Radiocommunication Seminar 2022 for Asia and the Pacific (RRS-22-Asia-Pacific) in </w:t>
            </w:r>
            <w:proofErr w:type="spellStart"/>
            <w:r w:rsidRPr="0074089C">
              <w:rPr>
                <w:rFonts w:cstheme="minorHAnsi"/>
                <w:sz w:val="22"/>
                <w:szCs w:val="22"/>
              </w:rPr>
              <w:t>Nadi</w:t>
            </w:r>
            <w:proofErr w:type="spellEnd"/>
            <w:r w:rsidRPr="0074089C">
              <w:rPr>
                <w:rFonts w:cstheme="minorHAnsi"/>
                <w:sz w:val="22"/>
                <w:szCs w:val="22"/>
              </w:rPr>
              <w:t>, Fiji from 12-17 December 2022.</w:t>
            </w:r>
          </w:p>
          <w:p w14:paraId="640CCCD2" w14:textId="77777777" w:rsidR="00B406B4" w:rsidRPr="0074089C" w:rsidRDefault="00B406B4" w:rsidP="00D86D9B">
            <w:pPr>
              <w:spacing w:before="60" w:after="60"/>
              <w:rPr>
                <w:rFonts w:cstheme="minorHAnsi"/>
                <w:i/>
                <w:iCs/>
                <w:sz w:val="22"/>
                <w:szCs w:val="22"/>
              </w:rPr>
            </w:pPr>
            <w:r w:rsidRPr="0074089C">
              <w:rPr>
                <w:rFonts w:cstheme="minorHAnsi"/>
                <w:i/>
                <w:iCs/>
                <w:sz w:val="22"/>
                <w:szCs w:val="22"/>
              </w:rPr>
              <w:t>CIS region</w:t>
            </w:r>
          </w:p>
          <w:p w14:paraId="45F0D7C7" w14:textId="77777777" w:rsidR="00B406B4" w:rsidRPr="0074089C" w:rsidRDefault="00B406B4" w:rsidP="00D86D9B">
            <w:pPr>
              <w:pStyle w:val="ListParagraph"/>
              <w:numPr>
                <w:ilvl w:val="0"/>
                <w:numId w:val="16"/>
              </w:numPr>
              <w:overflowPunct/>
              <w:autoSpaceDE/>
              <w:autoSpaceDN/>
              <w:adjustRightInd/>
              <w:spacing w:before="60" w:after="60"/>
              <w:ind w:left="714" w:hanging="357"/>
              <w:contextualSpacing w:val="0"/>
              <w:textAlignment w:val="auto"/>
              <w:rPr>
                <w:rFonts w:cstheme="minorHAnsi"/>
                <w:sz w:val="22"/>
                <w:szCs w:val="22"/>
              </w:rPr>
            </w:pPr>
            <w:r w:rsidRPr="34F72856">
              <w:rPr>
                <w:rFonts w:cstheme="minorBidi"/>
                <w:sz w:val="22"/>
                <w:szCs w:val="22"/>
              </w:rPr>
              <w:t>As part of regionalization of the project and in cooperation between OJSC "</w:t>
            </w:r>
            <w:proofErr w:type="spellStart"/>
            <w:r w:rsidRPr="34F72856">
              <w:rPr>
                <w:rFonts w:cstheme="minorBidi"/>
                <w:sz w:val="22"/>
                <w:szCs w:val="22"/>
              </w:rPr>
              <w:t>Giprosvjaz</w:t>
            </w:r>
            <w:proofErr w:type="spellEnd"/>
            <w:r w:rsidRPr="34F72856">
              <w:rPr>
                <w:rFonts w:cstheme="minorBidi"/>
                <w:sz w:val="22"/>
                <w:szCs w:val="22"/>
              </w:rPr>
              <w:t xml:space="preserve">" (Belarus) and </w:t>
            </w:r>
            <w:proofErr w:type="spellStart"/>
            <w:r w:rsidRPr="34F72856">
              <w:rPr>
                <w:rFonts w:cstheme="minorBidi"/>
                <w:sz w:val="22"/>
                <w:szCs w:val="22"/>
              </w:rPr>
              <w:t>Bonch-Bruevich</w:t>
            </w:r>
            <w:proofErr w:type="spellEnd"/>
            <w:r w:rsidRPr="34F72856">
              <w:rPr>
                <w:rFonts w:cstheme="minorBidi"/>
                <w:sz w:val="22"/>
                <w:szCs w:val="22"/>
              </w:rPr>
              <w:t xml:space="preserve"> Saint Petersburg State University of Telecommunications, a statement of intent was signed for mutual support in the development of scientific-technical, human, innovation and production potential, facilitation of solutions to socio-economic problems, training and retention of specialists, and engagement through joint projects in digital development and the establishment of the digital economy.</w:t>
            </w:r>
          </w:p>
          <w:p w14:paraId="4392C123" w14:textId="77777777" w:rsidR="00B406B4" w:rsidRPr="0074089C" w:rsidRDefault="00B406B4" w:rsidP="00D86D9B">
            <w:pPr>
              <w:pStyle w:val="ListParagraph"/>
              <w:numPr>
                <w:ilvl w:val="0"/>
                <w:numId w:val="16"/>
              </w:numPr>
              <w:overflowPunct/>
              <w:autoSpaceDE/>
              <w:autoSpaceDN/>
              <w:adjustRightInd/>
              <w:spacing w:before="60" w:after="60"/>
              <w:ind w:left="714" w:hanging="357"/>
              <w:contextualSpacing w:val="0"/>
              <w:textAlignment w:val="auto"/>
              <w:rPr>
                <w:rFonts w:cstheme="minorHAnsi"/>
                <w:sz w:val="22"/>
                <w:szCs w:val="22"/>
              </w:rPr>
            </w:pPr>
            <w:r w:rsidRPr="34F72856">
              <w:rPr>
                <w:rFonts w:cstheme="minorBidi"/>
                <w:sz w:val="22"/>
                <w:szCs w:val="22"/>
              </w:rPr>
              <w:t>The Connect2Recover study of digital resilience in Kazakhstan assessed the practices for collection of ICT data at the national level advice was provided on measures to increase broadband access. Particular emphasis was placed on an analysis of government objectives and plans with regards to school connectivity.</w:t>
            </w:r>
          </w:p>
          <w:p w14:paraId="70083F5E" w14:textId="77777777" w:rsidR="00B406B4" w:rsidRPr="0074089C" w:rsidRDefault="00B406B4" w:rsidP="00D86D9B">
            <w:pPr>
              <w:pStyle w:val="ListParagraph"/>
              <w:numPr>
                <w:ilvl w:val="0"/>
                <w:numId w:val="16"/>
              </w:numPr>
              <w:overflowPunct/>
              <w:autoSpaceDE/>
              <w:autoSpaceDN/>
              <w:adjustRightInd/>
              <w:spacing w:before="60" w:after="60"/>
              <w:ind w:left="714" w:hanging="357"/>
              <w:contextualSpacing w:val="0"/>
              <w:textAlignment w:val="auto"/>
              <w:rPr>
                <w:rFonts w:cstheme="minorHAnsi"/>
                <w:sz w:val="22"/>
                <w:szCs w:val="22"/>
              </w:rPr>
            </w:pPr>
            <w:r w:rsidRPr="34F72856">
              <w:rPr>
                <w:rFonts w:cstheme="minorBidi"/>
                <w:sz w:val="22"/>
                <w:szCs w:val="22"/>
              </w:rPr>
              <w:t xml:space="preserve">The ITU Regional Office organized national training courses on the subject "Launch of networks of mobile communication of the next generation (IMT-2020/5G)" in Azerbaijan, Kazakhstan, Kyrgyzstan and Uzbekistan. A total of more than 290 specialists took part, representing administrations, regulators, communication operators and other ICT sector organizations. </w:t>
            </w:r>
          </w:p>
          <w:p w14:paraId="73549D5F" w14:textId="637734E8" w:rsidR="00B406B4" w:rsidRPr="0074089C" w:rsidRDefault="00B406B4" w:rsidP="00D86D9B">
            <w:pPr>
              <w:pStyle w:val="ListParagraph"/>
              <w:numPr>
                <w:ilvl w:val="0"/>
                <w:numId w:val="16"/>
              </w:numPr>
              <w:overflowPunct/>
              <w:autoSpaceDE/>
              <w:autoSpaceDN/>
              <w:adjustRightInd/>
              <w:spacing w:before="60" w:after="60"/>
              <w:ind w:left="714" w:hanging="357"/>
              <w:contextualSpacing w:val="0"/>
              <w:textAlignment w:val="auto"/>
              <w:rPr>
                <w:rFonts w:cstheme="minorBidi"/>
                <w:sz w:val="22"/>
                <w:szCs w:val="22"/>
              </w:rPr>
            </w:pPr>
            <w:r w:rsidRPr="34F72856">
              <w:rPr>
                <w:rStyle w:val="normaltextrun"/>
                <w:rFonts w:cstheme="minorBidi"/>
                <w:sz w:val="22"/>
                <w:szCs w:val="22"/>
              </w:rPr>
              <w:t xml:space="preserve">In May 2022, a dedicated event on </w:t>
            </w:r>
            <w:r w:rsidRPr="34F72856">
              <w:rPr>
                <w:rFonts w:cstheme="minorBidi"/>
                <w:sz w:val="22"/>
                <w:szCs w:val="22"/>
              </w:rPr>
              <w:t>broadband access in Kazakhstan provided representatives of the telecommunication sector knowledge on various software products created as part of the global and regional initiatives of the ITU to map broadband infrastructure and determine the most promising connection options.</w:t>
            </w:r>
          </w:p>
          <w:p w14:paraId="3C54D6AB" w14:textId="44D21B24" w:rsidR="00B406B4" w:rsidRPr="00ED237B" w:rsidRDefault="08DD5B41" w:rsidP="009C6393">
            <w:pPr>
              <w:keepNext/>
              <w:overflowPunct/>
              <w:autoSpaceDE/>
              <w:autoSpaceDN/>
              <w:adjustRightInd/>
              <w:spacing w:before="60" w:after="60"/>
              <w:ind w:left="714" w:hanging="357"/>
              <w:textAlignment w:val="auto"/>
              <w:rPr>
                <w:rFonts w:ascii="Calibri" w:hAnsi="Calibri"/>
                <w:i/>
                <w:iCs/>
                <w:szCs w:val="24"/>
              </w:rPr>
            </w:pPr>
            <w:r w:rsidRPr="00ED237B">
              <w:rPr>
                <w:rFonts w:ascii="Calibri" w:hAnsi="Calibri" w:cstheme="minorBidi"/>
                <w:i/>
                <w:iCs/>
                <w:sz w:val="22"/>
                <w:szCs w:val="22"/>
              </w:rPr>
              <w:t xml:space="preserve">Europe </w:t>
            </w:r>
            <w:r w:rsidR="00746E17">
              <w:rPr>
                <w:rFonts w:ascii="Calibri" w:hAnsi="Calibri" w:cstheme="minorBidi"/>
                <w:i/>
                <w:iCs/>
                <w:sz w:val="22"/>
                <w:szCs w:val="22"/>
              </w:rPr>
              <w:t>r</w:t>
            </w:r>
            <w:r w:rsidRPr="00ED237B">
              <w:rPr>
                <w:rFonts w:ascii="Calibri" w:hAnsi="Calibri" w:cstheme="minorBidi"/>
                <w:i/>
                <w:iCs/>
                <w:sz w:val="22"/>
                <w:szCs w:val="22"/>
              </w:rPr>
              <w:t xml:space="preserve">egion </w:t>
            </w:r>
          </w:p>
          <w:p w14:paraId="3EEFAF35" w14:textId="6CC58738" w:rsidR="3F964842" w:rsidRPr="0084690C" w:rsidRDefault="3F964842" w:rsidP="00D86D9B">
            <w:pPr>
              <w:pStyle w:val="ListParagraph"/>
              <w:numPr>
                <w:ilvl w:val="0"/>
                <w:numId w:val="16"/>
              </w:numPr>
              <w:spacing w:before="60" w:after="60"/>
              <w:ind w:left="714" w:hanging="357"/>
              <w:contextualSpacing w:val="0"/>
              <w:rPr>
                <w:rStyle w:val="normaltextrun"/>
                <w:rFonts w:cstheme="minorBidi"/>
                <w:sz w:val="22"/>
                <w:szCs w:val="22"/>
              </w:rPr>
            </w:pPr>
            <w:r w:rsidRPr="7889404D">
              <w:rPr>
                <w:rStyle w:val="normaltextrun"/>
                <w:rFonts w:cstheme="minorBidi"/>
                <w:sz w:val="22"/>
                <w:szCs w:val="22"/>
              </w:rPr>
              <w:lastRenderedPageBreak/>
              <w:t xml:space="preserve">ITU </w:t>
            </w:r>
            <w:r w:rsidRPr="0084690C">
              <w:rPr>
                <w:rStyle w:val="normaltextrun"/>
                <w:rFonts w:cstheme="minorBidi"/>
                <w:sz w:val="22"/>
                <w:szCs w:val="22"/>
              </w:rPr>
              <w:t xml:space="preserve">Office for Europe produced the </w:t>
            </w:r>
            <w:r w:rsidR="7A302F98" w:rsidRPr="0084690C">
              <w:rPr>
                <w:rStyle w:val="normaltextrun"/>
                <w:rFonts w:cstheme="minorBidi"/>
                <w:sz w:val="22"/>
                <w:szCs w:val="22"/>
              </w:rPr>
              <w:t>ITU Guidelines for establishing</w:t>
            </w:r>
            <w:r w:rsidR="00CF7F6C">
              <w:rPr>
                <w:rStyle w:val="normaltextrun"/>
                <w:rFonts w:cstheme="minorBidi"/>
                <w:sz w:val="22"/>
                <w:szCs w:val="22"/>
              </w:rPr>
              <w:t xml:space="preserve"> and </w:t>
            </w:r>
            <w:r w:rsidR="7A302F98" w:rsidRPr="0084690C">
              <w:rPr>
                <w:rStyle w:val="normaltextrun"/>
                <w:rFonts w:cstheme="minorBidi"/>
                <w:sz w:val="22"/>
                <w:szCs w:val="22"/>
              </w:rPr>
              <w:t>strengthening broadband mapping systems</w:t>
            </w:r>
            <w:r w:rsidR="00CF7F6C">
              <w:rPr>
                <w:rStyle w:val="normaltextrun"/>
                <w:rFonts w:cstheme="minorBidi"/>
                <w:sz w:val="22"/>
                <w:szCs w:val="22"/>
              </w:rPr>
              <w:t xml:space="preserve"> to </w:t>
            </w:r>
            <w:r w:rsidR="7A302F98" w:rsidRPr="0084690C">
              <w:rPr>
                <w:rStyle w:val="normaltextrun"/>
                <w:rFonts w:cstheme="minorBidi"/>
                <w:sz w:val="22"/>
                <w:szCs w:val="22"/>
              </w:rPr>
              <w:t>serv</w:t>
            </w:r>
            <w:r w:rsidR="00CF7F6C">
              <w:rPr>
                <w:rStyle w:val="normaltextrun"/>
                <w:rFonts w:cstheme="minorBidi"/>
                <w:sz w:val="22"/>
                <w:szCs w:val="22"/>
              </w:rPr>
              <w:t>e</w:t>
            </w:r>
            <w:r w:rsidR="7A302F98" w:rsidRPr="0084690C">
              <w:rPr>
                <w:rStyle w:val="normaltextrun"/>
                <w:rFonts w:cstheme="minorBidi"/>
                <w:sz w:val="22"/>
                <w:szCs w:val="22"/>
              </w:rPr>
              <w:t xml:space="preserve"> as a baseline tool for non-EU </w:t>
            </w:r>
            <w:r w:rsidR="00753514">
              <w:rPr>
                <w:rStyle w:val="normaltextrun"/>
                <w:rFonts w:cstheme="minorBidi"/>
                <w:sz w:val="22"/>
                <w:szCs w:val="22"/>
              </w:rPr>
              <w:t>ICT regulators</w:t>
            </w:r>
            <w:r w:rsidR="7A302F98" w:rsidRPr="0084690C">
              <w:rPr>
                <w:rStyle w:val="normaltextrun"/>
                <w:rFonts w:cstheme="minorBidi"/>
                <w:sz w:val="22"/>
                <w:szCs w:val="22"/>
              </w:rPr>
              <w:t xml:space="preserve"> and other </w:t>
            </w:r>
            <w:r w:rsidR="00753514">
              <w:rPr>
                <w:rStyle w:val="normaltextrun"/>
                <w:rFonts w:cstheme="minorBidi"/>
                <w:sz w:val="22"/>
                <w:szCs w:val="22"/>
              </w:rPr>
              <w:t xml:space="preserve">national </w:t>
            </w:r>
            <w:r w:rsidR="7A302F98" w:rsidRPr="0084690C">
              <w:rPr>
                <w:rStyle w:val="normaltextrun"/>
                <w:rFonts w:cstheme="minorBidi"/>
                <w:sz w:val="22"/>
                <w:szCs w:val="22"/>
              </w:rPr>
              <w:t>institutions in charge of broadband mapping systems</w:t>
            </w:r>
            <w:r w:rsidR="00753514">
              <w:rPr>
                <w:rStyle w:val="normaltextrun"/>
                <w:rFonts w:cstheme="minorBidi"/>
                <w:sz w:val="22"/>
                <w:szCs w:val="22"/>
              </w:rPr>
              <w:t xml:space="preserve"> </w:t>
            </w:r>
            <w:r w:rsidR="7A302F98" w:rsidRPr="0084690C">
              <w:rPr>
                <w:rStyle w:val="normaltextrun"/>
                <w:rFonts w:cstheme="minorBidi"/>
                <w:sz w:val="22"/>
                <w:szCs w:val="22"/>
              </w:rPr>
              <w:t>in the establishment or strengthening of broadband mapping tools. The guidelines address both pillars of strategic</w:t>
            </w:r>
            <w:r w:rsidR="008D61CF">
              <w:rPr>
                <w:rStyle w:val="normaltextrun"/>
                <w:rFonts w:cstheme="minorBidi"/>
                <w:sz w:val="22"/>
                <w:szCs w:val="22"/>
              </w:rPr>
              <w:t xml:space="preserve"> and </w:t>
            </w:r>
            <w:r w:rsidR="7A302F98" w:rsidRPr="0084690C">
              <w:rPr>
                <w:rStyle w:val="normaltextrun"/>
                <w:rFonts w:cstheme="minorBidi"/>
                <w:sz w:val="22"/>
                <w:szCs w:val="22"/>
              </w:rPr>
              <w:t>regulatory matters</w:t>
            </w:r>
            <w:r w:rsidR="008D61CF">
              <w:rPr>
                <w:rStyle w:val="normaltextrun"/>
                <w:rFonts w:cstheme="minorBidi"/>
                <w:sz w:val="22"/>
                <w:szCs w:val="22"/>
              </w:rPr>
              <w:t>,</w:t>
            </w:r>
            <w:r w:rsidR="7A302F98" w:rsidRPr="0084690C">
              <w:rPr>
                <w:rStyle w:val="normaltextrun"/>
                <w:rFonts w:cstheme="minorBidi"/>
                <w:sz w:val="22"/>
                <w:szCs w:val="22"/>
              </w:rPr>
              <w:t xml:space="preserve"> and project setup</w:t>
            </w:r>
            <w:r w:rsidR="008D61CF">
              <w:rPr>
                <w:rStyle w:val="normaltextrun"/>
                <w:rFonts w:cstheme="minorBidi"/>
                <w:sz w:val="22"/>
                <w:szCs w:val="22"/>
              </w:rPr>
              <w:t xml:space="preserve"> and </w:t>
            </w:r>
            <w:r w:rsidR="7A302F98" w:rsidRPr="0084690C">
              <w:rPr>
                <w:rStyle w:val="normaltextrun"/>
                <w:rFonts w:cstheme="minorBidi"/>
                <w:sz w:val="22"/>
                <w:szCs w:val="22"/>
              </w:rPr>
              <w:t xml:space="preserve">technical requirements. The Guidelines draw upon the experiences of various stakeholders, including </w:t>
            </w:r>
            <w:r w:rsidR="008D61CF">
              <w:rPr>
                <w:rStyle w:val="normaltextrun"/>
                <w:rFonts w:cstheme="minorBidi"/>
                <w:sz w:val="22"/>
                <w:szCs w:val="22"/>
              </w:rPr>
              <w:t xml:space="preserve">EU national regulators, </w:t>
            </w:r>
            <w:r w:rsidR="7A302F98" w:rsidRPr="0084690C">
              <w:rPr>
                <w:rStyle w:val="normaltextrun"/>
                <w:rFonts w:cstheme="minorBidi"/>
                <w:sz w:val="22"/>
                <w:szCs w:val="22"/>
              </w:rPr>
              <w:t>BEREC and the European Commission.</w:t>
            </w:r>
          </w:p>
          <w:p w14:paraId="6BF85136" w14:textId="366EA45D" w:rsidR="3F964842" w:rsidRPr="0084690C" w:rsidRDefault="3F964842" w:rsidP="00D86D9B">
            <w:pPr>
              <w:pStyle w:val="ListParagraph"/>
              <w:numPr>
                <w:ilvl w:val="0"/>
                <w:numId w:val="16"/>
              </w:numPr>
              <w:spacing w:before="60" w:after="60"/>
              <w:ind w:left="714" w:hanging="357"/>
              <w:contextualSpacing w:val="0"/>
              <w:rPr>
                <w:rStyle w:val="normaltextrun"/>
                <w:rFonts w:ascii="Calibri" w:hAnsi="Calibri" w:cstheme="minorBidi"/>
                <w:sz w:val="22"/>
                <w:szCs w:val="22"/>
              </w:rPr>
            </w:pPr>
            <w:r w:rsidRPr="0084690C">
              <w:rPr>
                <w:rStyle w:val="normaltextrun"/>
                <w:rFonts w:ascii="Calibri" w:hAnsi="Calibri" w:cstheme="minorBidi"/>
                <w:sz w:val="22"/>
                <w:szCs w:val="22"/>
              </w:rPr>
              <w:t xml:space="preserve">ITU Office for Europe </w:t>
            </w:r>
            <w:r w:rsidR="7B1C77BF" w:rsidRPr="0084690C">
              <w:rPr>
                <w:rStyle w:val="normaltextrun"/>
                <w:rFonts w:ascii="Calibri" w:hAnsi="Calibri" w:cstheme="minorBidi"/>
                <w:sz w:val="22"/>
                <w:szCs w:val="22"/>
              </w:rPr>
              <w:t>assisted Bosnia and Herzegovina</w:t>
            </w:r>
            <w:r w:rsidRPr="0084690C">
              <w:rPr>
                <w:rStyle w:val="normaltextrun"/>
                <w:rFonts w:ascii="Calibri" w:hAnsi="Calibri" w:cstheme="minorBidi"/>
                <w:sz w:val="22"/>
                <w:szCs w:val="22"/>
              </w:rPr>
              <w:t xml:space="preserve"> with </w:t>
            </w:r>
            <w:r w:rsidR="00FE0BE7">
              <w:rPr>
                <w:rStyle w:val="normaltextrun"/>
                <w:rFonts w:ascii="Calibri" w:hAnsi="Calibri" w:cstheme="minorBidi"/>
                <w:sz w:val="22"/>
                <w:szCs w:val="22"/>
              </w:rPr>
              <w:t xml:space="preserve">developing </w:t>
            </w:r>
            <w:r w:rsidRPr="0084690C">
              <w:rPr>
                <w:rStyle w:val="normaltextrun"/>
                <w:rFonts w:ascii="Calibri" w:hAnsi="Calibri" w:cstheme="minorBidi"/>
                <w:sz w:val="22"/>
                <w:szCs w:val="22"/>
              </w:rPr>
              <w:t xml:space="preserve">the technical specifications </w:t>
            </w:r>
            <w:r w:rsidR="00FE0BE7">
              <w:rPr>
                <w:rStyle w:val="normaltextrun"/>
                <w:rFonts w:ascii="Calibri" w:hAnsi="Calibri" w:cstheme="minorBidi"/>
                <w:sz w:val="22"/>
                <w:szCs w:val="22"/>
              </w:rPr>
              <w:t>for the</w:t>
            </w:r>
            <w:r w:rsidRPr="0084690C">
              <w:rPr>
                <w:rStyle w:val="normaltextrun"/>
                <w:rFonts w:ascii="Calibri" w:hAnsi="Calibri" w:cstheme="minorBidi"/>
                <w:sz w:val="22"/>
                <w:szCs w:val="22"/>
              </w:rPr>
              <w:t xml:space="preserve"> establish</w:t>
            </w:r>
            <w:r w:rsidR="00FE0BE7">
              <w:rPr>
                <w:rStyle w:val="normaltextrun"/>
                <w:rFonts w:ascii="Calibri" w:hAnsi="Calibri" w:cstheme="minorBidi"/>
                <w:sz w:val="22"/>
                <w:szCs w:val="22"/>
              </w:rPr>
              <w:t>ment of national</w:t>
            </w:r>
            <w:r w:rsidRPr="0084690C">
              <w:rPr>
                <w:rStyle w:val="normaltextrun"/>
                <w:rFonts w:ascii="Calibri" w:hAnsi="Calibri" w:cstheme="minorBidi"/>
                <w:sz w:val="22"/>
                <w:szCs w:val="22"/>
              </w:rPr>
              <w:t xml:space="preserve"> broadband mapping systems</w:t>
            </w:r>
            <w:r w:rsidR="525F6C7D" w:rsidRPr="0084690C">
              <w:rPr>
                <w:rStyle w:val="normaltextrun"/>
                <w:rFonts w:ascii="Calibri" w:hAnsi="Calibri" w:cstheme="minorBidi"/>
                <w:sz w:val="22"/>
                <w:szCs w:val="22"/>
              </w:rPr>
              <w:t xml:space="preserve">. </w:t>
            </w:r>
          </w:p>
          <w:p w14:paraId="0773E952" w14:textId="30D94904" w:rsidR="00B406B4" w:rsidRPr="00C65690" w:rsidRDefault="71F09ED4" w:rsidP="00D86D9B">
            <w:pPr>
              <w:pStyle w:val="ListParagraph"/>
              <w:numPr>
                <w:ilvl w:val="0"/>
                <w:numId w:val="16"/>
              </w:numPr>
              <w:spacing w:before="60" w:after="60"/>
              <w:ind w:left="714" w:hanging="357"/>
              <w:contextualSpacing w:val="0"/>
              <w:rPr>
                <w:rFonts w:ascii="Calibri" w:hAnsi="Calibri"/>
                <w:szCs w:val="24"/>
              </w:rPr>
            </w:pPr>
            <w:r w:rsidRPr="0084690C">
              <w:rPr>
                <w:rStyle w:val="normaltextrun"/>
                <w:rFonts w:cstheme="minorBidi"/>
                <w:sz w:val="22"/>
                <w:szCs w:val="22"/>
              </w:rPr>
              <w:t>Started</w:t>
            </w:r>
            <w:r w:rsidR="525F6C7D" w:rsidRPr="0084690C">
              <w:rPr>
                <w:rStyle w:val="normaltextrun"/>
                <w:rFonts w:cstheme="minorBidi"/>
                <w:sz w:val="22"/>
                <w:szCs w:val="22"/>
              </w:rPr>
              <w:t xml:space="preserve"> </w:t>
            </w:r>
            <w:r w:rsidRPr="0084690C">
              <w:rPr>
                <w:rStyle w:val="normaltextrun"/>
                <w:rFonts w:cstheme="minorBidi"/>
                <w:sz w:val="22"/>
                <w:szCs w:val="22"/>
              </w:rPr>
              <w:t>in</w:t>
            </w:r>
            <w:r w:rsidR="525F6C7D" w:rsidRPr="0084690C">
              <w:rPr>
                <w:rStyle w:val="normaltextrun"/>
                <w:rFonts w:cstheme="minorBidi"/>
                <w:sz w:val="22"/>
                <w:szCs w:val="22"/>
              </w:rPr>
              <w:t xml:space="preserve"> 2022</w:t>
            </w:r>
            <w:r w:rsidR="548D9583" w:rsidRPr="0084690C">
              <w:rPr>
                <w:rStyle w:val="normaltextrun"/>
                <w:rFonts w:cstheme="minorBidi"/>
                <w:sz w:val="22"/>
                <w:szCs w:val="22"/>
              </w:rPr>
              <w:t xml:space="preserve"> and completed in early 2023</w:t>
            </w:r>
            <w:r w:rsidR="525F6C7D" w:rsidRPr="0084690C">
              <w:rPr>
                <w:rStyle w:val="normaltextrun"/>
                <w:rFonts w:cstheme="minorBidi"/>
                <w:sz w:val="22"/>
                <w:szCs w:val="22"/>
              </w:rPr>
              <w:t xml:space="preserve">, ITU Office for Europe </w:t>
            </w:r>
            <w:r w:rsidR="1B1A8F84" w:rsidRPr="0084690C">
              <w:rPr>
                <w:rStyle w:val="normaltextrun"/>
                <w:rFonts w:cstheme="minorBidi"/>
                <w:sz w:val="22"/>
                <w:szCs w:val="22"/>
              </w:rPr>
              <w:t xml:space="preserve">assisted </w:t>
            </w:r>
            <w:r w:rsidR="10F6D1EB" w:rsidRPr="0084690C">
              <w:rPr>
                <w:rStyle w:val="normaltextrun"/>
                <w:rFonts w:cstheme="minorBidi"/>
                <w:sz w:val="22"/>
                <w:szCs w:val="22"/>
              </w:rPr>
              <w:t xml:space="preserve">Republic of </w:t>
            </w:r>
            <w:r w:rsidR="1B1A8F84" w:rsidRPr="0084690C">
              <w:rPr>
                <w:rStyle w:val="normaltextrun"/>
                <w:rFonts w:cstheme="minorBidi"/>
                <w:sz w:val="22"/>
                <w:szCs w:val="22"/>
              </w:rPr>
              <w:t xml:space="preserve">Moldova </w:t>
            </w:r>
            <w:r w:rsidR="1236EA07" w:rsidRPr="0084690C">
              <w:rPr>
                <w:rStyle w:val="normaltextrun"/>
                <w:rFonts w:cstheme="minorBidi"/>
                <w:sz w:val="22"/>
                <w:szCs w:val="22"/>
              </w:rPr>
              <w:t>and</w:t>
            </w:r>
            <w:r w:rsidR="1CEEA002" w:rsidRPr="0084690C">
              <w:rPr>
                <w:rStyle w:val="normaltextrun"/>
                <w:rFonts w:cstheme="minorBidi"/>
                <w:sz w:val="22"/>
                <w:szCs w:val="22"/>
              </w:rPr>
              <w:t xml:space="preserve"> produced the </w:t>
            </w:r>
            <w:r w:rsidR="493C2974" w:rsidRPr="0084690C">
              <w:rPr>
                <w:rStyle w:val="normaltextrun"/>
                <w:rFonts w:cstheme="minorBidi"/>
                <w:sz w:val="22"/>
                <w:szCs w:val="22"/>
              </w:rPr>
              <w:t>t</w:t>
            </w:r>
            <w:r w:rsidR="525F6C7D" w:rsidRPr="0084690C">
              <w:rPr>
                <w:rStyle w:val="normaltextrun"/>
                <w:rFonts w:cstheme="minorBidi"/>
                <w:sz w:val="22"/>
                <w:szCs w:val="22"/>
              </w:rPr>
              <w:t xml:space="preserve">echnical </w:t>
            </w:r>
            <w:r w:rsidR="794976AE" w:rsidRPr="0084690C">
              <w:rPr>
                <w:rStyle w:val="normaltextrun"/>
                <w:rFonts w:cstheme="minorBidi"/>
                <w:sz w:val="22"/>
                <w:szCs w:val="22"/>
              </w:rPr>
              <w:t>s</w:t>
            </w:r>
            <w:r w:rsidR="525F6C7D" w:rsidRPr="0084690C">
              <w:rPr>
                <w:rStyle w:val="normaltextrun"/>
                <w:rFonts w:cstheme="minorBidi"/>
                <w:sz w:val="22"/>
                <w:szCs w:val="22"/>
              </w:rPr>
              <w:t xml:space="preserve">pecifications to </w:t>
            </w:r>
            <w:r w:rsidR="6FEF8212" w:rsidRPr="0084690C">
              <w:rPr>
                <w:rStyle w:val="normaltextrun"/>
                <w:rFonts w:cstheme="minorBidi"/>
                <w:sz w:val="22"/>
                <w:szCs w:val="22"/>
              </w:rPr>
              <w:t>e</w:t>
            </w:r>
            <w:r w:rsidR="525F6C7D" w:rsidRPr="0084690C">
              <w:rPr>
                <w:rStyle w:val="normaltextrun"/>
                <w:rFonts w:cstheme="minorBidi"/>
                <w:sz w:val="22"/>
                <w:szCs w:val="22"/>
              </w:rPr>
              <w:t xml:space="preserve">stablish a </w:t>
            </w:r>
            <w:r w:rsidR="00FE0BE7">
              <w:rPr>
                <w:rStyle w:val="normaltextrun"/>
                <w:rFonts w:cstheme="minorBidi"/>
                <w:sz w:val="22"/>
                <w:szCs w:val="22"/>
              </w:rPr>
              <w:t>b</w:t>
            </w:r>
            <w:r w:rsidR="525F6C7D" w:rsidRPr="0084690C">
              <w:rPr>
                <w:rStyle w:val="normaltextrun"/>
                <w:rFonts w:cstheme="minorBidi"/>
                <w:sz w:val="22"/>
                <w:szCs w:val="22"/>
              </w:rPr>
              <w:t xml:space="preserve">roadband </w:t>
            </w:r>
            <w:r w:rsidR="00FE0BE7">
              <w:rPr>
                <w:rStyle w:val="normaltextrun"/>
                <w:rFonts w:cstheme="minorBidi"/>
                <w:sz w:val="22"/>
                <w:szCs w:val="22"/>
              </w:rPr>
              <w:t>m</w:t>
            </w:r>
            <w:r w:rsidR="525F6C7D" w:rsidRPr="0084690C">
              <w:rPr>
                <w:rStyle w:val="normaltextrun"/>
                <w:rFonts w:cstheme="minorBidi"/>
                <w:sz w:val="22"/>
                <w:szCs w:val="22"/>
              </w:rPr>
              <w:t xml:space="preserve">apping </w:t>
            </w:r>
            <w:r w:rsidR="00FE0BE7">
              <w:rPr>
                <w:rStyle w:val="normaltextrun"/>
                <w:rFonts w:cstheme="minorBidi"/>
                <w:sz w:val="22"/>
                <w:szCs w:val="22"/>
              </w:rPr>
              <w:t>s</w:t>
            </w:r>
            <w:r w:rsidR="525F6C7D" w:rsidRPr="0084690C">
              <w:rPr>
                <w:rStyle w:val="normaltextrun"/>
                <w:rFonts w:cstheme="minorBidi"/>
                <w:sz w:val="22"/>
                <w:szCs w:val="22"/>
              </w:rPr>
              <w:t xml:space="preserve">ystem while ensuring interoperability with the </w:t>
            </w:r>
            <w:r w:rsidR="000D691A">
              <w:rPr>
                <w:rStyle w:val="normaltextrun"/>
                <w:rFonts w:cstheme="minorBidi"/>
                <w:sz w:val="22"/>
                <w:szCs w:val="22"/>
              </w:rPr>
              <w:t>r</w:t>
            </w:r>
            <w:r w:rsidR="56B7BC72" w:rsidRPr="0084690C">
              <w:rPr>
                <w:rStyle w:val="normaltextrun"/>
                <w:rFonts w:cstheme="minorBidi"/>
                <w:sz w:val="22"/>
                <w:szCs w:val="22"/>
              </w:rPr>
              <w:t xml:space="preserve">egister of </w:t>
            </w:r>
            <w:r w:rsidR="00FE0BE7">
              <w:rPr>
                <w:rStyle w:val="normaltextrun"/>
                <w:rFonts w:cstheme="minorBidi"/>
                <w:sz w:val="22"/>
                <w:szCs w:val="22"/>
              </w:rPr>
              <w:t>p</w:t>
            </w:r>
            <w:r w:rsidR="56B7BC72" w:rsidRPr="0084690C">
              <w:rPr>
                <w:rStyle w:val="normaltextrun"/>
                <w:rFonts w:cstheme="minorBidi"/>
                <w:sz w:val="22"/>
                <w:szCs w:val="22"/>
              </w:rPr>
              <w:t xml:space="preserve">hysical </w:t>
            </w:r>
            <w:r w:rsidR="00FE0BE7">
              <w:rPr>
                <w:rStyle w:val="normaltextrun"/>
                <w:rFonts w:cstheme="minorBidi"/>
                <w:sz w:val="22"/>
                <w:szCs w:val="22"/>
              </w:rPr>
              <w:t>i</w:t>
            </w:r>
            <w:r w:rsidR="56B7BC72" w:rsidRPr="0084690C">
              <w:rPr>
                <w:rStyle w:val="normaltextrun"/>
                <w:rFonts w:cstheme="minorBidi"/>
                <w:sz w:val="22"/>
                <w:szCs w:val="22"/>
              </w:rPr>
              <w:t>nfrastructure.</w:t>
            </w:r>
            <w:r w:rsidR="525F6C7D" w:rsidRPr="0084690C">
              <w:rPr>
                <w:rStyle w:val="normaltextrun"/>
                <w:rFonts w:cstheme="minorBidi"/>
                <w:sz w:val="22"/>
                <w:szCs w:val="22"/>
              </w:rPr>
              <w:t xml:space="preserve"> The </w:t>
            </w:r>
            <w:r w:rsidR="000D691A">
              <w:rPr>
                <w:rStyle w:val="normaltextrun"/>
                <w:rFonts w:cstheme="minorBidi"/>
                <w:sz w:val="22"/>
                <w:szCs w:val="22"/>
              </w:rPr>
              <w:t>t</w:t>
            </w:r>
            <w:r w:rsidR="525F6C7D" w:rsidRPr="0084690C">
              <w:rPr>
                <w:rStyle w:val="normaltextrun"/>
                <w:rFonts w:cstheme="minorBidi"/>
                <w:sz w:val="22"/>
                <w:szCs w:val="22"/>
              </w:rPr>
              <w:t xml:space="preserve">echnical </w:t>
            </w:r>
            <w:r w:rsidR="000D691A">
              <w:rPr>
                <w:rStyle w:val="normaltextrun"/>
                <w:rFonts w:cstheme="minorBidi"/>
                <w:sz w:val="22"/>
                <w:szCs w:val="22"/>
              </w:rPr>
              <w:t>s</w:t>
            </w:r>
            <w:r w:rsidR="525F6C7D" w:rsidRPr="0084690C">
              <w:rPr>
                <w:rStyle w:val="normaltextrun"/>
                <w:rFonts w:cstheme="minorBidi"/>
                <w:sz w:val="22"/>
                <w:szCs w:val="22"/>
              </w:rPr>
              <w:t xml:space="preserve">pecifications focus on </w:t>
            </w:r>
            <w:r w:rsidR="000236BE">
              <w:rPr>
                <w:rStyle w:val="normaltextrun"/>
                <w:rFonts w:cstheme="minorBidi"/>
                <w:sz w:val="22"/>
                <w:szCs w:val="22"/>
              </w:rPr>
              <w:t xml:space="preserve">the </w:t>
            </w:r>
            <w:r w:rsidR="525F6C7D" w:rsidRPr="0084690C">
              <w:rPr>
                <w:rStyle w:val="normaltextrun"/>
                <w:rFonts w:cstheme="minorBidi"/>
                <w:sz w:val="22"/>
                <w:szCs w:val="22"/>
              </w:rPr>
              <w:t>project's organizational aspects and human capacity requirements</w:t>
            </w:r>
            <w:r w:rsidR="000236BE">
              <w:rPr>
                <w:rStyle w:val="normaltextrun"/>
                <w:rFonts w:cstheme="minorBidi"/>
                <w:sz w:val="22"/>
                <w:szCs w:val="22"/>
              </w:rPr>
              <w:t xml:space="preserve"> while </w:t>
            </w:r>
            <w:r w:rsidR="525F6C7D" w:rsidRPr="0084690C">
              <w:rPr>
                <w:rStyle w:val="normaltextrun"/>
                <w:rFonts w:cstheme="minorBidi"/>
                <w:sz w:val="22"/>
                <w:szCs w:val="22"/>
              </w:rPr>
              <w:t>defin</w:t>
            </w:r>
            <w:r w:rsidR="000236BE">
              <w:rPr>
                <w:rStyle w:val="normaltextrun"/>
                <w:rFonts w:cstheme="minorBidi"/>
                <w:sz w:val="22"/>
                <w:szCs w:val="22"/>
              </w:rPr>
              <w:t>ing</w:t>
            </w:r>
            <w:r w:rsidR="525F6C7D" w:rsidRPr="0084690C">
              <w:rPr>
                <w:rStyle w:val="normaltextrun"/>
                <w:rFonts w:cstheme="minorBidi"/>
                <w:sz w:val="22"/>
                <w:szCs w:val="22"/>
              </w:rPr>
              <w:t xml:space="preserve"> the system concept, functionalities and technical requirements.</w:t>
            </w:r>
          </w:p>
        </w:tc>
      </w:tr>
    </w:tbl>
    <w:p w14:paraId="7FE8C8DA" w14:textId="6D8EE726" w:rsidR="00B406B4" w:rsidRPr="00D86D9B" w:rsidRDefault="00B406B4" w:rsidP="00D86D9B">
      <w:pPr>
        <w:pStyle w:val="Heading1"/>
        <w:numPr>
          <w:ilvl w:val="0"/>
          <w:numId w:val="22"/>
        </w:numPr>
        <w:spacing w:before="120" w:after="120"/>
        <w:ind w:left="357" w:hanging="357"/>
        <w:rPr>
          <w:sz w:val="24"/>
          <w:szCs w:val="24"/>
          <w:lang w:val="en-US"/>
        </w:rPr>
      </w:pPr>
      <w:bookmarkStart w:id="15" w:name="_Hlk133823766"/>
      <w:r w:rsidRPr="00D86D9B">
        <w:rPr>
          <w:sz w:val="24"/>
          <w:szCs w:val="24"/>
          <w:lang w:val="en-US"/>
        </w:rPr>
        <w:lastRenderedPageBreak/>
        <w:tab/>
        <w:t>Policy and regulation: Supporting collaborative policy and regulatory frameworks for digital market development and user well-being</w:t>
      </w:r>
    </w:p>
    <w:p w14:paraId="206E5E7D" w14:textId="77777777" w:rsidR="00B406B4" w:rsidRPr="00D86D9B" w:rsidRDefault="00B406B4" w:rsidP="00D86D9B">
      <w:pPr>
        <w:pStyle w:val="Heading3"/>
        <w:spacing w:before="120" w:after="120"/>
        <w:rPr>
          <w:szCs w:val="24"/>
          <w:lang w:val="en-US"/>
        </w:rPr>
      </w:pPr>
      <w:r w:rsidRPr="00D86D9B">
        <w:rPr>
          <w:szCs w:val="24"/>
          <w:lang w:val="en-US"/>
        </w:rPr>
        <w:t>Digital policy and regulation</w:t>
      </w:r>
    </w:p>
    <w:p w14:paraId="452BAEA9" w14:textId="77777777" w:rsidR="00B406B4" w:rsidRPr="00D86D9B" w:rsidRDefault="00B406B4" w:rsidP="00D86D9B">
      <w:pPr>
        <w:spacing w:after="120"/>
        <w:rPr>
          <w:rFonts w:cstheme="minorHAnsi"/>
          <w:szCs w:val="24"/>
        </w:rPr>
      </w:pPr>
      <w:r w:rsidRPr="00D86D9B">
        <w:rPr>
          <w:rFonts w:cstheme="minorHAnsi"/>
          <w:szCs w:val="24"/>
        </w:rPr>
        <w:t xml:space="preserve">The ITU/World Bank </w:t>
      </w:r>
      <w:hyperlink r:id="rId89" w:history="1">
        <w:r w:rsidRPr="00D86D9B">
          <w:rPr>
            <w:rStyle w:val="Hyperlink"/>
            <w:rFonts w:cstheme="minorHAnsi"/>
            <w:color w:val="auto"/>
            <w:szCs w:val="24"/>
          </w:rPr>
          <w:t>Digital regulation platform</w:t>
        </w:r>
      </w:hyperlink>
      <w:r w:rsidRPr="00D86D9B">
        <w:rPr>
          <w:rFonts w:cstheme="minorHAnsi"/>
          <w:szCs w:val="24"/>
        </w:rPr>
        <w:t xml:space="preserve"> provides practical guidance and best practice for policymakers and regulators across the globe concerned with harnessing the benefits of the digital economy and society for their citizens and firms. New articles are posted on the platform on a regular basis. The latest articles focus on the infrastructure sharing imperative, towards gigabit networks – a few considerations from the United Kingdom (a case study), and the emerging technologies (AI) challenges and principles of regulation.</w:t>
      </w:r>
    </w:p>
    <w:p w14:paraId="37D86DA6" w14:textId="77777777" w:rsidR="00B406B4" w:rsidRPr="00D86D9B" w:rsidRDefault="00B406B4" w:rsidP="00D86D9B">
      <w:pPr>
        <w:spacing w:after="120"/>
        <w:rPr>
          <w:rFonts w:cstheme="minorHAnsi"/>
          <w:szCs w:val="24"/>
        </w:rPr>
      </w:pPr>
      <w:r w:rsidRPr="00D86D9B">
        <w:rPr>
          <w:rFonts w:cstheme="minorHAnsi"/>
          <w:szCs w:val="24"/>
        </w:rPr>
        <w:t xml:space="preserve">Primarily based on the ITU/World Bank Digital Regulation Platform, a </w:t>
      </w:r>
      <w:r w:rsidRPr="00D86D9B">
        <w:rPr>
          <w:rFonts w:cstheme="minorHAnsi"/>
          <w:i/>
          <w:iCs/>
          <w:szCs w:val="24"/>
        </w:rPr>
        <w:t>Global Digital Regulation Online Training</w:t>
      </w:r>
      <w:r w:rsidRPr="00D86D9B">
        <w:rPr>
          <w:rFonts w:cstheme="minorHAnsi"/>
          <w:szCs w:val="24"/>
        </w:rPr>
        <w:t xml:space="preserve"> was carried out in September 2022. The training included 13 sessions focusing on topical regulatory aspects. 212 participants registered and 102 received a certificate. The training was developed as part of the collaboration between Saudi Arabia and the International Telecommunication Union (ITU) on assistance in telecommunication/ICTs to ITU Member States.</w:t>
      </w:r>
    </w:p>
    <w:p w14:paraId="04F3547F" w14:textId="77777777" w:rsidR="00B406B4" w:rsidRPr="00D86D9B" w:rsidRDefault="00B406B4" w:rsidP="00D86D9B">
      <w:pPr>
        <w:spacing w:after="120"/>
        <w:rPr>
          <w:rFonts w:cstheme="minorHAnsi"/>
          <w:szCs w:val="24"/>
        </w:rPr>
      </w:pPr>
      <w:r w:rsidRPr="00D86D9B">
        <w:rPr>
          <w:rFonts w:cstheme="minorHAnsi"/>
          <w:szCs w:val="24"/>
        </w:rPr>
        <w:t xml:space="preserve">The </w:t>
      </w:r>
      <w:hyperlink r:id="rId90" w:history="1">
        <w:r w:rsidRPr="00D86D9B">
          <w:rPr>
            <w:rStyle w:val="Hyperlink"/>
            <w:rFonts w:cstheme="minorHAnsi"/>
            <w:color w:val="auto"/>
            <w:szCs w:val="24"/>
          </w:rPr>
          <w:t>G5 accelerator</w:t>
        </w:r>
      </w:hyperlink>
      <w:r w:rsidRPr="00D86D9B">
        <w:rPr>
          <w:rFonts w:cstheme="minorHAnsi"/>
          <w:szCs w:val="24"/>
        </w:rPr>
        <w:t xml:space="preserve"> provides practical step-by-step support for countries already embarked or planning to embark on their digital transformation journey. The interactive platform provides analytical tools based on the </w:t>
      </w:r>
      <w:hyperlink r:id="rId91" w:history="1">
        <w:r w:rsidRPr="00D86D9B">
          <w:rPr>
            <w:rStyle w:val="Hyperlink"/>
            <w:rFonts w:cstheme="minorHAnsi"/>
            <w:color w:val="auto"/>
            <w:szCs w:val="24"/>
          </w:rPr>
          <w:t>ICT Regulatory Tracker</w:t>
        </w:r>
      </w:hyperlink>
      <w:r w:rsidRPr="00D86D9B">
        <w:rPr>
          <w:rFonts w:cstheme="minorHAnsi"/>
          <w:szCs w:val="24"/>
        </w:rPr>
        <w:t xml:space="preserve"> and the </w:t>
      </w:r>
      <w:hyperlink r:id="rId92" w:history="1">
        <w:r w:rsidRPr="00D86D9B">
          <w:rPr>
            <w:rStyle w:val="Hyperlink"/>
            <w:rFonts w:cstheme="minorHAnsi"/>
            <w:color w:val="auto"/>
            <w:szCs w:val="24"/>
          </w:rPr>
          <w:t>G5 Benchmark</w:t>
        </w:r>
      </w:hyperlink>
      <w:r w:rsidRPr="00D86D9B">
        <w:rPr>
          <w:rFonts w:cstheme="minorHAnsi"/>
          <w:szCs w:val="24"/>
        </w:rPr>
        <w:t xml:space="preserve"> allowing national decision makers, development agencies and the private sector to explore the policy and regulatory environment for the digital transformation by comparing data across 193 countries and economies, 120 individual indicators over 15+ years. The </w:t>
      </w:r>
      <w:hyperlink r:id="rId93" w:history="1">
        <w:r w:rsidRPr="00D86D9B">
          <w:rPr>
            <w:rStyle w:val="Hyperlink"/>
            <w:rFonts w:cstheme="minorHAnsi"/>
            <w:color w:val="auto"/>
            <w:szCs w:val="24"/>
          </w:rPr>
          <w:t>2022 edition of the ICT Regulatory Tracker</w:t>
        </w:r>
      </w:hyperlink>
      <w:r w:rsidRPr="00D86D9B">
        <w:rPr>
          <w:rFonts w:cstheme="minorHAnsi"/>
          <w:szCs w:val="24"/>
        </w:rPr>
        <w:t xml:space="preserve"> was released in October 2022. </w:t>
      </w:r>
    </w:p>
    <w:p w14:paraId="05FD41CA" w14:textId="0BA94F62" w:rsidR="00B406B4" w:rsidRPr="00D86D9B" w:rsidRDefault="00B406B4" w:rsidP="00D86D9B">
      <w:pPr>
        <w:spacing w:after="120"/>
        <w:rPr>
          <w:rFonts w:cstheme="minorHAnsi"/>
          <w:szCs w:val="24"/>
        </w:rPr>
      </w:pPr>
      <w:r w:rsidRPr="00D86D9B">
        <w:rPr>
          <w:rFonts w:cstheme="minorHAnsi"/>
          <w:szCs w:val="24"/>
        </w:rPr>
        <w:t xml:space="preserve">The </w:t>
      </w:r>
      <w:hyperlink r:id="rId94" w:history="1">
        <w:r w:rsidRPr="00D86D9B">
          <w:rPr>
            <w:rStyle w:val="Hyperlink"/>
            <w:rFonts w:cstheme="minorHAnsi"/>
            <w:color w:val="auto"/>
            <w:szCs w:val="24"/>
          </w:rPr>
          <w:t>library of country reviews</w:t>
        </w:r>
      </w:hyperlink>
      <w:r w:rsidRPr="00D86D9B">
        <w:rPr>
          <w:rFonts w:cstheme="minorHAnsi"/>
          <w:szCs w:val="24"/>
        </w:rPr>
        <w:t xml:space="preserve"> articulate the benefits of Fifth-generation collaborative digital regulation, G5, at country level, and anchor these benefits in experience and evidence. Each of the collaborative regulation country reviews offers a high-value, authoritative analysis of the country regulatory landscape and a clear-eyed view of the path ahead towards G5 regulation. In 2022, new country reviews were developed in close collaboration with the regulatory authorities in </w:t>
      </w:r>
      <w:hyperlink r:id="rId95" w:history="1">
        <w:r w:rsidRPr="00D86D9B">
          <w:rPr>
            <w:rStyle w:val="Hyperlink"/>
            <w:rFonts w:cstheme="minorHAnsi"/>
            <w:color w:val="auto"/>
            <w:szCs w:val="24"/>
          </w:rPr>
          <w:t>Saudi Arabia</w:t>
        </w:r>
      </w:hyperlink>
      <w:r w:rsidRPr="00D86D9B">
        <w:rPr>
          <w:rFonts w:cstheme="minorHAnsi"/>
          <w:szCs w:val="24"/>
        </w:rPr>
        <w:t xml:space="preserve">, </w:t>
      </w:r>
      <w:hyperlink r:id="rId96" w:history="1">
        <w:r w:rsidRPr="00D86D9B">
          <w:rPr>
            <w:rStyle w:val="Hyperlink"/>
            <w:rFonts w:cstheme="minorHAnsi"/>
            <w:color w:val="auto"/>
            <w:szCs w:val="24"/>
          </w:rPr>
          <w:t>Mexico</w:t>
        </w:r>
      </w:hyperlink>
      <w:r w:rsidRPr="00D86D9B">
        <w:rPr>
          <w:rFonts w:cstheme="minorHAnsi"/>
          <w:szCs w:val="24"/>
        </w:rPr>
        <w:t>, Kenya, Colombia and Brazil.</w:t>
      </w:r>
      <w:r w:rsidR="005E75F3">
        <w:rPr>
          <w:rFonts w:cstheme="minorHAnsi"/>
          <w:szCs w:val="24"/>
        </w:rPr>
        <w:t xml:space="preserve"> </w:t>
      </w:r>
    </w:p>
    <w:p w14:paraId="5FD197F4" w14:textId="77777777" w:rsidR="00B406B4" w:rsidRPr="00D86D9B" w:rsidRDefault="00B406B4" w:rsidP="00D86D9B">
      <w:pPr>
        <w:pStyle w:val="Heading3"/>
        <w:spacing w:before="120" w:after="120"/>
        <w:rPr>
          <w:szCs w:val="24"/>
          <w:lang w:val="en-US"/>
        </w:rPr>
      </w:pPr>
      <w:r w:rsidRPr="00D86D9B">
        <w:rPr>
          <w:szCs w:val="24"/>
          <w:lang w:val="en-US"/>
        </w:rPr>
        <w:t xml:space="preserve">Economic policies for digital transformation </w:t>
      </w:r>
    </w:p>
    <w:p w14:paraId="06BF66FA" w14:textId="77777777" w:rsidR="00B406B4" w:rsidRPr="00D86D9B" w:rsidRDefault="00B406B4" w:rsidP="00D86D9B">
      <w:pPr>
        <w:spacing w:after="120"/>
        <w:rPr>
          <w:rFonts w:cstheme="minorHAnsi"/>
          <w:szCs w:val="24"/>
          <w:lang w:val="en-US"/>
        </w:rPr>
      </w:pPr>
      <w:r w:rsidRPr="00D86D9B">
        <w:rPr>
          <w:rFonts w:cstheme="minorHAnsi"/>
          <w:szCs w:val="24"/>
          <w:lang w:val="en-US"/>
        </w:rPr>
        <w:t xml:space="preserve">ITU organized the </w:t>
      </w:r>
      <w:hyperlink r:id="rId97" w:history="1">
        <w:r w:rsidRPr="00D86D9B">
          <w:rPr>
            <w:rStyle w:val="Hyperlink"/>
            <w:rFonts w:cstheme="minorHAnsi"/>
            <w:color w:val="auto"/>
            <w:szCs w:val="24"/>
            <w:lang w:val="en-US"/>
          </w:rPr>
          <w:t>ITU Policy and Economic Colloquium for the Americas region (IPEC 2022)</w:t>
        </w:r>
      </w:hyperlink>
      <w:r w:rsidRPr="00D86D9B">
        <w:rPr>
          <w:rFonts w:cstheme="minorHAnsi"/>
          <w:szCs w:val="24"/>
          <w:lang w:val="en-US"/>
        </w:rPr>
        <w:t xml:space="preserve"> which included the Regional Economic Dialogue (RED) (Mexico City, 22-26 August 2022). The RED focused, among other interesting subjects, on regulatory and economic challenges to achieve </w:t>
      </w:r>
      <w:r w:rsidRPr="00D86D9B">
        <w:rPr>
          <w:rFonts w:cstheme="minorHAnsi"/>
          <w:szCs w:val="24"/>
          <w:lang w:val="en-US"/>
        </w:rPr>
        <w:lastRenderedPageBreak/>
        <w:t>digital transformations; regulatory and economic incentives to foster affordable digital services by promoting investment for meaningful connectivity; financing the investment for effective digital infrastructure deployment. It was also the occasion to present the main themes of the ITU-D Study Group 1 Question 4/1 on Economic aspects of national telecommunications/ICTs.</w:t>
      </w:r>
    </w:p>
    <w:p w14:paraId="77DE378B" w14:textId="1EC879FD" w:rsidR="00B406B4" w:rsidRPr="00D86D9B" w:rsidRDefault="00B406B4" w:rsidP="00D86D9B">
      <w:pPr>
        <w:spacing w:after="120"/>
        <w:rPr>
          <w:rFonts w:cstheme="minorHAnsi"/>
          <w:szCs w:val="24"/>
          <w:lang w:val="en-US"/>
        </w:rPr>
      </w:pPr>
      <w:r w:rsidRPr="00D86D9B">
        <w:rPr>
          <w:rFonts w:cstheme="minorHAnsi"/>
          <w:szCs w:val="24"/>
          <w:lang w:val="en-US"/>
        </w:rPr>
        <w:t xml:space="preserve">The </w:t>
      </w:r>
      <w:hyperlink r:id="rId98" w:history="1">
        <w:r w:rsidRPr="00D86D9B">
          <w:rPr>
            <w:rStyle w:val="Hyperlink"/>
            <w:rFonts w:cstheme="minorHAnsi"/>
            <w:color w:val="auto"/>
            <w:szCs w:val="24"/>
            <w:lang w:val="en-US"/>
          </w:rPr>
          <w:t>ITU Workshop on "Economic and fiscal incentives to accelerate digital transformation of data and applications over telecommunication infrastructure"</w:t>
        </w:r>
      </w:hyperlink>
      <w:r w:rsidR="005E75F3">
        <w:rPr>
          <w:rFonts w:cstheme="minorHAnsi"/>
          <w:szCs w:val="24"/>
          <w:lang w:val="en-US"/>
        </w:rPr>
        <w:t xml:space="preserve"> </w:t>
      </w:r>
      <w:r w:rsidRPr="00D86D9B">
        <w:rPr>
          <w:rFonts w:cstheme="minorHAnsi"/>
          <w:szCs w:val="24"/>
          <w:lang w:val="en-US"/>
        </w:rPr>
        <w:t>jointly organized by the ITU-T and ITU-D (Geneva, Switzerland​, 3-4 November 2022) provided a forum for discussions, between policy makers, regulators, private sector, taxation and standardization experts and other stakeholders from the membership of ITU, on the various industry perspectives on the economic, regulatory, and fiscal landscape in which ICT operators and content and application providers operate; the impact of international tax agreements on ICT markets; perspective of independent researchers focusing on technical points relevant to the fiscal environment; and finally the views on taxation from the perspective of Civil Society.</w:t>
      </w:r>
    </w:p>
    <w:p w14:paraId="2305CE94" w14:textId="77777777" w:rsidR="00B406B4" w:rsidRPr="00D86D9B" w:rsidRDefault="00B406B4" w:rsidP="00D86D9B">
      <w:pPr>
        <w:spacing w:after="120"/>
        <w:rPr>
          <w:rFonts w:cstheme="minorHAnsi"/>
          <w:szCs w:val="24"/>
          <w:lang w:val="en-US"/>
        </w:rPr>
      </w:pPr>
      <w:r w:rsidRPr="00D86D9B">
        <w:rPr>
          <w:rFonts w:cstheme="minorHAnsi"/>
          <w:szCs w:val="24"/>
          <w:lang w:val="en-US"/>
        </w:rPr>
        <w:t xml:space="preserve">The Publication of the </w:t>
      </w:r>
      <w:hyperlink r:id="rId99" w:history="1">
        <w:r w:rsidRPr="00D86D9B">
          <w:rPr>
            <w:rStyle w:val="Hyperlink"/>
            <w:rFonts w:cstheme="minorHAnsi"/>
            <w:color w:val="auto"/>
            <w:szCs w:val="24"/>
            <w:lang w:val="en-US"/>
          </w:rPr>
          <w:t>ITU Outcome Report on Economic and fiscal incentives to accelerate digital transformation</w:t>
        </w:r>
      </w:hyperlink>
      <w:r w:rsidRPr="00D86D9B">
        <w:rPr>
          <w:rFonts w:cstheme="minorHAnsi"/>
          <w:szCs w:val="24"/>
          <w:lang w:val="en-US"/>
        </w:rPr>
        <w:t xml:space="preserve"> (November 2022) provides the main ideas from economic experts, who met at the </w:t>
      </w:r>
      <w:hyperlink r:id="rId100" w:history="1">
        <w:r w:rsidRPr="00D86D9B">
          <w:rPr>
            <w:rStyle w:val="Hyperlink"/>
            <w:rFonts w:cstheme="minorHAnsi"/>
            <w:color w:val="auto"/>
            <w:szCs w:val="24"/>
            <w:lang w:val="en-US"/>
          </w:rPr>
          <w:t>ninth ITU economic experts roundtable</w:t>
        </w:r>
      </w:hyperlink>
      <w:r w:rsidRPr="00D86D9B">
        <w:rPr>
          <w:rFonts w:cstheme="minorHAnsi"/>
          <w:szCs w:val="24"/>
          <w:lang w:val="en-US"/>
        </w:rPr>
        <w:t xml:space="preserve">, on innovative economic and fiscal incentives and instruments that can stimulate the deployment of digital infrastructure, especially in rural and unserved areas, as well as the introduction of advanced technologies. </w:t>
      </w:r>
    </w:p>
    <w:tbl>
      <w:tblPr>
        <w:tblStyle w:val="TableGrid"/>
        <w:tblW w:w="9776" w:type="dxa"/>
        <w:tblLook w:val="04A0" w:firstRow="1" w:lastRow="0" w:firstColumn="1" w:lastColumn="0" w:noHBand="0" w:noVBand="1"/>
      </w:tblPr>
      <w:tblGrid>
        <w:gridCol w:w="9776"/>
      </w:tblGrid>
      <w:tr w:rsidR="00B406B4" w:rsidRPr="0074089C" w14:paraId="23175265" w14:textId="77777777" w:rsidTr="008B45AF">
        <w:tc>
          <w:tcPr>
            <w:tcW w:w="9776" w:type="dxa"/>
          </w:tcPr>
          <w:p w14:paraId="30D2B9A4" w14:textId="4B680586" w:rsidR="00B406B4" w:rsidRDefault="00B406B4" w:rsidP="00D86D9B">
            <w:pPr>
              <w:spacing w:before="60" w:after="60"/>
              <w:rPr>
                <w:rFonts w:cstheme="minorHAnsi"/>
                <w:b/>
                <w:bCs/>
                <w:sz w:val="22"/>
                <w:szCs w:val="22"/>
                <w:lang w:val="en-US"/>
              </w:rPr>
            </w:pPr>
            <w:r w:rsidRPr="0074089C">
              <w:rPr>
                <w:rFonts w:cstheme="minorHAnsi"/>
                <w:b/>
                <w:bCs/>
                <w:sz w:val="22"/>
                <w:szCs w:val="22"/>
                <w:lang w:val="en-US"/>
              </w:rPr>
              <w:t>Regional Initiatives</w:t>
            </w:r>
          </w:p>
          <w:p w14:paraId="2234443D" w14:textId="4A8281DA" w:rsidR="00FB1714" w:rsidRDefault="73EE1D9D" w:rsidP="00D86D9B">
            <w:pPr>
              <w:spacing w:before="60" w:after="60"/>
              <w:rPr>
                <w:rFonts w:cstheme="minorBidi"/>
                <w:i/>
                <w:iCs/>
                <w:sz w:val="22"/>
                <w:szCs w:val="22"/>
              </w:rPr>
            </w:pPr>
            <w:r w:rsidRPr="1C7CF246">
              <w:rPr>
                <w:rFonts w:cstheme="minorBidi"/>
                <w:i/>
                <w:iCs/>
                <w:sz w:val="22"/>
                <w:szCs w:val="22"/>
              </w:rPr>
              <w:t>Americas</w:t>
            </w:r>
          </w:p>
          <w:p w14:paraId="4A2A94A1" w14:textId="26F3A7D3" w:rsidR="00FB1714" w:rsidRPr="003C48E0" w:rsidRDefault="73EE1D9D" w:rsidP="00D86D9B">
            <w:pPr>
              <w:pStyle w:val="paragraph"/>
              <w:numPr>
                <w:ilvl w:val="1"/>
                <w:numId w:val="45"/>
              </w:numPr>
              <w:spacing w:before="60" w:beforeAutospacing="0" w:after="60" w:afterAutospacing="0"/>
              <w:ind w:left="714" w:hanging="357"/>
              <w:textAlignment w:val="baseline"/>
              <w:rPr>
                <w:rFonts w:asciiTheme="minorHAnsi" w:hAnsiTheme="minorHAnsi" w:cstheme="minorBidi"/>
                <w:sz w:val="22"/>
                <w:szCs w:val="22"/>
              </w:rPr>
            </w:pPr>
            <w:r w:rsidRPr="1C7CF246">
              <w:rPr>
                <w:rFonts w:asciiTheme="minorHAnsi" w:hAnsiTheme="minorHAnsi" w:cstheme="minorBidi"/>
                <w:sz w:val="22"/>
                <w:szCs w:val="22"/>
              </w:rPr>
              <w:t xml:space="preserve">Regulatory technical assistance was provided to </w:t>
            </w:r>
            <w:r w:rsidRPr="003C48E0">
              <w:rPr>
                <w:rFonts w:asciiTheme="minorHAnsi" w:hAnsiTheme="minorHAnsi" w:cstheme="minorBidi"/>
                <w:sz w:val="22"/>
                <w:szCs w:val="22"/>
              </w:rPr>
              <w:t>the Dominican Republic, through which a regulatory improvement roadmap was designed and the Regulatory Sandbox on telecommunications was designed.</w:t>
            </w:r>
          </w:p>
          <w:p w14:paraId="5E94AE5E" w14:textId="4A8281DA" w:rsidR="00FB1714" w:rsidRPr="00FD0EBA" w:rsidRDefault="73EE1D9D" w:rsidP="00D86D9B">
            <w:pPr>
              <w:pStyle w:val="paragraph"/>
              <w:numPr>
                <w:ilvl w:val="1"/>
                <w:numId w:val="45"/>
              </w:numPr>
              <w:spacing w:before="60" w:beforeAutospacing="0" w:after="60" w:afterAutospacing="0"/>
              <w:ind w:left="714" w:hanging="357"/>
              <w:textAlignment w:val="baseline"/>
              <w:rPr>
                <w:rFonts w:asciiTheme="minorHAnsi" w:hAnsiTheme="minorHAnsi" w:cstheme="minorBidi"/>
                <w:sz w:val="22"/>
                <w:szCs w:val="22"/>
              </w:rPr>
            </w:pPr>
            <w:r w:rsidRPr="1C7CF246">
              <w:rPr>
                <w:rFonts w:asciiTheme="minorHAnsi" w:hAnsiTheme="minorHAnsi" w:cstheme="minorBidi"/>
                <w:sz w:val="22"/>
                <w:szCs w:val="22"/>
              </w:rPr>
              <w:t xml:space="preserve">A Regulatory Capacity Development program was carried out for Central American countries in partnership with COMTELCA, benefiting 52 officials from regulatory bodies and ministries in the region. </w:t>
            </w:r>
          </w:p>
          <w:p w14:paraId="4D37E61D" w14:textId="60196872" w:rsidR="00FB1714" w:rsidRPr="00FD0EBA" w:rsidRDefault="73EE1D9D" w:rsidP="00D86D9B">
            <w:pPr>
              <w:pStyle w:val="paragraph"/>
              <w:numPr>
                <w:ilvl w:val="1"/>
                <w:numId w:val="45"/>
              </w:numPr>
              <w:spacing w:before="60" w:beforeAutospacing="0" w:after="60" w:afterAutospacing="0"/>
              <w:ind w:left="714" w:hanging="357"/>
              <w:textAlignment w:val="baseline"/>
              <w:rPr>
                <w:rFonts w:asciiTheme="minorHAnsi" w:hAnsiTheme="minorHAnsi" w:cstheme="minorBidi"/>
                <w:b/>
                <w:bCs/>
                <w:sz w:val="22"/>
                <w:szCs w:val="22"/>
              </w:rPr>
            </w:pPr>
            <w:r w:rsidRPr="00963844">
              <w:rPr>
                <w:rFonts w:asciiTheme="minorHAnsi" w:hAnsiTheme="minorHAnsi" w:cstheme="minorBidi"/>
                <w:sz w:val="22"/>
                <w:szCs w:val="22"/>
              </w:rPr>
              <w:t>Trinidad and Tobago</w:t>
            </w:r>
            <w:r w:rsidR="00963844" w:rsidRPr="00963844">
              <w:rPr>
                <w:rFonts w:asciiTheme="minorHAnsi" w:hAnsiTheme="minorHAnsi" w:cstheme="minorBidi"/>
                <w:sz w:val="22"/>
                <w:szCs w:val="22"/>
              </w:rPr>
              <w:t xml:space="preserve"> received assistance in f</w:t>
            </w:r>
            <w:r w:rsidRPr="00963844">
              <w:rPr>
                <w:rFonts w:asciiTheme="minorHAnsi" w:hAnsiTheme="minorHAnsi" w:cstheme="minorBidi"/>
                <w:sz w:val="22"/>
                <w:szCs w:val="22"/>
              </w:rPr>
              <w:t>ormulat</w:t>
            </w:r>
            <w:r w:rsidR="00963844" w:rsidRPr="00963844">
              <w:rPr>
                <w:rFonts w:asciiTheme="minorHAnsi" w:hAnsiTheme="minorHAnsi" w:cstheme="minorBidi"/>
                <w:sz w:val="22"/>
                <w:szCs w:val="22"/>
              </w:rPr>
              <w:t>ing</w:t>
            </w:r>
            <w:r w:rsidRPr="00963844">
              <w:rPr>
                <w:rFonts w:asciiTheme="minorHAnsi" w:hAnsiTheme="minorHAnsi" w:cstheme="minorBidi"/>
                <w:sz w:val="22"/>
                <w:szCs w:val="22"/>
              </w:rPr>
              <w:t xml:space="preserve"> a draft Digital ID policy and legislation which shall harmonize</w:t>
            </w:r>
            <w:r w:rsidRPr="1C7CF246">
              <w:rPr>
                <w:rFonts w:asciiTheme="minorHAnsi" w:hAnsiTheme="minorHAnsi" w:cstheme="minorBidi"/>
                <w:sz w:val="22"/>
                <w:szCs w:val="22"/>
              </w:rPr>
              <w:t xml:space="preserve"> and congregate local efforts and targets to promote civil rights and leverage social outreach.</w:t>
            </w:r>
          </w:p>
          <w:p w14:paraId="64076EAB" w14:textId="793FFA9C" w:rsidR="00FB1714" w:rsidRPr="009027ED" w:rsidRDefault="73EE1D9D" w:rsidP="00D86D9B">
            <w:pPr>
              <w:pStyle w:val="paragraph"/>
              <w:numPr>
                <w:ilvl w:val="1"/>
                <w:numId w:val="45"/>
              </w:numPr>
              <w:spacing w:before="60" w:beforeAutospacing="0" w:after="60" w:afterAutospacing="0"/>
              <w:ind w:left="714" w:hanging="357"/>
              <w:rPr>
                <w:rFonts w:cstheme="minorBidi"/>
                <w:sz w:val="22"/>
                <w:szCs w:val="22"/>
              </w:rPr>
            </w:pPr>
            <w:r w:rsidRPr="008264D7">
              <w:rPr>
                <w:rFonts w:asciiTheme="minorHAnsi" w:hAnsiTheme="minorHAnsi" w:cstheme="minorBidi"/>
                <w:sz w:val="22"/>
                <w:szCs w:val="22"/>
              </w:rPr>
              <w:t xml:space="preserve">ITU has been providing Brazil with </w:t>
            </w:r>
            <w:r w:rsidR="00227464" w:rsidRPr="008264D7">
              <w:rPr>
                <w:rFonts w:asciiTheme="minorHAnsi" w:hAnsiTheme="minorHAnsi" w:cstheme="minorBidi"/>
                <w:sz w:val="22"/>
                <w:szCs w:val="22"/>
              </w:rPr>
              <w:t>technical assistance on enhancing the</w:t>
            </w:r>
            <w:r w:rsidRPr="008264D7">
              <w:rPr>
                <w:rFonts w:asciiTheme="minorHAnsi" w:hAnsiTheme="minorHAnsi" w:cstheme="minorBidi"/>
                <w:sz w:val="22"/>
                <w:szCs w:val="22"/>
              </w:rPr>
              <w:t xml:space="preserve"> regulatory environment </w:t>
            </w:r>
            <w:r w:rsidR="00227464" w:rsidRPr="008264D7">
              <w:rPr>
                <w:rFonts w:asciiTheme="minorHAnsi" w:hAnsiTheme="minorHAnsi" w:cstheme="minorBidi"/>
                <w:sz w:val="22"/>
                <w:szCs w:val="22"/>
              </w:rPr>
              <w:t>for</w:t>
            </w:r>
            <w:r w:rsidRPr="008264D7">
              <w:rPr>
                <w:rFonts w:asciiTheme="minorHAnsi" w:hAnsiTheme="minorHAnsi" w:cstheme="minorBidi"/>
                <w:sz w:val="22"/>
                <w:szCs w:val="22"/>
              </w:rPr>
              <w:t xml:space="preserve"> digital transformation, with special emphasis on modifying the telecommunications regulatory framework</w:t>
            </w:r>
            <w:r w:rsidR="008264D7" w:rsidRPr="008264D7">
              <w:rPr>
                <w:rFonts w:asciiTheme="minorHAnsi" w:hAnsiTheme="minorHAnsi" w:cstheme="minorBidi"/>
                <w:sz w:val="22"/>
                <w:szCs w:val="22"/>
              </w:rPr>
              <w:t xml:space="preserve"> and</w:t>
            </w:r>
            <w:r w:rsidRPr="008264D7">
              <w:rPr>
                <w:rFonts w:asciiTheme="minorHAnsi" w:hAnsiTheme="minorHAnsi" w:cstheme="minorBidi"/>
                <w:sz w:val="22"/>
                <w:szCs w:val="22"/>
              </w:rPr>
              <w:t xml:space="preserve"> prioritizing the </w:t>
            </w:r>
            <w:r w:rsidR="009558D2" w:rsidRPr="008264D7">
              <w:rPr>
                <w:rFonts w:asciiTheme="minorHAnsi" w:hAnsiTheme="minorHAnsi" w:cstheme="minorBidi"/>
                <w:sz w:val="22"/>
                <w:szCs w:val="22"/>
              </w:rPr>
              <w:t>revision of the</w:t>
            </w:r>
            <w:r w:rsidRPr="008264D7">
              <w:rPr>
                <w:rFonts w:asciiTheme="minorHAnsi" w:hAnsiTheme="minorHAnsi" w:cstheme="minorBidi"/>
                <w:sz w:val="22"/>
                <w:szCs w:val="22"/>
              </w:rPr>
              <w:t xml:space="preserve"> General </w:t>
            </w:r>
            <w:r w:rsidRPr="009027ED">
              <w:rPr>
                <w:rFonts w:asciiTheme="minorHAnsi" w:hAnsiTheme="minorHAnsi" w:cstheme="minorBidi"/>
                <w:sz w:val="22"/>
                <w:szCs w:val="22"/>
              </w:rPr>
              <w:t>Telecommunications Law.</w:t>
            </w:r>
          </w:p>
          <w:p w14:paraId="70D6D33A" w14:textId="352ACBCD" w:rsidR="00AA4064" w:rsidRPr="009027ED" w:rsidRDefault="7EA96376" w:rsidP="00D86D9B">
            <w:pPr>
              <w:pStyle w:val="paragraph"/>
              <w:numPr>
                <w:ilvl w:val="1"/>
                <w:numId w:val="45"/>
              </w:numPr>
              <w:spacing w:before="60" w:beforeAutospacing="0" w:after="60" w:afterAutospacing="0"/>
              <w:ind w:left="714" w:hanging="357"/>
              <w:rPr>
                <w:rFonts w:asciiTheme="minorHAnsi" w:hAnsiTheme="minorHAnsi" w:cstheme="minorBidi"/>
                <w:sz w:val="22"/>
                <w:szCs w:val="22"/>
              </w:rPr>
            </w:pPr>
            <w:r w:rsidRPr="6DFF32B6">
              <w:rPr>
                <w:rFonts w:asciiTheme="minorHAnsi" w:hAnsiTheme="minorHAnsi" w:cstheme="minorBidi"/>
                <w:sz w:val="22"/>
                <w:szCs w:val="22"/>
              </w:rPr>
              <w:t>IPEC-22 was held in Mexico City, Mexico</w:t>
            </w:r>
            <w:r w:rsidR="44E4EEEE" w:rsidRPr="6DFF32B6">
              <w:rPr>
                <w:rFonts w:asciiTheme="minorHAnsi" w:hAnsiTheme="minorHAnsi" w:cstheme="minorBidi"/>
                <w:sz w:val="22"/>
                <w:szCs w:val="22"/>
              </w:rPr>
              <w:t xml:space="preserve"> </w:t>
            </w:r>
            <w:r w:rsidR="44E4EEEE" w:rsidRPr="6DFF32B6">
              <w:rPr>
                <w:rFonts w:asciiTheme="minorHAnsi" w:hAnsiTheme="minorHAnsi"/>
              </w:rPr>
              <w:t>in</w:t>
            </w:r>
            <w:r w:rsidRPr="6DFF32B6">
              <w:rPr>
                <w:rFonts w:asciiTheme="minorHAnsi" w:hAnsiTheme="minorHAnsi" w:cstheme="minorBidi"/>
                <w:sz w:val="22"/>
                <w:szCs w:val="22"/>
              </w:rPr>
              <w:t xml:space="preserve"> August 2022. The event was organized by </w:t>
            </w:r>
            <w:r w:rsidR="44E4EEEE" w:rsidRPr="6DFF32B6">
              <w:rPr>
                <w:rFonts w:asciiTheme="minorHAnsi" w:hAnsiTheme="minorHAnsi" w:cstheme="minorBidi"/>
                <w:sz w:val="22"/>
                <w:szCs w:val="22"/>
              </w:rPr>
              <w:t>B</w:t>
            </w:r>
            <w:r w:rsidR="44E4EEEE" w:rsidRPr="6DFF32B6">
              <w:rPr>
                <w:rFonts w:asciiTheme="minorHAnsi" w:hAnsiTheme="minorHAnsi"/>
              </w:rPr>
              <w:t>DT</w:t>
            </w:r>
            <w:r w:rsidRPr="6DFF32B6">
              <w:rPr>
                <w:rFonts w:asciiTheme="minorHAnsi" w:hAnsiTheme="minorHAnsi" w:cstheme="minorBidi"/>
                <w:sz w:val="22"/>
                <w:szCs w:val="22"/>
              </w:rPr>
              <w:t xml:space="preserve"> in partnership with the Federal Institute of Telecommunications </w:t>
            </w:r>
            <w:r w:rsidR="11239AD5" w:rsidRPr="6DFF32B6">
              <w:rPr>
                <w:rFonts w:asciiTheme="minorHAnsi" w:hAnsiTheme="minorHAnsi" w:cstheme="minorBidi"/>
                <w:sz w:val="22"/>
                <w:szCs w:val="22"/>
              </w:rPr>
              <w:t>(</w:t>
            </w:r>
            <w:r w:rsidRPr="6DFF32B6">
              <w:rPr>
                <w:rFonts w:asciiTheme="minorHAnsi" w:hAnsiTheme="minorHAnsi" w:cstheme="minorBidi"/>
                <w:sz w:val="22"/>
                <w:szCs w:val="22"/>
              </w:rPr>
              <w:t>IFT</w:t>
            </w:r>
            <w:r w:rsidR="11239AD5" w:rsidRPr="6DFF32B6">
              <w:rPr>
                <w:rFonts w:asciiTheme="minorHAnsi" w:hAnsiTheme="minorHAnsi" w:cstheme="minorBidi"/>
                <w:sz w:val="22"/>
                <w:szCs w:val="22"/>
              </w:rPr>
              <w:t>).</w:t>
            </w:r>
            <w:r w:rsidRPr="6DFF32B6">
              <w:rPr>
                <w:rFonts w:asciiTheme="minorHAnsi" w:hAnsiTheme="minorHAnsi" w:cstheme="minorBidi"/>
                <w:sz w:val="22"/>
                <w:szCs w:val="22"/>
              </w:rPr>
              <w:t xml:space="preserve"> IPEC-22 was attended by more than 300 delegates from 16 Member States.</w:t>
            </w:r>
            <w:r w:rsidR="1EF58B10" w:rsidRPr="6DFF32B6">
              <w:rPr>
                <w:rFonts w:asciiTheme="minorHAnsi" w:hAnsiTheme="minorHAnsi" w:cstheme="minorBidi"/>
                <w:sz w:val="22"/>
                <w:szCs w:val="22"/>
              </w:rPr>
              <w:t xml:space="preserve"> During the event, t</w:t>
            </w:r>
            <w:r w:rsidRPr="6DFF32B6">
              <w:rPr>
                <w:rFonts w:asciiTheme="minorHAnsi" w:hAnsiTheme="minorHAnsi" w:cstheme="minorBidi"/>
                <w:sz w:val="22"/>
                <w:szCs w:val="22"/>
              </w:rPr>
              <w:t xml:space="preserve">he Digital Regulation for the Americas Region Course was </w:t>
            </w:r>
            <w:r w:rsidR="1EF58B10" w:rsidRPr="6DFF32B6">
              <w:rPr>
                <w:rFonts w:asciiTheme="minorHAnsi" w:hAnsiTheme="minorHAnsi" w:cstheme="minorBidi"/>
                <w:sz w:val="22"/>
                <w:szCs w:val="22"/>
              </w:rPr>
              <w:t>delivered based</w:t>
            </w:r>
            <w:r w:rsidRPr="6DFF32B6">
              <w:rPr>
                <w:rFonts w:asciiTheme="minorHAnsi" w:hAnsiTheme="minorHAnsi" w:cstheme="minorBidi"/>
                <w:sz w:val="22"/>
                <w:szCs w:val="22"/>
              </w:rPr>
              <w:t xml:space="preserve"> on the ITU</w:t>
            </w:r>
            <w:r w:rsidR="1EF58B10" w:rsidRPr="6DFF32B6">
              <w:rPr>
                <w:rFonts w:asciiTheme="minorHAnsi" w:hAnsiTheme="minorHAnsi" w:cstheme="minorBidi"/>
                <w:sz w:val="22"/>
                <w:szCs w:val="22"/>
              </w:rPr>
              <w:t>-</w:t>
            </w:r>
            <w:r w:rsidRPr="6DFF32B6">
              <w:rPr>
                <w:rFonts w:asciiTheme="minorHAnsi" w:hAnsiTheme="minorHAnsi" w:cstheme="minorBidi"/>
                <w:sz w:val="22"/>
                <w:szCs w:val="22"/>
              </w:rPr>
              <w:t>World Bank Digital Regulation handbook and platform. The scope of this course was the introduction of specific aspects of digital policy and economic regulation to enhance knowledge of participants on the issues at stake.</w:t>
            </w:r>
          </w:p>
          <w:p w14:paraId="38C75124" w14:textId="71416BF9" w:rsidR="00C46422" w:rsidRPr="00C46422" w:rsidRDefault="00C46422" w:rsidP="00D86D9B">
            <w:pPr>
              <w:keepNext/>
              <w:spacing w:before="60" w:after="60"/>
              <w:rPr>
                <w:rFonts w:cstheme="minorBidi"/>
                <w:i/>
                <w:iCs/>
                <w:sz w:val="22"/>
                <w:szCs w:val="22"/>
              </w:rPr>
            </w:pPr>
            <w:r w:rsidRPr="00C46422">
              <w:rPr>
                <w:rFonts w:cstheme="minorBidi"/>
                <w:i/>
                <w:iCs/>
                <w:sz w:val="22"/>
                <w:szCs w:val="22"/>
              </w:rPr>
              <w:t>Arab States</w:t>
            </w:r>
          </w:p>
          <w:p w14:paraId="7A84177A" w14:textId="77777777" w:rsidR="00D15FD2" w:rsidRDefault="2A9EB79E" w:rsidP="00D86D9B">
            <w:pPr>
              <w:pStyle w:val="ListParagraph"/>
              <w:numPr>
                <w:ilvl w:val="0"/>
                <w:numId w:val="9"/>
              </w:numPr>
              <w:overflowPunct/>
              <w:autoSpaceDE/>
              <w:autoSpaceDN/>
              <w:adjustRightInd/>
              <w:spacing w:before="60" w:after="60"/>
              <w:ind w:left="714" w:hanging="357"/>
              <w:contextualSpacing w:val="0"/>
              <w:rPr>
                <w:rFonts w:cstheme="minorBidi"/>
                <w:sz w:val="22"/>
                <w:szCs w:val="22"/>
              </w:rPr>
            </w:pPr>
            <w:r w:rsidRPr="6DFF32B6">
              <w:rPr>
                <w:rFonts w:cstheme="minorBidi"/>
                <w:sz w:val="22"/>
                <w:szCs w:val="22"/>
              </w:rPr>
              <w:t>The Regional Office for Arab States has embarked on providing regulatory technical assistance to Syria and State of Palestine.</w:t>
            </w:r>
          </w:p>
          <w:p w14:paraId="27D58654" w14:textId="4C549B34" w:rsidR="49593C30" w:rsidRDefault="49593C30" w:rsidP="00D86D9B">
            <w:pPr>
              <w:pStyle w:val="ListParagraph"/>
              <w:numPr>
                <w:ilvl w:val="0"/>
                <w:numId w:val="9"/>
              </w:numPr>
              <w:overflowPunct/>
              <w:autoSpaceDE/>
              <w:autoSpaceDN/>
              <w:adjustRightInd/>
              <w:spacing w:before="60" w:after="60"/>
              <w:ind w:left="714" w:hanging="357"/>
              <w:contextualSpacing w:val="0"/>
              <w:rPr>
                <w:rFonts w:ascii="Calibri" w:hAnsi="Calibri" w:cstheme="minorBidi"/>
                <w:sz w:val="22"/>
                <w:szCs w:val="22"/>
              </w:rPr>
            </w:pPr>
            <w:r w:rsidRPr="6DFF32B6">
              <w:rPr>
                <w:rFonts w:ascii="Calibri" w:hAnsi="Calibri" w:cstheme="minorBidi"/>
                <w:sz w:val="22"/>
                <w:szCs w:val="22"/>
              </w:rPr>
              <w:t>Additional initiatives are being discussed in Comoros, Iraq, Jordan</w:t>
            </w:r>
            <w:r w:rsidR="669BA04C" w:rsidRPr="6DFF32B6">
              <w:rPr>
                <w:rFonts w:ascii="Calibri" w:hAnsi="Calibri" w:cstheme="minorBidi"/>
                <w:sz w:val="22"/>
                <w:szCs w:val="22"/>
              </w:rPr>
              <w:t>, Libya</w:t>
            </w:r>
            <w:r w:rsidRPr="6DFF32B6">
              <w:rPr>
                <w:rFonts w:ascii="Calibri" w:hAnsi="Calibri" w:cstheme="minorBidi"/>
                <w:sz w:val="22"/>
                <w:szCs w:val="22"/>
              </w:rPr>
              <w:t xml:space="preserve"> and Mauritania.</w:t>
            </w:r>
          </w:p>
          <w:p w14:paraId="20A52DE5" w14:textId="4C01C743" w:rsidR="00D15FD2" w:rsidRPr="00D15FD2" w:rsidRDefault="00D15FD2" w:rsidP="00D86D9B">
            <w:pPr>
              <w:keepNext/>
              <w:overflowPunct/>
              <w:autoSpaceDE/>
              <w:autoSpaceDN/>
              <w:adjustRightInd/>
              <w:spacing w:before="60" w:after="60"/>
              <w:textAlignment w:val="auto"/>
              <w:rPr>
                <w:rFonts w:cstheme="minorHAnsi"/>
                <w:i/>
                <w:iCs/>
                <w:sz w:val="22"/>
                <w:szCs w:val="22"/>
              </w:rPr>
            </w:pPr>
            <w:r w:rsidRPr="00D15FD2">
              <w:rPr>
                <w:rFonts w:cstheme="minorHAnsi"/>
                <w:i/>
                <w:iCs/>
                <w:sz w:val="22"/>
                <w:szCs w:val="22"/>
              </w:rPr>
              <w:t>Asia-Pacific</w:t>
            </w:r>
            <w:r w:rsidR="00746E17">
              <w:rPr>
                <w:rFonts w:cstheme="minorHAnsi"/>
                <w:i/>
                <w:iCs/>
                <w:sz w:val="22"/>
                <w:szCs w:val="22"/>
              </w:rPr>
              <w:t xml:space="preserve"> region</w:t>
            </w:r>
          </w:p>
          <w:p w14:paraId="25ED7E69" w14:textId="49CD0D7B" w:rsidR="00B406B4" w:rsidRPr="00F4496A" w:rsidRDefault="00B406B4" w:rsidP="00D86D9B">
            <w:pPr>
              <w:pStyle w:val="ListParagraph"/>
              <w:numPr>
                <w:ilvl w:val="0"/>
                <w:numId w:val="9"/>
              </w:numPr>
              <w:overflowPunct/>
              <w:autoSpaceDE/>
              <w:autoSpaceDN/>
              <w:adjustRightInd/>
              <w:spacing w:before="60" w:after="60"/>
              <w:ind w:left="714" w:hanging="357"/>
              <w:contextualSpacing w:val="0"/>
              <w:textAlignment w:val="auto"/>
              <w:rPr>
                <w:rFonts w:cstheme="minorHAnsi"/>
                <w:sz w:val="22"/>
                <w:szCs w:val="22"/>
              </w:rPr>
            </w:pPr>
            <w:r w:rsidRPr="601FE38F">
              <w:rPr>
                <w:rFonts w:cstheme="minorBidi"/>
                <w:sz w:val="22"/>
                <w:szCs w:val="22"/>
              </w:rPr>
              <w:t xml:space="preserve">In Asia-Pacific, ITU supported the governments of Papua New Guinea, Samoa and Vanuatu in developing or strengthening their national legal frameworks, digital policies or strategies. </w:t>
            </w:r>
          </w:p>
        </w:tc>
      </w:tr>
    </w:tbl>
    <w:bookmarkEnd w:id="15"/>
    <w:p w14:paraId="0BE3DFBB" w14:textId="1B363591" w:rsidR="00B406B4" w:rsidRPr="00D86D9B" w:rsidRDefault="00B406B4" w:rsidP="00D86D9B">
      <w:pPr>
        <w:pStyle w:val="Heading1"/>
        <w:numPr>
          <w:ilvl w:val="0"/>
          <w:numId w:val="22"/>
        </w:numPr>
        <w:tabs>
          <w:tab w:val="clear" w:pos="794"/>
          <w:tab w:val="clear" w:pos="1191"/>
          <w:tab w:val="clear" w:pos="1588"/>
          <w:tab w:val="clear" w:pos="1985"/>
        </w:tabs>
        <w:spacing w:before="120" w:after="120"/>
        <w:ind w:left="567" w:hanging="567"/>
        <w:rPr>
          <w:sz w:val="24"/>
          <w:szCs w:val="24"/>
          <w:lang w:val="en-US"/>
        </w:rPr>
      </w:pPr>
      <w:r w:rsidRPr="00D86D9B">
        <w:rPr>
          <w:sz w:val="24"/>
          <w:szCs w:val="24"/>
          <w:lang w:val="en-US"/>
        </w:rPr>
        <w:lastRenderedPageBreak/>
        <w:t>Statistics: Helping countries with evidence-based ICT policy adoption for digitally inclusive societies</w:t>
      </w:r>
    </w:p>
    <w:p w14:paraId="400ACD91" w14:textId="77777777" w:rsidR="00B406B4" w:rsidRPr="00D86D9B" w:rsidRDefault="00B406B4" w:rsidP="00D86D9B">
      <w:pPr>
        <w:pStyle w:val="Heading3"/>
        <w:spacing w:before="120" w:after="120"/>
        <w:rPr>
          <w:szCs w:val="24"/>
          <w:lang w:val="en-US"/>
        </w:rPr>
      </w:pPr>
      <w:r w:rsidRPr="00D86D9B">
        <w:rPr>
          <w:szCs w:val="24"/>
          <w:lang w:val="en-US"/>
        </w:rPr>
        <w:t>Research and analysis</w:t>
      </w:r>
    </w:p>
    <w:p w14:paraId="797D1C33" w14:textId="77777777" w:rsidR="00B406B4" w:rsidRPr="00D86D9B" w:rsidRDefault="00B406B4" w:rsidP="00D86D9B">
      <w:pPr>
        <w:spacing w:after="120"/>
        <w:rPr>
          <w:rFonts w:cstheme="minorHAnsi"/>
          <w:szCs w:val="24"/>
        </w:rPr>
      </w:pPr>
      <w:r w:rsidRPr="00D86D9B">
        <w:rPr>
          <w:rFonts w:cstheme="minorHAnsi"/>
          <w:szCs w:val="24"/>
        </w:rPr>
        <w:t xml:space="preserve">Launched at the World Telecommunication Development Conference 2022, the </w:t>
      </w:r>
      <w:hyperlink r:id="rId101" w:history="1">
        <w:r w:rsidRPr="00D86D9B">
          <w:rPr>
            <w:rStyle w:val="Hyperlink"/>
            <w:rFonts w:cstheme="minorHAnsi"/>
            <w:b/>
            <w:bCs/>
            <w:i/>
            <w:iCs/>
            <w:color w:val="auto"/>
            <w:szCs w:val="24"/>
          </w:rPr>
          <w:t>Global Connectivity Report 2022</w:t>
        </w:r>
      </w:hyperlink>
      <w:r w:rsidRPr="00D86D9B">
        <w:rPr>
          <w:rFonts w:cstheme="minorHAnsi"/>
          <w:i/>
          <w:iCs/>
          <w:szCs w:val="24"/>
        </w:rPr>
        <w:t xml:space="preserve"> </w:t>
      </w:r>
      <w:r w:rsidRPr="00D86D9B">
        <w:rPr>
          <w:rFonts w:cstheme="minorHAnsi"/>
          <w:szCs w:val="24"/>
        </w:rPr>
        <w:t>provides a detailed assessment of the current state of connectivity and features solutions and good practices to accelerate progress towards universal and meaningful connectivity.</w:t>
      </w:r>
    </w:p>
    <w:p w14:paraId="4FAFB947" w14:textId="77777777" w:rsidR="00B406B4" w:rsidRPr="00D86D9B" w:rsidRDefault="00B406B4" w:rsidP="00D86D9B">
      <w:pPr>
        <w:spacing w:after="120"/>
        <w:rPr>
          <w:rFonts w:cstheme="minorHAnsi"/>
          <w:szCs w:val="24"/>
        </w:rPr>
      </w:pPr>
      <w:r w:rsidRPr="00D86D9B">
        <w:rPr>
          <w:rFonts w:cstheme="minorHAnsi"/>
          <w:szCs w:val="24"/>
        </w:rPr>
        <w:t xml:space="preserve">Released in November 2022, the flagship publication </w:t>
      </w:r>
      <w:hyperlink r:id="rId102" w:history="1">
        <w:r w:rsidRPr="00D86D9B">
          <w:rPr>
            <w:rStyle w:val="Hyperlink"/>
            <w:rFonts w:cstheme="minorHAnsi"/>
            <w:b/>
            <w:bCs/>
            <w:i/>
            <w:iCs/>
            <w:color w:val="auto"/>
            <w:szCs w:val="24"/>
          </w:rPr>
          <w:t>Facts and Figures</w:t>
        </w:r>
      </w:hyperlink>
      <w:r w:rsidRPr="00D86D9B">
        <w:rPr>
          <w:rFonts w:cstheme="minorHAnsi"/>
          <w:szCs w:val="24"/>
        </w:rPr>
        <w:t xml:space="preserve"> features estimates for 2022 for the world, regions and special country groups for key indicators, providing a timely overview of the state of connectivity around the world. With its hard evidence and global reach, </w:t>
      </w:r>
      <w:r w:rsidRPr="00D86D9B">
        <w:rPr>
          <w:rFonts w:cstheme="minorHAnsi"/>
          <w:i/>
          <w:iCs/>
          <w:szCs w:val="24"/>
        </w:rPr>
        <w:t>Facts and Figures</w:t>
      </w:r>
      <w:r w:rsidRPr="00D86D9B">
        <w:rPr>
          <w:rFonts w:cstheme="minorHAnsi"/>
          <w:szCs w:val="24"/>
        </w:rPr>
        <w:t xml:space="preserve"> is a powerful advocacy tool to put digital development on top of the policy agenda.</w:t>
      </w:r>
    </w:p>
    <w:p w14:paraId="2363B03D" w14:textId="77777777" w:rsidR="00B406B4" w:rsidRPr="00D86D9B" w:rsidRDefault="00B406B4" w:rsidP="00D86D9B">
      <w:pPr>
        <w:spacing w:after="120"/>
        <w:rPr>
          <w:rFonts w:cstheme="minorHAnsi"/>
          <w:szCs w:val="24"/>
        </w:rPr>
      </w:pPr>
      <w:r w:rsidRPr="00D86D9B">
        <w:rPr>
          <w:rFonts w:cstheme="minorHAnsi"/>
          <w:szCs w:val="24"/>
        </w:rPr>
        <w:t>Released in April 2022, the</w:t>
      </w:r>
      <w:r w:rsidRPr="00D86D9B">
        <w:rPr>
          <w:rFonts w:cstheme="minorHAnsi"/>
          <w:b/>
          <w:bCs/>
          <w:szCs w:val="24"/>
        </w:rPr>
        <w:t xml:space="preserve"> </w:t>
      </w:r>
      <w:hyperlink r:id="rId103" w:history="1">
        <w:r w:rsidRPr="00D86D9B">
          <w:rPr>
            <w:rStyle w:val="Hyperlink"/>
            <w:rFonts w:cstheme="minorHAnsi"/>
            <w:b/>
            <w:bCs/>
            <w:i/>
            <w:iCs/>
            <w:color w:val="auto"/>
            <w:szCs w:val="24"/>
          </w:rPr>
          <w:t>Policy Brief on Affordability of ICT Prices 2021</w:t>
        </w:r>
      </w:hyperlink>
      <w:r w:rsidRPr="00D86D9B">
        <w:rPr>
          <w:rFonts w:cstheme="minorHAnsi"/>
          <w:szCs w:val="24"/>
        </w:rPr>
        <w:t xml:space="preserve"> and its accompanying </w:t>
      </w:r>
      <w:hyperlink r:id="rId104" w:history="1">
        <w:r w:rsidRPr="00D86D9B">
          <w:rPr>
            <w:rStyle w:val="Hyperlink"/>
            <w:rFonts w:cstheme="minorHAnsi"/>
            <w:color w:val="auto"/>
            <w:szCs w:val="24"/>
          </w:rPr>
          <w:t>data tool</w:t>
        </w:r>
      </w:hyperlink>
      <w:r w:rsidRPr="00D86D9B">
        <w:rPr>
          <w:rFonts w:cstheme="minorHAnsi"/>
          <w:szCs w:val="24"/>
        </w:rPr>
        <w:t xml:space="preserve"> highlights the digital vulnerability of poorer communities, where people face a hard choice between having connectivity, which has become an even greater necessity in the pandemic and meeting other basic needs. </w:t>
      </w:r>
    </w:p>
    <w:p w14:paraId="426CC6A9" w14:textId="77777777" w:rsidR="00B406B4" w:rsidRPr="00D86D9B" w:rsidRDefault="00B406B4" w:rsidP="00D86D9B">
      <w:pPr>
        <w:spacing w:after="120"/>
        <w:rPr>
          <w:rFonts w:cstheme="minorHAnsi"/>
          <w:szCs w:val="24"/>
        </w:rPr>
      </w:pPr>
      <w:r w:rsidRPr="00D86D9B">
        <w:rPr>
          <w:rFonts w:cstheme="minorHAnsi"/>
          <w:szCs w:val="24"/>
        </w:rPr>
        <w:t xml:space="preserve">Achieving universal and meaningful digital connectivity —the possibility for everyone to enjoy a safe, satisfying, enriching, productive and affordable online experience— is key for enabling digital transformation and meeting the Sustainable Development Goals. In April 2022, as part of the implementation of the UN Secretary-General’s Roadmap for Digital Cooperation, ITU and the Office of the UN Secretary-General’s Envoy on Technology launched a set of aspirational </w:t>
      </w:r>
      <w:hyperlink r:id="rId105" w:history="1">
        <w:r w:rsidRPr="00D86D9B">
          <w:rPr>
            <w:rStyle w:val="Hyperlink"/>
            <w:rFonts w:cstheme="minorHAnsi"/>
            <w:b/>
            <w:bCs/>
            <w:color w:val="auto"/>
            <w:szCs w:val="24"/>
          </w:rPr>
          <w:t>Targets for universal and meaningful connectivity</w:t>
        </w:r>
      </w:hyperlink>
      <w:r w:rsidRPr="00D86D9B">
        <w:rPr>
          <w:rFonts w:cstheme="minorHAnsi"/>
          <w:szCs w:val="24"/>
        </w:rPr>
        <w:t>, following a long consultative process. The targets will help prioritize interventions, monitor progress, evaluate policy effectiveness, and galvanize efforts around achieving universal and meaningful connectivity by the end of the decade.</w:t>
      </w:r>
    </w:p>
    <w:p w14:paraId="620E2B91" w14:textId="77777777" w:rsidR="00B406B4" w:rsidRPr="00D86D9B" w:rsidRDefault="00B406B4" w:rsidP="00D86D9B">
      <w:pPr>
        <w:pStyle w:val="Heading3"/>
        <w:spacing w:before="120" w:after="120"/>
        <w:rPr>
          <w:szCs w:val="24"/>
          <w:lang w:val="en-US"/>
        </w:rPr>
      </w:pPr>
      <w:r w:rsidRPr="00D86D9B">
        <w:rPr>
          <w:szCs w:val="24"/>
          <w:lang w:val="en-US"/>
        </w:rPr>
        <w:t xml:space="preserve">Measuring digital development </w:t>
      </w:r>
    </w:p>
    <w:p w14:paraId="54AA4246" w14:textId="77777777" w:rsidR="00B406B4" w:rsidRPr="00D86D9B" w:rsidRDefault="00B406B4" w:rsidP="00D86D9B">
      <w:pPr>
        <w:spacing w:after="120"/>
        <w:rPr>
          <w:rFonts w:cstheme="minorHAnsi"/>
          <w:szCs w:val="24"/>
        </w:rPr>
      </w:pPr>
      <w:r w:rsidRPr="00D86D9B">
        <w:rPr>
          <w:rFonts w:cstheme="minorHAnsi"/>
          <w:szCs w:val="24"/>
        </w:rPr>
        <w:t xml:space="preserve">The beta version of the </w:t>
      </w:r>
      <w:hyperlink r:id="rId106" w:history="1">
        <w:proofErr w:type="spellStart"/>
        <w:r w:rsidRPr="00D86D9B">
          <w:rPr>
            <w:rStyle w:val="Hyperlink"/>
            <w:rFonts w:cstheme="minorHAnsi"/>
            <w:b/>
            <w:bCs/>
            <w:color w:val="auto"/>
            <w:szCs w:val="24"/>
          </w:rPr>
          <w:t>DataHub</w:t>
        </w:r>
        <w:proofErr w:type="spellEnd"/>
      </w:hyperlink>
      <w:r w:rsidRPr="00D86D9B">
        <w:rPr>
          <w:rFonts w:cstheme="minorHAnsi"/>
          <w:szCs w:val="24"/>
        </w:rPr>
        <w:t xml:space="preserve"> was released in April 2022. ITU’s new data platform is the world’s richest source of ICT statistics and regulatory information, featuring hundreds of ICT indicators on connectivity, markets, affordability, trust governance, and sustainability. </w:t>
      </w:r>
    </w:p>
    <w:p w14:paraId="22BD6726" w14:textId="77777777" w:rsidR="00B406B4" w:rsidRPr="00D86D9B" w:rsidRDefault="00B406B4" w:rsidP="00D86D9B">
      <w:pPr>
        <w:spacing w:after="120"/>
        <w:rPr>
          <w:rFonts w:cstheme="minorHAnsi"/>
          <w:szCs w:val="24"/>
        </w:rPr>
      </w:pPr>
      <w:r w:rsidRPr="00D86D9B">
        <w:rPr>
          <w:rFonts w:cstheme="minorHAnsi"/>
          <w:szCs w:val="24"/>
        </w:rPr>
        <w:t xml:space="preserve">Issued in November 2022, the </w:t>
      </w:r>
      <w:hyperlink r:id="rId107" w:history="1">
        <w:r w:rsidRPr="00D86D9B">
          <w:rPr>
            <w:rStyle w:val="Hyperlink"/>
            <w:rFonts w:cstheme="minorHAnsi"/>
            <w:b/>
            <w:bCs/>
            <w:color w:val="auto"/>
            <w:szCs w:val="24"/>
          </w:rPr>
          <w:t>Guidelines on using Mobile Phone Big Data for Measuring ICT SDG Indicators</w:t>
        </w:r>
      </w:hyperlink>
      <w:r w:rsidRPr="00D86D9B">
        <w:rPr>
          <w:rFonts w:cstheme="minorHAnsi"/>
          <w:szCs w:val="24"/>
        </w:rPr>
        <w:t xml:space="preserve"> provide methodologies on how to use mobile phone data to calculate two SDG ICT indicators (mobile population coverage, Internet use). This output is part of ITU’s </w:t>
      </w:r>
      <w:hyperlink r:id="rId108" w:history="1">
        <w:r w:rsidRPr="00D86D9B">
          <w:rPr>
            <w:rStyle w:val="Hyperlink"/>
            <w:rFonts w:cstheme="minorHAnsi"/>
            <w:color w:val="auto"/>
            <w:szCs w:val="24"/>
          </w:rPr>
          <w:t>ongoing work on using big data</w:t>
        </w:r>
      </w:hyperlink>
      <w:r w:rsidRPr="00D86D9B">
        <w:rPr>
          <w:rFonts w:cstheme="minorHAnsi"/>
          <w:szCs w:val="24"/>
        </w:rPr>
        <w:t>.</w:t>
      </w:r>
    </w:p>
    <w:p w14:paraId="572AEFF9" w14:textId="77777777" w:rsidR="00B406B4" w:rsidRPr="00D86D9B" w:rsidRDefault="009C6393" w:rsidP="00D86D9B">
      <w:pPr>
        <w:spacing w:after="120"/>
        <w:rPr>
          <w:rFonts w:cstheme="minorHAnsi"/>
          <w:szCs w:val="24"/>
        </w:rPr>
      </w:pPr>
      <w:hyperlink r:id="rId109" w:history="1">
        <w:r w:rsidR="00B406B4" w:rsidRPr="00D86D9B">
          <w:rPr>
            <w:rStyle w:val="Hyperlink"/>
            <w:rFonts w:cstheme="minorHAnsi"/>
            <w:b/>
            <w:bCs/>
            <w:color w:val="auto"/>
            <w:szCs w:val="24"/>
          </w:rPr>
          <w:t>WTDC Resolution 8</w:t>
        </w:r>
      </w:hyperlink>
      <w:r w:rsidR="00B406B4" w:rsidRPr="00D86D9B">
        <w:rPr>
          <w:rFonts w:cstheme="minorHAnsi"/>
          <w:szCs w:val="24"/>
        </w:rPr>
        <w:t xml:space="preserve"> on Collection and dissemination of information and statistics was revised during WTDC in June 2022. </w:t>
      </w:r>
      <w:hyperlink r:id="rId110" w:history="1">
        <w:r w:rsidR="00B406B4" w:rsidRPr="00D86D9B">
          <w:rPr>
            <w:rStyle w:val="Hyperlink"/>
            <w:rFonts w:cstheme="minorHAnsi"/>
            <w:b/>
            <w:bCs/>
            <w:color w:val="auto"/>
            <w:szCs w:val="24"/>
          </w:rPr>
          <w:t>PP Resolution 131</w:t>
        </w:r>
      </w:hyperlink>
      <w:r w:rsidR="00B406B4" w:rsidRPr="00D86D9B">
        <w:rPr>
          <w:rFonts w:cstheme="minorHAnsi"/>
          <w:b/>
          <w:bCs/>
          <w:szCs w:val="24"/>
        </w:rPr>
        <w:t xml:space="preserve"> </w:t>
      </w:r>
      <w:r w:rsidR="00B406B4" w:rsidRPr="00D86D9B">
        <w:rPr>
          <w:rFonts w:cstheme="minorHAnsi"/>
          <w:szCs w:val="24"/>
        </w:rPr>
        <w:t>on Measuring information and communication technologies to build an integrating and inclusive information society was revised at the Plenipotentiary Conference in Bucharest in October 2022. The next text provides clear guidance for reviewing and publishing the ICT Development Index (IDI).</w:t>
      </w:r>
    </w:p>
    <w:p w14:paraId="25451520" w14:textId="77777777" w:rsidR="00B406B4" w:rsidRPr="00D86D9B" w:rsidRDefault="00B406B4" w:rsidP="00D86D9B">
      <w:pPr>
        <w:spacing w:after="120"/>
        <w:rPr>
          <w:rFonts w:cstheme="minorHAnsi"/>
          <w:szCs w:val="24"/>
        </w:rPr>
      </w:pPr>
      <w:r w:rsidRPr="00D86D9B">
        <w:rPr>
          <w:rFonts w:cstheme="minorBidi"/>
          <w:szCs w:val="24"/>
        </w:rPr>
        <w:t>In 2022, direct assistance was provided to Azerbaijan to enhance national ICT statistics system and ensure their compliance with ITU standards.</w:t>
      </w:r>
    </w:p>
    <w:p w14:paraId="291C4262" w14:textId="23ECC855" w:rsidR="00B406B4" w:rsidRPr="00D86D9B" w:rsidRDefault="00B406B4" w:rsidP="00D86D9B">
      <w:pPr>
        <w:pStyle w:val="Heading1"/>
        <w:numPr>
          <w:ilvl w:val="0"/>
          <w:numId w:val="22"/>
        </w:numPr>
        <w:spacing w:before="120" w:after="120"/>
        <w:ind w:left="567" w:hanging="567"/>
        <w:rPr>
          <w:sz w:val="24"/>
          <w:szCs w:val="24"/>
          <w:lang w:val="en-US"/>
        </w:rPr>
      </w:pPr>
      <w:r w:rsidRPr="00D86D9B">
        <w:rPr>
          <w:sz w:val="24"/>
          <w:szCs w:val="24"/>
          <w:lang w:val="en-US"/>
        </w:rPr>
        <w:t>Study group work</w:t>
      </w:r>
    </w:p>
    <w:p w14:paraId="3C2B6013" w14:textId="77777777" w:rsidR="00B406B4" w:rsidRPr="00D86D9B" w:rsidRDefault="00B406B4" w:rsidP="00D86D9B">
      <w:pPr>
        <w:spacing w:after="120"/>
        <w:rPr>
          <w:rFonts w:cstheme="minorHAnsi"/>
          <w:szCs w:val="24"/>
          <w:lang w:val="en-US"/>
        </w:rPr>
      </w:pPr>
      <w:r w:rsidRPr="00D86D9B">
        <w:rPr>
          <w:rFonts w:cstheme="minorHAnsi"/>
          <w:szCs w:val="24"/>
        </w:rPr>
        <w:t xml:space="preserve">ITU-D Study Groups 1 and 2 (SG1 and SG2) were established in accordance with Resolution 2 (Rev. Kigali, 2022). Over the 2023-2026 cycle, SG1 will examine topics related to the enabling </w:t>
      </w:r>
      <w:r w:rsidRPr="00D86D9B">
        <w:rPr>
          <w:rFonts w:cstheme="minorHAnsi"/>
          <w:szCs w:val="24"/>
        </w:rPr>
        <w:lastRenderedPageBreak/>
        <w:t xml:space="preserve">environment for meaningful connectivity, through seven study Questions. SG2 will comprise nine questions on technical topics related to digital transformation. </w:t>
      </w:r>
    </w:p>
    <w:p w14:paraId="671194C3" w14:textId="5EEE36C0" w:rsidR="00B406B4" w:rsidRPr="00D86D9B" w:rsidRDefault="00B406B4" w:rsidP="00D86D9B">
      <w:pPr>
        <w:spacing w:after="120"/>
        <w:rPr>
          <w:rFonts w:cstheme="minorHAnsi"/>
          <w:bCs/>
          <w:szCs w:val="24"/>
          <w:lang w:val="en-US"/>
        </w:rPr>
      </w:pPr>
      <w:r w:rsidRPr="00D86D9B">
        <w:rPr>
          <w:rFonts w:cstheme="minorHAnsi"/>
          <w:bCs/>
          <w:szCs w:val="24"/>
        </w:rPr>
        <w:t>The first meeting of Study Group 1 following WTDC-22 took place 28 November to 2 December 2022</w:t>
      </w:r>
      <w:r w:rsidR="00662672" w:rsidRPr="00D86D9B">
        <w:rPr>
          <w:rFonts w:cstheme="minorHAnsi"/>
          <w:bCs/>
          <w:szCs w:val="24"/>
        </w:rPr>
        <w:t xml:space="preserve"> attracting</w:t>
      </w:r>
      <w:r w:rsidRPr="00D86D9B">
        <w:rPr>
          <w:rFonts w:cstheme="minorHAnsi"/>
          <w:bCs/>
          <w:szCs w:val="24"/>
        </w:rPr>
        <w:t xml:space="preserve"> 257 participants from over 63 countries. </w:t>
      </w:r>
      <w:r w:rsidRPr="00D86D9B">
        <w:rPr>
          <w:rFonts w:cstheme="minorHAnsi"/>
          <w:szCs w:val="24"/>
        </w:rPr>
        <w:t>94 contributions were received including 39 liaison statements</w:t>
      </w:r>
      <w:r w:rsidRPr="00D86D9B">
        <w:rPr>
          <w:rFonts w:eastAsiaTheme="majorEastAsia" w:cstheme="minorHAnsi"/>
          <w:szCs w:val="24"/>
        </w:rPr>
        <w:t xml:space="preserve">. Statistics summarizing participation by region, contributions by Question, and other data may be found in </w:t>
      </w:r>
      <w:r w:rsidR="00662672" w:rsidRPr="00D86D9B">
        <w:rPr>
          <w:rFonts w:eastAsiaTheme="majorEastAsia" w:cstheme="minorHAnsi"/>
          <w:szCs w:val="24"/>
        </w:rPr>
        <w:t xml:space="preserve">Document </w:t>
      </w:r>
      <w:hyperlink r:id="rId111" w:history="1">
        <w:r w:rsidRPr="00D86D9B">
          <w:rPr>
            <w:rStyle w:val="Hyperlink"/>
            <w:rFonts w:cstheme="minorHAnsi"/>
            <w:color w:val="auto"/>
            <w:szCs w:val="24"/>
          </w:rPr>
          <w:t>1/ADM/3</w:t>
        </w:r>
      </w:hyperlink>
      <w:r w:rsidRPr="00D86D9B">
        <w:rPr>
          <w:rFonts w:eastAsiaTheme="majorEastAsia" w:cstheme="minorHAnsi"/>
          <w:szCs w:val="24"/>
        </w:rPr>
        <w:t>.</w:t>
      </w:r>
      <w:r w:rsidRPr="00D86D9B">
        <w:rPr>
          <w:rFonts w:eastAsiaTheme="majorEastAsia" w:cstheme="minorHAnsi"/>
          <w:szCs w:val="24"/>
          <w:lang w:val="en-US"/>
        </w:rPr>
        <w:t xml:space="preserve"> </w:t>
      </w:r>
      <w:r w:rsidRPr="00D86D9B">
        <w:rPr>
          <w:rFonts w:cstheme="minorHAnsi"/>
          <w:bCs/>
          <w:szCs w:val="24"/>
          <w:lang w:val="en-US"/>
        </w:rPr>
        <w:t xml:space="preserve">All meeting documents can be downloaded from the </w:t>
      </w:r>
      <w:hyperlink r:id="rId112" w:history="1">
        <w:r w:rsidRPr="00D86D9B">
          <w:rPr>
            <w:rStyle w:val="Hyperlink"/>
            <w:rFonts w:eastAsiaTheme="majorEastAsia" w:cstheme="minorHAnsi"/>
            <w:color w:val="auto"/>
            <w:szCs w:val="24"/>
          </w:rPr>
          <w:t>meeting website</w:t>
        </w:r>
      </w:hyperlink>
      <w:r w:rsidRPr="00D86D9B">
        <w:rPr>
          <w:rFonts w:cstheme="minorHAnsi"/>
          <w:bCs/>
          <w:szCs w:val="24"/>
          <w:lang w:val="en-US"/>
        </w:rPr>
        <w:t xml:space="preserve">. </w:t>
      </w:r>
    </w:p>
    <w:p w14:paraId="2884F135" w14:textId="2666BED3" w:rsidR="00B406B4" w:rsidRPr="00D86D9B" w:rsidRDefault="00B406B4" w:rsidP="00D86D9B">
      <w:pPr>
        <w:spacing w:after="120"/>
        <w:rPr>
          <w:rFonts w:cstheme="minorHAnsi"/>
          <w:bCs/>
          <w:szCs w:val="24"/>
        </w:rPr>
      </w:pPr>
      <w:r w:rsidRPr="00D86D9B">
        <w:rPr>
          <w:rFonts w:cstheme="minorHAnsi"/>
          <w:bCs/>
          <w:szCs w:val="24"/>
        </w:rPr>
        <w:t xml:space="preserve">The first meeting of ITU-D Study Group 2 (SG2) following WTDC-22 was held from 5 to 9 December 2022 </w:t>
      </w:r>
      <w:r w:rsidR="00662672" w:rsidRPr="00D86D9B">
        <w:rPr>
          <w:rFonts w:cstheme="minorHAnsi"/>
          <w:bCs/>
          <w:szCs w:val="24"/>
        </w:rPr>
        <w:t xml:space="preserve">attracting </w:t>
      </w:r>
      <w:r w:rsidRPr="00D86D9B">
        <w:rPr>
          <w:rFonts w:cstheme="minorHAnsi"/>
          <w:bCs/>
          <w:szCs w:val="24"/>
        </w:rPr>
        <w:t xml:space="preserve">268 participants </w:t>
      </w:r>
      <w:r w:rsidR="00662672" w:rsidRPr="00D86D9B">
        <w:rPr>
          <w:rFonts w:cstheme="minorHAnsi"/>
          <w:bCs/>
          <w:szCs w:val="24"/>
        </w:rPr>
        <w:t>from</w:t>
      </w:r>
      <w:r w:rsidRPr="00D86D9B">
        <w:rPr>
          <w:rFonts w:cstheme="minorHAnsi"/>
          <w:bCs/>
          <w:szCs w:val="24"/>
        </w:rPr>
        <w:t xml:space="preserve"> 64 </w:t>
      </w:r>
      <w:r w:rsidR="00662672" w:rsidRPr="00D86D9B">
        <w:rPr>
          <w:rFonts w:cstheme="minorHAnsi"/>
          <w:bCs/>
          <w:szCs w:val="24"/>
        </w:rPr>
        <w:t>countries</w:t>
      </w:r>
      <w:r w:rsidRPr="00D86D9B">
        <w:rPr>
          <w:rFonts w:cstheme="minorHAnsi"/>
          <w:bCs/>
          <w:szCs w:val="24"/>
        </w:rPr>
        <w:t>. </w:t>
      </w:r>
      <w:r w:rsidR="00662672" w:rsidRPr="00D86D9B">
        <w:rPr>
          <w:rFonts w:cstheme="minorHAnsi"/>
          <w:bCs/>
          <w:szCs w:val="24"/>
        </w:rPr>
        <w:t>Some</w:t>
      </w:r>
      <w:r w:rsidRPr="00D86D9B">
        <w:rPr>
          <w:rFonts w:cstheme="minorHAnsi"/>
          <w:bCs/>
          <w:szCs w:val="24"/>
        </w:rPr>
        <w:t xml:space="preserve"> 96 documents were reviewed to advance the work. Statistics summarizing participation by region, contributions by Question, and other data may be found in Document </w:t>
      </w:r>
      <w:hyperlink r:id="rId113" w:tgtFrame="_blank" w:tooltip="https://www.itu.int/md/d22-sg02-adm-0003/en" w:history="1">
        <w:r w:rsidRPr="00D86D9B">
          <w:rPr>
            <w:rStyle w:val="Hyperlink"/>
            <w:rFonts w:cstheme="minorHAnsi"/>
            <w:bCs/>
            <w:color w:val="auto"/>
            <w:szCs w:val="24"/>
          </w:rPr>
          <w:t>2/ADM/3</w:t>
        </w:r>
      </w:hyperlink>
      <w:r w:rsidRPr="00D86D9B">
        <w:rPr>
          <w:rFonts w:cstheme="minorHAnsi"/>
          <w:bCs/>
          <w:szCs w:val="24"/>
        </w:rPr>
        <w:t>.</w:t>
      </w:r>
    </w:p>
    <w:p w14:paraId="47CFFEC9" w14:textId="2EEBF9D5" w:rsidR="00B406B4" w:rsidRPr="00D86D9B" w:rsidRDefault="00B406B4" w:rsidP="00D86D9B">
      <w:pPr>
        <w:spacing w:after="120"/>
        <w:rPr>
          <w:rFonts w:cstheme="minorHAnsi"/>
          <w:bCs/>
          <w:szCs w:val="24"/>
        </w:rPr>
      </w:pPr>
      <w:r w:rsidRPr="00D86D9B">
        <w:rPr>
          <w:rFonts w:cstheme="minorHAnsi"/>
          <w:bCs/>
          <w:szCs w:val="24"/>
        </w:rPr>
        <w:t>In both study groups, the first meetings considered the expected results agreed on by the membership at WTDC-22, identified methods for conducting its work and developing draft work plans for each study Question. Draft initial outlines and tables of contents of the expected outputs for all Questions and detailed lists of responsibilities were also prepared. They also formed 14 rapporteur group management teams by appointing new rapporteurs and co-rapporteurs and vice-rapporteurs to lead the Questions under study. Several topics and proposals for collaboration were also explored with other ITU Sectors and expert groups, as well as synergies with BDT projects and initiatives. Onboarding sessions took place during the plenaries of both study groups which aimed to help, in particular new delegates, by providing an overview of the study groups and various information to help them to get involved in the activities of the study groups. </w:t>
      </w:r>
    </w:p>
    <w:p w14:paraId="116E44C8" w14:textId="04635253" w:rsidR="00B406B4" w:rsidRPr="00D86D9B" w:rsidRDefault="00B406B4" w:rsidP="00D86D9B">
      <w:pPr>
        <w:pStyle w:val="Heading1"/>
        <w:numPr>
          <w:ilvl w:val="0"/>
          <w:numId w:val="22"/>
        </w:numPr>
        <w:spacing w:before="120" w:after="120"/>
        <w:ind w:left="567" w:hanging="567"/>
        <w:rPr>
          <w:sz w:val="24"/>
          <w:szCs w:val="24"/>
          <w:lang w:val="en-US"/>
        </w:rPr>
      </w:pPr>
      <w:r w:rsidRPr="00D86D9B">
        <w:rPr>
          <w:sz w:val="24"/>
          <w:szCs w:val="24"/>
          <w:lang w:val="en-US"/>
        </w:rPr>
        <w:t>Regional Development Forums</w:t>
      </w:r>
    </w:p>
    <w:p w14:paraId="23AB00F9" w14:textId="77777777" w:rsidR="00B406B4" w:rsidRPr="00D86D9B" w:rsidRDefault="79E6254C" w:rsidP="00D86D9B">
      <w:pPr>
        <w:tabs>
          <w:tab w:val="left" w:pos="1134"/>
          <w:tab w:val="left" w:pos="1871"/>
          <w:tab w:val="left" w:pos="2268"/>
        </w:tabs>
        <w:spacing w:after="120"/>
        <w:rPr>
          <w:rFonts w:eastAsia="MS Mincho" w:cstheme="minorBidi"/>
          <w:szCs w:val="24"/>
        </w:rPr>
      </w:pPr>
      <w:r w:rsidRPr="00D86D9B">
        <w:rPr>
          <w:rFonts w:cstheme="minorBidi"/>
          <w:szCs w:val="24"/>
        </w:rPr>
        <w:t>In 2022, the Regional CIS Forum held in February 2022 brough together in hybrid format more than 190 participants from 10 countries (Azerbaijan, Armenia, Belarus, Kazakhstan, Kenya, Kyrgyzstan, Russia, Turkmenistan, Uzbekistan и Switzerland) representing national telecommunication administrations, municipal authorities, international organizations, R&amp;D establishments, communication operators, digital services providers and the private sector.</w:t>
      </w:r>
    </w:p>
    <w:p w14:paraId="54D21194" w14:textId="3C084B39" w:rsidR="2540857E" w:rsidRPr="00D86D9B" w:rsidRDefault="2540857E" w:rsidP="00D86D9B">
      <w:pPr>
        <w:tabs>
          <w:tab w:val="left" w:pos="1134"/>
          <w:tab w:val="left" w:pos="1871"/>
          <w:tab w:val="left" w:pos="2268"/>
        </w:tabs>
        <w:spacing w:after="120"/>
        <w:rPr>
          <w:rFonts w:eastAsia="MS Mincho" w:cstheme="minorBidi"/>
          <w:szCs w:val="24"/>
        </w:rPr>
      </w:pPr>
      <w:r w:rsidRPr="00D86D9B">
        <w:rPr>
          <w:rFonts w:eastAsia="MS Mincho" w:cstheme="minorBidi"/>
          <w:szCs w:val="24"/>
        </w:rPr>
        <w:t xml:space="preserve">The Arab States RDF Forum was held </w:t>
      </w:r>
      <w:r w:rsidR="78B8C61A" w:rsidRPr="00D86D9B">
        <w:rPr>
          <w:rFonts w:eastAsia="MS Mincho" w:cstheme="minorBidi"/>
          <w:szCs w:val="24"/>
        </w:rPr>
        <w:t xml:space="preserve">virtually </w:t>
      </w:r>
      <w:r w:rsidRPr="00D86D9B">
        <w:rPr>
          <w:rFonts w:eastAsia="MS Mincho" w:cstheme="minorBidi"/>
          <w:szCs w:val="24"/>
        </w:rPr>
        <w:t xml:space="preserve">with over 150 </w:t>
      </w:r>
      <w:r w:rsidR="5899D468" w:rsidRPr="00D86D9B">
        <w:rPr>
          <w:rFonts w:eastAsia="MS Mincho" w:cstheme="minorBidi"/>
          <w:szCs w:val="24"/>
        </w:rPr>
        <w:t>participants</w:t>
      </w:r>
      <w:r w:rsidRPr="00D86D9B">
        <w:rPr>
          <w:rFonts w:eastAsia="MS Mincho" w:cstheme="minorBidi"/>
          <w:szCs w:val="24"/>
        </w:rPr>
        <w:t xml:space="preserve"> from the region engaging in the discussion which included the progress in the regional office as well as the ma</w:t>
      </w:r>
      <w:r w:rsidR="7610C997" w:rsidRPr="00D86D9B">
        <w:rPr>
          <w:rFonts w:eastAsia="MS Mincho" w:cstheme="minorBidi"/>
          <w:szCs w:val="24"/>
        </w:rPr>
        <w:t>jor initiatives in the regional office to be considered by the region in its planning.</w:t>
      </w:r>
    </w:p>
    <w:p w14:paraId="63AC5C6F" w14:textId="25F82F44" w:rsidR="00B406B4" w:rsidRPr="00D86D9B" w:rsidRDefault="00B406B4" w:rsidP="00D86D9B">
      <w:pPr>
        <w:pStyle w:val="Heading1"/>
        <w:numPr>
          <w:ilvl w:val="0"/>
          <w:numId w:val="22"/>
        </w:numPr>
        <w:spacing w:before="120" w:after="120"/>
        <w:ind w:left="567" w:hanging="567"/>
        <w:rPr>
          <w:sz w:val="24"/>
          <w:szCs w:val="24"/>
          <w:lang w:val="en-US"/>
        </w:rPr>
      </w:pPr>
      <w:r w:rsidRPr="00D86D9B">
        <w:rPr>
          <w:sz w:val="24"/>
          <w:szCs w:val="24"/>
          <w:lang w:val="en-US"/>
        </w:rPr>
        <w:t>UN Collaboration</w:t>
      </w:r>
    </w:p>
    <w:p w14:paraId="6662F7AC" w14:textId="77777777" w:rsidR="00B406B4" w:rsidRPr="00D86D9B" w:rsidRDefault="00B406B4" w:rsidP="00D86D9B">
      <w:pPr>
        <w:spacing w:after="120"/>
        <w:rPr>
          <w:rFonts w:cstheme="minorHAnsi"/>
          <w:szCs w:val="24"/>
          <w:lang w:val="en-US"/>
        </w:rPr>
      </w:pPr>
      <w:r w:rsidRPr="00D86D9B">
        <w:rPr>
          <w:rFonts w:cstheme="minorHAnsi"/>
          <w:szCs w:val="24"/>
          <w:lang w:val="en-US"/>
        </w:rPr>
        <w:t xml:space="preserve">BDT has continued to play an instrumental role in a number of partnerships and joint initiatives with the UN Secretariat and UN Specialized Agencies. </w:t>
      </w:r>
    </w:p>
    <w:p w14:paraId="7DC46A28" w14:textId="77777777" w:rsidR="00B406B4" w:rsidRPr="00D86D9B" w:rsidRDefault="00B406B4" w:rsidP="00D86D9B">
      <w:pPr>
        <w:spacing w:after="120"/>
        <w:rPr>
          <w:rFonts w:cstheme="minorHAnsi"/>
          <w:szCs w:val="24"/>
          <w:lang w:val="en-US"/>
        </w:rPr>
      </w:pPr>
      <w:r w:rsidRPr="00D86D9B">
        <w:rPr>
          <w:rFonts w:cstheme="minorHAnsi"/>
          <w:szCs w:val="24"/>
          <w:lang w:val="en-US"/>
        </w:rPr>
        <w:t>Launched in March 2022, the UN Secretary General set up the UN Early Warning for All initiative (EW4A) that stipulates that “in 5 years every person in the world should be protected by an early warning system”. WMO and UNDRR are in charge of the overall lead of this initiative and ITU is leading on the pillar on ‘Warning Dissemination and Communication’ with the support from UNDP, REAP, IFRC, WMO, and IOM. This pillar highlights the new opportunities brought by ICT growth to reach people at risk, especially on the use of mobile networks for alerting via cell broadcast, as well as the importance of people-centered approach and community engagement to make sure the alerts are understandable and actionable.</w:t>
      </w:r>
    </w:p>
    <w:p w14:paraId="73297737" w14:textId="77777777" w:rsidR="00B406B4" w:rsidRPr="00D86D9B" w:rsidRDefault="00B406B4" w:rsidP="00D86D9B">
      <w:pPr>
        <w:spacing w:after="120"/>
        <w:rPr>
          <w:rFonts w:cstheme="minorHAnsi"/>
          <w:szCs w:val="24"/>
        </w:rPr>
      </w:pPr>
      <w:r w:rsidRPr="00D86D9B">
        <w:rPr>
          <w:rFonts w:cstheme="minorHAnsi"/>
          <w:szCs w:val="24"/>
        </w:rPr>
        <w:t xml:space="preserve">ITU, the Digital Public Goods Alliance (DPGA) and the World Meteorological Organization (WMO) issued a call and </w:t>
      </w:r>
      <w:hyperlink r:id="rId114" w:history="1">
        <w:r w:rsidRPr="00D86D9B">
          <w:rPr>
            <w:rStyle w:val="Hyperlink"/>
            <w:rFonts w:cstheme="minorHAnsi"/>
            <w:color w:val="auto"/>
            <w:szCs w:val="24"/>
          </w:rPr>
          <w:t>report</w:t>
        </w:r>
      </w:hyperlink>
      <w:r w:rsidRPr="00D86D9B">
        <w:rPr>
          <w:rFonts w:cstheme="minorHAnsi"/>
          <w:szCs w:val="24"/>
        </w:rPr>
        <w:t xml:space="preserve"> for weather, climate &amp; hydrological information datasets to be made open </w:t>
      </w:r>
      <w:r w:rsidRPr="00D86D9B">
        <w:rPr>
          <w:rFonts w:cstheme="minorHAnsi"/>
          <w:szCs w:val="24"/>
        </w:rPr>
        <w:lastRenderedPageBreak/>
        <w:t>and freely available as digital public goods. This was driven by the efforts of the DPGA's Climate Change Adaptation Community of Practice that focused on DPGs with the potential to impact climate and weather services.</w:t>
      </w:r>
    </w:p>
    <w:p w14:paraId="18CF6E65" w14:textId="77777777" w:rsidR="00B406B4" w:rsidRPr="00D86D9B" w:rsidRDefault="00B406B4" w:rsidP="00D86D9B">
      <w:pPr>
        <w:spacing w:after="120"/>
        <w:rPr>
          <w:rFonts w:cstheme="minorHAnsi"/>
          <w:bCs/>
          <w:szCs w:val="24"/>
        </w:rPr>
      </w:pPr>
      <w:r w:rsidRPr="00D86D9B">
        <w:rPr>
          <w:rFonts w:cstheme="minorHAnsi"/>
          <w:bCs/>
          <w:szCs w:val="24"/>
        </w:rPr>
        <w:t xml:space="preserve">BDT remains involved in the </w:t>
      </w:r>
      <w:hyperlink r:id="rId115" w:history="1">
        <w:r w:rsidRPr="00D86D9B">
          <w:rPr>
            <w:rStyle w:val="Hyperlink"/>
            <w:rFonts w:cstheme="minorHAnsi"/>
            <w:bCs/>
            <w:color w:val="auto"/>
            <w:szCs w:val="24"/>
          </w:rPr>
          <w:t>Circular Electronics Partnership (CEP)</w:t>
        </w:r>
      </w:hyperlink>
      <w:r w:rsidRPr="00D86D9B">
        <w:rPr>
          <w:rFonts w:cstheme="minorHAnsi"/>
          <w:bCs/>
          <w:szCs w:val="24"/>
        </w:rPr>
        <w:t xml:space="preserve"> which includes almost 50 companies who have come together to develop an industry vision and roadmap until 2030 for the electronics sector. Earlier this year, a </w:t>
      </w:r>
      <w:hyperlink r:id="rId116" w:history="1">
        <w:r w:rsidRPr="00D86D9B">
          <w:rPr>
            <w:rStyle w:val="Hyperlink"/>
            <w:rFonts w:cstheme="minorHAnsi"/>
            <w:bCs/>
            <w:color w:val="auto"/>
            <w:szCs w:val="24"/>
          </w:rPr>
          <w:t>blueprint for action</w:t>
        </w:r>
      </w:hyperlink>
      <w:r w:rsidRPr="00D86D9B">
        <w:rPr>
          <w:rFonts w:cstheme="minorHAnsi"/>
          <w:bCs/>
          <w:szCs w:val="24"/>
        </w:rPr>
        <w:t xml:space="preserve"> which establishes a common understanding of what the CEP means by “circular electronics” and the system needed for change at scale. </w:t>
      </w:r>
    </w:p>
    <w:p w14:paraId="2C58812D" w14:textId="1C916BA1" w:rsidR="00825548" w:rsidRPr="00D86D9B" w:rsidRDefault="00825548" w:rsidP="00D86D9B">
      <w:pPr>
        <w:spacing w:after="120"/>
        <w:rPr>
          <w:rFonts w:cstheme="minorHAnsi"/>
          <w:szCs w:val="24"/>
        </w:rPr>
      </w:pPr>
      <w:r w:rsidRPr="00D86D9B">
        <w:rPr>
          <w:rFonts w:cstheme="minorHAnsi"/>
          <w:szCs w:val="24"/>
        </w:rPr>
        <w:t xml:space="preserve">In the Africa region, </w:t>
      </w:r>
      <w:r w:rsidR="00A93E6D" w:rsidRPr="00D86D9B">
        <w:rPr>
          <w:rFonts w:cstheme="minorHAnsi"/>
          <w:szCs w:val="24"/>
        </w:rPr>
        <w:t>w</w:t>
      </w:r>
      <w:r w:rsidRPr="00D86D9B">
        <w:rPr>
          <w:rFonts w:cstheme="minorHAnsi"/>
          <w:szCs w:val="24"/>
        </w:rPr>
        <w:t>ithin the framework of the activities under the International Centre of Digital Innovation (I-</w:t>
      </w:r>
      <w:proofErr w:type="spellStart"/>
      <w:r w:rsidRPr="00D86D9B">
        <w:rPr>
          <w:rFonts w:cstheme="minorHAnsi"/>
          <w:szCs w:val="24"/>
        </w:rPr>
        <w:t>CoDI</w:t>
      </w:r>
      <w:proofErr w:type="spellEnd"/>
      <w:r w:rsidRPr="00D86D9B">
        <w:rPr>
          <w:rFonts w:cstheme="minorHAnsi"/>
          <w:szCs w:val="24"/>
        </w:rPr>
        <w:t>), a Regional Hub for Africa has been established with dedicated physical space in the Regional Office that aims to bring together different partners and create synergies around ongoing activities using different innovative approaches, tools and processes that can solve complex connectivity challenges for meaningful connectivity. It also aims to foster collaboration across governments, UN</w:t>
      </w:r>
      <w:r w:rsidR="00FA239B" w:rsidRPr="00D86D9B">
        <w:rPr>
          <w:rFonts w:cstheme="minorHAnsi"/>
          <w:szCs w:val="24"/>
        </w:rPr>
        <w:t>CTs</w:t>
      </w:r>
      <w:r w:rsidRPr="00D86D9B">
        <w:rPr>
          <w:rFonts w:cstheme="minorHAnsi"/>
          <w:szCs w:val="24"/>
        </w:rPr>
        <w:t xml:space="preserve">, development partners, private sector, academia and other stakeholders to implement joint initiatives to advance digital transformation in the Africa region. </w:t>
      </w:r>
    </w:p>
    <w:p w14:paraId="5A6056C4" w14:textId="76E70AD6" w:rsidR="00825548" w:rsidRPr="00D86D9B" w:rsidRDefault="00825548" w:rsidP="00D86D9B">
      <w:pPr>
        <w:spacing w:after="120"/>
        <w:rPr>
          <w:rFonts w:cstheme="minorHAnsi"/>
          <w:szCs w:val="24"/>
        </w:rPr>
      </w:pPr>
      <w:r w:rsidRPr="00D86D9B">
        <w:rPr>
          <w:rFonts w:cstheme="minorHAnsi"/>
          <w:szCs w:val="24"/>
        </w:rPr>
        <w:t>the Cabo Verde UN</w:t>
      </w:r>
      <w:r w:rsidR="00FA239B" w:rsidRPr="00D86D9B">
        <w:rPr>
          <w:rFonts w:cstheme="minorHAnsi"/>
          <w:szCs w:val="24"/>
        </w:rPr>
        <w:t>CT</w:t>
      </w:r>
      <w:r w:rsidRPr="00D86D9B">
        <w:rPr>
          <w:rFonts w:cstheme="minorHAnsi"/>
          <w:szCs w:val="24"/>
        </w:rPr>
        <w:t xml:space="preserve"> team joint initiative on ‘Digital strategy and financing’, a partnership of exchanges at the national level built on shared goals and priorities, placing the country’s digital development at the centre, 'has been established to optimize development cooperation and resource mobilization between UN agencies (UN-ITU-UNECA) and Multilateral Development Banks (World Bank, AfDB). ITU is contributing to rural and school connectivity and digital skills for youth for the next United Nations Cooperation Framework (UNCF) 2023-2027. Building on this platform of exchanges, ITU and UN will collaborate to implement programmes in line with the Digital Cabo Verde Agenda.</w:t>
      </w:r>
      <w:r w:rsidR="005E75F3">
        <w:rPr>
          <w:rFonts w:cstheme="minorHAnsi"/>
          <w:szCs w:val="24"/>
        </w:rPr>
        <w:t xml:space="preserve"> </w:t>
      </w:r>
    </w:p>
    <w:p w14:paraId="051E3D71" w14:textId="6EF2A738" w:rsidR="00825548" w:rsidRPr="00D86D9B" w:rsidRDefault="00825548" w:rsidP="00D86D9B">
      <w:pPr>
        <w:spacing w:after="120"/>
        <w:rPr>
          <w:rFonts w:cstheme="minorHAnsi"/>
          <w:szCs w:val="24"/>
        </w:rPr>
      </w:pPr>
      <w:r w:rsidRPr="00D86D9B">
        <w:rPr>
          <w:rFonts w:cstheme="minorHAnsi"/>
          <w:szCs w:val="24"/>
        </w:rPr>
        <w:t xml:space="preserve">The ITU and United Kingdom’s FCDO partnership around four streams of work to support digital inclusion in Digital Access Partnership countries in Africa, namely support toward a strengthened enabling policy and regulatory environment, sustainable connectivity models, partnerships, and digital skills, saw stakeholders engaged through the work in Kenya and Nigeria and new work launched in South Africa. The platform provided for stakeholders in the national ecosystem to engage, share, and tap into each other’s expertise and insights for future joint work. </w:t>
      </w:r>
    </w:p>
    <w:p w14:paraId="62912A0C" w14:textId="4C69A791" w:rsidR="00994DC8" w:rsidRPr="00D86D9B" w:rsidRDefault="00994DC8" w:rsidP="00D86D9B">
      <w:pPr>
        <w:spacing w:after="120"/>
        <w:rPr>
          <w:rFonts w:cstheme="minorHAnsi"/>
          <w:szCs w:val="24"/>
          <w:lang w:val="en-US"/>
        </w:rPr>
      </w:pPr>
      <w:r w:rsidRPr="00D86D9B">
        <w:rPr>
          <w:rFonts w:cstheme="minorHAnsi"/>
          <w:szCs w:val="24"/>
          <w:lang w:val="en-US"/>
        </w:rPr>
        <w:t xml:space="preserve">During the </w:t>
      </w:r>
      <w:r w:rsidR="00EE3BF8" w:rsidRPr="00D86D9B">
        <w:rPr>
          <w:rFonts w:cstheme="minorHAnsi"/>
          <w:szCs w:val="24"/>
          <w:lang w:val="en-US"/>
        </w:rPr>
        <w:t>72nd</w:t>
      </w:r>
      <w:r w:rsidRPr="00D86D9B">
        <w:rPr>
          <w:rFonts w:cstheme="minorHAnsi"/>
          <w:szCs w:val="24"/>
          <w:lang w:val="en-US"/>
        </w:rPr>
        <w:t xml:space="preserve"> session of the WHO Regional Committee meeting for Africa, ITU and WHO with support from USAID organized a Ministerial meeting on the use of Artificial Intelligence for Health as a side event </w:t>
      </w:r>
      <w:r w:rsidR="00EE3BF8" w:rsidRPr="00D86D9B">
        <w:rPr>
          <w:rFonts w:cstheme="minorHAnsi"/>
          <w:szCs w:val="24"/>
          <w:lang w:val="en-US"/>
        </w:rPr>
        <w:t>in</w:t>
      </w:r>
      <w:r w:rsidRPr="00D86D9B">
        <w:rPr>
          <w:rFonts w:cstheme="minorHAnsi"/>
          <w:szCs w:val="24"/>
          <w:lang w:val="en-US"/>
        </w:rPr>
        <w:t xml:space="preserve"> August</w:t>
      </w:r>
      <w:r w:rsidR="00EE3BF8" w:rsidRPr="00D86D9B">
        <w:rPr>
          <w:rFonts w:cstheme="minorHAnsi"/>
          <w:szCs w:val="24"/>
          <w:lang w:val="en-US"/>
        </w:rPr>
        <w:t xml:space="preserve"> </w:t>
      </w:r>
      <w:r w:rsidR="007E0885" w:rsidRPr="00D86D9B">
        <w:rPr>
          <w:rFonts w:cstheme="minorHAnsi"/>
          <w:szCs w:val="24"/>
          <w:lang w:val="en-US"/>
        </w:rPr>
        <w:t>2022</w:t>
      </w:r>
      <w:r w:rsidRPr="00D86D9B">
        <w:rPr>
          <w:rFonts w:cstheme="minorHAnsi"/>
          <w:szCs w:val="24"/>
          <w:lang w:val="en-US"/>
        </w:rPr>
        <w:t xml:space="preserve">. The event brought together Ministers of Health and ICT </w:t>
      </w:r>
      <w:r w:rsidR="007E0885" w:rsidRPr="00D86D9B">
        <w:rPr>
          <w:rFonts w:cstheme="minorHAnsi"/>
          <w:szCs w:val="24"/>
          <w:lang w:val="en-US"/>
        </w:rPr>
        <w:t xml:space="preserve">to </w:t>
      </w:r>
      <w:r w:rsidRPr="00D86D9B">
        <w:rPr>
          <w:rFonts w:cstheme="minorHAnsi"/>
          <w:szCs w:val="24"/>
          <w:lang w:val="en-US"/>
        </w:rPr>
        <w:t xml:space="preserve">share experiences and emphasize the critical role of integrating digital technologies to advance digital transformation in the health sector. </w:t>
      </w:r>
    </w:p>
    <w:p w14:paraId="0C19A795" w14:textId="00F8BFA7" w:rsidR="00B77547" w:rsidRPr="00D86D9B" w:rsidRDefault="00B77547" w:rsidP="00D86D9B">
      <w:pPr>
        <w:spacing w:after="120"/>
        <w:rPr>
          <w:rFonts w:cstheme="minorHAnsi"/>
          <w:szCs w:val="24"/>
        </w:rPr>
      </w:pPr>
      <w:r w:rsidRPr="00D86D9B">
        <w:rPr>
          <w:rFonts w:cstheme="minorHAnsi"/>
          <w:szCs w:val="24"/>
        </w:rPr>
        <w:t>In the Americas region, ITU provided expertise to UNICEF country office on Child Online Protection. In Argentina, ITU has been contributing at the invitation of UNICEF to Generation Unlimited.</w:t>
      </w:r>
    </w:p>
    <w:p w14:paraId="7FEB0D04" w14:textId="7789B954" w:rsidR="00B406B4" w:rsidRPr="00D86D9B" w:rsidRDefault="00B406B4" w:rsidP="00D86D9B">
      <w:pPr>
        <w:spacing w:after="120"/>
        <w:rPr>
          <w:rFonts w:cstheme="minorHAnsi"/>
          <w:szCs w:val="24"/>
        </w:rPr>
      </w:pPr>
      <w:r w:rsidRPr="00D86D9B">
        <w:rPr>
          <w:rFonts w:cstheme="minorHAnsi"/>
          <w:szCs w:val="24"/>
        </w:rPr>
        <w:t xml:space="preserve">In the CIS </w:t>
      </w:r>
      <w:r w:rsidR="0033547F" w:rsidRPr="00D86D9B">
        <w:rPr>
          <w:rFonts w:cstheme="minorHAnsi"/>
          <w:szCs w:val="24"/>
        </w:rPr>
        <w:t>r</w:t>
      </w:r>
      <w:r w:rsidRPr="00D86D9B">
        <w:rPr>
          <w:rFonts w:cstheme="minorHAnsi"/>
          <w:szCs w:val="24"/>
        </w:rPr>
        <w:t xml:space="preserve">egion, </w:t>
      </w:r>
      <w:r w:rsidR="00B36548" w:rsidRPr="00D86D9B">
        <w:rPr>
          <w:rFonts w:cstheme="minorHAnsi"/>
          <w:szCs w:val="24"/>
        </w:rPr>
        <w:t>as</w:t>
      </w:r>
      <w:r w:rsidRPr="00D86D9B">
        <w:rPr>
          <w:rFonts w:cstheme="minorHAnsi"/>
          <w:szCs w:val="24"/>
        </w:rPr>
        <w:t xml:space="preserve"> part </w:t>
      </w:r>
      <w:r w:rsidR="00B36548" w:rsidRPr="00D86D9B">
        <w:rPr>
          <w:rFonts w:cstheme="minorHAnsi"/>
          <w:szCs w:val="24"/>
        </w:rPr>
        <w:t xml:space="preserve">of </w:t>
      </w:r>
      <w:r w:rsidRPr="00D86D9B">
        <w:rPr>
          <w:rFonts w:cstheme="minorHAnsi"/>
          <w:szCs w:val="24"/>
        </w:rPr>
        <w:t>UNCTs in Belarus, Kazakhstan, Kyrgyzstan and Uzbekistan</w:t>
      </w:r>
      <w:r w:rsidR="00B36548" w:rsidRPr="00D86D9B">
        <w:rPr>
          <w:rFonts w:cstheme="minorHAnsi"/>
          <w:szCs w:val="24"/>
        </w:rPr>
        <w:t xml:space="preserve">, the </w:t>
      </w:r>
      <w:r w:rsidR="0033547F" w:rsidRPr="00D86D9B">
        <w:rPr>
          <w:rFonts w:cstheme="minorHAnsi"/>
          <w:szCs w:val="24"/>
        </w:rPr>
        <w:t xml:space="preserve">CIS </w:t>
      </w:r>
      <w:r w:rsidR="00B36548" w:rsidRPr="00D86D9B">
        <w:rPr>
          <w:rFonts w:cstheme="minorHAnsi"/>
          <w:szCs w:val="24"/>
        </w:rPr>
        <w:t>Regional Office has been</w:t>
      </w:r>
      <w:r w:rsidRPr="00D86D9B">
        <w:rPr>
          <w:rFonts w:cstheme="minorHAnsi"/>
          <w:szCs w:val="24"/>
        </w:rPr>
        <w:t xml:space="preserve"> raising awareness about ITU’s global and regional activities and explore potential areas of partnership. The Regional Office </w:t>
      </w:r>
      <w:r w:rsidR="00B36548" w:rsidRPr="00D86D9B">
        <w:rPr>
          <w:rFonts w:cstheme="minorHAnsi"/>
          <w:szCs w:val="24"/>
        </w:rPr>
        <w:t xml:space="preserve">also </w:t>
      </w:r>
      <w:r w:rsidRPr="00D86D9B">
        <w:rPr>
          <w:rFonts w:cstheme="minorHAnsi"/>
          <w:szCs w:val="24"/>
        </w:rPr>
        <w:t>engaged in the development of Common Country Assessments</w:t>
      </w:r>
      <w:r w:rsidRPr="00D86D9B" w:rsidDel="00DA3B6E">
        <w:rPr>
          <w:rFonts w:cstheme="minorHAnsi"/>
          <w:szCs w:val="24"/>
        </w:rPr>
        <w:t xml:space="preserve"> </w:t>
      </w:r>
      <w:r w:rsidRPr="00D86D9B">
        <w:rPr>
          <w:rFonts w:cstheme="minorHAnsi"/>
          <w:szCs w:val="24"/>
        </w:rPr>
        <w:t>(CCA) and joining the United Nations Sustainable Development Cooperation Framework</w:t>
      </w:r>
      <w:r w:rsidR="00B36548" w:rsidRPr="00D86D9B">
        <w:rPr>
          <w:rFonts w:cstheme="minorHAnsi"/>
          <w:szCs w:val="24"/>
        </w:rPr>
        <w:t>s</w:t>
      </w:r>
      <w:r w:rsidRPr="00D86D9B">
        <w:rPr>
          <w:rFonts w:cstheme="minorHAnsi"/>
          <w:szCs w:val="24"/>
        </w:rPr>
        <w:t xml:space="preserve"> (UNSDCF) 2021-2025 </w:t>
      </w:r>
      <w:r w:rsidR="00B36548" w:rsidRPr="00D86D9B">
        <w:rPr>
          <w:rFonts w:cstheme="minorHAnsi"/>
          <w:szCs w:val="24"/>
        </w:rPr>
        <w:t>for</w:t>
      </w:r>
      <w:r w:rsidRPr="00D86D9B">
        <w:rPr>
          <w:rFonts w:cstheme="minorHAnsi"/>
          <w:szCs w:val="24"/>
        </w:rPr>
        <w:t xml:space="preserve"> Kazakhstan and Uzbekistan. In Russian Federation, ITU cooperated with the UN Information </w:t>
      </w:r>
      <w:proofErr w:type="spellStart"/>
      <w:r w:rsidRPr="00D86D9B">
        <w:rPr>
          <w:rFonts w:cstheme="minorHAnsi"/>
          <w:szCs w:val="24"/>
        </w:rPr>
        <w:t>Center</w:t>
      </w:r>
      <w:proofErr w:type="spellEnd"/>
      <w:r w:rsidRPr="00D86D9B">
        <w:rPr>
          <w:rFonts w:cstheme="minorHAnsi"/>
          <w:szCs w:val="24"/>
        </w:rPr>
        <w:t xml:space="preserve"> and contributed to the UN Bulletin. The Regional </w:t>
      </w:r>
      <w:r w:rsidRPr="00D86D9B">
        <w:rPr>
          <w:rFonts w:cstheme="minorHAnsi"/>
          <w:szCs w:val="24"/>
        </w:rPr>
        <w:lastRenderedPageBreak/>
        <w:t>Office for CIS was also part of the UN Digital Transformation Group for Europe and Central Asia, co-lead by ITU and UNECE. Along with the UN Agencies in the Region the cooperation is continued with the Economic Commission for Europe (UN ECE) and the United Nations Economic and Social Commission for Asia and the Pacific (UN ESCAP).</w:t>
      </w:r>
    </w:p>
    <w:p w14:paraId="1DA557C8" w14:textId="5023C208" w:rsidR="00B406B4" w:rsidRPr="00D86D9B" w:rsidRDefault="79E6254C" w:rsidP="00D86D9B">
      <w:pPr>
        <w:spacing w:after="120"/>
        <w:rPr>
          <w:rFonts w:cstheme="minorBidi"/>
          <w:szCs w:val="24"/>
        </w:rPr>
      </w:pPr>
      <w:r w:rsidRPr="00D86D9B">
        <w:rPr>
          <w:rFonts w:cstheme="minorBidi"/>
          <w:szCs w:val="24"/>
        </w:rPr>
        <w:t>The ITU Regional Office for Arab States has been actively engaging with the UN in the Arab region, partnering with various UN agencies and participating in UNCT meetings. The Regional Office have established a Joint Team on Digitalization and Innovation and partnered with WHO and FAO to assist countries in developing national strategies on digital health and agriculture in Egypt. The office has also participated along with the UN ESCWA in the regional ICT strategy for the Arab States. The office has also participated in several UNCT or bilateral meetings with UN RCs</w:t>
      </w:r>
      <w:r w:rsidR="286CB423" w:rsidRPr="00D86D9B">
        <w:rPr>
          <w:rFonts w:cstheme="minorBidi"/>
          <w:szCs w:val="24"/>
        </w:rPr>
        <w:t>,</w:t>
      </w:r>
      <w:r w:rsidRPr="00D86D9B">
        <w:rPr>
          <w:rFonts w:cstheme="minorBidi"/>
          <w:szCs w:val="24"/>
        </w:rPr>
        <w:t xml:space="preserve"> including in Algeria, Bahrain, Egypt, Jordan, Morocco and Saudi Arabia. A regional UN engagement strategy is being prepared and developed as a result of these discussions with the UN RCs as well as the UN Regional Coordination Office.</w:t>
      </w:r>
      <w:r w:rsidR="286CB423" w:rsidRPr="00D86D9B">
        <w:rPr>
          <w:rFonts w:cstheme="minorBidi"/>
          <w:szCs w:val="24"/>
        </w:rPr>
        <w:t xml:space="preserve"> </w:t>
      </w:r>
      <w:r w:rsidRPr="00D86D9B">
        <w:rPr>
          <w:rFonts w:cstheme="minorBidi"/>
          <w:szCs w:val="24"/>
        </w:rPr>
        <w:t>The Regional Office for Arab States has</w:t>
      </w:r>
      <w:r w:rsidR="286CB423" w:rsidRPr="00D86D9B">
        <w:rPr>
          <w:rFonts w:cstheme="minorBidi"/>
          <w:szCs w:val="24"/>
        </w:rPr>
        <w:t xml:space="preserve"> also </w:t>
      </w:r>
      <w:r w:rsidRPr="00D86D9B">
        <w:rPr>
          <w:rFonts w:cstheme="minorBidi"/>
          <w:szCs w:val="24"/>
        </w:rPr>
        <w:t xml:space="preserve">been working on developing multi-year programs in Iraq and Mauritania. </w:t>
      </w:r>
      <w:r w:rsidR="53C6E24A" w:rsidRPr="00D86D9B">
        <w:rPr>
          <w:rFonts w:cstheme="minorBidi"/>
          <w:szCs w:val="24"/>
        </w:rPr>
        <w:t xml:space="preserve">In 2022, The regional office became a signatory of the Bahrain UN </w:t>
      </w:r>
      <w:r w:rsidR="3FFD7589" w:rsidRPr="00D86D9B">
        <w:rPr>
          <w:rFonts w:cstheme="minorBidi"/>
          <w:szCs w:val="24"/>
        </w:rPr>
        <w:t xml:space="preserve">Sustainable Development </w:t>
      </w:r>
      <w:r w:rsidR="52AD0693" w:rsidRPr="00D86D9B">
        <w:rPr>
          <w:rFonts w:cstheme="minorBidi"/>
          <w:szCs w:val="24"/>
        </w:rPr>
        <w:t xml:space="preserve">Cooperation </w:t>
      </w:r>
      <w:r w:rsidR="3FFD7589" w:rsidRPr="00D86D9B">
        <w:rPr>
          <w:rFonts w:cstheme="minorBidi"/>
          <w:szCs w:val="24"/>
        </w:rPr>
        <w:t>Framework (</w:t>
      </w:r>
      <w:r w:rsidR="53C6E24A" w:rsidRPr="00D86D9B">
        <w:rPr>
          <w:rFonts w:cstheme="minorBidi"/>
          <w:szCs w:val="24"/>
        </w:rPr>
        <w:t>SDCF</w:t>
      </w:r>
      <w:r w:rsidR="7053A834" w:rsidRPr="00D86D9B">
        <w:rPr>
          <w:rFonts w:cstheme="minorBidi"/>
          <w:szCs w:val="24"/>
        </w:rPr>
        <w:t>)</w:t>
      </w:r>
      <w:r w:rsidR="53C6E24A" w:rsidRPr="00D86D9B">
        <w:rPr>
          <w:rFonts w:cstheme="minorBidi"/>
          <w:szCs w:val="24"/>
        </w:rPr>
        <w:t xml:space="preserve">, making it the first to be signed in the region. </w:t>
      </w:r>
      <w:r w:rsidR="2D7F5315" w:rsidRPr="00D86D9B">
        <w:rPr>
          <w:rFonts w:cstheme="minorBidi"/>
          <w:szCs w:val="24"/>
        </w:rPr>
        <w:t>Furthermore</w:t>
      </w:r>
      <w:r w:rsidR="53C6E24A" w:rsidRPr="00D86D9B">
        <w:rPr>
          <w:rFonts w:cstheme="minorBidi"/>
          <w:szCs w:val="24"/>
        </w:rPr>
        <w:t xml:space="preserve">, discussion started and are </w:t>
      </w:r>
      <w:r w:rsidR="0EDB51A1" w:rsidRPr="00D86D9B">
        <w:rPr>
          <w:rFonts w:cstheme="minorBidi"/>
          <w:szCs w:val="24"/>
        </w:rPr>
        <w:t>ongoing</w:t>
      </w:r>
      <w:r w:rsidR="53C6E24A" w:rsidRPr="00D86D9B">
        <w:rPr>
          <w:rFonts w:cstheme="minorBidi"/>
          <w:szCs w:val="24"/>
        </w:rPr>
        <w:t xml:space="preserve"> on other </w:t>
      </w:r>
      <w:r w:rsidR="4097D504" w:rsidRPr="00D86D9B">
        <w:rPr>
          <w:rFonts w:cstheme="minorBidi"/>
          <w:szCs w:val="24"/>
        </w:rPr>
        <w:t>countries</w:t>
      </w:r>
      <w:r w:rsidR="53C6E24A" w:rsidRPr="00D86D9B">
        <w:rPr>
          <w:rFonts w:cstheme="minorBidi"/>
          <w:szCs w:val="24"/>
        </w:rPr>
        <w:t xml:space="preserve"> to include the ITU in the UN SDCFs as appropriate.</w:t>
      </w:r>
      <w:r w:rsidR="70E51CE7" w:rsidRPr="00D86D9B">
        <w:rPr>
          <w:rFonts w:cstheme="minorBidi"/>
          <w:szCs w:val="24"/>
        </w:rPr>
        <w:t xml:space="preserve"> At the moment, the ITU is a signatory on the UN SDCFs in Bahrain, Egypt and Algeria, with other discussions going on.</w:t>
      </w:r>
    </w:p>
    <w:p w14:paraId="68D83610" w14:textId="351FF4D1" w:rsidR="249C713A" w:rsidRPr="00D86D9B" w:rsidRDefault="0A01789F" w:rsidP="00FD0AA3">
      <w:pPr>
        <w:spacing w:after="120"/>
        <w:rPr>
          <w:rFonts w:ascii="Calibri" w:eastAsia="Calibri" w:hAnsi="Calibri" w:cs="Calibri"/>
          <w:color w:val="000000" w:themeColor="text1"/>
          <w:szCs w:val="24"/>
          <w:lang w:val="en-US"/>
        </w:rPr>
      </w:pPr>
      <w:bookmarkStart w:id="16" w:name="Proposal"/>
      <w:bookmarkEnd w:id="16"/>
      <w:r w:rsidRPr="00D86D9B">
        <w:rPr>
          <w:rFonts w:eastAsia="Calibri" w:cs="Calibri"/>
          <w:color w:val="000000" w:themeColor="text1"/>
          <w:szCs w:val="24"/>
        </w:rPr>
        <w:t xml:space="preserve">In the </w:t>
      </w:r>
      <w:r w:rsidR="00FA205B" w:rsidRPr="00D86D9B">
        <w:rPr>
          <w:rFonts w:eastAsia="Calibri" w:cs="Calibri"/>
          <w:color w:val="000000" w:themeColor="text1"/>
          <w:szCs w:val="24"/>
        </w:rPr>
        <w:t xml:space="preserve">ITU Regional Office for </w:t>
      </w:r>
      <w:r w:rsidRPr="00D86D9B">
        <w:rPr>
          <w:rFonts w:eastAsia="Calibri" w:cs="Calibri"/>
          <w:color w:val="000000" w:themeColor="text1"/>
          <w:szCs w:val="24"/>
        </w:rPr>
        <w:t xml:space="preserve">Europe has been partnering with various UN agencies and participating </w:t>
      </w:r>
      <w:r w:rsidR="00FA205B" w:rsidRPr="00D86D9B">
        <w:rPr>
          <w:rFonts w:eastAsia="Calibri" w:cs="Calibri"/>
          <w:color w:val="000000" w:themeColor="text1"/>
          <w:szCs w:val="24"/>
        </w:rPr>
        <w:t>in</w:t>
      </w:r>
      <w:r w:rsidR="00B0254B" w:rsidRPr="00D86D9B">
        <w:rPr>
          <w:rFonts w:eastAsia="Calibri" w:cs="Calibri"/>
          <w:color w:val="000000" w:themeColor="text1"/>
          <w:szCs w:val="24"/>
        </w:rPr>
        <w:t xml:space="preserve"> </w:t>
      </w:r>
      <w:r w:rsidRPr="00D86D9B">
        <w:rPr>
          <w:rFonts w:eastAsia="Calibri" w:cs="Calibri"/>
          <w:color w:val="000000" w:themeColor="text1"/>
          <w:szCs w:val="24"/>
        </w:rPr>
        <w:t xml:space="preserve">UNCT </w:t>
      </w:r>
      <w:r w:rsidR="249C713A" w:rsidRPr="00D86D9B">
        <w:rPr>
          <w:rFonts w:eastAsia="Calibri" w:cs="Calibri"/>
          <w:color w:val="000000" w:themeColor="text1"/>
          <w:szCs w:val="24"/>
        </w:rPr>
        <w:t>meeting</w:t>
      </w:r>
      <w:r w:rsidR="3B4E0680" w:rsidRPr="00D86D9B">
        <w:rPr>
          <w:rFonts w:eastAsia="Calibri" w:cs="Calibri"/>
          <w:color w:val="000000" w:themeColor="text1"/>
          <w:szCs w:val="24"/>
        </w:rPr>
        <w:t>s</w:t>
      </w:r>
      <w:r w:rsidRPr="00D86D9B">
        <w:rPr>
          <w:rFonts w:eastAsia="Calibri" w:cs="Calibri"/>
          <w:color w:val="000000" w:themeColor="text1"/>
          <w:szCs w:val="24"/>
        </w:rPr>
        <w:t xml:space="preserve"> and tasks supporting ICTs for </w:t>
      </w:r>
      <w:r w:rsidR="249C713A" w:rsidRPr="00D86D9B">
        <w:rPr>
          <w:rFonts w:eastAsia="Calibri" w:cs="Calibri"/>
          <w:color w:val="000000" w:themeColor="text1"/>
          <w:szCs w:val="24"/>
        </w:rPr>
        <w:t>SDG</w:t>
      </w:r>
      <w:r w:rsidR="571279D7" w:rsidRPr="00D86D9B">
        <w:rPr>
          <w:rFonts w:ascii="Calibri" w:eastAsia="Calibri" w:hAnsi="Calibri" w:cs="Calibri"/>
          <w:szCs w:val="24"/>
          <w:lang w:val="en-US"/>
        </w:rPr>
        <w:t xml:space="preserve"> In addition, the Office contributes to CCA</w:t>
      </w:r>
      <w:r w:rsidR="00941F53" w:rsidRPr="00D86D9B">
        <w:rPr>
          <w:rFonts w:ascii="Calibri" w:eastAsia="Calibri" w:hAnsi="Calibri" w:cs="Calibri"/>
          <w:szCs w:val="24"/>
          <w:lang w:val="en-US"/>
        </w:rPr>
        <w:t>s</w:t>
      </w:r>
      <w:r w:rsidR="571279D7" w:rsidRPr="00D86D9B">
        <w:rPr>
          <w:rFonts w:ascii="Calibri" w:eastAsia="Calibri" w:hAnsi="Calibri" w:cs="Calibri"/>
          <w:szCs w:val="24"/>
          <w:lang w:val="en-US"/>
        </w:rPr>
        <w:t xml:space="preserve">, UNSDCF, and EU reporting </w:t>
      </w:r>
      <w:r w:rsidR="00E32501" w:rsidRPr="00D86D9B">
        <w:rPr>
          <w:rFonts w:ascii="Calibri" w:eastAsia="Calibri" w:hAnsi="Calibri" w:cs="Calibri"/>
          <w:szCs w:val="24"/>
          <w:lang w:val="en-US"/>
        </w:rPr>
        <w:t>processes</w:t>
      </w:r>
      <w:r w:rsidR="006D6C66" w:rsidRPr="00D86D9B">
        <w:rPr>
          <w:rFonts w:eastAsia="Calibri" w:cs="Calibri"/>
          <w:color w:val="000000" w:themeColor="text1"/>
          <w:szCs w:val="24"/>
        </w:rPr>
        <w:t xml:space="preserve">. The Office has engaged with </w:t>
      </w:r>
      <w:r w:rsidR="000A0889" w:rsidRPr="00D86D9B">
        <w:rPr>
          <w:rFonts w:eastAsia="Calibri" w:cs="Calibri"/>
          <w:color w:val="000000" w:themeColor="text1"/>
          <w:szCs w:val="24"/>
        </w:rPr>
        <w:t>Member State Administrations and stakeholders</w:t>
      </w:r>
      <w:r w:rsidR="006D6C66" w:rsidRPr="00D86D9B">
        <w:rPr>
          <w:rFonts w:eastAsia="Calibri" w:cs="Calibri"/>
          <w:color w:val="000000" w:themeColor="text1"/>
          <w:szCs w:val="24"/>
        </w:rPr>
        <w:t xml:space="preserve"> in Albania, Bosnia and Herzegovina, Georgia, Moldova, Montenegro, North Macedonia, Serbia and Ukraine</w:t>
      </w:r>
      <w:r w:rsidR="571279D7" w:rsidRPr="00D86D9B">
        <w:rPr>
          <w:rFonts w:eastAsia="Calibri" w:cs="Calibri"/>
          <w:color w:val="000000" w:themeColor="text1"/>
          <w:szCs w:val="24"/>
        </w:rPr>
        <w:t xml:space="preserve">. </w:t>
      </w:r>
      <w:r w:rsidR="6953EB37" w:rsidRPr="00D86D9B">
        <w:rPr>
          <w:rFonts w:eastAsia="Calibri" w:cs="Calibri"/>
          <w:color w:val="000000" w:themeColor="text1"/>
          <w:szCs w:val="24"/>
        </w:rPr>
        <w:t>In 2022</w:t>
      </w:r>
      <w:r w:rsidR="6953EB37" w:rsidRPr="00D86D9B">
        <w:rPr>
          <w:szCs w:val="24"/>
        </w:rPr>
        <w:t>, t</w:t>
      </w:r>
      <w:r w:rsidR="6953EB37" w:rsidRPr="00D86D9B">
        <w:rPr>
          <w:rFonts w:ascii="Calibri" w:eastAsia="Calibri" w:hAnsi="Calibri" w:cs="Calibri"/>
          <w:color w:val="000000" w:themeColor="text1"/>
          <w:szCs w:val="24"/>
          <w:lang w:val="en-US"/>
        </w:rPr>
        <w:t>he ITU Office for Europe was signatory of 5 UN Sustainable Development Cooperation Framework in the Europe Region and is member of all 9 UN</w:t>
      </w:r>
      <w:r w:rsidR="00FA239B" w:rsidRPr="00D86D9B">
        <w:rPr>
          <w:rFonts w:ascii="Calibri" w:eastAsia="Calibri" w:hAnsi="Calibri" w:cs="Calibri"/>
          <w:color w:val="000000" w:themeColor="text1"/>
          <w:szCs w:val="24"/>
          <w:lang w:val="en-US"/>
        </w:rPr>
        <w:t>CTs</w:t>
      </w:r>
      <w:r w:rsidR="6953EB37" w:rsidRPr="00D86D9B">
        <w:rPr>
          <w:rFonts w:ascii="Calibri" w:eastAsia="Calibri" w:hAnsi="Calibri" w:cs="Calibri"/>
          <w:color w:val="000000" w:themeColor="text1"/>
          <w:szCs w:val="24"/>
          <w:lang w:val="en-US"/>
        </w:rPr>
        <w:t>.</w:t>
      </w:r>
      <w:r w:rsidR="45DC8AAC" w:rsidRPr="00D86D9B">
        <w:rPr>
          <w:rFonts w:ascii="Calibri" w:eastAsia="Calibri" w:hAnsi="Calibri" w:cs="Calibri"/>
          <w:color w:val="000000" w:themeColor="text1"/>
          <w:szCs w:val="24"/>
          <w:lang w:val="en-US"/>
        </w:rPr>
        <w:t xml:space="preserve"> </w:t>
      </w:r>
    </w:p>
    <w:p w14:paraId="17B3227F" w14:textId="7E961AF5" w:rsidR="34F72856" w:rsidRPr="00D86D9B" w:rsidRDefault="6953EB37" w:rsidP="00D86D9B">
      <w:pPr>
        <w:spacing w:after="120"/>
        <w:rPr>
          <w:szCs w:val="24"/>
        </w:rPr>
      </w:pPr>
      <w:r w:rsidRPr="00D86D9B">
        <w:rPr>
          <w:rFonts w:eastAsia="Calibri" w:cs="Calibri"/>
          <w:color w:val="000000" w:themeColor="text1"/>
          <w:szCs w:val="24"/>
          <w:lang w:val="en-US"/>
        </w:rPr>
        <w:t xml:space="preserve">The ITU Office for Europe is co-chairing two regional working </w:t>
      </w:r>
      <w:r w:rsidR="345D4640" w:rsidRPr="00D86D9B">
        <w:rPr>
          <w:rFonts w:eastAsia="Calibri" w:cs="Calibri"/>
          <w:color w:val="000000" w:themeColor="text1"/>
          <w:szCs w:val="24"/>
          <w:lang w:val="en-US"/>
        </w:rPr>
        <w:t>group</w:t>
      </w:r>
      <w:r w:rsidR="1E86B14E" w:rsidRPr="00D86D9B">
        <w:rPr>
          <w:rFonts w:eastAsia="Calibri" w:cs="Calibri"/>
          <w:color w:val="000000" w:themeColor="text1"/>
          <w:szCs w:val="24"/>
          <w:lang w:val="en-US"/>
        </w:rPr>
        <w:t>s</w:t>
      </w:r>
      <w:r w:rsidRPr="00D86D9B">
        <w:rPr>
          <w:rFonts w:eastAsia="Calibri" w:cs="Calibri"/>
          <w:color w:val="000000" w:themeColor="text1"/>
          <w:szCs w:val="24"/>
          <w:lang w:val="en-US"/>
        </w:rPr>
        <w:t xml:space="preserve"> of the UN on digital development.</w:t>
      </w:r>
      <w:r w:rsidR="005E75F3">
        <w:rPr>
          <w:rFonts w:eastAsia="Calibri" w:cs="Calibri"/>
          <w:color w:val="000000" w:themeColor="text1"/>
          <w:szCs w:val="24"/>
          <w:lang w:val="en-US"/>
        </w:rPr>
        <w:t xml:space="preserve"> </w:t>
      </w:r>
      <w:r w:rsidRPr="00D86D9B">
        <w:rPr>
          <w:rFonts w:eastAsia="Calibri" w:cs="Calibri"/>
          <w:color w:val="000000" w:themeColor="text1"/>
          <w:szCs w:val="24"/>
          <w:lang w:val="en-US"/>
        </w:rPr>
        <w:t>T</w:t>
      </w:r>
      <w:r w:rsidRPr="00D86D9B">
        <w:rPr>
          <w:rFonts w:eastAsia="Calibri" w:cs="Calibri"/>
          <w:color w:val="000000" w:themeColor="text1"/>
          <w:szCs w:val="24"/>
        </w:rPr>
        <w:t xml:space="preserve">he </w:t>
      </w:r>
      <w:hyperlink r:id="rId117">
        <w:r w:rsidRPr="00D86D9B">
          <w:rPr>
            <w:rFonts w:eastAsia="Calibri" w:cs="Calibri"/>
            <w:color w:val="000000" w:themeColor="text1"/>
            <w:szCs w:val="24"/>
          </w:rPr>
          <w:t>UN Digital Transformation Group for Europe and Central Asia,</w:t>
        </w:r>
      </w:hyperlink>
      <w:r w:rsidRPr="00D86D9B">
        <w:rPr>
          <w:rFonts w:eastAsia="Calibri" w:cs="Calibri"/>
          <w:color w:val="000000" w:themeColor="text1"/>
          <w:szCs w:val="24"/>
        </w:rPr>
        <w:t xml:space="preserve"> co-chaired with UNECE</w:t>
      </w:r>
      <w:r w:rsidR="6A46E603" w:rsidRPr="00D86D9B">
        <w:rPr>
          <w:rFonts w:eastAsia="Calibri" w:cs="Calibri"/>
          <w:color w:val="000000" w:themeColor="text1"/>
          <w:szCs w:val="24"/>
        </w:rPr>
        <w:t>, engage representatives of FAO, ILO, IOM, UNDP, UNEP, UNESCO, UNFPA, UN Habitat, UNICEF, UNIDO, UNWTO, UN Women, WHO, WIPO, WMO, and IFAD</w:t>
      </w:r>
      <w:r w:rsidR="33409729" w:rsidRPr="00D86D9B">
        <w:rPr>
          <w:rFonts w:eastAsia="Calibri" w:cs="Calibri"/>
          <w:color w:val="000000" w:themeColor="text1"/>
          <w:szCs w:val="24"/>
        </w:rPr>
        <w:t>. I</w:t>
      </w:r>
      <w:r w:rsidR="7A0626F3" w:rsidRPr="00D86D9B">
        <w:rPr>
          <w:rFonts w:eastAsia="Calibri" w:cs="Calibri"/>
          <w:color w:val="000000" w:themeColor="text1"/>
          <w:szCs w:val="24"/>
        </w:rPr>
        <w:t>t f</w:t>
      </w:r>
      <w:r w:rsidRPr="00D86D9B">
        <w:rPr>
          <w:rFonts w:eastAsia="Calibri" w:cs="Calibri"/>
          <w:color w:val="000000" w:themeColor="text1"/>
          <w:szCs w:val="24"/>
        </w:rPr>
        <w:t>acilitate</w:t>
      </w:r>
      <w:r w:rsidR="0A867019" w:rsidRPr="00D86D9B">
        <w:rPr>
          <w:rFonts w:eastAsia="Calibri" w:cs="Calibri"/>
          <w:color w:val="000000" w:themeColor="text1"/>
          <w:szCs w:val="24"/>
        </w:rPr>
        <w:t>s</w:t>
      </w:r>
      <w:r w:rsidRPr="00D86D9B">
        <w:rPr>
          <w:rFonts w:eastAsia="Calibri" w:cs="Calibri"/>
          <w:color w:val="000000" w:themeColor="text1"/>
          <w:szCs w:val="24"/>
        </w:rPr>
        <w:t xml:space="preserve"> improved cooperation between UN agencies and their partners. </w:t>
      </w:r>
      <w:r w:rsidR="307F266D" w:rsidRPr="00D86D9B">
        <w:rPr>
          <w:szCs w:val="24"/>
        </w:rPr>
        <w:t xml:space="preserve">ITU has </w:t>
      </w:r>
      <w:r w:rsidR="00046F2B" w:rsidRPr="00D86D9B">
        <w:rPr>
          <w:szCs w:val="24"/>
        </w:rPr>
        <w:t xml:space="preserve">likewise </w:t>
      </w:r>
      <w:r w:rsidR="307F266D" w:rsidRPr="00D86D9B">
        <w:rPr>
          <w:szCs w:val="24"/>
        </w:rPr>
        <w:t xml:space="preserve">joined the UN Brussels Team (UNBT) to strengthen cooperation with the EU structures and collaboration on the ICT projects advancing the achievement of SDGs. ITU co-chairs the “UN Brussels Task Force on Digitalization for the SDGs” together with UNESCO </w:t>
      </w:r>
      <w:r w:rsidR="69DFDC44" w:rsidRPr="00D86D9B">
        <w:rPr>
          <w:szCs w:val="24"/>
        </w:rPr>
        <w:t>Offic</w:t>
      </w:r>
      <w:r w:rsidR="72C2C198" w:rsidRPr="00D86D9B">
        <w:rPr>
          <w:szCs w:val="24"/>
        </w:rPr>
        <w:t xml:space="preserve">e </w:t>
      </w:r>
      <w:r w:rsidR="307F266D" w:rsidRPr="00D86D9B">
        <w:rPr>
          <w:szCs w:val="24"/>
        </w:rPr>
        <w:t>in Brussels.</w:t>
      </w:r>
      <w:r w:rsidR="69FCE128" w:rsidRPr="00D86D9B">
        <w:rPr>
          <w:szCs w:val="24"/>
        </w:rPr>
        <w:t xml:space="preserve"> </w:t>
      </w:r>
    </w:p>
    <w:p w14:paraId="37B18BF0" w14:textId="34375DE1" w:rsidR="008E594C" w:rsidRDefault="004B1CC7" w:rsidP="0022124D">
      <w:pPr>
        <w:tabs>
          <w:tab w:val="clear" w:pos="794"/>
          <w:tab w:val="clear" w:pos="1191"/>
          <w:tab w:val="clear" w:pos="1588"/>
          <w:tab w:val="clear" w:pos="1985"/>
        </w:tabs>
        <w:spacing w:after="120"/>
        <w:jc w:val="center"/>
      </w:pPr>
      <w:r>
        <w:t>_______________</w:t>
      </w:r>
    </w:p>
    <w:sectPr w:rsidR="008E594C" w:rsidSect="0022124D">
      <w:headerReference w:type="default" r:id="rId118"/>
      <w:footerReference w:type="first" r:id="rId119"/>
      <w:pgSz w:w="11907" w:h="16834" w:code="9"/>
      <w:pgMar w:top="1411" w:right="1138" w:bottom="1411" w:left="113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EFF4" w14:textId="77777777" w:rsidR="00E13128" w:rsidRDefault="00E13128">
      <w:r>
        <w:separator/>
      </w:r>
    </w:p>
  </w:endnote>
  <w:endnote w:type="continuationSeparator" w:id="0">
    <w:p w14:paraId="2A5D4831" w14:textId="77777777" w:rsidR="00E13128" w:rsidRDefault="00E13128">
      <w:r>
        <w:continuationSeparator/>
      </w:r>
    </w:p>
  </w:endnote>
  <w:endnote w:type="continuationNotice" w:id="1">
    <w:p w14:paraId="4A4658D4" w14:textId="77777777" w:rsidR="00E13128" w:rsidRDefault="00E1312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1"/>
      <w:gridCol w:w="2248"/>
      <w:gridCol w:w="5954"/>
    </w:tblGrid>
    <w:tr w:rsidR="00E13128" w:rsidRPr="004D495C" w14:paraId="6E44EC4B" w14:textId="77777777" w:rsidTr="00E13128">
      <w:tc>
        <w:tcPr>
          <w:tcW w:w="1432" w:type="dxa"/>
          <w:tcBorders>
            <w:top w:val="single" w:sz="4" w:space="0" w:color="000000"/>
          </w:tcBorders>
          <w:shd w:val="clear" w:color="auto" w:fill="auto"/>
        </w:tcPr>
        <w:p w14:paraId="69087FC9" w14:textId="77777777" w:rsidR="00E13128" w:rsidRPr="004D495C" w:rsidRDefault="00E13128" w:rsidP="00E13128">
          <w:pPr>
            <w:pStyle w:val="FirstFooter"/>
            <w:tabs>
              <w:tab w:val="left" w:pos="1559"/>
              <w:tab w:val="left" w:pos="3828"/>
            </w:tabs>
            <w:spacing w:before="0"/>
            <w:rPr>
              <w:sz w:val="18"/>
              <w:szCs w:val="18"/>
            </w:rPr>
          </w:pPr>
          <w:r w:rsidRPr="004D495C">
            <w:rPr>
              <w:sz w:val="18"/>
              <w:szCs w:val="18"/>
            </w:rPr>
            <w:t>Contact:</w:t>
          </w:r>
        </w:p>
      </w:tc>
      <w:tc>
        <w:tcPr>
          <w:tcW w:w="2250" w:type="dxa"/>
          <w:tcBorders>
            <w:top w:val="single" w:sz="4" w:space="0" w:color="000000"/>
          </w:tcBorders>
          <w:shd w:val="clear" w:color="auto" w:fill="auto"/>
        </w:tcPr>
        <w:p w14:paraId="061B38DC" w14:textId="77777777" w:rsidR="00E13128" w:rsidRPr="004D495C" w:rsidRDefault="00E13128" w:rsidP="00E13128">
          <w:pPr>
            <w:pStyle w:val="FirstFooter"/>
            <w:tabs>
              <w:tab w:val="left" w:pos="2302"/>
            </w:tabs>
            <w:spacing w:before="0"/>
            <w:ind w:left="2302" w:hanging="2302"/>
            <w:rPr>
              <w:sz w:val="18"/>
              <w:szCs w:val="18"/>
            </w:rPr>
          </w:pPr>
          <w:r w:rsidRPr="004D495C">
            <w:rPr>
              <w:sz w:val="18"/>
              <w:szCs w:val="18"/>
            </w:rPr>
            <w:t>Name/</w:t>
          </w:r>
          <w:proofErr w:type="spellStart"/>
          <w:r w:rsidRPr="004D495C">
            <w:rPr>
              <w:sz w:val="18"/>
              <w:szCs w:val="18"/>
            </w:rPr>
            <w:t>Organization</w:t>
          </w:r>
          <w:proofErr w:type="spellEnd"/>
          <w:r w:rsidRPr="004D495C">
            <w:rPr>
              <w:sz w:val="18"/>
              <w:szCs w:val="18"/>
            </w:rPr>
            <w:t>/</w:t>
          </w:r>
          <w:proofErr w:type="spellStart"/>
          <w:r w:rsidRPr="004D495C">
            <w:rPr>
              <w:sz w:val="18"/>
              <w:szCs w:val="18"/>
            </w:rPr>
            <w:t>Entity</w:t>
          </w:r>
          <w:proofErr w:type="spellEnd"/>
          <w:r w:rsidRPr="004D495C">
            <w:rPr>
              <w:sz w:val="18"/>
              <w:szCs w:val="18"/>
            </w:rPr>
            <w:t>:</w:t>
          </w:r>
        </w:p>
      </w:tc>
      <w:tc>
        <w:tcPr>
          <w:tcW w:w="5958" w:type="dxa"/>
          <w:tcBorders>
            <w:top w:val="single" w:sz="4" w:space="0" w:color="000000"/>
          </w:tcBorders>
        </w:tcPr>
        <w:p w14:paraId="5D61068B" w14:textId="77777777" w:rsidR="00E13128" w:rsidRPr="003F4270" w:rsidRDefault="00E13128" w:rsidP="00E13128">
          <w:pPr>
            <w:pStyle w:val="FirstFooter"/>
            <w:tabs>
              <w:tab w:val="left" w:pos="2302"/>
            </w:tabs>
            <w:spacing w:before="0"/>
            <w:rPr>
              <w:sz w:val="18"/>
              <w:szCs w:val="18"/>
              <w:highlight w:val="yellow"/>
              <w:lang w:val="en-GB"/>
            </w:rPr>
          </w:pPr>
          <w:r w:rsidRPr="003F4270">
            <w:rPr>
              <w:sz w:val="18"/>
              <w:szCs w:val="18"/>
              <w:lang w:val="en-GB"/>
            </w:rPr>
            <w:t>Mr Stephen Bereaux, Deputy to the Director, Telecommunication Development Bureau</w:t>
          </w:r>
        </w:p>
      </w:tc>
      <w:bookmarkStart w:id="17" w:name="OrgName"/>
      <w:bookmarkEnd w:id="17"/>
    </w:tr>
    <w:tr w:rsidR="00E13128" w:rsidRPr="004D495C" w14:paraId="130C6666" w14:textId="77777777" w:rsidTr="00E13128">
      <w:tc>
        <w:tcPr>
          <w:tcW w:w="1432" w:type="dxa"/>
          <w:shd w:val="clear" w:color="auto" w:fill="auto"/>
        </w:tcPr>
        <w:p w14:paraId="6529E55E" w14:textId="77777777" w:rsidR="00E13128" w:rsidRPr="003F4270" w:rsidRDefault="00E13128" w:rsidP="00E13128">
          <w:pPr>
            <w:pStyle w:val="FirstFooter"/>
            <w:tabs>
              <w:tab w:val="left" w:pos="1559"/>
              <w:tab w:val="left" w:pos="3828"/>
            </w:tabs>
            <w:spacing w:before="0"/>
            <w:rPr>
              <w:sz w:val="20"/>
              <w:lang w:val="en-GB"/>
            </w:rPr>
          </w:pPr>
        </w:p>
      </w:tc>
      <w:tc>
        <w:tcPr>
          <w:tcW w:w="2250" w:type="dxa"/>
          <w:shd w:val="clear" w:color="auto" w:fill="auto"/>
        </w:tcPr>
        <w:p w14:paraId="13512530" w14:textId="77777777" w:rsidR="00E13128" w:rsidRPr="004D495C" w:rsidRDefault="00E13128" w:rsidP="00E13128">
          <w:pPr>
            <w:pStyle w:val="FirstFooter"/>
            <w:tabs>
              <w:tab w:val="left" w:pos="2302"/>
            </w:tabs>
            <w:spacing w:before="0"/>
            <w:rPr>
              <w:sz w:val="18"/>
              <w:szCs w:val="18"/>
            </w:rPr>
          </w:pPr>
          <w:r w:rsidRPr="004D495C">
            <w:rPr>
              <w:sz w:val="18"/>
              <w:szCs w:val="18"/>
            </w:rPr>
            <w:t xml:space="preserve">Phone </w:t>
          </w:r>
          <w:proofErr w:type="spellStart"/>
          <w:r w:rsidRPr="004D495C">
            <w:rPr>
              <w:sz w:val="18"/>
              <w:szCs w:val="18"/>
            </w:rPr>
            <w:t>number</w:t>
          </w:r>
          <w:proofErr w:type="spellEnd"/>
          <w:r w:rsidRPr="004D495C">
            <w:rPr>
              <w:sz w:val="18"/>
              <w:szCs w:val="18"/>
            </w:rPr>
            <w:t>:</w:t>
          </w:r>
        </w:p>
      </w:tc>
      <w:tc>
        <w:tcPr>
          <w:tcW w:w="5958" w:type="dxa"/>
        </w:tcPr>
        <w:p w14:paraId="2B0C5457" w14:textId="77777777" w:rsidR="00E13128" w:rsidRPr="004D495C" w:rsidRDefault="00E13128" w:rsidP="00E13128">
          <w:pPr>
            <w:pStyle w:val="FirstFooter"/>
            <w:tabs>
              <w:tab w:val="left" w:pos="2302"/>
            </w:tabs>
            <w:spacing w:before="0"/>
            <w:rPr>
              <w:sz w:val="18"/>
              <w:szCs w:val="18"/>
              <w:highlight w:val="yellow"/>
            </w:rPr>
          </w:pPr>
          <w:r w:rsidRPr="00523FA7">
            <w:rPr>
              <w:sz w:val="18"/>
              <w:szCs w:val="18"/>
            </w:rPr>
            <w:t>+</w:t>
          </w:r>
          <w:r w:rsidRPr="00D934D7">
            <w:rPr>
              <w:sz w:val="18"/>
              <w:szCs w:val="18"/>
            </w:rPr>
            <w:t>41 22 730 5131</w:t>
          </w:r>
        </w:p>
      </w:tc>
      <w:bookmarkStart w:id="18" w:name="PhoneNo"/>
      <w:bookmarkEnd w:id="18"/>
    </w:tr>
    <w:tr w:rsidR="00E13128" w:rsidRPr="004D495C" w14:paraId="2587D99B" w14:textId="77777777" w:rsidTr="00E13128">
      <w:tc>
        <w:tcPr>
          <w:tcW w:w="1432" w:type="dxa"/>
          <w:shd w:val="clear" w:color="auto" w:fill="auto"/>
        </w:tcPr>
        <w:p w14:paraId="5DC113E5" w14:textId="77777777" w:rsidR="00E13128" w:rsidRPr="004D495C" w:rsidRDefault="00E13128" w:rsidP="00E13128">
          <w:pPr>
            <w:pStyle w:val="FirstFooter"/>
            <w:tabs>
              <w:tab w:val="left" w:pos="1559"/>
              <w:tab w:val="left" w:pos="3828"/>
            </w:tabs>
            <w:spacing w:before="0"/>
            <w:rPr>
              <w:sz w:val="20"/>
            </w:rPr>
          </w:pPr>
        </w:p>
      </w:tc>
      <w:tc>
        <w:tcPr>
          <w:tcW w:w="2250" w:type="dxa"/>
          <w:shd w:val="clear" w:color="auto" w:fill="auto"/>
        </w:tcPr>
        <w:p w14:paraId="532524E9" w14:textId="77777777" w:rsidR="00E13128" w:rsidRPr="004D495C" w:rsidRDefault="00E13128" w:rsidP="00E13128">
          <w:pPr>
            <w:pStyle w:val="FirstFooter"/>
            <w:tabs>
              <w:tab w:val="left" w:pos="2302"/>
            </w:tabs>
            <w:spacing w:before="0"/>
            <w:rPr>
              <w:sz w:val="18"/>
              <w:szCs w:val="18"/>
            </w:rPr>
          </w:pPr>
          <w:r w:rsidRPr="004D495C">
            <w:rPr>
              <w:sz w:val="18"/>
              <w:szCs w:val="18"/>
            </w:rPr>
            <w:t>E-mail:</w:t>
          </w:r>
        </w:p>
      </w:tc>
      <w:tc>
        <w:tcPr>
          <w:tcW w:w="5958" w:type="dxa"/>
        </w:tcPr>
        <w:p w14:paraId="5305EDFD" w14:textId="77777777" w:rsidR="00E13128" w:rsidRPr="004D495C" w:rsidRDefault="009C6393" w:rsidP="00E13128">
          <w:pPr>
            <w:pStyle w:val="FirstFooter"/>
            <w:tabs>
              <w:tab w:val="left" w:pos="2302"/>
            </w:tabs>
            <w:spacing w:before="0"/>
            <w:rPr>
              <w:sz w:val="18"/>
              <w:szCs w:val="18"/>
              <w:highlight w:val="yellow"/>
            </w:rPr>
          </w:pPr>
          <w:hyperlink r:id="rId1" w:history="1">
            <w:r w:rsidR="00E13128" w:rsidRPr="00D934D7">
              <w:rPr>
                <w:rStyle w:val="Hyperlink"/>
                <w:sz w:val="18"/>
                <w:szCs w:val="22"/>
              </w:rPr>
              <w:t>stephen.bereaux@itu.int</w:t>
            </w:r>
          </w:hyperlink>
          <w:r w:rsidR="00E13128" w:rsidRPr="00D934D7">
            <w:rPr>
              <w:sz w:val="18"/>
              <w:szCs w:val="22"/>
            </w:rPr>
            <w:t xml:space="preserve"> </w:t>
          </w:r>
        </w:p>
      </w:tc>
      <w:bookmarkStart w:id="19" w:name="Email"/>
      <w:bookmarkEnd w:id="19"/>
    </w:tr>
  </w:tbl>
  <w:p w14:paraId="67B3C8DA" w14:textId="77777777" w:rsidR="00E13128" w:rsidRDefault="00E13128" w:rsidP="00E13128">
    <w:pPr>
      <w:pStyle w:val="Footer"/>
      <w:jc w:val="center"/>
      <w:rPr>
        <w:lang w:val="en-GB"/>
      </w:rPr>
    </w:pPr>
  </w:p>
  <w:p w14:paraId="308708F5" w14:textId="4BFF186D" w:rsidR="00E13128" w:rsidRDefault="009C6393" w:rsidP="00E13128">
    <w:pPr>
      <w:pStyle w:val="Footer"/>
      <w:jc w:val="center"/>
    </w:pPr>
    <w:hyperlink r:id="rId2" w:history="1">
      <w:r w:rsidR="00E13128">
        <w:rPr>
          <w:rStyle w:val="Hyperlink"/>
          <w:sz w:val="18"/>
          <w:szCs w:val="18"/>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2CDE4" w14:textId="77777777" w:rsidR="00E13128" w:rsidRDefault="00E13128">
      <w:r>
        <w:t>____________________</w:t>
      </w:r>
    </w:p>
  </w:footnote>
  <w:footnote w:type="continuationSeparator" w:id="0">
    <w:p w14:paraId="666BB034" w14:textId="77777777" w:rsidR="00E13128" w:rsidRDefault="00E13128">
      <w:r>
        <w:continuationSeparator/>
      </w:r>
    </w:p>
  </w:footnote>
  <w:footnote w:type="continuationNotice" w:id="1">
    <w:p w14:paraId="3F85E433" w14:textId="77777777" w:rsidR="00E13128" w:rsidRDefault="00E1312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305E711" w:rsidR="00E13128" w:rsidRPr="00EF2157" w:rsidRDefault="00E13128"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072"/>
    <w:multiLevelType w:val="hybridMultilevel"/>
    <w:tmpl w:val="C62C0C6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615B6"/>
    <w:multiLevelType w:val="hybridMultilevel"/>
    <w:tmpl w:val="3B406F8A"/>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C1C09"/>
    <w:multiLevelType w:val="hybridMultilevel"/>
    <w:tmpl w:val="85D008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8FD155F"/>
    <w:multiLevelType w:val="hybridMultilevel"/>
    <w:tmpl w:val="001463C4"/>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4255D"/>
    <w:multiLevelType w:val="hybridMultilevel"/>
    <w:tmpl w:val="3A22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86134"/>
    <w:multiLevelType w:val="hybridMultilevel"/>
    <w:tmpl w:val="E0AE3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A3849"/>
    <w:multiLevelType w:val="hybridMultilevel"/>
    <w:tmpl w:val="8154F74A"/>
    <w:lvl w:ilvl="0" w:tplc="D8AA70EE">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663FF0"/>
    <w:multiLevelType w:val="hybridMultilevel"/>
    <w:tmpl w:val="435C96D0"/>
    <w:lvl w:ilvl="0" w:tplc="0809000D">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FD31FC9"/>
    <w:multiLevelType w:val="hybridMultilevel"/>
    <w:tmpl w:val="112E59D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6907A2"/>
    <w:multiLevelType w:val="hybridMultilevel"/>
    <w:tmpl w:val="2440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806A5"/>
    <w:multiLevelType w:val="hybridMultilevel"/>
    <w:tmpl w:val="9A961580"/>
    <w:lvl w:ilvl="0" w:tplc="27647D28">
      <w:start w:val="1"/>
      <w:numFmt w:val="bullet"/>
      <w:lvlText w:val=""/>
      <w:lvlJc w:val="left"/>
      <w:pPr>
        <w:ind w:left="720" w:hanging="360"/>
      </w:pPr>
      <w:rPr>
        <w:rFonts w:ascii="Wingdings" w:hAnsi="Wingdings" w:hint="default"/>
      </w:rPr>
    </w:lvl>
    <w:lvl w:ilvl="1" w:tplc="F19473DA">
      <w:start w:val="1"/>
      <w:numFmt w:val="bullet"/>
      <w:lvlText w:val="o"/>
      <w:lvlJc w:val="left"/>
      <w:pPr>
        <w:ind w:left="1440" w:hanging="360"/>
      </w:pPr>
      <w:rPr>
        <w:rFonts w:ascii="Courier New" w:hAnsi="Courier New" w:hint="default"/>
      </w:rPr>
    </w:lvl>
    <w:lvl w:ilvl="2" w:tplc="DFA67F78">
      <w:start w:val="1"/>
      <w:numFmt w:val="bullet"/>
      <w:lvlText w:val=""/>
      <w:lvlJc w:val="left"/>
      <w:pPr>
        <w:ind w:left="2160" w:hanging="360"/>
      </w:pPr>
      <w:rPr>
        <w:rFonts w:ascii="Wingdings" w:hAnsi="Wingdings" w:hint="default"/>
      </w:rPr>
    </w:lvl>
    <w:lvl w:ilvl="3" w:tplc="AC26CCDE">
      <w:start w:val="1"/>
      <w:numFmt w:val="bullet"/>
      <w:lvlText w:val=""/>
      <w:lvlJc w:val="left"/>
      <w:pPr>
        <w:ind w:left="2880" w:hanging="360"/>
      </w:pPr>
      <w:rPr>
        <w:rFonts w:ascii="Symbol" w:hAnsi="Symbol" w:hint="default"/>
      </w:rPr>
    </w:lvl>
    <w:lvl w:ilvl="4" w:tplc="06C2C112">
      <w:start w:val="1"/>
      <w:numFmt w:val="bullet"/>
      <w:lvlText w:val="o"/>
      <w:lvlJc w:val="left"/>
      <w:pPr>
        <w:ind w:left="3600" w:hanging="360"/>
      </w:pPr>
      <w:rPr>
        <w:rFonts w:ascii="Courier New" w:hAnsi="Courier New" w:hint="default"/>
      </w:rPr>
    </w:lvl>
    <w:lvl w:ilvl="5" w:tplc="596E3FA6">
      <w:start w:val="1"/>
      <w:numFmt w:val="bullet"/>
      <w:lvlText w:val=""/>
      <w:lvlJc w:val="left"/>
      <w:pPr>
        <w:ind w:left="4320" w:hanging="360"/>
      </w:pPr>
      <w:rPr>
        <w:rFonts w:ascii="Wingdings" w:hAnsi="Wingdings" w:hint="default"/>
      </w:rPr>
    </w:lvl>
    <w:lvl w:ilvl="6" w:tplc="22D80EEA">
      <w:start w:val="1"/>
      <w:numFmt w:val="bullet"/>
      <w:lvlText w:val=""/>
      <w:lvlJc w:val="left"/>
      <w:pPr>
        <w:ind w:left="5040" w:hanging="360"/>
      </w:pPr>
      <w:rPr>
        <w:rFonts w:ascii="Symbol" w:hAnsi="Symbol" w:hint="default"/>
      </w:rPr>
    </w:lvl>
    <w:lvl w:ilvl="7" w:tplc="8018A1B0">
      <w:start w:val="1"/>
      <w:numFmt w:val="bullet"/>
      <w:lvlText w:val="o"/>
      <w:lvlJc w:val="left"/>
      <w:pPr>
        <w:ind w:left="5760" w:hanging="360"/>
      </w:pPr>
      <w:rPr>
        <w:rFonts w:ascii="Courier New" w:hAnsi="Courier New" w:hint="default"/>
      </w:rPr>
    </w:lvl>
    <w:lvl w:ilvl="8" w:tplc="4BF08542">
      <w:start w:val="1"/>
      <w:numFmt w:val="bullet"/>
      <w:lvlText w:val=""/>
      <w:lvlJc w:val="left"/>
      <w:pPr>
        <w:ind w:left="6480" w:hanging="360"/>
      </w:pPr>
      <w:rPr>
        <w:rFonts w:ascii="Wingdings" w:hAnsi="Wingdings" w:hint="default"/>
      </w:rPr>
    </w:lvl>
  </w:abstractNum>
  <w:abstractNum w:abstractNumId="11" w15:restartNumberingAfterBreak="0">
    <w:nsid w:val="2C5E7006"/>
    <w:multiLevelType w:val="hybridMultilevel"/>
    <w:tmpl w:val="540CDB6A"/>
    <w:lvl w:ilvl="0" w:tplc="FFFFFFFF">
      <w:start w:val="1"/>
      <w:numFmt w:val="bullet"/>
      <w:lvlText w:val="o"/>
      <w:lvlJc w:val="left"/>
      <w:pPr>
        <w:ind w:left="720" w:hanging="360"/>
      </w:pPr>
      <w:rPr>
        <w:rFonts w:ascii="Courier New" w:hAnsi="Courier New" w:hint="default"/>
      </w:rPr>
    </w:lvl>
    <w:lvl w:ilvl="1" w:tplc="2E44485C">
      <w:start w:val="1"/>
      <w:numFmt w:val="lowerLetter"/>
      <w:lvlText w:val="%2."/>
      <w:lvlJc w:val="left"/>
      <w:pPr>
        <w:ind w:left="1440" w:hanging="360"/>
      </w:pPr>
    </w:lvl>
    <w:lvl w:ilvl="2" w:tplc="4E3A7BF2">
      <w:start w:val="1"/>
      <w:numFmt w:val="lowerRoman"/>
      <w:lvlText w:val="%3."/>
      <w:lvlJc w:val="right"/>
      <w:pPr>
        <w:ind w:left="2160" w:hanging="180"/>
      </w:pPr>
    </w:lvl>
    <w:lvl w:ilvl="3" w:tplc="62282B14">
      <w:start w:val="1"/>
      <w:numFmt w:val="decimal"/>
      <w:lvlText w:val="%4."/>
      <w:lvlJc w:val="left"/>
      <w:pPr>
        <w:ind w:left="2880" w:hanging="360"/>
      </w:pPr>
    </w:lvl>
    <w:lvl w:ilvl="4" w:tplc="F912B0D6">
      <w:start w:val="1"/>
      <w:numFmt w:val="lowerLetter"/>
      <w:lvlText w:val="%5."/>
      <w:lvlJc w:val="left"/>
      <w:pPr>
        <w:ind w:left="3600" w:hanging="360"/>
      </w:pPr>
    </w:lvl>
    <w:lvl w:ilvl="5" w:tplc="B5AC29A2">
      <w:start w:val="1"/>
      <w:numFmt w:val="lowerRoman"/>
      <w:lvlText w:val="%6."/>
      <w:lvlJc w:val="right"/>
      <w:pPr>
        <w:ind w:left="4320" w:hanging="180"/>
      </w:pPr>
    </w:lvl>
    <w:lvl w:ilvl="6" w:tplc="8C46DDD2">
      <w:start w:val="1"/>
      <w:numFmt w:val="decimal"/>
      <w:lvlText w:val="%7."/>
      <w:lvlJc w:val="left"/>
      <w:pPr>
        <w:ind w:left="5040" w:hanging="360"/>
      </w:pPr>
    </w:lvl>
    <w:lvl w:ilvl="7" w:tplc="4E768DD2">
      <w:start w:val="1"/>
      <w:numFmt w:val="lowerLetter"/>
      <w:lvlText w:val="%8."/>
      <w:lvlJc w:val="left"/>
      <w:pPr>
        <w:ind w:left="5760" w:hanging="360"/>
      </w:pPr>
    </w:lvl>
    <w:lvl w:ilvl="8" w:tplc="49B4D89C">
      <w:start w:val="1"/>
      <w:numFmt w:val="lowerRoman"/>
      <w:lvlText w:val="%9."/>
      <w:lvlJc w:val="right"/>
      <w:pPr>
        <w:ind w:left="6480" w:hanging="180"/>
      </w:pPr>
    </w:lvl>
  </w:abstractNum>
  <w:abstractNum w:abstractNumId="12" w15:restartNumberingAfterBreak="0">
    <w:nsid w:val="2F837772"/>
    <w:multiLevelType w:val="hybridMultilevel"/>
    <w:tmpl w:val="20F24E3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41195B1"/>
    <w:multiLevelType w:val="hybridMultilevel"/>
    <w:tmpl w:val="70607B48"/>
    <w:lvl w:ilvl="0" w:tplc="ED9C24DE">
      <w:start w:val="1"/>
      <w:numFmt w:val="bullet"/>
      <w:lvlText w:val=""/>
      <w:lvlJc w:val="left"/>
      <w:pPr>
        <w:ind w:left="720" w:hanging="360"/>
      </w:pPr>
      <w:rPr>
        <w:rFonts w:ascii="Wingdings" w:hAnsi="Wingdings" w:hint="default"/>
      </w:rPr>
    </w:lvl>
    <w:lvl w:ilvl="1" w:tplc="B0205CB4">
      <w:start w:val="1"/>
      <w:numFmt w:val="bullet"/>
      <w:lvlText w:val="o"/>
      <w:lvlJc w:val="left"/>
      <w:pPr>
        <w:ind w:left="1440" w:hanging="360"/>
      </w:pPr>
      <w:rPr>
        <w:rFonts w:ascii="Courier New" w:hAnsi="Courier New" w:hint="default"/>
      </w:rPr>
    </w:lvl>
    <w:lvl w:ilvl="2" w:tplc="E88861FE">
      <w:start w:val="1"/>
      <w:numFmt w:val="bullet"/>
      <w:lvlText w:val=""/>
      <w:lvlJc w:val="left"/>
      <w:pPr>
        <w:ind w:left="2160" w:hanging="360"/>
      </w:pPr>
      <w:rPr>
        <w:rFonts w:ascii="Wingdings" w:hAnsi="Wingdings" w:hint="default"/>
      </w:rPr>
    </w:lvl>
    <w:lvl w:ilvl="3" w:tplc="B44A28FC">
      <w:start w:val="1"/>
      <w:numFmt w:val="bullet"/>
      <w:lvlText w:val=""/>
      <w:lvlJc w:val="left"/>
      <w:pPr>
        <w:ind w:left="2880" w:hanging="360"/>
      </w:pPr>
      <w:rPr>
        <w:rFonts w:ascii="Symbol" w:hAnsi="Symbol" w:hint="default"/>
      </w:rPr>
    </w:lvl>
    <w:lvl w:ilvl="4" w:tplc="CB0AB202">
      <w:start w:val="1"/>
      <w:numFmt w:val="bullet"/>
      <w:lvlText w:val="o"/>
      <w:lvlJc w:val="left"/>
      <w:pPr>
        <w:ind w:left="3600" w:hanging="360"/>
      </w:pPr>
      <w:rPr>
        <w:rFonts w:ascii="Courier New" w:hAnsi="Courier New" w:hint="default"/>
      </w:rPr>
    </w:lvl>
    <w:lvl w:ilvl="5" w:tplc="9EB4DDFA">
      <w:start w:val="1"/>
      <w:numFmt w:val="bullet"/>
      <w:lvlText w:val=""/>
      <w:lvlJc w:val="left"/>
      <w:pPr>
        <w:ind w:left="4320" w:hanging="360"/>
      </w:pPr>
      <w:rPr>
        <w:rFonts w:ascii="Wingdings" w:hAnsi="Wingdings" w:hint="default"/>
      </w:rPr>
    </w:lvl>
    <w:lvl w:ilvl="6" w:tplc="39028042">
      <w:start w:val="1"/>
      <w:numFmt w:val="bullet"/>
      <w:lvlText w:val=""/>
      <w:lvlJc w:val="left"/>
      <w:pPr>
        <w:ind w:left="5040" w:hanging="360"/>
      </w:pPr>
      <w:rPr>
        <w:rFonts w:ascii="Symbol" w:hAnsi="Symbol" w:hint="default"/>
      </w:rPr>
    </w:lvl>
    <w:lvl w:ilvl="7" w:tplc="C90675FC">
      <w:start w:val="1"/>
      <w:numFmt w:val="bullet"/>
      <w:lvlText w:val="o"/>
      <w:lvlJc w:val="left"/>
      <w:pPr>
        <w:ind w:left="5760" w:hanging="360"/>
      </w:pPr>
      <w:rPr>
        <w:rFonts w:ascii="Courier New" w:hAnsi="Courier New" w:hint="default"/>
      </w:rPr>
    </w:lvl>
    <w:lvl w:ilvl="8" w:tplc="CD3AD450">
      <w:start w:val="1"/>
      <w:numFmt w:val="bullet"/>
      <w:lvlText w:val=""/>
      <w:lvlJc w:val="left"/>
      <w:pPr>
        <w:ind w:left="6480" w:hanging="360"/>
      </w:pPr>
      <w:rPr>
        <w:rFonts w:ascii="Wingdings" w:hAnsi="Wingdings" w:hint="default"/>
      </w:rPr>
    </w:lvl>
  </w:abstractNum>
  <w:abstractNum w:abstractNumId="14" w15:restartNumberingAfterBreak="0">
    <w:nsid w:val="3F6836D9"/>
    <w:multiLevelType w:val="hybridMultilevel"/>
    <w:tmpl w:val="A9C6A75E"/>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E0B85"/>
    <w:multiLevelType w:val="hybridMultilevel"/>
    <w:tmpl w:val="4F42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52199"/>
    <w:multiLevelType w:val="hybridMultilevel"/>
    <w:tmpl w:val="510E1B70"/>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36D82"/>
    <w:multiLevelType w:val="hybridMultilevel"/>
    <w:tmpl w:val="B112B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116690"/>
    <w:multiLevelType w:val="hybridMultilevel"/>
    <w:tmpl w:val="929E48C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C832A9"/>
    <w:multiLevelType w:val="hybridMultilevel"/>
    <w:tmpl w:val="5F0833E4"/>
    <w:lvl w:ilvl="0" w:tplc="D8AA70E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A6F4EAA"/>
    <w:multiLevelType w:val="hybridMultilevel"/>
    <w:tmpl w:val="49AA7FE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4D1A1D"/>
    <w:multiLevelType w:val="hybridMultilevel"/>
    <w:tmpl w:val="BB568824"/>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47371"/>
    <w:multiLevelType w:val="hybridMultilevel"/>
    <w:tmpl w:val="21647F98"/>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32A11"/>
    <w:multiLevelType w:val="hybridMultilevel"/>
    <w:tmpl w:val="ED52F60E"/>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931BD"/>
    <w:multiLevelType w:val="hybridMultilevel"/>
    <w:tmpl w:val="BD781926"/>
    <w:lvl w:ilvl="0" w:tplc="100C0001">
      <w:start w:val="1"/>
      <w:numFmt w:val="bullet"/>
      <w:lvlText w:val=""/>
      <w:lvlJc w:val="left"/>
      <w:pPr>
        <w:ind w:left="770" w:hanging="360"/>
      </w:pPr>
      <w:rPr>
        <w:rFonts w:ascii="Symbol" w:hAnsi="Symbol" w:hint="default"/>
      </w:rPr>
    </w:lvl>
    <w:lvl w:ilvl="1" w:tplc="100C0003" w:tentative="1">
      <w:start w:val="1"/>
      <w:numFmt w:val="bullet"/>
      <w:lvlText w:val="o"/>
      <w:lvlJc w:val="left"/>
      <w:pPr>
        <w:ind w:left="1490" w:hanging="360"/>
      </w:pPr>
      <w:rPr>
        <w:rFonts w:ascii="Courier New" w:hAnsi="Courier New" w:cs="Courier New" w:hint="default"/>
      </w:rPr>
    </w:lvl>
    <w:lvl w:ilvl="2" w:tplc="100C0005" w:tentative="1">
      <w:start w:val="1"/>
      <w:numFmt w:val="bullet"/>
      <w:lvlText w:val=""/>
      <w:lvlJc w:val="left"/>
      <w:pPr>
        <w:ind w:left="2210" w:hanging="360"/>
      </w:pPr>
      <w:rPr>
        <w:rFonts w:ascii="Wingdings" w:hAnsi="Wingdings" w:hint="default"/>
      </w:rPr>
    </w:lvl>
    <w:lvl w:ilvl="3" w:tplc="100C0001" w:tentative="1">
      <w:start w:val="1"/>
      <w:numFmt w:val="bullet"/>
      <w:lvlText w:val=""/>
      <w:lvlJc w:val="left"/>
      <w:pPr>
        <w:ind w:left="2930" w:hanging="360"/>
      </w:pPr>
      <w:rPr>
        <w:rFonts w:ascii="Symbol" w:hAnsi="Symbol" w:hint="default"/>
      </w:rPr>
    </w:lvl>
    <w:lvl w:ilvl="4" w:tplc="100C0003" w:tentative="1">
      <w:start w:val="1"/>
      <w:numFmt w:val="bullet"/>
      <w:lvlText w:val="o"/>
      <w:lvlJc w:val="left"/>
      <w:pPr>
        <w:ind w:left="3650" w:hanging="360"/>
      </w:pPr>
      <w:rPr>
        <w:rFonts w:ascii="Courier New" w:hAnsi="Courier New" w:cs="Courier New" w:hint="default"/>
      </w:rPr>
    </w:lvl>
    <w:lvl w:ilvl="5" w:tplc="100C0005" w:tentative="1">
      <w:start w:val="1"/>
      <w:numFmt w:val="bullet"/>
      <w:lvlText w:val=""/>
      <w:lvlJc w:val="left"/>
      <w:pPr>
        <w:ind w:left="4370" w:hanging="360"/>
      </w:pPr>
      <w:rPr>
        <w:rFonts w:ascii="Wingdings" w:hAnsi="Wingdings" w:hint="default"/>
      </w:rPr>
    </w:lvl>
    <w:lvl w:ilvl="6" w:tplc="100C0001" w:tentative="1">
      <w:start w:val="1"/>
      <w:numFmt w:val="bullet"/>
      <w:lvlText w:val=""/>
      <w:lvlJc w:val="left"/>
      <w:pPr>
        <w:ind w:left="5090" w:hanging="360"/>
      </w:pPr>
      <w:rPr>
        <w:rFonts w:ascii="Symbol" w:hAnsi="Symbol" w:hint="default"/>
      </w:rPr>
    </w:lvl>
    <w:lvl w:ilvl="7" w:tplc="100C0003" w:tentative="1">
      <w:start w:val="1"/>
      <w:numFmt w:val="bullet"/>
      <w:lvlText w:val="o"/>
      <w:lvlJc w:val="left"/>
      <w:pPr>
        <w:ind w:left="5810" w:hanging="360"/>
      </w:pPr>
      <w:rPr>
        <w:rFonts w:ascii="Courier New" w:hAnsi="Courier New" w:cs="Courier New" w:hint="default"/>
      </w:rPr>
    </w:lvl>
    <w:lvl w:ilvl="8" w:tplc="100C0005" w:tentative="1">
      <w:start w:val="1"/>
      <w:numFmt w:val="bullet"/>
      <w:lvlText w:val=""/>
      <w:lvlJc w:val="left"/>
      <w:pPr>
        <w:ind w:left="6530" w:hanging="360"/>
      </w:pPr>
      <w:rPr>
        <w:rFonts w:ascii="Wingdings" w:hAnsi="Wingdings" w:hint="default"/>
      </w:rPr>
    </w:lvl>
  </w:abstractNum>
  <w:abstractNum w:abstractNumId="25" w15:restartNumberingAfterBreak="0">
    <w:nsid w:val="553C1F31"/>
    <w:multiLevelType w:val="hybridMultilevel"/>
    <w:tmpl w:val="937A1B58"/>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6C4F51"/>
    <w:multiLevelType w:val="hybridMultilevel"/>
    <w:tmpl w:val="FFFFFFFF"/>
    <w:lvl w:ilvl="0" w:tplc="33246D38">
      <w:start w:val="1"/>
      <w:numFmt w:val="bullet"/>
      <w:lvlText w:val="ü"/>
      <w:lvlJc w:val="left"/>
      <w:pPr>
        <w:ind w:left="360" w:hanging="360"/>
      </w:pPr>
      <w:rPr>
        <w:rFonts w:ascii="Wingdings" w:hAnsi="Wingdings" w:hint="default"/>
      </w:rPr>
    </w:lvl>
    <w:lvl w:ilvl="1" w:tplc="67E89EBC">
      <w:start w:val="1"/>
      <w:numFmt w:val="bullet"/>
      <w:lvlText w:val="o"/>
      <w:lvlJc w:val="left"/>
      <w:pPr>
        <w:ind w:left="1080" w:hanging="360"/>
      </w:pPr>
      <w:rPr>
        <w:rFonts w:ascii="Courier New" w:hAnsi="Courier New" w:hint="default"/>
      </w:rPr>
    </w:lvl>
    <w:lvl w:ilvl="2" w:tplc="32F6851E">
      <w:start w:val="1"/>
      <w:numFmt w:val="bullet"/>
      <w:lvlText w:val=""/>
      <w:lvlJc w:val="left"/>
      <w:pPr>
        <w:ind w:left="1800" w:hanging="360"/>
      </w:pPr>
      <w:rPr>
        <w:rFonts w:ascii="Wingdings" w:hAnsi="Wingdings" w:hint="default"/>
      </w:rPr>
    </w:lvl>
    <w:lvl w:ilvl="3" w:tplc="69B84F1C">
      <w:start w:val="1"/>
      <w:numFmt w:val="bullet"/>
      <w:lvlText w:val=""/>
      <w:lvlJc w:val="left"/>
      <w:pPr>
        <w:ind w:left="2520" w:hanging="360"/>
      </w:pPr>
      <w:rPr>
        <w:rFonts w:ascii="Symbol" w:hAnsi="Symbol" w:hint="default"/>
      </w:rPr>
    </w:lvl>
    <w:lvl w:ilvl="4" w:tplc="3DA2C392">
      <w:start w:val="1"/>
      <w:numFmt w:val="bullet"/>
      <w:lvlText w:val="o"/>
      <w:lvlJc w:val="left"/>
      <w:pPr>
        <w:ind w:left="3240" w:hanging="360"/>
      </w:pPr>
      <w:rPr>
        <w:rFonts w:ascii="Courier New" w:hAnsi="Courier New" w:hint="default"/>
      </w:rPr>
    </w:lvl>
    <w:lvl w:ilvl="5" w:tplc="59184700">
      <w:start w:val="1"/>
      <w:numFmt w:val="bullet"/>
      <w:lvlText w:val=""/>
      <w:lvlJc w:val="left"/>
      <w:pPr>
        <w:ind w:left="3960" w:hanging="360"/>
      </w:pPr>
      <w:rPr>
        <w:rFonts w:ascii="Wingdings" w:hAnsi="Wingdings" w:hint="default"/>
      </w:rPr>
    </w:lvl>
    <w:lvl w:ilvl="6" w:tplc="533A5008">
      <w:start w:val="1"/>
      <w:numFmt w:val="bullet"/>
      <w:lvlText w:val=""/>
      <w:lvlJc w:val="left"/>
      <w:pPr>
        <w:ind w:left="4680" w:hanging="360"/>
      </w:pPr>
      <w:rPr>
        <w:rFonts w:ascii="Symbol" w:hAnsi="Symbol" w:hint="default"/>
      </w:rPr>
    </w:lvl>
    <w:lvl w:ilvl="7" w:tplc="935CA9FE">
      <w:start w:val="1"/>
      <w:numFmt w:val="bullet"/>
      <w:lvlText w:val="o"/>
      <w:lvlJc w:val="left"/>
      <w:pPr>
        <w:ind w:left="5400" w:hanging="360"/>
      </w:pPr>
      <w:rPr>
        <w:rFonts w:ascii="Courier New" w:hAnsi="Courier New" w:hint="default"/>
      </w:rPr>
    </w:lvl>
    <w:lvl w:ilvl="8" w:tplc="F352175A">
      <w:start w:val="1"/>
      <w:numFmt w:val="bullet"/>
      <w:lvlText w:val=""/>
      <w:lvlJc w:val="left"/>
      <w:pPr>
        <w:ind w:left="6120" w:hanging="360"/>
      </w:pPr>
      <w:rPr>
        <w:rFonts w:ascii="Wingdings" w:hAnsi="Wingdings" w:hint="default"/>
      </w:rPr>
    </w:lvl>
  </w:abstractNum>
  <w:abstractNum w:abstractNumId="27" w15:restartNumberingAfterBreak="0">
    <w:nsid w:val="55991364"/>
    <w:multiLevelType w:val="hybridMultilevel"/>
    <w:tmpl w:val="310E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A389E"/>
    <w:multiLevelType w:val="hybridMultilevel"/>
    <w:tmpl w:val="82742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8D1583"/>
    <w:multiLevelType w:val="hybridMultilevel"/>
    <w:tmpl w:val="F188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56529"/>
    <w:multiLevelType w:val="hybridMultilevel"/>
    <w:tmpl w:val="ECE23138"/>
    <w:lvl w:ilvl="0" w:tplc="80A0F440">
      <w:start w:val="1"/>
      <w:numFmt w:val="bullet"/>
      <w:lvlText w:val=""/>
      <w:lvlJc w:val="left"/>
      <w:pPr>
        <w:ind w:left="360" w:hanging="360"/>
      </w:pPr>
      <w:rPr>
        <w:rFonts w:ascii="Wingdings" w:hAnsi="Wingdings" w:hint="default"/>
        <w:color w:val="auto"/>
      </w:rPr>
    </w:lvl>
    <w:lvl w:ilvl="1" w:tplc="0610CBFA">
      <w:start w:val="1"/>
      <w:numFmt w:val="bullet"/>
      <w:lvlText w:val="o"/>
      <w:lvlJc w:val="left"/>
      <w:pPr>
        <w:ind w:left="1080" w:hanging="360"/>
      </w:pPr>
      <w:rPr>
        <w:rFonts w:ascii="Courier New" w:hAnsi="Courier New" w:hint="default"/>
      </w:rPr>
    </w:lvl>
    <w:lvl w:ilvl="2" w:tplc="A9E0871A">
      <w:start w:val="1"/>
      <w:numFmt w:val="bullet"/>
      <w:lvlText w:val=""/>
      <w:lvlJc w:val="left"/>
      <w:pPr>
        <w:ind w:left="1800" w:hanging="360"/>
      </w:pPr>
      <w:rPr>
        <w:rFonts w:ascii="Wingdings" w:hAnsi="Wingdings" w:hint="default"/>
      </w:rPr>
    </w:lvl>
    <w:lvl w:ilvl="3" w:tplc="881046EC">
      <w:start w:val="1"/>
      <w:numFmt w:val="bullet"/>
      <w:lvlText w:val=""/>
      <w:lvlJc w:val="left"/>
      <w:pPr>
        <w:ind w:left="2520" w:hanging="360"/>
      </w:pPr>
      <w:rPr>
        <w:rFonts w:ascii="Symbol" w:hAnsi="Symbol" w:hint="default"/>
      </w:rPr>
    </w:lvl>
    <w:lvl w:ilvl="4" w:tplc="4392BC8E">
      <w:start w:val="1"/>
      <w:numFmt w:val="bullet"/>
      <w:lvlText w:val="o"/>
      <w:lvlJc w:val="left"/>
      <w:pPr>
        <w:ind w:left="3240" w:hanging="360"/>
      </w:pPr>
      <w:rPr>
        <w:rFonts w:ascii="Courier New" w:hAnsi="Courier New" w:hint="default"/>
      </w:rPr>
    </w:lvl>
    <w:lvl w:ilvl="5" w:tplc="4C0CBA7C">
      <w:start w:val="1"/>
      <w:numFmt w:val="bullet"/>
      <w:lvlText w:val=""/>
      <w:lvlJc w:val="left"/>
      <w:pPr>
        <w:ind w:left="3960" w:hanging="360"/>
      </w:pPr>
      <w:rPr>
        <w:rFonts w:ascii="Wingdings" w:hAnsi="Wingdings" w:hint="default"/>
      </w:rPr>
    </w:lvl>
    <w:lvl w:ilvl="6" w:tplc="B55612A4">
      <w:start w:val="1"/>
      <w:numFmt w:val="bullet"/>
      <w:lvlText w:val=""/>
      <w:lvlJc w:val="left"/>
      <w:pPr>
        <w:ind w:left="4680" w:hanging="360"/>
      </w:pPr>
      <w:rPr>
        <w:rFonts w:ascii="Symbol" w:hAnsi="Symbol" w:hint="default"/>
      </w:rPr>
    </w:lvl>
    <w:lvl w:ilvl="7" w:tplc="61F8D832">
      <w:start w:val="1"/>
      <w:numFmt w:val="bullet"/>
      <w:lvlText w:val="o"/>
      <w:lvlJc w:val="left"/>
      <w:pPr>
        <w:ind w:left="5400" w:hanging="360"/>
      </w:pPr>
      <w:rPr>
        <w:rFonts w:ascii="Courier New" w:hAnsi="Courier New" w:hint="default"/>
      </w:rPr>
    </w:lvl>
    <w:lvl w:ilvl="8" w:tplc="7DFA53EA">
      <w:start w:val="1"/>
      <w:numFmt w:val="bullet"/>
      <w:lvlText w:val=""/>
      <w:lvlJc w:val="left"/>
      <w:pPr>
        <w:ind w:left="6120" w:hanging="360"/>
      </w:pPr>
      <w:rPr>
        <w:rFonts w:ascii="Wingdings" w:hAnsi="Wingdings" w:hint="default"/>
      </w:rPr>
    </w:lvl>
  </w:abstractNum>
  <w:abstractNum w:abstractNumId="31" w15:restartNumberingAfterBreak="0">
    <w:nsid w:val="58684441"/>
    <w:multiLevelType w:val="hybridMultilevel"/>
    <w:tmpl w:val="7868C2C4"/>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F156A1"/>
    <w:multiLevelType w:val="multilevel"/>
    <w:tmpl w:val="2AEE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8518E7"/>
    <w:multiLevelType w:val="hybridMultilevel"/>
    <w:tmpl w:val="FFFFFFFF"/>
    <w:lvl w:ilvl="0" w:tplc="07442A10">
      <w:start w:val="1"/>
      <w:numFmt w:val="bullet"/>
      <w:lvlText w:val="ü"/>
      <w:lvlJc w:val="left"/>
      <w:pPr>
        <w:ind w:left="360" w:hanging="360"/>
      </w:pPr>
      <w:rPr>
        <w:rFonts w:ascii="Wingdings" w:hAnsi="Wingdings" w:hint="default"/>
      </w:rPr>
    </w:lvl>
    <w:lvl w:ilvl="1" w:tplc="EAB23F84">
      <w:start w:val="1"/>
      <w:numFmt w:val="bullet"/>
      <w:lvlText w:val="o"/>
      <w:lvlJc w:val="left"/>
      <w:pPr>
        <w:ind w:left="1080" w:hanging="360"/>
      </w:pPr>
      <w:rPr>
        <w:rFonts w:ascii="Courier New" w:hAnsi="Courier New" w:hint="default"/>
      </w:rPr>
    </w:lvl>
    <w:lvl w:ilvl="2" w:tplc="3E7EDF0C">
      <w:start w:val="1"/>
      <w:numFmt w:val="bullet"/>
      <w:lvlText w:val=""/>
      <w:lvlJc w:val="left"/>
      <w:pPr>
        <w:ind w:left="1800" w:hanging="360"/>
      </w:pPr>
      <w:rPr>
        <w:rFonts w:ascii="Wingdings" w:hAnsi="Wingdings" w:hint="default"/>
      </w:rPr>
    </w:lvl>
    <w:lvl w:ilvl="3" w:tplc="64CC5CAC">
      <w:start w:val="1"/>
      <w:numFmt w:val="bullet"/>
      <w:lvlText w:val=""/>
      <w:lvlJc w:val="left"/>
      <w:pPr>
        <w:ind w:left="2520" w:hanging="360"/>
      </w:pPr>
      <w:rPr>
        <w:rFonts w:ascii="Symbol" w:hAnsi="Symbol" w:hint="default"/>
      </w:rPr>
    </w:lvl>
    <w:lvl w:ilvl="4" w:tplc="96047FB0">
      <w:start w:val="1"/>
      <w:numFmt w:val="bullet"/>
      <w:lvlText w:val="o"/>
      <w:lvlJc w:val="left"/>
      <w:pPr>
        <w:ind w:left="3240" w:hanging="360"/>
      </w:pPr>
      <w:rPr>
        <w:rFonts w:ascii="Courier New" w:hAnsi="Courier New" w:hint="default"/>
      </w:rPr>
    </w:lvl>
    <w:lvl w:ilvl="5" w:tplc="EE864304">
      <w:start w:val="1"/>
      <w:numFmt w:val="bullet"/>
      <w:lvlText w:val=""/>
      <w:lvlJc w:val="left"/>
      <w:pPr>
        <w:ind w:left="3960" w:hanging="360"/>
      </w:pPr>
      <w:rPr>
        <w:rFonts w:ascii="Wingdings" w:hAnsi="Wingdings" w:hint="default"/>
      </w:rPr>
    </w:lvl>
    <w:lvl w:ilvl="6" w:tplc="7E54E2E8">
      <w:start w:val="1"/>
      <w:numFmt w:val="bullet"/>
      <w:lvlText w:val=""/>
      <w:lvlJc w:val="left"/>
      <w:pPr>
        <w:ind w:left="4680" w:hanging="360"/>
      </w:pPr>
      <w:rPr>
        <w:rFonts w:ascii="Symbol" w:hAnsi="Symbol" w:hint="default"/>
      </w:rPr>
    </w:lvl>
    <w:lvl w:ilvl="7" w:tplc="8766CB1A">
      <w:start w:val="1"/>
      <w:numFmt w:val="bullet"/>
      <w:lvlText w:val="o"/>
      <w:lvlJc w:val="left"/>
      <w:pPr>
        <w:ind w:left="5400" w:hanging="360"/>
      </w:pPr>
      <w:rPr>
        <w:rFonts w:ascii="Courier New" w:hAnsi="Courier New" w:hint="default"/>
      </w:rPr>
    </w:lvl>
    <w:lvl w:ilvl="8" w:tplc="2B060FEE">
      <w:start w:val="1"/>
      <w:numFmt w:val="bullet"/>
      <w:lvlText w:val=""/>
      <w:lvlJc w:val="left"/>
      <w:pPr>
        <w:ind w:left="6120" w:hanging="360"/>
      </w:pPr>
      <w:rPr>
        <w:rFonts w:ascii="Wingdings" w:hAnsi="Wingdings" w:hint="default"/>
      </w:rPr>
    </w:lvl>
  </w:abstractNum>
  <w:abstractNum w:abstractNumId="34" w15:restartNumberingAfterBreak="0">
    <w:nsid w:val="5C8F2EBE"/>
    <w:multiLevelType w:val="hybridMultilevel"/>
    <w:tmpl w:val="DF520E4C"/>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85762C"/>
    <w:multiLevelType w:val="hybridMultilevel"/>
    <w:tmpl w:val="7076B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9712EA"/>
    <w:multiLevelType w:val="hybridMultilevel"/>
    <w:tmpl w:val="FFFFFFFF"/>
    <w:lvl w:ilvl="0" w:tplc="A53450A4">
      <w:start w:val="1"/>
      <w:numFmt w:val="bullet"/>
      <w:lvlText w:val="ü"/>
      <w:lvlJc w:val="left"/>
      <w:pPr>
        <w:ind w:left="720" w:hanging="360"/>
      </w:pPr>
      <w:rPr>
        <w:rFonts w:ascii="Wingdings" w:hAnsi="Wingdings" w:hint="default"/>
      </w:rPr>
    </w:lvl>
    <w:lvl w:ilvl="1" w:tplc="140E9C1E">
      <w:start w:val="1"/>
      <w:numFmt w:val="bullet"/>
      <w:lvlText w:val="o"/>
      <w:lvlJc w:val="left"/>
      <w:pPr>
        <w:ind w:left="1440" w:hanging="360"/>
      </w:pPr>
      <w:rPr>
        <w:rFonts w:ascii="Courier New" w:hAnsi="Courier New" w:hint="default"/>
      </w:rPr>
    </w:lvl>
    <w:lvl w:ilvl="2" w:tplc="92DC6C14">
      <w:start w:val="1"/>
      <w:numFmt w:val="bullet"/>
      <w:lvlText w:val=""/>
      <w:lvlJc w:val="left"/>
      <w:pPr>
        <w:ind w:left="2160" w:hanging="360"/>
      </w:pPr>
      <w:rPr>
        <w:rFonts w:ascii="Wingdings" w:hAnsi="Wingdings" w:hint="default"/>
      </w:rPr>
    </w:lvl>
    <w:lvl w:ilvl="3" w:tplc="AC081D80">
      <w:start w:val="1"/>
      <w:numFmt w:val="bullet"/>
      <w:lvlText w:val=""/>
      <w:lvlJc w:val="left"/>
      <w:pPr>
        <w:ind w:left="2880" w:hanging="360"/>
      </w:pPr>
      <w:rPr>
        <w:rFonts w:ascii="Symbol" w:hAnsi="Symbol" w:hint="default"/>
      </w:rPr>
    </w:lvl>
    <w:lvl w:ilvl="4" w:tplc="FE56B0FC">
      <w:start w:val="1"/>
      <w:numFmt w:val="bullet"/>
      <w:lvlText w:val="o"/>
      <w:lvlJc w:val="left"/>
      <w:pPr>
        <w:ind w:left="3600" w:hanging="360"/>
      </w:pPr>
      <w:rPr>
        <w:rFonts w:ascii="Courier New" w:hAnsi="Courier New" w:hint="default"/>
      </w:rPr>
    </w:lvl>
    <w:lvl w:ilvl="5" w:tplc="288029D6">
      <w:start w:val="1"/>
      <w:numFmt w:val="bullet"/>
      <w:lvlText w:val=""/>
      <w:lvlJc w:val="left"/>
      <w:pPr>
        <w:ind w:left="4320" w:hanging="360"/>
      </w:pPr>
      <w:rPr>
        <w:rFonts w:ascii="Wingdings" w:hAnsi="Wingdings" w:hint="default"/>
      </w:rPr>
    </w:lvl>
    <w:lvl w:ilvl="6" w:tplc="47ECADA6">
      <w:start w:val="1"/>
      <w:numFmt w:val="bullet"/>
      <w:lvlText w:val=""/>
      <w:lvlJc w:val="left"/>
      <w:pPr>
        <w:ind w:left="5040" w:hanging="360"/>
      </w:pPr>
      <w:rPr>
        <w:rFonts w:ascii="Symbol" w:hAnsi="Symbol" w:hint="default"/>
      </w:rPr>
    </w:lvl>
    <w:lvl w:ilvl="7" w:tplc="3F32EBD0">
      <w:start w:val="1"/>
      <w:numFmt w:val="bullet"/>
      <w:lvlText w:val="o"/>
      <w:lvlJc w:val="left"/>
      <w:pPr>
        <w:ind w:left="5760" w:hanging="360"/>
      </w:pPr>
      <w:rPr>
        <w:rFonts w:ascii="Courier New" w:hAnsi="Courier New" w:hint="default"/>
      </w:rPr>
    </w:lvl>
    <w:lvl w:ilvl="8" w:tplc="29D2B226">
      <w:start w:val="1"/>
      <w:numFmt w:val="bullet"/>
      <w:lvlText w:val=""/>
      <w:lvlJc w:val="left"/>
      <w:pPr>
        <w:ind w:left="6480" w:hanging="360"/>
      </w:pPr>
      <w:rPr>
        <w:rFonts w:ascii="Wingdings" w:hAnsi="Wingdings" w:hint="default"/>
      </w:rPr>
    </w:lvl>
  </w:abstractNum>
  <w:abstractNum w:abstractNumId="37" w15:restartNumberingAfterBreak="0">
    <w:nsid w:val="643F0566"/>
    <w:multiLevelType w:val="hybridMultilevel"/>
    <w:tmpl w:val="7FDEDAA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7D521B"/>
    <w:multiLevelType w:val="hybridMultilevel"/>
    <w:tmpl w:val="54BC0502"/>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2A2B5A"/>
    <w:multiLevelType w:val="multilevel"/>
    <w:tmpl w:val="5CDA9452"/>
    <w:lvl w:ilvl="0">
      <w:start w:val="1"/>
      <w:numFmt w:val="bullet"/>
      <w:lvlText w:val=""/>
      <w:lvlJc w:val="left"/>
      <w:pPr>
        <w:tabs>
          <w:tab w:val="num" w:pos="720"/>
        </w:tabs>
        <w:ind w:left="720" w:hanging="360"/>
      </w:pPr>
      <w:rPr>
        <w:rFonts w:ascii="Symbol" w:hAnsi="Symbol" w:hint="default"/>
        <w:sz w:val="20"/>
      </w:rPr>
    </w:lvl>
    <w:lvl w:ilvl="1">
      <w:start w:val="1"/>
      <w:numFmt w:val="bullet"/>
      <w:lvlText w:val="ü"/>
      <w:lvlJc w:val="left"/>
      <w:pPr>
        <w:ind w:left="72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344AA1"/>
    <w:multiLevelType w:val="hybridMultilevel"/>
    <w:tmpl w:val="6890BF70"/>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873AFC"/>
    <w:multiLevelType w:val="multilevel"/>
    <w:tmpl w:val="3FA27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2" w15:restartNumberingAfterBreak="0">
    <w:nsid w:val="699131B7"/>
    <w:multiLevelType w:val="hybridMultilevel"/>
    <w:tmpl w:val="325C7A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A284BD4"/>
    <w:multiLevelType w:val="multilevel"/>
    <w:tmpl w:val="8602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BC60DC"/>
    <w:multiLevelType w:val="hybridMultilevel"/>
    <w:tmpl w:val="392A8776"/>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B5248C"/>
    <w:multiLevelType w:val="hybridMultilevel"/>
    <w:tmpl w:val="6E48387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F93C1A"/>
    <w:multiLevelType w:val="hybridMultilevel"/>
    <w:tmpl w:val="FFFFFFFF"/>
    <w:lvl w:ilvl="0" w:tplc="D0386DF6">
      <w:start w:val="1"/>
      <w:numFmt w:val="bullet"/>
      <w:lvlText w:val=""/>
      <w:lvlJc w:val="left"/>
      <w:pPr>
        <w:ind w:left="360" w:hanging="360"/>
      </w:pPr>
      <w:rPr>
        <w:rFonts w:ascii="Wingdings" w:hAnsi="Wingdings" w:hint="default"/>
      </w:rPr>
    </w:lvl>
    <w:lvl w:ilvl="1" w:tplc="FBB8639E">
      <w:start w:val="1"/>
      <w:numFmt w:val="bullet"/>
      <w:lvlText w:val="o"/>
      <w:lvlJc w:val="left"/>
      <w:pPr>
        <w:ind w:left="1080" w:hanging="360"/>
      </w:pPr>
      <w:rPr>
        <w:rFonts w:ascii="Courier New" w:hAnsi="Courier New" w:hint="default"/>
      </w:rPr>
    </w:lvl>
    <w:lvl w:ilvl="2" w:tplc="FC921A5A">
      <w:start w:val="1"/>
      <w:numFmt w:val="bullet"/>
      <w:lvlText w:val=""/>
      <w:lvlJc w:val="left"/>
      <w:pPr>
        <w:ind w:left="1800" w:hanging="360"/>
      </w:pPr>
      <w:rPr>
        <w:rFonts w:ascii="Wingdings" w:hAnsi="Wingdings" w:hint="default"/>
      </w:rPr>
    </w:lvl>
    <w:lvl w:ilvl="3" w:tplc="40D6DFB0">
      <w:start w:val="1"/>
      <w:numFmt w:val="bullet"/>
      <w:lvlText w:val=""/>
      <w:lvlJc w:val="left"/>
      <w:pPr>
        <w:ind w:left="2520" w:hanging="360"/>
      </w:pPr>
      <w:rPr>
        <w:rFonts w:ascii="Symbol" w:hAnsi="Symbol" w:hint="default"/>
      </w:rPr>
    </w:lvl>
    <w:lvl w:ilvl="4" w:tplc="E8C8DE84">
      <w:start w:val="1"/>
      <w:numFmt w:val="bullet"/>
      <w:lvlText w:val="o"/>
      <w:lvlJc w:val="left"/>
      <w:pPr>
        <w:ind w:left="3240" w:hanging="360"/>
      </w:pPr>
      <w:rPr>
        <w:rFonts w:ascii="Courier New" w:hAnsi="Courier New" w:hint="default"/>
      </w:rPr>
    </w:lvl>
    <w:lvl w:ilvl="5" w:tplc="2DBE472E">
      <w:start w:val="1"/>
      <w:numFmt w:val="bullet"/>
      <w:lvlText w:val=""/>
      <w:lvlJc w:val="left"/>
      <w:pPr>
        <w:ind w:left="3960" w:hanging="360"/>
      </w:pPr>
      <w:rPr>
        <w:rFonts w:ascii="Wingdings" w:hAnsi="Wingdings" w:hint="default"/>
      </w:rPr>
    </w:lvl>
    <w:lvl w:ilvl="6" w:tplc="32C63BDA">
      <w:start w:val="1"/>
      <w:numFmt w:val="bullet"/>
      <w:lvlText w:val=""/>
      <w:lvlJc w:val="left"/>
      <w:pPr>
        <w:ind w:left="4680" w:hanging="360"/>
      </w:pPr>
      <w:rPr>
        <w:rFonts w:ascii="Symbol" w:hAnsi="Symbol" w:hint="default"/>
      </w:rPr>
    </w:lvl>
    <w:lvl w:ilvl="7" w:tplc="80CC7E40">
      <w:start w:val="1"/>
      <w:numFmt w:val="bullet"/>
      <w:lvlText w:val="o"/>
      <w:lvlJc w:val="left"/>
      <w:pPr>
        <w:ind w:left="5400" w:hanging="360"/>
      </w:pPr>
      <w:rPr>
        <w:rFonts w:ascii="Courier New" w:hAnsi="Courier New" w:hint="default"/>
      </w:rPr>
    </w:lvl>
    <w:lvl w:ilvl="8" w:tplc="E3609E20">
      <w:start w:val="1"/>
      <w:numFmt w:val="bullet"/>
      <w:lvlText w:val=""/>
      <w:lvlJc w:val="left"/>
      <w:pPr>
        <w:ind w:left="6120" w:hanging="360"/>
      </w:pPr>
      <w:rPr>
        <w:rFonts w:ascii="Wingdings" w:hAnsi="Wingdings" w:hint="default"/>
      </w:rPr>
    </w:lvl>
  </w:abstractNum>
  <w:abstractNum w:abstractNumId="47" w15:restartNumberingAfterBreak="0">
    <w:nsid w:val="731078FA"/>
    <w:multiLevelType w:val="hybridMultilevel"/>
    <w:tmpl w:val="EC1C6C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3E431D8"/>
    <w:multiLevelType w:val="hybridMultilevel"/>
    <w:tmpl w:val="BA74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187BDB"/>
    <w:multiLevelType w:val="hybridMultilevel"/>
    <w:tmpl w:val="020ABA1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665385"/>
    <w:multiLevelType w:val="hybridMultilevel"/>
    <w:tmpl w:val="805CD71C"/>
    <w:lvl w:ilvl="0" w:tplc="0C2C48C0">
      <w:start w:val="1"/>
      <w:numFmt w:val="bullet"/>
      <w:lvlText w:val=""/>
      <w:lvlJc w:val="left"/>
      <w:pPr>
        <w:ind w:left="720" w:hanging="360"/>
      </w:pPr>
      <w:rPr>
        <w:rFonts w:ascii="Wingdings" w:hAnsi="Wingdings" w:hint="default"/>
      </w:rPr>
    </w:lvl>
    <w:lvl w:ilvl="1" w:tplc="6B66A8B2">
      <w:start w:val="1"/>
      <w:numFmt w:val="bullet"/>
      <w:lvlText w:val="o"/>
      <w:lvlJc w:val="left"/>
      <w:pPr>
        <w:ind w:left="1440" w:hanging="360"/>
      </w:pPr>
      <w:rPr>
        <w:rFonts w:ascii="Courier New" w:hAnsi="Courier New" w:hint="default"/>
      </w:rPr>
    </w:lvl>
    <w:lvl w:ilvl="2" w:tplc="55DAFA7E">
      <w:start w:val="1"/>
      <w:numFmt w:val="bullet"/>
      <w:lvlText w:val=""/>
      <w:lvlJc w:val="left"/>
      <w:pPr>
        <w:ind w:left="2160" w:hanging="360"/>
      </w:pPr>
      <w:rPr>
        <w:rFonts w:ascii="Wingdings" w:hAnsi="Wingdings" w:hint="default"/>
      </w:rPr>
    </w:lvl>
    <w:lvl w:ilvl="3" w:tplc="370AED8A">
      <w:start w:val="1"/>
      <w:numFmt w:val="bullet"/>
      <w:lvlText w:val=""/>
      <w:lvlJc w:val="left"/>
      <w:pPr>
        <w:ind w:left="2880" w:hanging="360"/>
      </w:pPr>
      <w:rPr>
        <w:rFonts w:ascii="Symbol" w:hAnsi="Symbol" w:hint="default"/>
      </w:rPr>
    </w:lvl>
    <w:lvl w:ilvl="4" w:tplc="5A6E91B0">
      <w:start w:val="1"/>
      <w:numFmt w:val="bullet"/>
      <w:lvlText w:val="o"/>
      <w:lvlJc w:val="left"/>
      <w:pPr>
        <w:ind w:left="3600" w:hanging="360"/>
      </w:pPr>
      <w:rPr>
        <w:rFonts w:ascii="Courier New" w:hAnsi="Courier New" w:hint="default"/>
      </w:rPr>
    </w:lvl>
    <w:lvl w:ilvl="5" w:tplc="A7D41BB6">
      <w:start w:val="1"/>
      <w:numFmt w:val="bullet"/>
      <w:lvlText w:val=""/>
      <w:lvlJc w:val="left"/>
      <w:pPr>
        <w:ind w:left="4320" w:hanging="360"/>
      </w:pPr>
      <w:rPr>
        <w:rFonts w:ascii="Wingdings" w:hAnsi="Wingdings" w:hint="default"/>
      </w:rPr>
    </w:lvl>
    <w:lvl w:ilvl="6" w:tplc="73A4CBE6">
      <w:start w:val="1"/>
      <w:numFmt w:val="bullet"/>
      <w:lvlText w:val=""/>
      <w:lvlJc w:val="left"/>
      <w:pPr>
        <w:ind w:left="5040" w:hanging="360"/>
      </w:pPr>
      <w:rPr>
        <w:rFonts w:ascii="Symbol" w:hAnsi="Symbol" w:hint="default"/>
      </w:rPr>
    </w:lvl>
    <w:lvl w:ilvl="7" w:tplc="D4AA3878">
      <w:start w:val="1"/>
      <w:numFmt w:val="bullet"/>
      <w:lvlText w:val="o"/>
      <w:lvlJc w:val="left"/>
      <w:pPr>
        <w:ind w:left="5760" w:hanging="360"/>
      </w:pPr>
      <w:rPr>
        <w:rFonts w:ascii="Courier New" w:hAnsi="Courier New" w:hint="default"/>
      </w:rPr>
    </w:lvl>
    <w:lvl w:ilvl="8" w:tplc="B61E11D4">
      <w:start w:val="1"/>
      <w:numFmt w:val="bullet"/>
      <w:lvlText w:val=""/>
      <w:lvlJc w:val="left"/>
      <w:pPr>
        <w:ind w:left="6480" w:hanging="360"/>
      </w:pPr>
      <w:rPr>
        <w:rFonts w:ascii="Wingdings" w:hAnsi="Wingdings" w:hint="default"/>
      </w:rPr>
    </w:lvl>
  </w:abstractNum>
  <w:abstractNum w:abstractNumId="51" w15:restartNumberingAfterBreak="0">
    <w:nsid w:val="78633D17"/>
    <w:multiLevelType w:val="hybridMultilevel"/>
    <w:tmpl w:val="BA78236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2" w15:restartNumberingAfterBreak="0">
    <w:nsid w:val="7AB70552"/>
    <w:multiLevelType w:val="hybridMultilevel"/>
    <w:tmpl w:val="8DC2C000"/>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9E34F0"/>
    <w:multiLevelType w:val="hybridMultilevel"/>
    <w:tmpl w:val="31469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BDB4CC3"/>
    <w:multiLevelType w:val="hybridMultilevel"/>
    <w:tmpl w:val="A71A096C"/>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342CC9"/>
    <w:multiLevelType w:val="hybridMultilevel"/>
    <w:tmpl w:val="5134AC1A"/>
    <w:lvl w:ilvl="0" w:tplc="717883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281BFC"/>
    <w:multiLevelType w:val="hybridMultilevel"/>
    <w:tmpl w:val="6F30F20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EC342C9"/>
    <w:multiLevelType w:val="hybridMultilevel"/>
    <w:tmpl w:val="CD8AB478"/>
    <w:lvl w:ilvl="0" w:tplc="35E2803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729981">
    <w:abstractNumId w:val="15"/>
  </w:num>
  <w:num w:numId="2" w16cid:durableId="1528982832">
    <w:abstractNumId w:val="37"/>
  </w:num>
  <w:num w:numId="3" w16cid:durableId="1529680760">
    <w:abstractNumId w:val="49"/>
  </w:num>
  <w:num w:numId="4" w16cid:durableId="1213881942">
    <w:abstractNumId w:val="55"/>
  </w:num>
  <w:num w:numId="5" w16cid:durableId="323438227">
    <w:abstractNumId w:val="45"/>
  </w:num>
  <w:num w:numId="6" w16cid:durableId="602299655">
    <w:abstractNumId w:val="46"/>
  </w:num>
  <w:num w:numId="7" w16cid:durableId="816645964">
    <w:abstractNumId w:val="33"/>
  </w:num>
  <w:num w:numId="8" w16cid:durableId="2089644099">
    <w:abstractNumId w:val="7"/>
  </w:num>
  <w:num w:numId="9" w16cid:durableId="1570963700">
    <w:abstractNumId w:val="26"/>
  </w:num>
  <w:num w:numId="10" w16cid:durableId="194730793">
    <w:abstractNumId w:val="6"/>
  </w:num>
  <w:num w:numId="11" w16cid:durableId="1689868989">
    <w:abstractNumId w:val="38"/>
  </w:num>
  <w:num w:numId="12" w16cid:durableId="1220625900">
    <w:abstractNumId w:val="54"/>
  </w:num>
  <w:num w:numId="13" w16cid:durableId="1163279627">
    <w:abstractNumId w:val="36"/>
  </w:num>
  <w:num w:numId="14" w16cid:durableId="187110579">
    <w:abstractNumId w:val="20"/>
  </w:num>
  <w:num w:numId="15" w16cid:durableId="468939969">
    <w:abstractNumId w:val="30"/>
  </w:num>
  <w:num w:numId="16" w16cid:durableId="1803574618">
    <w:abstractNumId w:val="56"/>
  </w:num>
  <w:num w:numId="17" w16cid:durableId="106119040">
    <w:abstractNumId w:val="31"/>
  </w:num>
  <w:num w:numId="18" w16cid:durableId="183248501">
    <w:abstractNumId w:val="57"/>
  </w:num>
  <w:num w:numId="19" w16cid:durableId="828251628">
    <w:abstractNumId w:val="21"/>
  </w:num>
  <w:num w:numId="20" w16cid:durableId="1479111707">
    <w:abstractNumId w:val="23"/>
  </w:num>
  <w:num w:numId="21" w16cid:durableId="955674875">
    <w:abstractNumId w:val="1"/>
  </w:num>
  <w:num w:numId="22" w16cid:durableId="792677036">
    <w:abstractNumId w:val="5"/>
  </w:num>
  <w:num w:numId="23" w16cid:durableId="939291931">
    <w:abstractNumId w:val="29"/>
  </w:num>
  <w:num w:numId="24" w16cid:durableId="935557490">
    <w:abstractNumId w:val="18"/>
  </w:num>
  <w:num w:numId="25" w16cid:durableId="767895445">
    <w:abstractNumId w:val="48"/>
  </w:num>
  <w:num w:numId="26" w16cid:durableId="1422946217">
    <w:abstractNumId w:val="27"/>
  </w:num>
  <w:num w:numId="27" w16cid:durableId="313876897">
    <w:abstractNumId w:val="0"/>
  </w:num>
  <w:num w:numId="28" w16cid:durableId="2104911047">
    <w:abstractNumId w:val="8"/>
  </w:num>
  <w:num w:numId="29" w16cid:durableId="543761443">
    <w:abstractNumId w:val="35"/>
  </w:num>
  <w:num w:numId="30" w16cid:durableId="1606770742">
    <w:abstractNumId w:val="42"/>
  </w:num>
  <w:num w:numId="31" w16cid:durableId="550503647">
    <w:abstractNumId w:val="4"/>
  </w:num>
  <w:num w:numId="32" w16cid:durableId="754784916">
    <w:abstractNumId w:val="28"/>
  </w:num>
  <w:num w:numId="33" w16cid:durableId="330375963">
    <w:abstractNumId w:val="17"/>
  </w:num>
  <w:num w:numId="34" w16cid:durableId="426775180">
    <w:abstractNumId w:val="43"/>
  </w:num>
  <w:num w:numId="35" w16cid:durableId="850340998">
    <w:abstractNumId w:val="32"/>
  </w:num>
  <w:num w:numId="36" w16cid:durableId="1300068599">
    <w:abstractNumId w:val="2"/>
  </w:num>
  <w:num w:numId="37" w16cid:durableId="241333297">
    <w:abstractNumId w:val="24"/>
  </w:num>
  <w:num w:numId="38" w16cid:durableId="88697021">
    <w:abstractNumId w:val="51"/>
  </w:num>
  <w:num w:numId="39" w16cid:durableId="652494062">
    <w:abstractNumId w:val="12"/>
  </w:num>
  <w:num w:numId="40" w16cid:durableId="650063646">
    <w:abstractNumId w:val="41"/>
  </w:num>
  <w:num w:numId="41" w16cid:durableId="670374487">
    <w:abstractNumId w:val="9"/>
  </w:num>
  <w:num w:numId="42" w16cid:durableId="245308433">
    <w:abstractNumId w:val="53"/>
  </w:num>
  <w:num w:numId="43" w16cid:durableId="1339887542">
    <w:abstractNumId w:val="47"/>
  </w:num>
  <w:num w:numId="44" w16cid:durableId="1688798781">
    <w:abstractNumId w:val="34"/>
  </w:num>
  <w:num w:numId="45" w16cid:durableId="1087070580">
    <w:abstractNumId w:val="39"/>
  </w:num>
  <w:num w:numId="46" w16cid:durableId="1043022831">
    <w:abstractNumId w:val="13"/>
  </w:num>
  <w:num w:numId="47" w16cid:durableId="137038871">
    <w:abstractNumId w:val="50"/>
  </w:num>
  <w:num w:numId="48" w16cid:durableId="833296497">
    <w:abstractNumId w:val="10"/>
  </w:num>
  <w:num w:numId="49" w16cid:durableId="439837213">
    <w:abstractNumId w:val="40"/>
  </w:num>
  <w:num w:numId="50" w16cid:durableId="1015810166">
    <w:abstractNumId w:val="16"/>
  </w:num>
  <w:num w:numId="51" w16cid:durableId="265768466">
    <w:abstractNumId w:val="44"/>
  </w:num>
  <w:num w:numId="52" w16cid:durableId="15425418">
    <w:abstractNumId w:val="3"/>
  </w:num>
  <w:num w:numId="53" w16cid:durableId="1522621214">
    <w:abstractNumId w:val="25"/>
  </w:num>
  <w:num w:numId="54" w16cid:durableId="854612188">
    <w:abstractNumId w:val="14"/>
  </w:num>
  <w:num w:numId="55" w16cid:durableId="1150169933">
    <w:abstractNumId w:val="22"/>
  </w:num>
  <w:num w:numId="56" w16cid:durableId="853155388">
    <w:abstractNumId w:val="52"/>
  </w:num>
  <w:num w:numId="57" w16cid:durableId="347876120">
    <w:abstractNumId w:val="11"/>
  </w:num>
  <w:num w:numId="58" w16cid:durableId="1823279201">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xMzG3sDQyMTQyNLZQ0lEKTi0uzszPAykwrAUA+uIEtCwAAAA="/>
  </w:docVars>
  <w:rsids>
    <w:rsidRoot w:val="00003C43"/>
    <w:rsid w:val="00001559"/>
    <w:rsid w:val="00001B31"/>
    <w:rsid w:val="00002716"/>
    <w:rsid w:val="00002EF9"/>
    <w:rsid w:val="00003C43"/>
    <w:rsid w:val="00005791"/>
    <w:rsid w:val="00010827"/>
    <w:rsid w:val="00010B12"/>
    <w:rsid w:val="000114ED"/>
    <w:rsid w:val="00011C0D"/>
    <w:rsid w:val="00015089"/>
    <w:rsid w:val="00015614"/>
    <w:rsid w:val="00015EFB"/>
    <w:rsid w:val="000236BE"/>
    <w:rsid w:val="0002520B"/>
    <w:rsid w:val="00026406"/>
    <w:rsid w:val="000272BF"/>
    <w:rsid w:val="00031ADD"/>
    <w:rsid w:val="00037A9E"/>
    <w:rsid w:val="00037F91"/>
    <w:rsid w:val="00040C68"/>
    <w:rsid w:val="00040E70"/>
    <w:rsid w:val="00040EDE"/>
    <w:rsid w:val="00045438"/>
    <w:rsid w:val="0004580E"/>
    <w:rsid w:val="00046F2B"/>
    <w:rsid w:val="000539F1"/>
    <w:rsid w:val="000544C1"/>
    <w:rsid w:val="0005470B"/>
    <w:rsid w:val="00054747"/>
    <w:rsid w:val="00055A2A"/>
    <w:rsid w:val="00055B0A"/>
    <w:rsid w:val="00060DDC"/>
    <w:rsid w:val="000615C1"/>
    <w:rsid w:val="00061675"/>
    <w:rsid w:val="000639B9"/>
    <w:rsid w:val="0006748C"/>
    <w:rsid w:val="000743AA"/>
    <w:rsid w:val="000747E3"/>
    <w:rsid w:val="00074BFC"/>
    <w:rsid w:val="00076FA3"/>
    <w:rsid w:val="00077150"/>
    <w:rsid w:val="000802F6"/>
    <w:rsid w:val="00081A59"/>
    <w:rsid w:val="00081BC6"/>
    <w:rsid w:val="00081C52"/>
    <w:rsid w:val="00082318"/>
    <w:rsid w:val="00087781"/>
    <w:rsid w:val="0009076F"/>
    <w:rsid w:val="0009225C"/>
    <w:rsid w:val="00096208"/>
    <w:rsid w:val="000A0889"/>
    <w:rsid w:val="000A15DA"/>
    <w:rsid w:val="000A17C4"/>
    <w:rsid w:val="000A36A4"/>
    <w:rsid w:val="000A38DF"/>
    <w:rsid w:val="000A3B5D"/>
    <w:rsid w:val="000B2352"/>
    <w:rsid w:val="000B2789"/>
    <w:rsid w:val="000B4CBE"/>
    <w:rsid w:val="000B7D01"/>
    <w:rsid w:val="000C02D4"/>
    <w:rsid w:val="000C3A69"/>
    <w:rsid w:val="000C76DF"/>
    <w:rsid w:val="000C7B84"/>
    <w:rsid w:val="000D0941"/>
    <w:rsid w:val="000D261B"/>
    <w:rsid w:val="000D58A3"/>
    <w:rsid w:val="000D691A"/>
    <w:rsid w:val="000D6FA7"/>
    <w:rsid w:val="000D733E"/>
    <w:rsid w:val="000E063A"/>
    <w:rsid w:val="000E17C2"/>
    <w:rsid w:val="000E2370"/>
    <w:rsid w:val="000E3686"/>
    <w:rsid w:val="000E3970"/>
    <w:rsid w:val="000E3ED4"/>
    <w:rsid w:val="000E3F9C"/>
    <w:rsid w:val="000E6831"/>
    <w:rsid w:val="000E695A"/>
    <w:rsid w:val="000E6D3E"/>
    <w:rsid w:val="000E7B33"/>
    <w:rsid w:val="000F1550"/>
    <w:rsid w:val="000F251B"/>
    <w:rsid w:val="000F29BC"/>
    <w:rsid w:val="000F3079"/>
    <w:rsid w:val="000F3461"/>
    <w:rsid w:val="000F5046"/>
    <w:rsid w:val="000F5FE8"/>
    <w:rsid w:val="000F6644"/>
    <w:rsid w:val="000F6D7E"/>
    <w:rsid w:val="000F6E0B"/>
    <w:rsid w:val="000F7115"/>
    <w:rsid w:val="00100833"/>
    <w:rsid w:val="0010159C"/>
    <w:rsid w:val="00101A00"/>
    <w:rsid w:val="00101F91"/>
    <w:rsid w:val="00102F72"/>
    <w:rsid w:val="001035A9"/>
    <w:rsid w:val="00107E85"/>
    <w:rsid w:val="0011204E"/>
    <w:rsid w:val="00113EE8"/>
    <w:rsid w:val="0011455A"/>
    <w:rsid w:val="0011470D"/>
    <w:rsid w:val="00114A65"/>
    <w:rsid w:val="00116BD9"/>
    <w:rsid w:val="001176B3"/>
    <w:rsid w:val="001202C4"/>
    <w:rsid w:val="0012607F"/>
    <w:rsid w:val="001278A0"/>
    <w:rsid w:val="0013075A"/>
    <w:rsid w:val="001319B3"/>
    <w:rsid w:val="00133061"/>
    <w:rsid w:val="0013347D"/>
    <w:rsid w:val="00137AB7"/>
    <w:rsid w:val="00140FD2"/>
    <w:rsid w:val="00141699"/>
    <w:rsid w:val="00141C06"/>
    <w:rsid w:val="001445D2"/>
    <w:rsid w:val="0014540F"/>
    <w:rsid w:val="00147000"/>
    <w:rsid w:val="0015169B"/>
    <w:rsid w:val="00153FAF"/>
    <w:rsid w:val="00154A67"/>
    <w:rsid w:val="0015650C"/>
    <w:rsid w:val="00156606"/>
    <w:rsid w:val="00156E83"/>
    <w:rsid w:val="001575D0"/>
    <w:rsid w:val="00162B74"/>
    <w:rsid w:val="00163091"/>
    <w:rsid w:val="001645CB"/>
    <w:rsid w:val="00164C08"/>
    <w:rsid w:val="00166305"/>
    <w:rsid w:val="00167545"/>
    <w:rsid w:val="001703C6"/>
    <w:rsid w:val="00173781"/>
    <w:rsid w:val="0017550A"/>
    <w:rsid w:val="00175ADF"/>
    <w:rsid w:val="00175CAE"/>
    <w:rsid w:val="001763A9"/>
    <w:rsid w:val="00181217"/>
    <w:rsid w:val="001828DB"/>
    <w:rsid w:val="001850FE"/>
    <w:rsid w:val="00185135"/>
    <w:rsid w:val="001851B4"/>
    <w:rsid w:val="00186092"/>
    <w:rsid w:val="0019037C"/>
    <w:rsid w:val="001905A9"/>
    <w:rsid w:val="00190A22"/>
    <w:rsid w:val="00191273"/>
    <w:rsid w:val="00193D30"/>
    <w:rsid w:val="001942A7"/>
    <w:rsid w:val="0019587B"/>
    <w:rsid w:val="001A163D"/>
    <w:rsid w:val="001A2A5F"/>
    <w:rsid w:val="001A441E"/>
    <w:rsid w:val="001A6733"/>
    <w:rsid w:val="001B0162"/>
    <w:rsid w:val="001B232D"/>
    <w:rsid w:val="001B32C1"/>
    <w:rsid w:val="001B357F"/>
    <w:rsid w:val="001B5020"/>
    <w:rsid w:val="001C3444"/>
    <w:rsid w:val="001C3702"/>
    <w:rsid w:val="001C4656"/>
    <w:rsid w:val="001C46BC"/>
    <w:rsid w:val="001C6BD1"/>
    <w:rsid w:val="001D1E06"/>
    <w:rsid w:val="001D27A6"/>
    <w:rsid w:val="001D40D5"/>
    <w:rsid w:val="001D5D9D"/>
    <w:rsid w:val="001D61E5"/>
    <w:rsid w:val="001E15ED"/>
    <w:rsid w:val="001E2DCA"/>
    <w:rsid w:val="001E2FAB"/>
    <w:rsid w:val="001E31C6"/>
    <w:rsid w:val="001E33CD"/>
    <w:rsid w:val="001E63EB"/>
    <w:rsid w:val="001E67ED"/>
    <w:rsid w:val="001E7CB2"/>
    <w:rsid w:val="001E7D38"/>
    <w:rsid w:val="001F1818"/>
    <w:rsid w:val="001F23E6"/>
    <w:rsid w:val="001F4238"/>
    <w:rsid w:val="00200A38"/>
    <w:rsid w:val="00200A46"/>
    <w:rsid w:val="00203DD9"/>
    <w:rsid w:val="00207487"/>
    <w:rsid w:val="00207D5A"/>
    <w:rsid w:val="00207FC5"/>
    <w:rsid w:val="00211351"/>
    <w:rsid w:val="0021195F"/>
    <w:rsid w:val="00211B6F"/>
    <w:rsid w:val="002128FB"/>
    <w:rsid w:val="002132B7"/>
    <w:rsid w:val="00214AA6"/>
    <w:rsid w:val="00215753"/>
    <w:rsid w:val="00217CC3"/>
    <w:rsid w:val="0022044E"/>
    <w:rsid w:val="002204E8"/>
    <w:rsid w:val="00220AB6"/>
    <w:rsid w:val="0022120F"/>
    <w:rsid w:val="0022124D"/>
    <w:rsid w:val="00221A6A"/>
    <w:rsid w:val="002224B2"/>
    <w:rsid w:val="0022701D"/>
    <w:rsid w:val="00227464"/>
    <w:rsid w:val="0022754A"/>
    <w:rsid w:val="00236560"/>
    <w:rsid w:val="0023662E"/>
    <w:rsid w:val="0023706D"/>
    <w:rsid w:val="00240830"/>
    <w:rsid w:val="00240F55"/>
    <w:rsid w:val="00245D0F"/>
    <w:rsid w:val="00250F5A"/>
    <w:rsid w:val="002548C3"/>
    <w:rsid w:val="00255EED"/>
    <w:rsid w:val="00257ACD"/>
    <w:rsid w:val="00262908"/>
    <w:rsid w:val="0026502B"/>
    <w:rsid w:val="002650F4"/>
    <w:rsid w:val="00265639"/>
    <w:rsid w:val="00265ACF"/>
    <w:rsid w:val="002665DB"/>
    <w:rsid w:val="00266E3C"/>
    <w:rsid w:val="0027047D"/>
    <w:rsid w:val="002715FD"/>
    <w:rsid w:val="002728A1"/>
    <w:rsid w:val="00276FC8"/>
    <w:rsid w:val="002770B1"/>
    <w:rsid w:val="0027786E"/>
    <w:rsid w:val="002845FE"/>
    <w:rsid w:val="00285B33"/>
    <w:rsid w:val="00287044"/>
    <w:rsid w:val="00287A3C"/>
    <w:rsid w:val="002924E1"/>
    <w:rsid w:val="002A0C0E"/>
    <w:rsid w:val="002A2FC6"/>
    <w:rsid w:val="002B145D"/>
    <w:rsid w:val="002B243E"/>
    <w:rsid w:val="002B2DC5"/>
    <w:rsid w:val="002B2DFF"/>
    <w:rsid w:val="002B57B9"/>
    <w:rsid w:val="002C08C0"/>
    <w:rsid w:val="002C0E3C"/>
    <w:rsid w:val="002C1EC7"/>
    <w:rsid w:val="002C3015"/>
    <w:rsid w:val="002C357F"/>
    <w:rsid w:val="002C4342"/>
    <w:rsid w:val="002C611E"/>
    <w:rsid w:val="002C7EA3"/>
    <w:rsid w:val="002D20AE"/>
    <w:rsid w:val="002D4831"/>
    <w:rsid w:val="002D48D3"/>
    <w:rsid w:val="002D6C61"/>
    <w:rsid w:val="002D70BF"/>
    <w:rsid w:val="002E20A8"/>
    <w:rsid w:val="002E2104"/>
    <w:rsid w:val="002E2DAC"/>
    <w:rsid w:val="002E6963"/>
    <w:rsid w:val="002E6F8F"/>
    <w:rsid w:val="002F056A"/>
    <w:rsid w:val="002F05D8"/>
    <w:rsid w:val="002F0A79"/>
    <w:rsid w:val="002F285A"/>
    <w:rsid w:val="002F2DE0"/>
    <w:rsid w:val="002F4464"/>
    <w:rsid w:val="002F5E25"/>
    <w:rsid w:val="00302E92"/>
    <w:rsid w:val="0030353C"/>
    <w:rsid w:val="00307C5B"/>
    <w:rsid w:val="003122A2"/>
    <w:rsid w:val="003125C3"/>
    <w:rsid w:val="00312AE6"/>
    <w:rsid w:val="00315101"/>
    <w:rsid w:val="00316F13"/>
    <w:rsid w:val="00317D1A"/>
    <w:rsid w:val="003211FF"/>
    <w:rsid w:val="003218A6"/>
    <w:rsid w:val="00321D50"/>
    <w:rsid w:val="003242AB"/>
    <w:rsid w:val="0032551F"/>
    <w:rsid w:val="00327247"/>
    <w:rsid w:val="0032740B"/>
    <w:rsid w:val="00327538"/>
    <w:rsid w:val="0032784E"/>
    <w:rsid w:val="00327A9D"/>
    <w:rsid w:val="00330FD1"/>
    <w:rsid w:val="0033130E"/>
    <w:rsid w:val="0033269C"/>
    <w:rsid w:val="003333C7"/>
    <w:rsid w:val="00333DA8"/>
    <w:rsid w:val="0033547F"/>
    <w:rsid w:val="003366E9"/>
    <w:rsid w:val="00340E15"/>
    <w:rsid w:val="00344BF5"/>
    <w:rsid w:val="00346A41"/>
    <w:rsid w:val="003501E8"/>
    <w:rsid w:val="00350966"/>
    <w:rsid w:val="00351C79"/>
    <w:rsid w:val="00352BB0"/>
    <w:rsid w:val="003539D5"/>
    <w:rsid w:val="0035516C"/>
    <w:rsid w:val="00355A4C"/>
    <w:rsid w:val="003604FB"/>
    <w:rsid w:val="00360B73"/>
    <w:rsid w:val="00362659"/>
    <w:rsid w:val="00367C8F"/>
    <w:rsid w:val="00370C2F"/>
    <w:rsid w:val="00372166"/>
    <w:rsid w:val="00374E9B"/>
    <w:rsid w:val="00375BDA"/>
    <w:rsid w:val="0037748D"/>
    <w:rsid w:val="00380B71"/>
    <w:rsid w:val="003813A8"/>
    <w:rsid w:val="0038365A"/>
    <w:rsid w:val="00383B37"/>
    <w:rsid w:val="00386A89"/>
    <w:rsid w:val="0039079B"/>
    <w:rsid w:val="00393746"/>
    <w:rsid w:val="0039648E"/>
    <w:rsid w:val="003967A5"/>
    <w:rsid w:val="00397F25"/>
    <w:rsid w:val="003A17C8"/>
    <w:rsid w:val="003A31A2"/>
    <w:rsid w:val="003A350F"/>
    <w:rsid w:val="003A4940"/>
    <w:rsid w:val="003A5AFE"/>
    <w:rsid w:val="003A5D5F"/>
    <w:rsid w:val="003A7FFE"/>
    <w:rsid w:val="003B0A63"/>
    <w:rsid w:val="003B50E1"/>
    <w:rsid w:val="003B6784"/>
    <w:rsid w:val="003B7125"/>
    <w:rsid w:val="003B77B1"/>
    <w:rsid w:val="003C09B2"/>
    <w:rsid w:val="003C1746"/>
    <w:rsid w:val="003C2AA9"/>
    <w:rsid w:val="003C48E0"/>
    <w:rsid w:val="003C58BF"/>
    <w:rsid w:val="003D451D"/>
    <w:rsid w:val="003D48EB"/>
    <w:rsid w:val="003D76FD"/>
    <w:rsid w:val="003E11DE"/>
    <w:rsid w:val="003E3B0C"/>
    <w:rsid w:val="003E46A0"/>
    <w:rsid w:val="003E56FC"/>
    <w:rsid w:val="003E5EB7"/>
    <w:rsid w:val="003F04BD"/>
    <w:rsid w:val="003F268D"/>
    <w:rsid w:val="003F2DD8"/>
    <w:rsid w:val="003F3F2D"/>
    <w:rsid w:val="003F4724"/>
    <w:rsid w:val="003F50B2"/>
    <w:rsid w:val="003F7BD9"/>
    <w:rsid w:val="00400CCF"/>
    <w:rsid w:val="00401BFF"/>
    <w:rsid w:val="004032BF"/>
    <w:rsid w:val="00404424"/>
    <w:rsid w:val="00405109"/>
    <w:rsid w:val="00405DBE"/>
    <w:rsid w:val="0041156B"/>
    <w:rsid w:val="004122C5"/>
    <w:rsid w:val="00413B78"/>
    <w:rsid w:val="00416DDE"/>
    <w:rsid w:val="00417D41"/>
    <w:rsid w:val="00426162"/>
    <w:rsid w:val="00431B02"/>
    <w:rsid w:val="00440278"/>
    <w:rsid w:val="0044411E"/>
    <w:rsid w:val="00445FD6"/>
    <w:rsid w:val="00446700"/>
    <w:rsid w:val="00450B3D"/>
    <w:rsid w:val="00453435"/>
    <w:rsid w:val="0045496F"/>
    <w:rsid w:val="00455643"/>
    <w:rsid w:val="00455B8A"/>
    <w:rsid w:val="00457EFF"/>
    <w:rsid w:val="00460089"/>
    <w:rsid w:val="004610B7"/>
    <w:rsid w:val="00462167"/>
    <w:rsid w:val="004648E0"/>
    <w:rsid w:val="00466398"/>
    <w:rsid w:val="00466538"/>
    <w:rsid w:val="0046653E"/>
    <w:rsid w:val="00467F6B"/>
    <w:rsid w:val="00470928"/>
    <w:rsid w:val="00470971"/>
    <w:rsid w:val="004715C9"/>
    <w:rsid w:val="0047306D"/>
    <w:rsid w:val="00473791"/>
    <w:rsid w:val="004738F8"/>
    <w:rsid w:val="0047403E"/>
    <w:rsid w:val="00476CFF"/>
    <w:rsid w:val="00476E48"/>
    <w:rsid w:val="004771E0"/>
    <w:rsid w:val="0047741A"/>
    <w:rsid w:val="004806AA"/>
    <w:rsid w:val="00481CAC"/>
    <w:rsid w:val="00481DE9"/>
    <w:rsid w:val="004822D9"/>
    <w:rsid w:val="00484EDF"/>
    <w:rsid w:val="004855B7"/>
    <w:rsid w:val="00487DA4"/>
    <w:rsid w:val="0049128B"/>
    <w:rsid w:val="004935EE"/>
    <w:rsid w:val="00493B49"/>
    <w:rsid w:val="004945F0"/>
    <w:rsid w:val="00494980"/>
    <w:rsid w:val="00495501"/>
    <w:rsid w:val="00495C30"/>
    <w:rsid w:val="004A070A"/>
    <w:rsid w:val="004A2776"/>
    <w:rsid w:val="004A320E"/>
    <w:rsid w:val="004A4E9C"/>
    <w:rsid w:val="004A50F5"/>
    <w:rsid w:val="004A6142"/>
    <w:rsid w:val="004B01A1"/>
    <w:rsid w:val="004B1A3C"/>
    <w:rsid w:val="004B1CC7"/>
    <w:rsid w:val="004B3DD3"/>
    <w:rsid w:val="004B48FF"/>
    <w:rsid w:val="004B4B49"/>
    <w:rsid w:val="004B5DCC"/>
    <w:rsid w:val="004B72A2"/>
    <w:rsid w:val="004B7635"/>
    <w:rsid w:val="004C0AF4"/>
    <w:rsid w:val="004C0C88"/>
    <w:rsid w:val="004C0DE9"/>
    <w:rsid w:val="004C2062"/>
    <w:rsid w:val="004C2223"/>
    <w:rsid w:val="004C2768"/>
    <w:rsid w:val="004C6D6D"/>
    <w:rsid w:val="004D09A8"/>
    <w:rsid w:val="004D2CC3"/>
    <w:rsid w:val="004D35CB"/>
    <w:rsid w:val="004D5C04"/>
    <w:rsid w:val="004D7C91"/>
    <w:rsid w:val="004D7DAB"/>
    <w:rsid w:val="004E0A97"/>
    <w:rsid w:val="004E20E5"/>
    <w:rsid w:val="004E36E1"/>
    <w:rsid w:val="004E3E53"/>
    <w:rsid w:val="004E43D1"/>
    <w:rsid w:val="004E64EA"/>
    <w:rsid w:val="004E7828"/>
    <w:rsid w:val="004F01FF"/>
    <w:rsid w:val="004F2494"/>
    <w:rsid w:val="004F35BE"/>
    <w:rsid w:val="004F36B9"/>
    <w:rsid w:val="004F3810"/>
    <w:rsid w:val="004F3CCD"/>
    <w:rsid w:val="004F46AA"/>
    <w:rsid w:val="004F5215"/>
    <w:rsid w:val="004F6A70"/>
    <w:rsid w:val="004F7620"/>
    <w:rsid w:val="0050025F"/>
    <w:rsid w:val="00500AD7"/>
    <w:rsid w:val="0050158B"/>
    <w:rsid w:val="00502ABF"/>
    <w:rsid w:val="0050360B"/>
    <w:rsid w:val="00504DB0"/>
    <w:rsid w:val="0050533E"/>
    <w:rsid w:val="005070B5"/>
    <w:rsid w:val="005078F1"/>
    <w:rsid w:val="00507C35"/>
    <w:rsid w:val="00510735"/>
    <w:rsid w:val="00511DC8"/>
    <w:rsid w:val="005136D5"/>
    <w:rsid w:val="0051376D"/>
    <w:rsid w:val="00514710"/>
    <w:rsid w:val="00514D2F"/>
    <w:rsid w:val="005177E2"/>
    <w:rsid w:val="00517A82"/>
    <w:rsid w:val="00517F7D"/>
    <w:rsid w:val="00522972"/>
    <w:rsid w:val="00523F88"/>
    <w:rsid w:val="005243A1"/>
    <w:rsid w:val="005243F9"/>
    <w:rsid w:val="005279DA"/>
    <w:rsid w:val="00542F98"/>
    <w:rsid w:val="00543951"/>
    <w:rsid w:val="005439D2"/>
    <w:rsid w:val="0054420E"/>
    <w:rsid w:val="00544D1B"/>
    <w:rsid w:val="00545DC0"/>
    <w:rsid w:val="00545F6C"/>
    <w:rsid w:val="00546238"/>
    <w:rsid w:val="005477D9"/>
    <w:rsid w:val="00550338"/>
    <w:rsid w:val="0055720C"/>
    <w:rsid w:val="00561796"/>
    <w:rsid w:val="00561BF9"/>
    <w:rsid w:val="00562281"/>
    <w:rsid w:val="005632DD"/>
    <w:rsid w:val="0056423B"/>
    <w:rsid w:val="005646B9"/>
    <w:rsid w:val="005704B8"/>
    <w:rsid w:val="00570A49"/>
    <w:rsid w:val="00573424"/>
    <w:rsid w:val="0057402F"/>
    <w:rsid w:val="00575349"/>
    <w:rsid w:val="005765B7"/>
    <w:rsid w:val="00581653"/>
    <w:rsid w:val="00582A1D"/>
    <w:rsid w:val="005849D6"/>
    <w:rsid w:val="00585367"/>
    <w:rsid w:val="00586A1B"/>
    <w:rsid w:val="00586EE6"/>
    <w:rsid w:val="005871A1"/>
    <w:rsid w:val="0058737E"/>
    <w:rsid w:val="005878A3"/>
    <w:rsid w:val="0059065A"/>
    <w:rsid w:val="00590BF4"/>
    <w:rsid w:val="00591944"/>
    <w:rsid w:val="00592518"/>
    <w:rsid w:val="00592E87"/>
    <w:rsid w:val="005939F6"/>
    <w:rsid w:val="0059420B"/>
    <w:rsid w:val="00594C4D"/>
    <w:rsid w:val="005955D2"/>
    <w:rsid w:val="00596477"/>
    <w:rsid w:val="00597372"/>
    <w:rsid w:val="005A224D"/>
    <w:rsid w:val="005A25B9"/>
    <w:rsid w:val="005A3318"/>
    <w:rsid w:val="005A33B0"/>
    <w:rsid w:val="005A494F"/>
    <w:rsid w:val="005A7192"/>
    <w:rsid w:val="005B0628"/>
    <w:rsid w:val="005B246C"/>
    <w:rsid w:val="005B4746"/>
    <w:rsid w:val="005B51E8"/>
    <w:rsid w:val="005B69D8"/>
    <w:rsid w:val="005C136E"/>
    <w:rsid w:val="005C2B5D"/>
    <w:rsid w:val="005C2DC2"/>
    <w:rsid w:val="005C304A"/>
    <w:rsid w:val="005C3D69"/>
    <w:rsid w:val="005C4C6A"/>
    <w:rsid w:val="005C4E5C"/>
    <w:rsid w:val="005C5A93"/>
    <w:rsid w:val="005C683E"/>
    <w:rsid w:val="005C76E0"/>
    <w:rsid w:val="005C7947"/>
    <w:rsid w:val="005C7C98"/>
    <w:rsid w:val="005D0B08"/>
    <w:rsid w:val="005D2C3A"/>
    <w:rsid w:val="005D4D4C"/>
    <w:rsid w:val="005D55A4"/>
    <w:rsid w:val="005D57C8"/>
    <w:rsid w:val="005D7761"/>
    <w:rsid w:val="005E0278"/>
    <w:rsid w:val="005E090D"/>
    <w:rsid w:val="005E3CA0"/>
    <w:rsid w:val="005E44B1"/>
    <w:rsid w:val="005E51D0"/>
    <w:rsid w:val="005E57AB"/>
    <w:rsid w:val="005E67B0"/>
    <w:rsid w:val="005E7029"/>
    <w:rsid w:val="005E7047"/>
    <w:rsid w:val="005E75F3"/>
    <w:rsid w:val="005E777F"/>
    <w:rsid w:val="005F0987"/>
    <w:rsid w:val="005F1CA7"/>
    <w:rsid w:val="005F23BE"/>
    <w:rsid w:val="005F2841"/>
    <w:rsid w:val="005F35C9"/>
    <w:rsid w:val="005F3877"/>
    <w:rsid w:val="005F43DD"/>
    <w:rsid w:val="005F51A9"/>
    <w:rsid w:val="005F64E3"/>
    <w:rsid w:val="005F6BE1"/>
    <w:rsid w:val="005F70FC"/>
    <w:rsid w:val="005F7416"/>
    <w:rsid w:val="00600C11"/>
    <w:rsid w:val="00601243"/>
    <w:rsid w:val="00601559"/>
    <w:rsid w:val="00602B86"/>
    <w:rsid w:val="00606B89"/>
    <w:rsid w:val="00606E25"/>
    <w:rsid w:val="00606F75"/>
    <w:rsid w:val="0061112F"/>
    <w:rsid w:val="00611B5E"/>
    <w:rsid w:val="00611EAF"/>
    <w:rsid w:val="0061A9D3"/>
    <w:rsid w:val="00620236"/>
    <w:rsid w:val="006207A8"/>
    <w:rsid w:val="00623F30"/>
    <w:rsid w:val="00625FB8"/>
    <w:rsid w:val="006261BD"/>
    <w:rsid w:val="006263B4"/>
    <w:rsid w:val="00626B51"/>
    <w:rsid w:val="0063446C"/>
    <w:rsid w:val="00635DEF"/>
    <w:rsid w:val="00635EDB"/>
    <w:rsid w:val="00641C93"/>
    <w:rsid w:val="00644031"/>
    <w:rsid w:val="006471B3"/>
    <w:rsid w:val="0064734E"/>
    <w:rsid w:val="006473BE"/>
    <w:rsid w:val="00650137"/>
    <w:rsid w:val="006509D7"/>
    <w:rsid w:val="00651CE8"/>
    <w:rsid w:val="0065521B"/>
    <w:rsid w:val="00655DEE"/>
    <w:rsid w:val="00657A1F"/>
    <w:rsid w:val="00661A2E"/>
    <w:rsid w:val="00661DD3"/>
    <w:rsid w:val="00662672"/>
    <w:rsid w:val="00662E67"/>
    <w:rsid w:val="00662FBD"/>
    <w:rsid w:val="00671EF6"/>
    <w:rsid w:val="0067205B"/>
    <w:rsid w:val="006748F8"/>
    <w:rsid w:val="0067697F"/>
    <w:rsid w:val="00680489"/>
    <w:rsid w:val="0068092E"/>
    <w:rsid w:val="00680959"/>
    <w:rsid w:val="00681327"/>
    <w:rsid w:val="00681602"/>
    <w:rsid w:val="00681955"/>
    <w:rsid w:val="00683C32"/>
    <w:rsid w:val="00683DE5"/>
    <w:rsid w:val="00683DEC"/>
    <w:rsid w:val="00683F56"/>
    <w:rsid w:val="00686775"/>
    <w:rsid w:val="00690BB2"/>
    <w:rsid w:val="00690EB4"/>
    <w:rsid w:val="006914B9"/>
    <w:rsid w:val="00693506"/>
    <w:rsid w:val="00693632"/>
    <w:rsid w:val="00693D09"/>
    <w:rsid w:val="0069584B"/>
    <w:rsid w:val="006A5998"/>
    <w:rsid w:val="006A5A72"/>
    <w:rsid w:val="006A6549"/>
    <w:rsid w:val="006A73CA"/>
    <w:rsid w:val="006A7710"/>
    <w:rsid w:val="006A7A61"/>
    <w:rsid w:val="006B049B"/>
    <w:rsid w:val="006B09E2"/>
    <w:rsid w:val="006B1ABE"/>
    <w:rsid w:val="006B1E59"/>
    <w:rsid w:val="006B2BA9"/>
    <w:rsid w:val="006B2FFB"/>
    <w:rsid w:val="006B5CF2"/>
    <w:rsid w:val="006C0B96"/>
    <w:rsid w:val="006C10A2"/>
    <w:rsid w:val="006C10CA"/>
    <w:rsid w:val="006C1F18"/>
    <w:rsid w:val="006C3056"/>
    <w:rsid w:val="006C46FC"/>
    <w:rsid w:val="006C7ADA"/>
    <w:rsid w:val="006D13E0"/>
    <w:rsid w:val="006D40D5"/>
    <w:rsid w:val="006D6C66"/>
    <w:rsid w:val="006E0262"/>
    <w:rsid w:val="006E038D"/>
    <w:rsid w:val="006E20EC"/>
    <w:rsid w:val="006E3FB5"/>
    <w:rsid w:val="006E47FB"/>
    <w:rsid w:val="006E6EB4"/>
    <w:rsid w:val="006E76D8"/>
    <w:rsid w:val="006F009A"/>
    <w:rsid w:val="006F3D93"/>
    <w:rsid w:val="006F44A6"/>
    <w:rsid w:val="006F717A"/>
    <w:rsid w:val="006F7D65"/>
    <w:rsid w:val="00700911"/>
    <w:rsid w:val="00700CE8"/>
    <w:rsid w:val="007019B1"/>
    <w:rsid w:val="007043F5"/>
    <w:rsid w:val="00707A46"/>
    <w:rsid w:val="00707F26"/>
    <w:rsid w:val="0071278E"/>
    <w:rsid w:val="0071382D"/>
    <w:rsid w:val="007145A3"/>
    <w:rsid w:val="00717FD2"/>
    <w:rsid w:val="00720481"/>
    <w:rsid w:val="00721657"/>
    <w:rsid w:val="00724535"/>
    <w:rsid w:val="007279A8"/>
    <w:rsid w:val="00727B1A"/>
    <w:rsid w:val="0073337E"/>
    <w:rsid w:val="00733EA2"/>
    <w:rsid w:val="0073481D"/>
    <w:rsid w:val="007372BF"/>
    <w:rsid w:val="007404B6"/>
    <w:rsid w:val="00741337"/>
    <w:rsid w:val="00741E97"/>
    <w:rsid w:val="0074353C"/>
    <w:rsid w:val="00745AB5"/>
    <w:rsid w:val="00746E17"/>
    <w:rsid w:val="00751D83"/>
    <w:rsid w:val="00752258"/>
    <w:rsid w:val="007529E1"/>
    <w:rsid w:val="007531EA"/>
    <w:rsid w:val="00753514"/>
    <w:rsid w:val="00755867"/>
    <w:rsid w:val="00762880"/>
    <w:rsid w:val="00762AD6"/>
    <w:rsid w:val="00762E02"/>
    <w:rsid w:val="007674FE"/>
    <w:rsid w:val="0077124C"/>
    <w:rsid w:val="00772290"/>
    <w:rsid w:val="007741FC"/>
    <w:rsid w:val="0077470D"/>
    <w:rsid w:val="007753D0"/>
    <w:rsid w:val="0077548B"/>
    <w:rsid w:val="00775E7C"/>
    <w:rsid w:val="00777265"/>
    <w:rsid w:val="007805E7"/>
    <w:rsid w:val="0078222A"/>
    <w:rsid w:val="00782387"/>
    <w:rsid w:val="00786E92"/>
    <w:rsid w:val="00787D48"/>
    <w:rsid w:val="007923BF"/>
    <w:rsid w:val="00793149"/>
    <w:rsid w:val="00795294"/>
    <w:rsid w:val="00796032"/>
    <w:rsid w:val="00797292"/>
    <w:rsid w:val="007A4E50"/>
    <w:rsid w:val="007A5079"/>
    <w:rsid w:val="007B1896"/>
    <w:rsid w:val="007B18A7"/>
    <w:rsid w:val="007B1DCB"/>
    <w:rsid w:val="007B250E"/>
    <w:rsid w:val="007B2B3F"/>
    <w:rsid w:val="007B508E"/>
    <w:rsid w:val="007C1526"/>
    <w:rsid w:val="007C27FC"/>
    <w:rsid w:val="007C2E21"/>
    <w:rsid w:val="007C39D2"/>
    <w:rsid w:val="007C43E1"/>
    <w:rsid w:val="007C51FF"/>
    <w:rsid w:val="007C7C9A"/>
    <w:rsid w:val="007D021C"/>
    <w:rsid w:val="007D0BC7"/>
    <w:rsid w:val="007D191E"/>
    <w:rsid w:val="007D221F"/>
    <w:rsid w:val="007D3DDE"/>
    <w:rsid w:val="007D50E4"/>
    <w:rsid w:val="007D5A9D"/>
    <w:rsid w:val="007E0885"/>
    <w:rsid w:val="007E2DC5"/>
    <w:rsid w:val="007E762D"/>
    <w:rsid w:val="007F10F3"/>
    <w:rsid w:val="007F14D4"/>
    <w:rsid w:val="007F170D"/>
    <w:rsid w:val="007F1CC7"/>
    <w:rsid w:val="007F2A2A"/>
    <w:rsid w:val="007F31B8"/>
    <w:rsid w:val="007F7739"/>
    <w:rsid w:val="007F781F"/>
    <w:rsid w:val="00800CB5"/>
    <w:rsid w:val="00801090"/>
    <w:rsid w:val="00801580"/>
    <w:rsid w:val="0080191F"/>
    <w:rsid w:val="008027AC"/>
    <w:rsid w:val="008028CE"/>
    <w:rsid w:val="008030C9"/>
    <w:rsid w:val="0080332E"/>
    <w:rsid w:val="008060EE"/>
    <w:rsid w:val="0080752C"/>
    <w:rsid w:val="008109D2"/>
    <w:rsid w:val="00810F4E"/>
    <w:rsid w:val="00812432"/>
    <w:rsid w:val="0081307C"/>
    <w:rsid w:val="00813E1B"/>
    <w:rsid w:val="008141E0"/>
    <w:rsid w:val="00816967"/>
    <w:rsid w:val="00816ECC"/>
    <w:rsid w:val="00816EE1"/>
    <w:rsid w:val="00816F88"/>
    <w:rsid w:val="00821996"/>
    <w:rsid w:val="00822323"/>
    <w:rsid w:val="00823AE3"/>
    <w:rsid w:val="00825548"/>
    <w:rsid w:val="008264D7"/>
    <w:rsid w:val="00827BC6"/>
    <w:rsid w:val="008300AD"/>
    <w:rsid w:val="00830C35"/>
    <w:rsid w:val="00833024"/>
    <w:rsid w:val="0083376D"/>
    <w:rsid w:val="008350B8"/>
    <w:rsid w:val="00840078"/>
    <w:rsid w:val="00840092"/>
    <w:rsid w:val="0084074E"/>
    <w:rsid w:val="00840CED"/>
    <w:rsid w:val="008419B1"/>
    <w:rsid w:val="00842F41"/>
    <w:rsid w:val="008437CD"/>
    <w:rsid w:val="00844A56"/>
    <w:rsid w:val="00845424"/>
    <w:rsid w:val="00845B11"/>
    <w:rsid w:val="0084690C"/>
    <w:rsid w:val="00846DC2"/>
    <w:rsid w:val="008505BB"/>
    <w:rsid w:val="00852051"/>
    <w:rsid w:val="00852081"/>
    <w:rsid w:val="00852A48"/>
    <w:rsid w:val="00854DEB"/>
    <w:rsid w:val="008575CB"/>
    <w:rsid w:val="00860949"/>
    <w:rsid w:val="0086281F"/>
    <w:rsid w:val="008661B2"/>
    <w:rsid w:val="00871000"/>
    <w:rsid w:val="0087191F"/>
    <w:rsid w:val="00872563"/>
    <w:rsid w:val="00872B6E"/>
    <w:rsid w:val="00873D88"/>
    <w:rsid w:val="00874DFD"/>
    <w:rsid w:val="008770C1"/>
    <w:rsid w:val="008802F9"/>
    <w:rsid w:val="008817D5"/>
    <w:rsid w:val="00882950"/>
    <w:rsid w:val="00883086"/>
    <w:rsid w:val="00886968"/>
    <w:rsid w:val="008877F7"/>
    <w:rsid w:val="00887866"/>
    <w:rsid w:val="008879FD"/>
    <w:rsid w:val="00887ED6"/>
    <w:rsid w:val="00894C37"/>
    <w:rsid w:val="00895BD0"/>
    <w:rsid w:val="00896D14"/>
    <w:rsid w:val="00897B98"/>
    <w:rsid w:val="008A00EA"/>
    <w:rsid w:val="008A0E89"/>
    <w:rsid w:val="008A12EC"/>
    <w:rsid w:val="008A3F93"/>
    <w:rsid w:val="008A4CF9"/>
    <w:rsid w:val="008A6236"/>
    <w:rsid w:val="008A6E1C"/>
    <w:rsid w:val="008A72FD"/>
    <w:rsid w:val="008A7B55"/>
    <w:rsid w:val="008B08F3"/>
    <w:rsid w:val="008B2EDF"/>
    <w:rsid w:val="008B2FFE"/>
    <w:rsid w:val="008B45AF"/>
    <w:rsid w:val="008B47C7"/>
    <w:rsid w:val="008B4D52"/>
    <w:rsid w:val="008B54CB"/>
    <w:rsid w:val="008B5A3D"/>
    <w:rsid w:val="008B657C"/>
    <w:rsid w:val="008B69A9"/>
    <w:rsid w:val="008B7AB2"/>
    <w:rsid w:val="008B7D64"/>
    <w:rsid w:val="008C4010"/>
    <w:rsid w:val="008C4FDF"/>
    <w:rsid w:val="008C5189"/>
    <w:rsid w:val="008C616A"/>
    <w:rsid w:val="008C6505"/>
    <w:rsid w:val="008C6B1F"/>
    <w:rsid w:val="008C7857"/>
    <w:rsid w:val="008C7F27"/>
    <w:rsid w:val="008D0580"/>
    <w:rsid w:val="008D4914"/>
    <w:rsid w:val="008D5AA4"/>
    <w:rsid w:val="008D5E4F"/>
    <w:rsid w:val="008D61CF"/>
    <w:rsid w:val="008E0678"/>
    <w:rsid w:val="008E34F0"/>
    <w:rsid w:val="008E3B29"/>
    <w:rsid w:val="008E594C"/>
    <w:rsid w:val="008E6577"/>
    <w:rsid w:val="008F0180"/>
    <w:rsid w:val="008F14F5"/>
    <w:rsid w:val="008F36A2"/>
    <w:rsid w:val="008F4AA0"/>
    <w:rsid w:val="008F4DC8"/>
    <w:rsid w:val="008F71C1"/>
    <w:rsid w:val="008F790A"/>
    <w:rsid w:val="009000E1"/>
    <w:rsid w:val="0090053D"/>
    <w:rsid w:val="0090098D"/>
    <w:rsid w:val="009027ED"/>
    <w:rsid w:val="00902D41"/>
    <w:rsid w:val="00902F08"/>
    <w:rsid w:val="00902F49"/>
    <w:rsid w:val="00904230"/>
    <w:rsid w:val="00905D49"/>
    <w:rsid w:val="00912BD8"/>
    <w:rsid w:val="009133B2"/>
    <w:rsid w:val="00914004"/>
    <w:rsid w:val="00922EC1"/>
    <w:rsid w:val="00923CF1"/>
    <w:rsid w:val="009301F1"/>
    <w:rsid w:val="009307DF"/>
    <w:rsid w:val="00932C23"/>
    <w:rsid w:val="0093317C"/>
    <w:rsid w:val="009359B8"/>
    <w:rsid w:val="00935FF0"/>
    <w:rsid w:val="00936CC8"/>
    <w:rsid w:val="009373A3"/>
    <w:rsid w:val="009373C5"/>
    <w:rsid w:val="00940E9C"/>
    <w:rsid w:val="0094106B"/>
    <w:rsid w:val="00941F53"/>
    <w:rsid w:val="00942DFC"/>
    <w:rsid w:val="009431F8"/>
    <w:rsid w:val="009458A1"/>
    <w:rsid w:val="00945979"/>
    <w:rsid w:val="00947A35"/>
    <w:rsid w:val="009500D0"/>
    <w:rsid w:val="00950627"/>
    <w:rsid w:val="00950F87"/>
    <w:rsid w:val="00951DD9"/>
    <w:rsid w:val="0095229A"/>
    <w:rsid w:val="00954D2A"/>
    <w:rsid w:val="009558D2"/>
    <w:rsid w:val="00955F89"/>
    <w:rsid w:val="00961F27"/>
    <w:rsid w:val="00961FC9"/>
    <w:rsid w:val="0096201B"/>
    <w:rsid w:val="00962081"/>
    <w:rsid w:val="00963844"/>
    <w:rsid w:val="00963D13"/>
    <w:rsid w:val="0096482E"/>
    <w:rsid w:val="00966CB5"/>
    <w:rsid w:val="0097126C"/>
    <w:rsid w:val="00973922"/>
    <w:rsid w:val="0097430B"/>
    <w:rsid w:val="00975786"/>
    <w:rsid w:val="0097641A"/>
    <w:rsid w:val="00981CB7"/>
    <w:rsid w:val="00983E1F"/>
    <w:rsid w:val="00983EC1"/>
    <w:rsid w:val="00993F46"/>
    <w:rsid w:val="00994B20"/>
    <w:rsid w:val="00994DC8"/>
    <w:rsid w:val="00997358"/>
    <w:rsid w:val="009A2A16"/>
    <w:rsid w:val="009A3F7F"/>
    <w:rsid w:val="009A452B"/>
    <w:rsid w:val="009A75C5"/>
    <w:rsid w:val="009B050C"/>
    <w:rsid w:val="009B0738"/>
    <w:rsid w:val="009B087F"/>
    <w:rsid w:val="009B2AF4"/>
    <w:rsid w:val="009B4210"/>
    <w:rsid w:val="009B4F2B"/>
    <w:rsid w:val="009B5848"/>
    <w:rsid w:val="009B60A2"/>
    <w:rsid w:val="009B77EE"/>
    <w:rsid w:val="009C110B"/>
    <w:rsid w:val="009C1473"/>
    <w:rsid w:val="009C26C8"/>
    <w:rsid w:val="009C47CE"/>
    <w:rsid w:val="009C4CDF"/>
    <w:rsid w:val="009C5441"/>
    <w:rsid w:val="009C5E61"/>
    <w:rsid w:val="009C6393"/>
    <w:rsid w:val="009C687E"/>
    <w:rsid w:val="009D0F49"/>
    <w:rsid w:val="009D119F"/>
    <w:rsid w:val="009D33A2"/>
    <w:rsid w:val="009D49A2"/>
    <w:rsid w:val="009D4F3A"/>
    <w:rsid w:val="009D6CCE"/>
    <w:rsid w:val="009E05D4"/>
    <w:rsid w:val="009E154A"/>
    <w:rsid w:val="009E1E98"/>
    <w:rsid w:val="009F3940"/>
    <w:rsid w:val="009F3EB2"/>
    <w:rsid w:val="009F655C"/>
    <w:rsid w:val="009F6EB1"/>
    <w:rsid w:val="00A005D0"/>
    <w:rsid w:val="00A00D7E"/>
    <w:rsid w:val="00A04479"/>
    <w:rsid w:val="00A11D05"/>
    <w:rsid w:val="00A13162"/>
    <w:rsid w:val="00A14C91"/>
    <w:rsid w:val="00A20267"/>
    <w:rsid w:val="00A21AC1"/>
    <w:rsid w:val="00A23E3A"/>
    <w:rsid w:val="00A31288"/>
    <w:rsid w:val="00A3158C"/>
    <w:rsid w:val="00A31F28"/>
    <w:rsid w:val="00A32DF3"/>
    <w:rsid w:val="00A33E32"/>
    <w:rsid w:val="00A35E20"/>
    <w:rsid w:val="00A35F3B"/>
    <w:rsid w:val="00A36F6D"/>
    <w:rsid w:val="00A408FF"/>
    <w:rsid w:val="00A4351B"/>
    <w:rsid w:val="00A43A18"/>
    <w:rsid w:val="00A500E2"/>
    <w:rsid w:val="00A50CA0"/>
    <w:rsid w:val="00A525CC"/>
    <w:rsid w:val="00A52600"/>
    <w:rsid w:val="00A53E7C"/>
    <w:rsid w:val="00A5779B"/>
    <w:rsid w:val="00A60087"/>
    <w:rsid w:val="00A62517"/>
    <w:rsid w:val="00A62934"/>
    <w:rsid w:val="00A64449"/>
    <w:rsid w:val="00A661FA"/>
    <w:rsid w:val="00A705E8"/>
    <w:rsid w:val="00A70691"/>
    <w:rsid w:val="00A721F4"/>
    <w:rsid w:val="00A72C92"/>
    <w:rsid w:val="00A80409"/>
    <w:rsid w:val="00A81C75"/>
    <w:rsid w:val="00A81FC3"/>
    <w:rsid w:val="00A852FA"/>
    <w:rsid w:val="00A8584D"/>
    <w:rsid w:val="00A866C1"/>
    <w:rsid w:val="00A86931"/>
    <w:rsid w:val="00A87710"/>
    <w:rsid w:val="00A91CFA"/>
    <w:rsid w:val="00A9392C"/>
    <w:rsid w:val="00A93E6D"/>
    <w:rsid w:val="00A9462B"/>
    <w:rsid w:val="00A95865"/>
    <w:rsid w:val="00A97D59"/>
    <w:rsid w:val="00AA2E30"/>
    <w:rsid w:val="00AA3E09"/>
    <w:rsid w:val="00AA3E83"/>
    <w:rsid w:val="00AA4064"/>
    <w:rsid w:val="00AA4BEF"/>
    <w:rsid w:val="00AB0069"/>
    <w:rsid w:val="00AB1659"/>
    <w:rsid w:val="00AB20BB"/>
    <w:rsid w:val="00AB2BA1"/>
    <w:rsid w:val="00AB4962"/>
    <w:rsid w:val="00AB56CC"/>
    <w:rsid w:val="00AB734E"/>
    <w:rsid w:val="00AB740F"/>
    <w:rsid w:val="00AC1A2F"/>
    <w:rsid w:val="00AC44CA"/>
    <w:rsid w:val="00AC4743"/>
    <w:rsid w:val="00AC55BF"/>
    <w:rsid w:val="00AC584B"/>
    <w:rsid w:val="00AC67A9"/>
    <w:rsid w:val="00AC6F14"/>
    <w:rsid w:val="00AC7221"/>
    <w:rsid w:val="00AD2924"/>
    <w:rsid w:val="00AD4677"/>
    <w:rsid w:val="00AD6532"/>
    <w:rsid w:val="00AD66BA"/>
    <w:rsid w:val="00AE4BC3"/>
    <w:rsid w:val="00AE5961"/>
    <w:rsid w:val="00AE6F56"/>
    <w:rsid w:val="00AF0745"/>
    <w:rsid w:val="00AF4971"/>
    <w:rsid w:val="00AF5276"/>
    <w:rsid w:val="00AF54EE"/>
    <w:rsid w:val="00AF610F"/>
    <w:rsid w:val="00AF7C86"/>
    <w:rsid w:val="00B01046"/>
    <w:rsid w:val="00B0181B"/>
    <w:rsid w:val="00B0254B"/>
    <w:rsid w:val="00B03256"/>
    <w:rsid w:val="00B062ED"/>
    <w:rsid w:val="00B105EB"/>
    <w:rsid w:val="00B10B78"/>
    <w:rsid w:val="00B11391"/>
    <w:rsid w:val="00B20734"/>
    <w:rsid w:val="00B2121A"/>
    <w:rsid w:val="00B23B92"/>
    <w:rsid w:val="00B245BF"/>
    <w:rsid w:val="00B26FC0"/>
    <w:rsid w:val="00B30641"/>
    <w:rsid w:val="00B310F9"/>
    <w:rsid w:val="00B35904"/>
    <w:rsid w:val="00B35E35"/>
    <w:rsid w:val="00B36548"/>
    <w:rsid w:val="00B36D06"/>
    <w:rsid w:val="00B37866"/>
    <w:rsid w:val="00B406B4"/>
    <w:rsid w:val="00B41276"/>
    <w:rsid w:val="00B412FB"/>
    <w:rsid w:val="00B420BE"/>
    <w:rsid w:val="00B42712"/>
    <w:rsid w:val="00B4576B"/>
    <w:rsid w:val="00B46350"/>
    <w:rsid w:val="00B46DF3"/>
    <w:rsid w:val="00B50EAD"/>
    <w:rsid w:val="00B51444"/>
    <w:rsid w:val="00B55DB5"/>
    <w:rsid w:val="00B63945"/>
    <w:rsid w:val="00B648C7"/>
    <w:rsid w:val="00B66228"/>
    <w:rsid w:val="00B66E8F"/>
    <w:rsid w:val="00B702C2"/>
    <w:rsid w:val="00B70A3C"/>
    <w:rsid w:val="00B718E3"/>
    <w:rsid w:val="00B7347B"/>
    <w:rsid w:val="00B73D34"/>
    <w:rsid w:val="00B74379"/>
    <w:rsid w:val="00B76098"/>
    <w:rsid w:val="00B76E9A"/>
    <w:rsid w:val="00B7731E"/>
    <w:rsid w:val="00B77547"/>
    <w:rsid w:val="00B80157"/>
    <w:rsid w:val="00B83D5E"/>
    <w:rsid w:val="00B8460A"/>
    <w:rsid w:val="00B84B03"/>
    <w:rsid w:val="00B8650D"/>
    <w:rsid w:val="00B879B4"/>
    <w:rsid w:val="00B90F07"/>
    <w:rsid w:val="00B95F73"/>
    <w:rsid w:val="00B97BB9"/>
    <w:rsid w:val="00BA0009"/>
    <w:rsid w:val="00BA1D82"/>
    <w:rsid w:val="00BA5B31"/>
    <w:rsid w:val="00BB02B5"/>
    <w:rsid w:val="00BB1863"/>
    <w:rsid w:val="00BB25EE"/>
    <w:rsid w:val="00BB363A"/>
    <w:rsid w:val="00BB60EC"/>
    <w:rsid w:val="00BC10A0"/>
    <w:rsid w:val="00BC1665"/>
    <w:rsid w:val="00BC1DA5"/>
    <w:rsid w:val="00BC38A8"/>
    <w:rsid w:val="00BC4676"/>
    <w:rsid w:val="00BC7BA2"/>
    <w:rsid w:val="00BD10E8"/>
    <w:rsid w:val="00BD426B"/>
    <w:rsid w:val="00BD79F0"/>
    <w:rsid w:val="00BD7DFA"/>
    <w:rsid w:val="00BE2B4D"/>
    <w:rsid w:val="00BE3AB1"/>
    <w:rsid w:val="00BE5902"/>
    <w:rsid w:val="00BE6354"/>
    <w:rsid w:val="00BF11E0"/>
    <w:rsid w:val="00BF70AC"/>
    <w:rsid w:val="00C015F8"/>
    <w:rsid w:val="00C02C2A"/>
    <w:rsid w:val="00C04F0E"/>
    <w:rsid w:val="00C06D9D"/>
    <w:rsid w:val="00C07E26"/>
    <w:rsid w:val="00C1011C"/>
    <w:rsid w:val="00C119BE"/>
    <w:rsid w:val="00C12F94"/>
    <w:rsid w:val="00C177C5"/>
    <w:rsid w:val="00C2112B"/>
    <w:rsid w:val="00C23B2F"/>
    <w:rsid w:val="00C279DB"/>
    <w:rsid w:val="00C34EC3"/>
    <w:rsid w:val="00C37FAE"/>
    <w:rsid w:val="00C4038C"/>
    <w:rsid w:val="00C41CEA"/>
    <w:rsid w:val="00C42BA2"/>
    <w:rsid w:val="00C44066"/>
    <w:rsid w:val="00C442CA"/>
    <w:rsid w:val="00C44E13"/>
    <w:rsid w:val="00C45FFC"/>
    <w:rsid w:val="00C463BF"/>
    <w:rsid w:val="00C46422"/>
    <w:rsid w:val="00C47DF7"/>
    <w:rsid w:val="00C527AE"/>
    <w:rsid w:val="00C53C74"/>
    <w:rsid w:val="00C548D2"/>
    <w:rsid w:val="00C562A4"/>
    <w:rsid w:val="00C60A41"/>
    <w:rsid w:val="00C62C1E"/>
    <w:rsid w:val="00C62DE8"/>
    <w:rsid w:val="00C62DFB"/>
    <w:rsid w:val="00C630E6"/>
    <w:rsid w:val="00C63812"/>
    <w:rsid w:val="00C64AF3"/>
    <w:rsid w:val="00C65690"/>
    <w:rsid w:val="00C66F4D"/>
    <w:rsid w:val="00C67BB5"/>
    <w:rsid w:val="00C715F5"/>
    <w:rsid w:val="00C72713"/>
    <w:rsid w:val="00C73891"/>
    <w:rsid w:val="00C75703"/>
    <w:rsid w:val="00C75A43"/>
    <w:rsid w:val="00C7745E"/>
    <w:rsid w:val="00C8000C"/>
    <w:rsid w:val="00C80FCA"/>
    <w:rsid w:val="00C848EF"/>
    <w:rsid w:val="00C84AF7"/>
    <w:rsid w:val="00C861D0"/>
    <w:rsid w:val="00C86393"/>
    <w:rsid w:val="00C86600"/>
    <w:rsid w:val="00C87BCA"/>
    <w:rsid w:val="00C87EED"/>
    <w:rsid w:val="00C94506"/>
    <w:rsid w:val="00C954BC"/>
    <w:rsid w:val="00CA17BE"/>
    <w:rsid w:val="00CA1F0B"/>
    <w:rsid w:val="00CA2A45"/>
    <w:rsid w:val="00CA3E6C"/>
    <w:rsid w:val="00CB110F"/>
    <w:rsid w:val="00CB2A2E"/>
    <w:rsid w:val="00CB338A"/>
    <w:rsid w:val="00CB3555"/>
    <w:rsid w:val="00CB4D8B"/>
    <w:rsid w:val="00CB79C5"/>
    <w:rsid w:val="00CC0737"/>
    <w:rsid w:val="00CC18A7"/>
    <w:rsid w:val="00CC411F"/>
    <w:rsid w:val="00CC4B75"/>
    <w:rsid w:val="00CC732E"/>
    <w:rsid w:val="00CC75C5"/>
    <w:rsid w:val="00CD09B1"/>
    <w:rsid w:val="00CD2FCD"/>
    <w:rsid w:val="00CD34C6"/>
    <w:rsid w:val="00CD71BF"/>
    <w:rsid w:val="00CD7207"/>
    <w:rsid w:val="00CE0422"/>
    <w:rsid w:val="00CE078F"/>
    <w:rsid w:val="00CE0DBE"/>
    <w:rsid w:val="00CE3A18"/>
    <w:rsid w:val="00CE44E4"/>
    <w:rsid w:val="00CE5E4D"/>
    <w:rsid w:val="00CF02C4"/>
    <w:rsid w:val="00CF167F"/>
    <w:rsid w:val="00CF2CB3"/>
    <w:rsid w:val="00CF3277"/>
    <w:rsid w:val="00CF328B"/>
    <w:rsid w:val="00CF72E5"/>
    <w:rsid w:val="00CF7F6C"/>
    <w:rsid w:val="00D013EE"/>
    <w:rsid w:val="00D01F54"/>
    <w:rsid w:val="00D02038"/>
    <w:rsid w:val="00D040F7"/>
    <w:rsid w:val="00D04A76"/>
    <w:rsid w:val="00D052FE"/>
    <w:rsid w:val="00D05C17"/>
    <w:rsid w:val="00D07F66"/>
    <w:rsid w:val="00D10FC7"/>
    <w:rsid w:val="00D12275"/>
    <w:rsid w:val="00D1519F"/>
    <w:rsid w:val="00D15DA6"/>
    <w:rsid w:val="00D15FD2"/>
    <w:rsid w:val="00D2006C"/>
    <w:rsid w:val="00D20E99"/>
    <w:rsid w:val="00D211DE"/>
    <w:rsid w:val="00D21C83"/>
    <w:rsid w:val="00D2315D"/>
    <w:rsid w:val="00D277C3"/>
    <w:rsid w:val="00D32CEB"/>
    <w:rsid w:val="00D35552"/>
    <w:rsid w:val="00D35BDD"/>
    <w:rsid w:val="00D36566"/>
    <w:rsid w:val="00D41108"/>
    <w:rsid w:val="00D41267"/>
    <w:rsid w:val="00D413F1"/>
    <w:rsid w:val="00D426BF"/>
    <w:rsid w:val="00D4370B"/>
    <w:rsid w:val="00D44D79"/>
    <w:rsid w:val="00D4536B"/>
    <w:rsid w:val="00D50F0A"/>
    <w:rsid w:val="00D526A2"/>
    <w:rsid w:val="00D53CA8"/>
    <w:rsid w:val="00D54CB5"/>
    <w:rsid w:val="00D577B1"/>
    <w:rsid w:val="00D63006"/>
    <w:rsid w:val="00D637FE"/>
    <w:rsid w:val="00D639F6"/>
    <w:rsid w:val="00D642AE"/>
    <w:rsid w:val="00D651E8"/>
    <w:rsid w:val="00D70B6A"/>
    <w:rsid w:val="00D70D29"/>
    <w:rsid w:val="00D72301"/>
    <w:rsid w:val="00D73B76"/>
    <w:rsid w:val="00D75599"/>
    <w:rsid w:val="00D814B4"/>
    <w:rsid w:val="00D81A81"/>
    <w:rsid w:val="00D86D9B"/>
    <w:rsid w:val="00D90344"/>
    <w:rsid w:val="00D911DE"/>
    <w:rsid w:val="00D9149A"/>
    <w:rsid w:val="00D91B97"/>
    <w:rsid w:val="00D93ACC"/>
    <w:rsid w:val="00D93C08"/>
    <w:rsid w:val="00D946ED"/>
    <w:rsid w:val="00D95DAC"/>
    <w:rsid w:val="00D9624E"/>
    <w:rsid w:val="00D979FA"/>
    <w:rsid w:val="00DA01C2"/>
    <w:rsid w:val="00DA0519"/>
    <w:rsid w:val="00DA0B53"/>
    <w:rsid w:val="00DA14F1"/>
    <w:rsid w:val="00DA42DF"/>
    <w:rsid w:val="00DA554C"/>
    <w:rsid w:val="00DA644A"/>
    <w:rsid w:val="00DA73C4"/>
    <w:rsid w:val="00DB1171"/>
    <w:rsid w:val="00DB1519"/>
    <w:rsid w:val="00DB2840"/>
    <w:rsid w:val="00DB49CC"/>
    <w:rsid w:val="00DB797D"/>
    <w:rsid w:val="00DB7E0B"/>
    <w:rsid w:val="00DC02C4"/>
    <w:rsid w:val="00DC1BD3"/>
    <w:rsid w:val="00DC2C1A"/>
    <w:rsid w:val="00DC784A"/>
    <w:rsid w:val="00DC78D6"/>
    <w:rsid w:val="00DC7911"/>
    <w:rsid w:val="00DC7A69"/>
    <w:rsid w:val="00DC7FBF"/>
    <w:rsid w:val="00DD09D3"/>
    <w:rsid w:val="00DD47D7"/>
    <w:rsid w:val="00DD4830"/>
    <w:rsid w:val="00DD50A2"/>
    <w:rsid w:val="00DD66B4"/>
    <w:rsid w:val="00DE1972"/>
    <w:rsid w:val="00DE27AB"/>
    <w:rsid w:val="00DE2E01"/>
    <w:rsid w:val="00DE47F6"/>
    <w:rsid w:val="00DE4E67"/>
    <w:rsid w:val="00DE690F"/>
    <w:rsid w:val="00DF0F98"/>
    <w:rsid w:val="00DF2AB3"/>
    <w:rsid w:val="00DF7250"/>
    <w:rsid w:val="00E00CAA"/>
    <w:rsid w:val="00E00D4D"/>
    <w:rsid w:val="00E010B4"/>
    <w:rsid w:val="00E01EFB"/>
    <w:rsid w:val="00E03273"/>
    <w:rsid w:val="00E039B5"/>
    <w:rsid w:val="00E03B00"/>
    <w:rsid w:val="00E03EBF"/>
    <w:rsid w:val="00E04490"/>
    <w:rsid w:val="00E04B18"/>
    <w:rsid w:val="00E051C9"/>
    <w:rsid w:val="00E05209"/>
    <w:rsid w:val="00E0548A"/>
    <w:rsid w:val="00E057DF"/>
    <w:rsid w:val="00E0582D"/>
    <w:rsid w:val="00E05A75"/>
    <w:rsid w:val="00E05AC1"/>
    <w:rsid w:val="00E076DD"/>
    <w:rsid w:val="00E11BCF"/>
    <w:rsid w:val="00E11F58"/>
    <w:rsid w:val="00E13128"/>
    <w:rsid w:val="00E2258E"/>
    <w:rsid w:val="00E23961"/>
    <w:rsid w:val="00E260C2"/>
    <w:rsid w:val="00E26F1F"/>
    <w:rsid w:val="00E320F0"/>
    <w:rsid w:val="00E32501"/>
    <w:rsid w:val="00E32596"/>
    <w:rsid w:val="00E35BF2"/>
    <w:rsid w:val="00E368DA"/>
    <w:rsid w:val="00E368F7"/>
    <w:rsid w:val="00E36EB8"/>
    <w:rsid w:val="00E37FB8"/>
    <w:rsid w:val="00E40B07"/>
    <w:rsid w:val="00E40FCE"/>
    <w:rsid w:val="00E41FFF"/>
    <w:rsid w:val="00E42326"/>
    <w:rsid w:val="00E42C1C"/>
    <w:rsid w:val="00E43544"/>
    <w:rsid w:val="00E44D89"/>
    <w:rsid w:val="00E477EA"/>
    <w:rsid w:val="00E47D47"/>
    <w:rsid w:val="00E50A41"/>
    <w:rsid w:val="00E55807"/>
    <w:rsid w:val="00E571D4"/>
    <w:rsid w:val="00E61323"/>
    <w:rsid w:val="00E6148E"/>
    <w:rsid w:val="00E6212E"/>
    <w:rsid w:val="00E63B14"/>
    <w:rsid w:val="00E64EF9"/>
    <w:rsid w:val="00E65CA0"/>
    <w:rsid w:val="00E70D9F"/>
    <w:rsid w:val="00E83289"/>
    <w:rsid w:val="00E83810"/>
    <w:rsid w:val="00E86933"/>
    <w:rsid w:val="00E87988"/>
    <w:rsid w:val="00E87B40"/>
    <w:rsid w:val="00E91215"/>
    <w:rsid w:val="00E91A3B"/>
    <w:rsid w:val="00E957EC"/>
    <w:rsid w:val="00E9605B"/>
    <w:rsid w:val="00E965C5"/>
    <w:rsid w:val="00E96DBE"/>
    <w:rsid w:val="00E97298"/>
    <w:rsid w:val="00E97753"/>
    <w:rsid w:val="00EA0B71"/>
    <w:rsid w:val="00EA0C51"/>
    <w:rsid w:val="00EA5205"/>
    <w:rsid w:val="00EA5DF0"/>
    <w:rsid w:val="00EA5F71"/>
    <w:rsid w:val="00EA7DE7"/>
    <w:rsid w:val="00EB1A22"/>
    <w:rsid w:val="00EB1E71"/>
    <w:rsid w:val="00EB4695"/>
    <w:rsid w:val="00EB7A8A"/>
    <w:rsid w:val="00EC2ABF"/>
    <w:rsid w:val="00EC3288"/>
    <w:rsid w:val="00EC3CF4"/>
    <w:rsid w:val="00EC4A02"/>
    <w:rsid w:val="00EC6472"/>
    <w:rsid w:val="00EC6E69"/>
    <w:rsid w:val="00EC6FED"/>
    <w:rsid w:val="00EC7F3B"/>
    <w:rsid w:val="00ED0B0F"/>
    <w:rsid w:val="00ED237B"/>
    <w:rsid w:val="00ED275A"/>
    <w:rsid w:val="00ED4EB8"/>
    <w:rsid w:val="00ED5299"/>
    <w:rsid w:val="00ED5BF6"/>
    <w:rsid w:val="00ED7A48"/>
    <w:rsid w:val="00EE2369"/>
    <w:rsid w:val="00EE3A64"/>
    <w:rsid w:val="00EE3BF8"/>
    <w:rsid w:val="00EE50E5"/>
    <w:rsid w:val="00EE5E76"/>
    <w:rsid w:val="00EF01CF"/>
    <w:rsid w:val="00EF1F65"/>
    <w:rsid w:val="00EF2157"/>
    <w:rsid w:val="00EF5940"/>
    <w:rsid w:val="00EF6291"/>
    <w:rsid w:val="00EF754B"/>
    <w:rsid w:val="00EF7E1E"/>
    <w:rsid w:val="00F01430"/>
    <w:rsid w:val="00F03590"/>
    <w:rsid w:val="00F03622"/>
    <w:rsid w:val="00F053F8"/>
    <w:rsid w:val="00F05D43"/>
    <w:rsid w:val="00F077FD"/>
    <w:rsid w:val="00F125E7"/>
    <w:rsid w:val="00F12F82"/>
    <w:rsid w:val="00F13829"/>
    <w:rsid w:val="00F16330"/>
    <w:rsid w:val="00F1720A"/>
    <w:rsid w:val="00F204F3"/>
    <w:rsid w:val="00F218AB"/>
    <w:rsid w:val="00F238B3"/>
    <w:rsid w:val="00F24224"/>
    <w:rsid w:val="00F24FED"/>
    <w:rsid w:val="00F25586"/>
    <w:rsid w:val="00F2651D"/>
    <w:rsid w:val="00F27362"/>
    <w:rsid w:val="00F27723"/>
    <w:rsid w:val="00F31498"/>
    <w:rsid w:val="00F32702"/>
    <w:rsid w:val="00F32CA8"/>
    <w:rsid w:val="00F32FEF"/>
    <w:rsid w:val="00F402E7"/>
    <w:rsid w:val="00F41B1C"/>
    <w:rsid w:val="00F42CA9"/>
    <w:rsid w:val="00F42E13"/>
    <w:rsid w:val="00F42F1C"/>
    <w:rsid w:val="00F43B44"/>
    <w:rsid w:val="00F440E5"/>
    <w:rsid w:val="00F448F6"/>
    <w:rsid w:val="00F4496A"/>
    <w:rsid w:val="00F46E28"/>
    <w:rsid w:val="00F51064"/>
    <w:rsid w:val="00F52741"/>
    <w:rsid w:val="00F53D8A"/>
    <w:rsid w:val="00F54785"/>
    <w:rsid w:val="00F5529B"/>
    <w:rsid w:val="00F61E81"/>
    <w:rsid w:val="00F626F7"/>
    <w:rsid w:val="00F64199"/>
    <w:rsid w:val="00F64DE4"/>
    <w:rsid w:val="00F70D8A"/>
    <w:rsid w:val="00F71329"/>
    <w:rsid w:val="00F736F9"/>
    <w:rsid w:val="00F73833"/>
    <w:rsid w:val="00F74AAD"/>
    <w:rsid w:val="00F76738"/>
    <w:rsid w:val="00F808B8"/>
    <w:rsid w:val="00F8374A"/>
    <w:rsid w:val="00F87884"/>
    <w:rsid w:val="00F9211C"/>
    <w:rsid w:val="00F92124"/>
    <w:rsid w:val="00F92588"/>
    <w:rsid w:val="00F92F33"/>
    <w:rsid w:val="00F93BB9"/>
    <w:rsid w:val="00F948E2"/>
    <w:rsid w:val="00F96BC1"/>
    <w:rsid w:val="00FA095D"/>
    <w:rsid w:val="00FA1ECB"/>
    <w:rsid w:val="00FA205B"/>
    <w:rsid w:val="00FA239B"/>
    <w:rsid w:val="00FA6C8B"/>
    <w:rsid w:val="00FA6CDA"/>
    <w:rsid w:val="00FA7C89"/>
    <w:rsid w:val="00FB1714"/>
    <w:rsid w:val="00FB1CDF"/>
    <w:rsid w:val="00FB2754"/>
    <w:rsid w:val="00FB2F7A"/>
    <w:rsid w:val="00FB3E0A"/>
    <w:rsid w:val="00FB4139"/>
    <w:rsid w:val="00FB476E"/>
    <w:rsid w:val="00FB4B00"/>
    <w:rsid w:val="00FB5D70"/>
    <w:rsid w:val="00FC0D90"/>
    <w:rsid w:val="00FC20D7"/>
    <w:rsid w:val="00FC49D0"/>
    <w:rsid w:val="00FC4F78"/>
    <w:rsid w:val="00FC7D8C"/>
    <w:rsid w:val="00FD0AA3"/>
    <w:rsid w:val="00FD0EBA"/>
    <w:rsid w:val="00FD3980"/>
    <w:rsid w:val="00FD431E"/>
    <w:rsid w:val="00FD4D8B"/>
    <w:rsid w:val="00FD4FC5"/>
    <w:rsid w:val="00FD5A2C"/>
    <w:rsid w:val="00FE0BE7"/>
    <w:rsid w:val="00FE0D47"/>
    <w:rsid w:val="00FE1D5C"/>
    <w:rsid w:val="00FE2F8B"/>
    <w:rsid w:val="00FE3669"/>
    <w:rsid w:val="00FE3BBD"/>
    <w:rsid w:val="00FE5204"/>
    <w:rsid w:val="00FF1020"/>
    <w:rsid w:val="00FF287F"/>
    <w:rsid w:val="00FF494C"/>
    <w:rsid w:val="00FF4E4E"/>
    <w:rsid w:val="00FF5A8C"/>
    <w:rsid w:val="00FF74A8"/>
    <w:rsid w:val="0183DBAE"/>
    <w:rsid w:val="01CA4A1C"/>
    <w:rsid w:val="020A6F8D"/>
    <w:rsid w:val="02137C15"/>
    <w:rsid w:val="026B2C92"/>
    <w:rsid w:val="027C95D4"/>
    <w:rsid w:val="02AB26ED"/>
    <w:rsid w:val="02D2C79A"/>
    <w:rsid w:val="02F324B0"/>
    <w:rsid w:val="02F74553"/>
    <w:rsid w:val="03287813"/>
    <w:rsid w:val="034FA3B9"/>
    <w:rsid w:val="03886A84"/>
    <w:rsid w:val="03894D71"/>
    <w:rsid w:val="03A8802D"/>
    <w:rsid w:val="03D9648E"/>
    <w:rsid w:val="04242FE2"/>
    <w:rsid w:val="0432115B"/>
    <w:rsid w:val="045F0CF3"/>
    <w:rsid w:val="04BBB39A"/>
    <w:rsid w:val="054CCF0F"/>
    <w:rsid w:val="05B79367"/>
    <w:rsid w:val="06129262"/>
    <w:rsid w:val="062448F4"/>
    <w:rsid w:val="06267A7E"/>
    <w:rsid w:val="062F7953"/>
    <w:rsid w:val="0633B2CB"/>
    <w:rsid w:val="06C4FB92"/>
    <w:rsid w:val="06C5C005"/>
    <w:rsid w:val="06D55BB2"/>
    <w:rsid w:val="06EBCD1B"/>
    <w:rsid w:val="06F7CFF7"/>
    <w:rsid w:val="07136235"/>
    <w:rsid w:val="0732E386"/>
    <w:rsid w:val="0769B21D"/>
    <w:rsid w:val="077880E9"/>
    <w:rsid w:val="078652C5"/>
    <w:rsid w:val="07F2C323"/>
    <w:rsid w:val="086A1902"/>
    <w:rsid w:val="08CC5607"/>
    <w:rsid w:val="08DD5B41"/>
    <w:rsid w:val="095FA2E1"/>
    <w:rsid w:val="098C5CE2"/>
    <w:rsid w:val="09981E3E"/>
    <w:rsid w:val="099F4651"/>
    <w:rsid w:val="09AE5337"/>
    <w:rsid w:val="09B9EA8C"/>
    <w:rsid w:val="09F5D8E3"/>
    <w:rsid w:val="09FF6351"/>
    <w:rsid w:val="0A01789F"/>
    <w:rsid w:val="0A032243"/>
    <w:rsid w:val="0A867019"/>
    <w:rsid w:val="0AA94065"/>
    <w:rsid w:val="0AE0181F"/>
    <w:rsid w:val="0B69283C"/>
    <w:rsid w:val="0B797D06"/>
    <w:rsid w:val="0BBD867B"/>
    <w:rsid w:val="0BCC1571"/>
    <w:rsid w:val="0BD93F1E"/>
    <w:rsid w:val="0CA44A7D"/>
    <w:rsid w:val="0CA81671"/>
    <w:rsid w:val="0D3FBB33"/>
    <w:rsid w:val="0D4CBC92"/>
    <w:rsid w:val="0D9B0D98"/>
    <w:rsid w:val="0DCBC88D"/>
    <w:rsid w:val="0DDD69D6"/>
    <w:rsid w:val="0DE3BBF5"/>
    <w:rsid w:val="0E1DE299"/>
    <w:rsid w:val="0E2FCEE9"/>
    <w:rsid w:val="0E306B7E"/>
    <w:rsid w:val="0EDB51A1"/>
    <w:rsid w:val="0F54BFE8"/>
    <w:rsid w:val="0F6DE3D9"/>
    <w:rsid w:val="0F721548"/>
    <w:rsid w:val="0F8BEDB2"/>
    <w:rsid w:val="0F8C6AED"/>
    <w:rsid w:val="0FDA9511"/>
    <w:rsid w:val="101F4E97"/>
    <w:rsid w:val="1071F3A6"/>
    <w:rsid w:val="10B8A56A"/>
    <w:rsid w:val="10E31163"/>
    <w:rsid w:val="10F6D1EB"/>
    <w:rsid w:val="10FD04E1"/>
    <w:rsid w:val="111B62BC"/>
    <w:rsid w:val="11239AD5"/>
    <w:rsid w:val="115ACA05"/>
    <w:rsid w:val="116801E0"/>
    <w:rsid w:val="11B39714"/>
    <w:rsid w:val="11E0F93D"/>
    <w:rsid w:val="1236EA07"/>
    <w:rsid w:val="124DF350"/>
    <w:rsid w:val="128DBC1A"/>
    <w:rsid w:val="12983EAC"/>
    <w:rsid w:val="129B29ED"/>
    <w:rsid w:val="12D1DD03"/>
    <w:rsid w:val="12F07FB2"/>
    <w:rsid w:val="13EB5978"/>
    <w:rsid w:val="13F0462C"/>
    <w:rsid w:val="13FCAA7A"/>
    <w:rsid w:val="1415C744"/>
    <w:rsid w:val="141B6182"/>
    <w:rsid w:val="142C6A83"/>
    <w:rsid w:val="1434E30C"/>
    <w:rsid w:val="145BED23"/>
    <w:rsid w:val="14C0CA0A"/>
    <w:rsid w:val="15DCE4EA"/>
    <w:rsid w:val="15E57AFB"/>
    <w:rsid w:val="15E84C95"/>
    <w:rsid w:val="15FDB1D1"/>
    <w:rsid w:val="1639FFAA"/>
    <w:rsid w:val="163E7365"/>
    <w:rsid w:val="16408849"/>
    <w:rsid w:val="16A495CE"/>
    <w:rsid w:val="16C3F648"/>
    <w:rsid w:val="16E5F0D1"/>
    <w:rsid w:val="17738E14"/>
    <w:rsid w:val="177D3D40"/>
    <w:rsid w:val="17A02422"/>
    <w:rsid w:val="17C3B1E5"/>
    <w:rsid w:val="18C3B74F"/>
    <w:rsid w:val="18DAD547"/>
    <w:rsid w:val="19856D82"/>
    <w:rsid w:val="19972F8A"/>
    <w:rsid w:val="19B5455A"/>
    <w:rsid w:val="19D37A3D"/>
    <w:rsid w:val="19EC9AF2"/>
    <w:rsid w:val="1A5F87B0"/>
    <w:rsid w:val="1A5FF094"/>
    <w:rsid w:val="1AA63BD2"/>
    <w:rsid w:val="1ABA6EA2"/>
    <w:rsid w:val="1ABF642F"/>
    <w:rsid w:val="1B1A8F84"/>
    <w:rsid w:val="1B2E4526"/>
    <w:rsid w:val="1B905F86"/>
    <w:rsid w:val="1C0D2693"/>
    <w:rsid w:val="1C519427"/>
    <w:rsid w:val="1C7CF246"/>
    <w:rsid w:val="1CB21C33"/>
    <w:rsid w:val="1CD1D6CD"/>
    <w:rsid w:val="1CDC572B"/>
    <w:rsid w:val="1CEEA002"/>
    <w:rsid w:val="1D73702E"/>
    <w:rsid w:val="1DDDDC94"/>
    <w:rsid w:val="1DE1DABE"/>
    <w:rsid w:val="1E0C2B4E"/>
    <w:rsid w:val="1E86B14E"/>
    <w:rsid w:val="1EBA4ACB"/>
    <w:rsid w:val="1EC17483"/>
    <w:rsid w:val="1EF58B10"/>
    <w:rsid w:val="1F08AB87"/>
    <w:rsid w:val="1F11ECAA"/>
    <w:rsid w:val="1F434305"/>
    <w:rsid w:val="1FB3710E"/>
    <w:rsid w:val="1FCB2A11"/>
    <w:rsid w:val="1FD09498"/>
    <w:rsid w:val="201E37C3"/>
    <w:rsid w:val="2021D090"/>
    <w:rsid w:val="203E4342"/>
    <w:rsid w:val="204004CD"/>
    <w:rsid w:val="20A2A07A"/>
    <w:rsid w:val="20B5D48A"/>
    <w:rsid w:val="20C5F69C"/>
    <w:rsid w:val="2109E5D9"/>
    <w:rsid w:val="210D28C4"/>
    <w:rsid w:val="210D72A9"/>
    <w:rsid w:val="21694945"/>
    <w:rsid w:val="21755A18"/>
    <w:rsid w:val="219FF9BA"/>
    <w:rsid w:val="21B0F728"/>
    <w:rsid w:val="21E02B05"/>
    <w:rsid w:val="22663DB1"/>
    <w:rsid w:val="229EB6AF"/>
    <w:rsid w:val="23F5DCA9"/>
    <w:rsid w:val="24519E15"/>
    <w:rsid w:val="249C713A"/>
    <w:rsid w:val="24A405BB"/>
    <w:rsid w:val="24D84EB3"/>
    <w:rsid w:val="2540857E"/>
    <w:rsid w:val="25543B21"/>
    <w:rsid w:val="256C9E16"/>
    <w:rsid w:val="257B849D"/>
    <w:rsid w:val="25CE5691"/>
    <w:rsid w:val="25FF681C"/>
    <w:rsid w:val="260F0A5D"/>
    <w:rsid w:val="2648BFA8"/>
    <w:rsid w:val="26A6723F"/>
    <w:rsid w:val="26C2E228"/>
    <w:rsid w:val="26FEA53F"/>
    <w:rsid w:val="27B39678"/>
    <w:rsid w:val="27B992F5"/>
    <w:rsid w:val="27E9C5A0"/>
    <w:rsid w:val="286CB423"/>
    <w:rsid w:val="28731C06"/>
    <w:rsid w:val="2881EE7E"/>
    <w:rsid w:val="289A8DF3"/>
    <w:rsid w:val="28F6FDAA"/>
    <w:rsid w:val="290AF2B0"/>
    <w:rsid w:val="292503BE"/>
    <w:rsid w:val="293AEB83"/>
    <w:rsid w:val="298B751E"/>
    <w:rsid w:val="29C9F578"/>
    <w:rsid w:val="2A305B5E"/>
    <w:rsid w:val="2A58440C"/>
    <w:rsid w:val="2A9EB79E"/>
    <w:rsid w:val="2AC0D41F"/>
    <w:rsid w:val="2B34C1B0"/>
    <w:rsid w:val="2B3CE10C"/>
    <w:rsid w:val="2B6ED566"/>
    <w:rsid w:val="2BB98F40"/>
    <w:rsid w:val="2C37C73C"/>
    <w:rsid w:val="2CAC76C8"/>
    <w:rsid w:val="2CD9B4AF"/>
    <w:rsid w:val="2D45AF23"/>
    <w:rsid w:val="2D555FA1"/>
    <w:rsid w:val="2D7F5315"/>
    <w:rsid w:val="2D903445"/>
    <w:rsid w:val="2DFB3768"/>
    <w:rsid w:val="2E3CD53A"/>
    <w:rsid w:val="2E4C226B"/>
    <w:rsid w:val="2E8033F1"/>
    <w:rsid w:val="2E9BF18A"/>
    <w:rsid w:val="2EDCF04B"/>
    <w:rsid w:val="2EE3113C"/>
    <w:rsid w:val="2EE78889"/>
    <w:rsid w:val="2EF13002"/>
    <w:rsid w:val="2F19680E"/>
    <w:rsid w:val="2F4CA0C0"/>
    <w:rsid w:val="2F62AC65"/>
    <w:rsid w:val="2F75F3C3"/>
    <w:rsid w:val="2F88148E"/>
    <w:rsid w:val="2F944542"/>
    <w:rsid w:val="2F9707C9"/>
    <w:rsid w:val="2FD7DB52"/>
    <w:rsid w:val="3001267C"/>
    <w:rsid w:val="306983E5"/>
    <w:rsid w:val="3071A25F"/>
    <w:rsid w:val="307F266D"/>
    <w:rsid w:val="30F386F3"/>
    <w:rsid w:val="319D6561"/>
    <w:rsid w:val="31AC0EDC"/>
    <w:rsid w:val="31F34F26"/>
    <w:rsid w:val="320CA959"/>
    <w:rsid w:val="32374914"/>
    <w:rsid w:val="327104F3"/>
    <w:rsid w:val="3274E41C"/>
    <w:rsid w:val="327BB405"/>
    <w:rsid w:val="33409729"/>
    <w:rsid w:val="33838C03"/>
    <w:rsid w:val="33E9955D"/>
    <w:rsid w:val="33F8D515"/>
    <w:rsid w:val="345B73BC"/>
    <w:rsid w:val="345D4640"/>
    <w:rsid w:val="349EB572"/>
    <w:rsid w:val="34B7350F"/>
    <w:rsid w:val="34B7AFE1"/>
    <w:rsid w:val="34C6B511"/>
    <w:rsid w:val="34DC9A91"/>
    <w:rsid w:val="34EB7E07"/>
    <w:rsid w:val="34F72856"/>
    <w:rsid w:val="352B32F1"/>
    <w:rsid w:val="35314B7E"/>
    <w:rsid w:val="3574E99D"/>
    <w:rsid w:val="359187A4"/>
    <w:rsid w:val="35C89DBB"/>
    <w:rsid w:val="35FCDF3D"/>
    <w:rsid w:val="360354D7"/>
    <w:rsid w:val="367FC456"/>
    <w:rsid w:val="36D479E3"/>
    <w:rsid w:val="37003345"/>
    <w:rsid w:val="3711E8EE"/>
    <w:rsid w:val="37168D88"/>
    <w:rsid w:val="372805E1"/>
    <w:rsid w:val="372E266B"/>
    <w:rsid w:val="3744F988"/>
    <w:rsid w:val="374D8F6A"/>
    <w:rsid w:val="3754EB0F"/>
    <w:rsid w:val="37E69829"/>
    <w:rsid w:val="383E172B"/>
    <w:rsid w:val="38BE3570"/>
    <w:rsid w:val="38CD9F1D"/>
    <w:rsid w:val="390AB443"/>
    <w:rsid w:val="390CB579"/>
    <w:rsid w:val="390E4018"/>
    <w:rsid w:val="398E3302"/>
    <w:rsid w:val="39C74075"/>
    <w:rsid w:val="3A26FDD7"/>
    <w:rsid w:val="3A7C3300"/>
    <w:rsid w:val="3AB5D869"/>
    <w:rsid w:val="3ABC1599"/>
    <w:rsid w:val="3AD559BA"/>
    <w:rsid w:val="3B158F50"/>
    <w:rsid w:val="3B283CFB"/>
    <w:rsid w:val="3B4E0680"/>
    <w:rsid w:val="3B515EFF"/>
    <w:rsid w:val="3B8EC3A4"/>
    <w:rsid w:val="3BA9B9D4"/>
    <w:rsid w:val="3BCABADC"/>
    <w:rsid w:val="3BDF82B2"/>
    <w:rsid w:val="3C09FACE"/>
    <w:rsid w:val="3C5C13DF"/>
    <w:rsid w:val="3C6150EC"/>
    <w:rsid w:val="3C64A375"/>
    <w:rsid w:val="3C9DD908"/>
    <w:rsid w:val="3CA62B0E"/>
    <w:rsid w:val="3CBA094C"/>
    <w:rsid w:val="3CE3F3ED"/>
    <w:rsid w:val="3D502567"/>
    <w:rsid w:val="3DE89E8B"/>
    <w:rsid w:val="3E17BC03"/>
    <w:rsid w:val="3E3CB150"/>
    <w:rsid w:val="3E61CF54"/>
    <w:rsid w:val="3ED590D4"/>
    <w:rsid w:val="3EEBF5C8"/>
    <w:rsid w:val="3F0978ED"/>
    <w:rsid w:val="3F151676"/>
    <w:rsid w:val="3F964842"/>
    <w:rsid w:val="3FE1EE62"/>
    <w:rsid w:val="3FFD7589"/>
    <w:rsid w:val="400C5762"/>
    <w:rsid w:val="403BDBB4"/>
    <w:rsid w:val="4041C883"/>
    <w:rsid w:val="407F04A4"/>
    <w:rsid w:val="408627FA"/>
    <w:rsid w:val="40866563"/>
    <w:rsid w:val="4097D504"/>
    <w:rsid w:val="40CD308D"/>
    <w:rsid w:val="4137CC97"/>
    <w:rsid w:val="41782FFF"/>
    <w:rsid w:val="42330560"/>
    <w:rsid w:val="425B5906"/>
    <w:rsid w:val="42708683"/>
    <w:rsid w:val="428F0018"/>
    <w:rsid w:val="42939E37"/>
    <w:rsid w:val="42D45BAE"/>
    <w:rsid w:val="42D65E84"/>
    <w:rsid w:val="43334EE0"/>
    <w:rsid w:val="4343A1E6"/>
    <w:rsid w:val="43482BB7"/>
    <w:rsid w:val="4455A2EC"/>
    <w:rsid w:val="44BA305C"/>
    <w:rsid w:val="44E4EEEE"/>
    <w:rsid w:val="4515CFA5"/>
    <w:rsid w:val="4524730A"/>
    <w:rsid w:val="4546DCCE"/>
    <w:rsid w:val="4572FECD"/>
    <w:rsid w:val="4583EA2A"/>
    <w:rsid w:val="458CA0FE"/>
    <w:rsid w:val="45DC6F38"/>
    <w:rsid w:val="45DC8AAC"/>
    <w:rsid w:val="4608AE04"/>
    <w:rsid w:val="460EC5D2"/>
    <w:rsid w:val="461403B9"/>
    <w:rsid w:val="463FEA5E"/>
    <w:rsid w:val="46D5D1B0"/>
    <w:rsid w:val="46F36DCB"/>
    <w:rsid w:val="46FF27EB"/>
    <w:rsid w:val="47703E5F"/>
    <w:rsid w:val="477555D4"/>
    <w:rsid w:val="4784F181"/>
    <w:rsid w:val="479A8D27"/>
    <w:rsid w:val="480113B7"/>
    <w:rsid w:val="493C2974"/>
    <w:rsid w:val="49593C30"/>
    <w:rsid w:val="49676293"/>
    <w:rsid w:val="4972764C"/>
    <w:rsid w:val="49C0FE2F"/>
    <w:rsid w:val="49CA63E2"/>
    <w:rsid w:val="4B005538"/>
    <w:rsid w:val="4B04C68B"/>
    <w:rsid w:val="4B1698DA"/>
    <w:rsid w:val="4B3E6F9F"/>
    <w:rsid w:val="4B68DF50"/>
    <w:rsid w:val="4B8B116B"/>
    <w:rsid w:val="4C0C7C86"/>
    <w:rsid w:val="4C2F76D8"/>
    <w:rsid w:val="4C4D27AD"/>
    <w:rsid w:val="4CA5300B"/>
    <w:rsid w:val="4CE55B0A"/>
    <w:rsid w:val="4D02CDF2"/>
    <w:rsid w:val="4D6DF2BA"/>
    <w:rsid w:val="4D8D7CED"/>
    <w:rsid w:val="4DDF7FE3"/>
    <w:rsid w:val="4E16BF7B"/>
    <w:rsid w:val="4E20935F"/>
    <w:rsid w:val="4E57499D"/>
    <w:rsid w:val="4EB685B2"/>
    <w:rsid w:val="4F427B8C"/>
    <w:rsid w:val="4F59B7B1"/>
    <w:rsid w:val="4F920AFA"/>
    <w:rsid w:val="4FD98B67"/>
    <w:rsid w:val="4FDF3A28"/>
    <w:rsid w:val="4FFD654B"/>
    <w:rsid w:val="5035F158"/>
    <w:rsid w:val="503EC3F0"/>
    <w:rsid w:val="50413159"/>
    <w:rsid w:val="50F58812"/>
    <w:rsid w:val="511DF2EF"/>
    <w:rsid w:val="5130727F"/>
    <w:rsid w:val="5137EEF3"/>
    <w:rsid w:val="51B58CEA"/>
    <w:rsid w:val="51E8BF07"/>
    <w:rsid w:val="525F6C7D"/>
    <w:rsid w:val="52AD0693"/>
    <w:rsid w:val="53181F0A"/>
    <w:rsid w:val="534AE99B"/>
    <w:rsid w:val="53624E58"/>
    <w:rsid w:val="53C6E24A"/>
    <w:rsid w:val="53D5A0CC"/>
    <w:rsid w:val="53D94A3D"/>
    <w:rsid w:val="542D28D4"/>
    <w:rsid w:val="545E5FB5"/>
    <w:rsid w:val="548A1930"/>
    <w:rsid w:val="548D9583"/>
    <w:rsid w:val="549589F7"/>
    <w:rsid w:val="549C9419"/>
    <w:rsid w:val="54BC68D6"/>
    <w:rsid w:val="54CA0424"/>
    <w:rsid w:val="54DF4DDC"/>
    <w:rsid w:val="55150314"/>
    <w:rsid w:val="553CD597"/>
    <w:rsid w:val="55798E66"/>
    <w:rsid w:val="5593D1A6"/>
    <w:rsid w:val="56343600"/>
    <w:rsid w:val="563CCBE2"/>
    <w:rsid w:val="564EA028"/>
    <w:rsid w:val="566E6C3C"/>
    <w:rsid w:val="5683B828"/>
    <w:rsid w:val="56B7BC72"/>
    <w:rsid w:val="571279D7"/>
    <w:rsid w:val="571518FD"/>
    <w:rsid w:val="5736DE89"/>
    <w:rsid w:val="5747EE0D"/>
    <w:rsid w:val="576F4E1D"/>
    <w:rsid w:val="578DCBEB"/>
    <w:rsid w:val="57C32743"/>
    <w:rsid w:val="57E66547"/>
    <w:rsid w:val="57F632EF"/>
    <w:rsid w:val="58013DC2"/>
    <w:rsid w:val="581BE7AE"/>
    <w:rsid w:val="58348A60"/>
    <w:rsid w:val="587DA8AD"/>
    <w:rsid w:val="58825616"/>
    <w:rsid w:val="5899D468"/>
    <w:rsid w:val="58DB8900"/>
    <w:rsid w:val="590095F3"/>
    <w:rsid w:val="59231B1F"/>
    <w:rsid w:val="5929B932"/>
    <w:rsid w:val="59420F34"/>
    <w:rsid w:val="5965DC67"/>
    <w:rsid w:val="597C0F6C"/>
    <w:rsid w:val="59BB58EA"/>
    <w:rsid w:val="5A0BD831"/>
    <w:rsid w:val="5A268FEA"/>
    <w:rsid w:val="5A49F738"/>
    <w:rsid w:val="5A4CB9BF"/>
    <w:rsid w:val="5AA4DA8E"/>
    <w:rsid w:val="5AAD9A7E"/>
    <w:rsid w:val="5ABB087B"/>
    <w:rsid w:val="5AC16E50"/>
    <w:rsid w:val="5AD4AF46"/>
    <w:rsid w:val="5AF413F1"/>
    <w:rsid w:val="5B129828"/>
    <w:rsid w:val="5B14F649"/>
    <w:rsid w:val="5B201D4B"/>
    <w:rsid w:val="5B6A201C"/>
    <w:rsid w:val="5B6AE5DC"/>
    <w:rsid w:val="5B76BBFE"/>
    <w:rsid w:val="5C6072C5"/>
    <w:rsid w:val="5C75398A"/>
    <w:rsid w:val="5CA98D1A"/>
    <w:rsid w:val="5CC55A5D"/>
    <w:rsid w:val="5D9B4307"/>
    <w:rsid w:val="5DE2055F"/>
    <w:rsid w:val="5DE4AF5B"/>
    <w:rsid w:val="5E479309"/>
    <w:rsid w:val="5E4A02C3"/>
    <w:rsid w:val="5E636147"/>
    <w:rsid w:val="5E67A557"/>
    <w:rsid w:val="5EC91C97"/>
    <w:rsid w:val="5F202AE2"/>
    <w:rsid w:val="5F2D4253"/>
    <w:rsid w:val="5F4D4B4D"/>
    <w:rsid w:val="5F76DF4B"/>
    <w:rsid w:val="5FD826CD"/>
    <w:rsid w:val="5FF1E545"/>
    <w:rsid w:val="6016237C"/>
    <w:rsid w:val="601FE38F"/>
    <w:rsid w:val="60969BB7"/>
    <w:rsid w:val="60BBFB43"/>
    <w:rsid w:val="61592040"/>
    <w:rsid w:val="6185ABDC"/>
    <w:rsid w:val="619695D9"/>
    <w:rsid w:val="61AC667C"/>
    <w:rsid w:val="61D5E1A2"/>
    <w:rsid w:val="61F4CA3C"/>
    <w:rsid w:val="6207DF05"/>
    <w:rsid w:val="6219C8E6"/>
    <w:rsid w:val="621F7A66"/>
    <w:rsid w:val="62737190"/>
    <w:rsid w:val="62E3BC15"/>
    <w:rsid w:val="6314A4BD"/>
    <w:rsid w:val="63349BE1"/>
    <w:rsid w:val="637135F2"/>
    <w:rsid w:val="63A46B9D"/>
    <w:rsid w:val="64483A1B"/>
    <w:rsid w:val="6491D9C1"/>
    <w:rsid w:val="649AD9A1"/>
    <w:rsid w:val="64ADB54B"/>
    <w:rsid w:val="64B0438E"/>
    <w:rsid w:val="64E027EE"/>
    <w:rsid w:val="64F6DEE1"/>
    <w:rsid w:val="64FD6069"/>
    <w:rsid w:val="65370F91"/>
    <w:rsid w:val="6563F6E5"/>
    <w:rsid w:val="664FA5F9"/>
    <w:rsid w:val="669B3DDD"/>
    <w:rsid w:val="669BA04C"/>
    <w:rsid w:val="670033B8"/>
    <w:rsid w:val="6711A92F"/>
    <w:rsid w:val="67311455"/>
    <w:rsid w:val="675AD579"/>
    <w:rsid w:val="67B06434"/>
    <w:rsid w:val="68433024"/>
    <w:rsid w:val="68480114"/>
    <w:rsid w:val="684B0104"/>
    <w:rsid w:val="68771DB8"/>
    <w:rsid w:val="68C6F069"/>
    <w:rsid w:val="68FB10AE"/>
    <w:rsid w:val="6953EB37"/>
    <w:rsid w:val="699A70B4"/>
    <w:rsid w:val="69DFDC44"/>
    <w:rsid w:val="69FCE128"/>
    <w:rsid w:val="6A2004B1"/>
    <w:rsid w:val="6A3A7D4A"/>
    <w:rsid w:val="6A46E603"/>
    <w:rsid w:val="6AD2592E"/>
    <w:rsid w:val="6AE536B5"/>
    <w:rsid w:val="6B2498A5"/>
    <w:rsid w:val="6BE890F7"/>
    <w:rsid w:val="6C3370B9"/>
    <w:rsid w:val="6CB630A9"/>
    <w:rsid w:val="6CF2E003"/>
    <w:rsid w:val="6D0EAE41"/>
    <w:rsid w:val="6D23F0A3"/>
    <w:rsid w:val="6D406DD2"/>
    <w:rsid w:val="6D68C5EB"/>
    <w:rsid w:val="6DB7A5A2"/>
    <w:rsid w:val="6DBC2176"/>
    <w:rsid w:val="6DE229F8"/>
    <w:rsid w:val="6DFF32B6"/>
    <w:rsid w:val="6E13DDB7"/>
    <w:rsid w:val="6E250C4F"/>
    <w:rsid w:val="6E7518E1"/>
    <w:rsid w:val="6FEB8FF6"/>
    <w:rsid w:val="6FEF8212"/>
    <w:rsid w:val="6FF8435F"/>
    <w:rsid w:val="70159F18"/>
    <w:rsid w:val="70161EC0"/>
    <w:rsid w:val="7053A834"/>
    <w:rsid w:val="70BFB1F9"/>
    <w:rsid w:val="70E51CE7"/>
    <w:rsid w:val="70F89C44"/>
    <w:rsid w:val="718561D9"/>
    <w:rsid w:val="7192AB39"/>
    <w:rsid w:val="71B57077"/>
    <w:rsid w:val="71F09ED4"/>
    <w:rsid w:val="71FE962D"/>
    <w:rsid w:val="721DD7F1"/>
    <w:rsid w:val="7239D92E"/>
    <w:rsid w:val="72760A3C"/>
    <w:rsid w:val="72840773"/>
    <w:rsid w:val="729A38B9"/>
    <w:rsid w:val="72AE5E50"/>
    <w:rsid w:val="72BFA3BF"/>
    <w:rsid w:val="72C2C198"/>
    <w:rsid w:val="7348BCBC"/>
    <w:rsid w:val="737595A1"/>
    <w:rsid w:val="739B62AD"/>
    <w:rsid w:val="73EE1D9D"/>
    <w:rsid w:val="73FC1407"/>
    <w:rsid w:val="74345F71"/>
    <w:rsid w:val="750D35AE"/>
    <w:rsid w:val="7520191A"/>
    <w:rsid w:val="7555856F"/>
    <w:rsid w:val="75844959"/>
    <w:rsid w:val="75E27FE6"/>
    <w:rsid w:val="75EB1C9B"/>
    <w:rsid w:val="75F9D040"/>
    <w:rsid w:val="760092CD"/>
    <w:rsid w:val="7610C997"/>
    <w:rsid w:val="762104C3"/>
    <w:rsid w:val="76A904E2"/>
    <w:rsid w:val="76E74D27"/>
    <w:rsid w:val="76FC2D8F"/>
    <w:rsid w:val="773AAD75"/>
    <w:rsid w:val="77A67AC8"/>
    <w:rsid w:val="77B429CA"/>
    <w:rsid w:val="77C72B09"/>
    <w:rsid w:val="77E536E5"/>
    <w:rsid w:val="781E010E"/>
    <w:rsid w:val="7889404D"/>
    <w:rsid w:val="789CB0CB"/>
    <w:rsid w:val="78B8C61A"/>
    <w:rsid w:val="78BCE3F2"/>
    <w:rsid w:val="794976AE"/>
    <w:rsid w:val="79832963"/>
    <w:rsid w:val="79E6254C"/>
    <w:rsid w:val="7A0626F3"/>
    <w:rsid w:val="7A302F98"/>
    <w:rsid w:val="7A44DFBA"/>
    <w:rsid w:val="7A54E7CD"/>
    <w:rsid w:val="7ABC3C72"/>
    <w:rsid w:val="7AE034EA"/>
    <w:rsid w:val="7B0371A5"/>
    <w:rsid w:val="7B1C77BF"/>
    <w:rsid w:val="7B47BDCE"/>
    <w:rsid w:val="7B8B3DCC"/>
    <w:rsid w:val="7BAE55EB"/>
    <w:rsid w:val="7DC6EB2C"/>
    <w:rsid w:val="7DDB4299"/>
    <w:rsid w:val="7DE93D0F"/>
    <w:rsid w:val="7E23A175"/>
    <w:rsid w:val="7EA96376"/>
    <w:rsid w:val="7F2EA57A"/>
    <w:rsid w:val="7F5EA0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4B331E60-B13C-42DF-A425-AD9C48A0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B406B4"/>
    <w:rPr>
      <w:color w:val="605E5C"/>
      <w:shd w:val="clear" w:color="auto" w:fill="E1DFDD"/>
    </w:rPr>
  </w:style>
  <w:style w:type="character" w:customStyle="1" w:styleId="Heading2Char">
    <w:name w:val="Heading 2 Char"/>
    <w:basedOn w:val="DefaultParagraphFont"/>
    <w:link w:val="Heading2"/>
    <w:uiPriority w:val="9"/>
    <w:rsid w:val="00B406B4"/>
    <w:rPr>
      <w:rFonts w:asciiTheme="minorHAnsi" w:hAnsiTheme="minorHAnsi"/>
      <w:b/>
      <w:sz w:val="24"/>
      <w:lang w:val="en-GB" w:eastAsia="en-US"/>
    </w:rPr>
  </w:style>
  <w:style w:type="character" w:customStyle="1" w:styleId="Heading3Char">
    <w:name w:val="Heading 3 Char"/>
    <w:basedOn w:val="DefaultParagraphFont"/>
    <w:link w:val="Heading3"/>
    <w:uiPriority w:val="9"/>
    <w:rsid w:val="00B406B4"/>
    <w:rPr>
      <w:rFonts w:asciiTheme="minorHAnsi" w:hAnsiTheme="minorHAnsi"/>
      <w:b/>
      <w:sz w:val="24"/>
      <w:lang w:val="en-GB" w:eastAsia="en-US"/>
    </w:rPr>
  </w:style>
  <w:style w:type="character" w:customStyle="1" w:styleId="normaltextrun">
    <w:name w:val="normaltextrun"/>
    <w:basedOn w:val="DefaultParagraphFont"/>
    <w:rsid w:val="00B406B4"/>
  </w:style>
  <w:style w:type="character" w:customStyle="1" w:styleId="eop">
    <w:name w:val="eop"/>
    <w:basedOn w:val="DefaultParagraphFont"/>
    <w:rsid w:val="00B406B4"/>
  </w:style>
  <w:style w:type="character" w:styleId="Strong">
    <w:name w:val="Strong"/>
    <w:basedOn w:val="DefaultParagraphFont"/>
    <w:uiPriority w:val="22"/>
    <w:qFormat/>
    <w:rsid w:val="00B406B4"/>
    <w:rPr>
      <w:b/>
      <w:bCs/>
    </w:rPr>
  </w:style>
  <w:style w:type="paragraph" w:customStyle="1" w:styleId="xxmsonormal">
    <w:name w:val="x_xmsonormal"/>
    <w:basedOn w:val="Normal"/>
    <w:rsid w:val="00B406B4"/>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B406B4"/>
    <w:rPr>
      <w:sz w:val="16"/>
      <w:szCs w:val="16"/>
    </w:rPr>
  </w:style>
  <w:style w:type="paragraph" w:styleId="CommentText">
    <w:name w:val="annotation text"/>
    <w:basedOn w:val="Normal"/>
    <w:link w:val="CommentTextChar"/>
    <w:uiPriority w:val="99"/>
    <w:unhideWhenUsed/>
    <w:rsid w:val="00B406B4"/>
    <w:pPr>
      <w:tabs>
        <w:tab w:val="clear" w:pos="794"/>
        <w:tab w:val="clear" w:pos="1191"/>
        <w:tab w:val="clear" w:pos="1588"/>
        <w:tab w:val="clear" w:pos="1985"/>
      </w:tabs>
      <w:overflowPunct/>
      <w:autoSpaceDE/>
      <w:autoSpaceDN/>
      <w:adjustRightInd/>
      <w:spacing w:before="0" w:after="160"/>
      <w:textAlignment w:val="auto"/>
    </w:pPr>
    <w:rPr>
      <w:rFonts w:eastAsiaTheme="minorHAnsi" w:cstheme="minorBidi"/>
      <w:sz w:val="20"/>
    </w:rPr>
  </w:style>
  <w:style w:type="character" w:customStyle="1" w:styleId="CommentTextChar">
    <w:name w:val="Comment Text Char"/>
    <w:basedOn w:val="DefaultParagraphFont"/>
    <w:link w:val="CommentText"/>
    <w:uiPriority w:val="99"/>
    <w:rsid w:val="00B406B4"/>
    <w:rPr>
      <w:rFonts w:asciiTheme="minorHAnsi" w:eastAsiaTheme="minorHAnsi" w:hAnsiTheme="minorHAnsi" w:cstheme="minorBidi"/>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link w:val="ListParagraph"/>
    <w:uiPriority w:val="34"/>
    <w:qFormat/>
    <w:rsid w:val="00B406B4"/>
    <w:rPr>
      <w:rFonts w:asciiTheme="minorHAnsi" w:hAnsiTheme="minorHAnsi"/>
      <w:sz w:val="24"/>
      <w:lang w:val="en-GB" w:eastAsia="en-US"/>
    </w:rPr>
  </w:style>
  <w:style w:type="paragraph" w:styleId="Revision">
    <w:name w:val="Revision"/>
    <w:hidden/>
    <w:uiPriority w:val="99"/>
    <w:semiHidden/>
    <w:rsid w:val="00B406B4"/>
    <w:rPr>
      <w:rFonts w:asciiTheme="minorHAnsi" w:eastAsiaTheme="minorHAnsi" w:hAnsiTheme="minorHAnsi" w:cstheme="minorBidi"/>
      <w:sz w:val="22"/>
      <w:szCs w:val="22"/>
      <w:lang w:val="en-GB" w:eastAsia="en-US"/>
    </w:rPr>
  </w:style>
  <w:style w:type="paragraph" w:styleId="CommentSubject">
    <w:name w:val="annotation subject"/>
    <w:basedOn w:val="CommentText"/>
    <w:next w:val="CommentText"/>
    <w:link w:val="CommentSubjectChar"/>
    <w:uiPriority w:val="99"/>
    <w:semiHidden/>
    <w:unhideWhenUsed/>
    <w:rsid w:val="00B406B4"/>
    <w:rPr>
      <w:b/>
      <w:bCs/>
    </w:rPr>
  </w:style>
  <w:style w:type="character" w:customStyle="1" w:styleId="CommentSubjectChar">
    <w:name w:val="Comment Subject Char"/>
    <w:basedOn w:val="CommentTextChar"/>
    <w:link w:val="CommentSubject"/>
    <w:uiPriority w:val="99"/>
    <w:semiHidden/>
    <w:rsid w:val="00B406B4"/>
    <w:rPr>
      <w:rFonts w:asciiTheme="minorHAnsi" w:eastAsiaTheme="minorHAnsi" w:hAnsiTheme="minorHAnsi" w:cstheme="minorBidi"/>
      <w:b/>
      <w:bCs/>
      <w:lang w:val="en-GB" w:eastAsia="en-US"/>
    </w:rPr>
  </w:style>
  <w:style w:type="paragraph" w:styleId="NormalWeb">
    <w:name w:val="Normal (Web)"/>
    <w:basedOn w:val="Normal"/>
    <w:uiPriority w:val="99"/>
    <w:unhideWhenUsed/>
    <w:rsid w:val="00B406B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stheme="minorHAnsi"/>
      <w:szCs w:val="24"/>
      <w:lang w:eastAsia="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406B4"/>
    <w:rPr>
      <w:rFonts w:asciiTheme="minorHAnsi" w:hAnsiTheme="minorHAnsi"/>
      <w:sz w:val="24"/>
      <w:lang w:val="en-GB" w:eastAsia="en-US"/>
    </w:rPr>
  </w:style>
  <w:style w:type="paragraph" w:customStyle="1" w:styleId="paragraph">
    <w:name w:val="paragraph"/>
    <w:basedOn w:val="Normal"/>
    <w:rsid w:val="00B406B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table" w:customStyle="1" w:styleId="TableGrid6">
    <w:name w:val="Table Grid6"/>
    <w:basedOn w:val="TableNormal"/>
    <w:next w:val="TableGrid"/>
    <w:uiPriority w:val="39"/>
    <w:rsid w:val="00B406B4"/>
    <w:rPr>
      <w:rFonts w:eastAsia="MS Minch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B406B4"/>
    <w:rPr>
      <w:rFonts w:asciiTheme="minorHAnsi" w:hAnsiTheme="minorHAnsi"/>
      <w:b/>
      <w:sz w:val="24"/>
      <w:lang w:val="en-GB" w:eastAsia="en-US"/>
    </w:rPr>
  </w:style>
  <w:style w:type="character" w:styleId="Mention">
    <w:name w:val="Mention"/>
    <w:basedOn w:val="DefaultParagraphFont"/>
    <w:uiPriority w:val="99"/>
    <w:unhideWhenUsed/>
    <w:rsid w:val="00B406B4"/>
    <w:rPr>
      <w:color w:val="2B579A"/>
      <w:shd w:val="clear" w:color="auto" w:fill="E6E6E6"/>
    </w:rPr>
  </w:style>
  <w:style w:type="table" w:customStyle="1" w:styleId="GridTable4-Accent51">
    <w:name w:val="Grid Table 4 - Accent 51"/>
    <w:basedOn w:val="TableNormal"/>
    <w:next w:val="GridTable4-Accent5"/>
    <w:uiPriority w:val="49"/>
    <w:rsid w:val="008E594C"/>
    <w:rPr>
      <w:rFonts w:ascii="Calibri" w:eastAsia="Calibri" w:hAnsi="Calibri" w:cs="Arial"/>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8E594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Cybersecurity/Pages/global-cybersecurity-index.aspx" TargetMode="External"/><Relationship Id="rId117" Type="http://schemas.openxmlformats.org/officeDocument/2006/relationships/hyperlink" Target="https://uneuropecentralasia.org/en/un-digital-transformation-group-europe-and-central-asia" TargetMode="External"/><Relationship Id="rId21" Type="http://schemas.openxmlformats.org/officeDocument/2006/relationships/hyperlink" Target="https://www.itu.int/en/ITU-D/Cybersecurity/Pages/CyberDrill-2022/2022-ITU-Bhutan-joint-CyberDrill.aspx" TargetMode="External"/><Relationship Id="rId42" Type="http://schemas.openxmlformats.org/officeDocument/2006/relationships/hyperlink" Target="https://www.itu.int/en/ITU-D/Regional-Presence/Europe/Pages/Events/2022/Accessible%20Europe%20ICT%204%20All%20Forum%20-%206%20Dec%202022/Accessible-Europe-ICT-4-All-Forum--Celebration-of-the-International-Day-of-Persons-with-Disabilities-.aspx" TargetMode="External"/><Relationship Id="rId47" Type="http://schemas.openxmlformats.org/officeDocument/2006/relationships/hyperlink" Target="https://youtu.be/qevgxfq56Gg" TargetMode="External"/><Relationship Id="rId63" Type="http://schemas.openxmlformats.org/officeDocument/2006/relationships/hyperlink" Target="https://www.itu.int/en/ITU-D/Emergency-Telecommunications/Pages/ITU-Online-Modules-on-Emergency-Telecommunications.aspx" TargetMode="External"/><Relationship Id="rId68" Type="http://schemas.openxmlformats.org/officeDocument/2006/relationships/hyperlink" Target="https://www.itu.int/en/ITU-D/Climate-Change/Pages/ewaste/globalewastestatisticspartnership.aspx" TargetMode="External"/><Relationship Id="rId84" Type="http://schemas.openxmlformats.org/officeDocument/2006/relationships/hyperlink" Target="https://www.itu.int/en/ITU-D/Technology/Pages/InteractiveTransmissionMaps.aspx" TargetMode="External"/><Relationship Id="rId89" Type="http://schemas.openxmlformats.org/officeDocument/2006/relationships/hyperlink" Target="https://eur03.safelinks.protection.outlook.com/?url=https%3A%2F%2Fdigitalregulation.org%2F&amp;data=05%7C01%7CYoulia.Lozanova%40itu.int%7Ccd88bb4f818c4484ce6708db47b902e2%7C23e464d704e64b87913c24bd89219fd3%7C0%7C0%7C638182633186791550%7CUnknown%7CTWFpbGZsb3d8eyJWIjoiMC4wLjAwMDAiLCJQIjoiV2luMzIiLCJBTiI6Ik1haWwiLCJXVCI6Mn0%3D%7C3000%7C%7C%7C&amp;sdata=snJfXCESijGeQAoDN6%2BAD48EA%2B%2BGDw2zekHJ5PS%2BmJo%3D&amp;reserved=0" TargetMode="External"/><Relationship Id="rId112" Type="http://schemas.openxmlformats.org/officeDocument/2006/relationships/hyperlink" Target="https://www.itu.int/net4/ITU-D/CDS/sg/blkmeetings.asp?lg=1&amp;sp=2018&amp;blk=20348" TargetMode="External"/><Relationship Id="rId16" Type="http://schemas.openxmlformats.org/officeDocument/2006/relationships/hyperlink" Target="https://academy.itu.int/itu-d/projects-activities/centres-excellence/coe-cycles/coe-cycle-2019-2022" TargetMode="External"/><Relationship Id="rId107" Type="http://schemas.openxmlformats.org/officeDocument/2006/relationships/hyperlink" Target="https://unstats.un.org/wiki/display/MPDMIS" TargetMode="External"/><Relationship Id="rId11" Type="http://schemas.openxmlformats.org/officeDocument/2006/relationships/image" Target="media/image1.jpeg"/><Relationship Id="rId32" Type="http://schemas.openxmlformats.org/officeDocument/2006/relationships/hyperlink" Target="https://www.itu-cop-guidelines.com/" TargetMode="External"/><Relationship Id="rId37" Type="http://schemas.openxmlformats.org/officeDocument/2006/relationships/hyperlink" Target="https://www.itu.int/en/ITU-D/Regional-Presence/CIS/Documents/RI-WTDC22/COP%20Guidelines%20for%20policy-makers%20in%20Armenian.pdf" TargetMode="External"/><Relationship Id="rId53" Type="http://schemas.openxmlformats.org/officeDocument/2006/relationships/hyperlink" Target="https://www.agccamericalatina.org/home-es/" TargetMode="External"/><Relationship Id="rId58" Type="http://schemas.openxmlformats.org/officeDocument/2006/relationships/hyperlink" Target="https://www.we-accelerate.com/" TargetMode="External"/><Relationship Id="rId74" Type="http://schemas.openxmlformats.org/officeDocument/2006/relationships/hyperlink" Target="https://www.itu.int/en/ITU-D/Environment/Documents/Publications/2021/English_REM_2021_CIS+GEORGIA_WEB_final_nov_24_pages.pdf" TargetMode="External"/><Relationship Id="rId79" Type="http://schemas.openxmlformats.org/officeDocument/2006/relationships/hyperlink" Target="https://www.itu.int/en/mediacentre/Pages/PR-2022-06-22-Green-tech-firms-for-sustainable-future.aspx" TargetMode="External"/><Relationship Id="rId102" Type="http://schemas.openxmlformats.org/officeDocument/2006/relationships/hyperlink" Target="https://www.itu.int/en/ITU-D/Statistics/Pages/facts/default.aspx" TargetMode="External"/><Relationship Id="rId5" Type="http://schemas.openxmlformats.org/officeDocument/2006/relationships/numbering" Target="numbering.xml"/><Relationship Id="rId90" Type="http://schemas.openxmlformats.org/officeDocument/2006/relationships/hyperlink" Target="https://gen5.digital/" TargetMode="External"/><Relationship Id="rId95" Type="http://schemas.openxmlformats.org/officeDocument/2006/relationships/hyperlink" Target="https://digitalregulation.org/wp-content/uploads/21-00770_R3_Saudi-Arabia-digital-transformation_E.pdf" TargetMode="External"/><Relationship Id="rId22" Type="http://schemas.openxmlformats.org/officeDocument/2006/relationships/hyperlink" Target="https://www.itu.int/en/ITU-D/Regional-Presence/CIS/Pages/EVENTS/2022/CyberDrill22.aspx" TargetMode="External"/><Relationship Id="rId27" Type="http://schemas.openxmlformats.org/officeDocument/2006/relationships/hyperlink" Target="https://ncsguide.org/" TargetMode="External"/><Relationship Id="rId43" Type="http://schemas.openxmlformats.org/officeDocument/2006/relationships/hyperlink" Target="https://www.itu.int/en/ITU-D/Regional-Presence/ArabStates/Pages/Events/2022/AccessibleARB/Accessible-ARB2022.aspx" TargetMode="External"/><Relationship Id="rId48" Type="http://schemas.openxmlformats.org/officeDocument/2006/relationships/hyperlink" Target="https://www.itu.int/en/ITU-D/Digital-Inclusion/Pages/itu-ilo/default.aspx" TargetMode="External"/><Relationship Id="rId64" Type="http://schemas.openxmlformats.org/officeDocument/2006/relationships/hyperlink" Target="https://www.itu.int/en/ITU-D/Emergency-Telecommunications/Pages/Publications/Guidelines-for-NETPs.aspx" TargetMode="External"/><Relationship Id="rId69" Type="http://schemas.openxmlformats.org/officeDocument/2006/relationships/hyperlink" Target="https://www.itu.int/en/ITU-D/Environment/Pages/Spotlight/E-waste-EACO.aspx" TargetMode="External"/><Relationship Id="rId113" Type="http://schemas.openxmlformats.org/officeDocument/2006/relationships/hyperlink" Target="https://www.itu.int/md/D22-SG02-ADM-0003/en" TargetMode="External"/><Relationship Id="rId118" Type="http://schemas.openxmlformats.org/officeDocument/2006/relationships/header" Target="header1.xml"/><Relationship Id="rId80" Type="http://schemas.openxmlformats.org/officeDocument/2006/relationships/hyperlink" Target="https://www.itu.int/en/ITU-D/Environment/Pages/Toolbox/Greening-Digital-Companies.aspx" TargetMode="External"/><Relationship Id="rId85" Type="http://schemas.openxmlformats.org/officeDocument/2006/relationships/hyperlink" Target="https://www.itu.int/en/myitu/News/2020/10/06/07/37/Mapping-financial-inclusion-Mexico-FIGI" TargetMode="External"/><Relationship Id="rId12" Type="http://schemas.openxmlformats.org/officeDocument/2006/relationships/hyperlink" Target="https://www.itu.int/md/D18-WTDC21-C-0002/en" TargetMode="External"/><Relationship Id="rId17" Type="http://schemas.openxmlformats.org/officeDocument/2006/relationships/hyperlink" Target="https://academy.itu.int/index.php/main-activities/digital-transformation-centres-initiative" TargetMode="External"/><Relationship Id="rId33" Type="http://schemas.openxmlformats.org/officeDocument/2006/relationships/hyperlink" Target="https://www.itu.int/en/ITU-D/Cybersecurity/Pages/COP/Trainings.aspx" TargetMode="External"/><Relationship Id="rId38" Type="http://schemas.openxmlformats.org/officeDocument/2006/relationships/hyperlink" Target="https://www.itu.int/en/ITU-D/Regional-Presence/CIS/Documents/RI-WTDC22/COP%20Guidelines%20for%20industry%20in%20Armenian.pdf" TargetMode="External"/><Relationship Id="rId59" Type="http://schemas.openxmlformats.org/officeDocument/2006/relationships/hyperlink" Target="https://marykayglobal.com/" TargetMode="External"/><Relationship Id="rId103" Type="http://schemas.openxmlformats.org/officeDocument/2006/relationships/hyperlink" Target="https://www.itu.int/en/ITU-D/Statistics/Pages/ICTprices/default.aspx" TargetMode="External"/><Relationship Id="rId108" Type="http://schemas.openxmlformats.org/officeDocument/2006/relationships/hyperlink" Target="https://www.itu.int/en/ITU-D/Statistics/Pages/bigdata/default.aspx" TargetMode="External"/><Relationship Id="rId54" Type="http://schemas.openxmlformats.org/officeDocument/2006/relationships/hyperlink" Target="https://www.edf-feph.org/content/uploads/2022/02/European-Disability-Summit-2022-Outcome-Document-EN.pdf" TargetMode="External"/><Relationship Id="rId70" Type="http://schemas.openxmlformats.org/officeDocument/2006/relationships/hyperlink" Target="https://globalewaste.org/" TargetMode="External"/><Relationship Id="rId75" Type="http://schemas.openxmlformats.org/officeDocument/2006/relationships/hyperlink" Target="https://www.itu.int/en/ITU-D/Environment/Pages/Spotlight/E-waste-data-in-Malawi.aspx" TargetMode="External"/><Relationship Id="rId91" Type="http://schemas.openxmlformats.org/officeDocument/2006/relationships/hyperlink" Target="https://app.gen5.digital/tracker/metrics" TargetMode="External"/><Relationship Id="rId96" Type="http://schemas.openxmlformats.org/officeDocument/2006/relationships/hyperlink" Target="https://digitalregulation.org/wp-content/uploads/22-00076_R2_Collaborative-regulation-for-digital-transformation-in-Mexico_BAT.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rcssummit.com/" TargetMode="External"/><Relationship Id="rId28" Type="http://schemas.openxmlformats.org/officeDocument/2006/relationships/hyperlink" Target="https://www.dgssi.gov.ma/fr/content/ateliers-debats-autour-des-nouveaux-objectifs-strategiques-nationaux-en-matiere-de-cybersecurite.html" TargetMode="External"/><Relationship Id="rId49" Type="http://schemas.openxmlformats.org/officeDocument/2006/relationships/hyperlink" Target="https://academy.itu.int/training-courses/full-catalogue/inclusive-employment-how-ensure-online-job-applications-and-recruitment-systems-are-accessible-all-0" TargetMode="External"/><Relationship Id="rId114" Type="http://schemas.openxmlformats.org/officeDocument/2006/relationships/hyperlink" Target="https://www.itu.int/en/ITU-D/Environment/Documents/Publications/2022/Final%20-%20Climate%20Change%20Adaptation%20CoP%20Report%20-%20Jan.24.docx.pdf" TargetMode="External"/><Relationship Id="rId119" Type="http://schemas.openxmlformats.org/officeDocument/2006/relationships/footer" Target="footer1.xml"/><Relationship Id="rId44" Type="http://schemas.openxmlformats.org/officeDocument/2006/relationships/hyperlink" Target="https://academy.itu.int/training-courses/full-catalogue/icts-better-ageing-and-livelihood-digital-landscape-1" TargetMode="External"/><Relationship Id="rId60" Type="http://schemas.openxmlformats.org/officeDocument/2006/relationships/hyperlink" Target="https://www.itu.int/en/ITU-D/Innovation/Pages/Missing-link-for-Youth-Innovation-Capacity.aspx" TargetMode="External"/><Relationship Id="rId65" Type="http://schemas.openxmlformats.org/officeDocument/2006/relationships/hyperlink" Target="https://www.itu.int/en/ITU-D/Emergency-Telecommunications/Pages/Simulation-Exercises.aspx" TargetMode="External"/><Relationship Id="rId81" Type="http://schemas.openxmlformats.org/officeDocument/2006/relationships/hyperlink" Target="https://www.itu.int/en/ITU-D/Environment/Pages/Events/2022/Greening-Digital-Companies.aspx" TargetMode="External"/><Relationship Id="rId86" Type="http://schemas.openxmlformats.org/officeDocument/2006/relationships/hyperlink" Target="https://www.itu.int/en/ITU-D/Regional-Presence/AsiaPacific/Pages/Events/2022/LMCASP22/main.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18-WTDC21-C-0002/en" TargetMode="External"/><Relationship Id="rId18" Type="http://schemas.openxmlformats.org/officeDocument/2006/relationships/hyperlink" Target="https://academy.itu.int/index.php/main-activities/ilo-itu-digital-skills-campaign" TargetMode="External"/><Relationship Id="rId39" Type="http://schemas.openxmlformats.org/officeDocument/2006/relationships/hyperlink" Target="https://www.itu.int/en/ITU-D/Regional-Presence/CIS/Documents/RI-WTDC22/COP%20Guidelines%20for%20parents%20and%20educators%20in%20Armenian.pdf" TargetMode="External"/><Relationship Id="rId109" Type="http://schemas.openxmlformats.org/officeDocument/2006/relationships/hyperlink" Target="https://www.itu.int/dms_pub/itu-d/opb/tdc/D-TDC-WTDC-2022-PDF-E.pdf" TargetMode="External"/><Relationship Id="rId34" Type="http://schemas.openxmlformats.org/officeDocument/2006/relationships/hyperlink" Target="https://www.itu-cop-guidelines.com/implementation" TargetMode="External"/><Relationship Id="rId50" Type="http://schemas.openxmlformats.org/officeDocument/2006/relationships/hyperlink" Target="https://academy.itu.int/training-courses/full-catalogue/how-ensure-inclusive-digital-communication-during-crises-and-emergency-situations-1" TargetMode="External"/><Relationship Id="rId55" Type="http://schemas.openxmlformats.org/officeDocument/2006/relationships/hyperlink" Target="https://www.itu.int/en/ITU-D/Innovation/Pages/ITU-Innovation-Challenges.aspx" TargetMode="External"/><Relationship Id="rId76" Type="http://schemas.openxmlformats.org/officeDocument/2006/relationships/hyperlink" Target="https://www.itu.int/en/ITU-D/Environment/Pages/Spotlight/Improving-Data-Collection-in-Botswana.aspx" TargetMode="External"/><Relationship Id="rId97" Type="http://schemas.openxmlformats.org/officeDocument/2006/relationships/hyperlink" Target="https://www.itu.int/en/ITU-D/Regional-Presence/Americas/Pages/EVENTS/2022/IPEC-2022.aspx" TargetMode="External"/><Relationship Id="rId104" Type="http://schemas.openxmlformats.org/officeDocument/2006/relationships/hyperlink" Target="https://www.itu.int/en/ITU-D/Statistics/Dashboards/Pages/IPB.aspx"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globalewaste.org/map/" TargetMode="External"/><Relationship Id="rId92" Type="http://schemas.openxmlformats.org/officeDocument/2006/relationships/hyperlink" Target="https://app.gen5.digital/benchmark/metrics" TargetMode="External"/><Relationship Id="rId2" Type="http://schemas.openxmlformats.org/officeDocument/2006/relationships/customXml" Target="../customXml/item2.xml"/><Relationship Id="rId29" Type="http://schemas.openxmlformats.org/officeDocument/2006/relationships/hyperlink" Target="https://cybilportal.org/projects/joint-integrated-cyber-analysis-project-jicap/" TargetMode="External"/><Relationship Id="rId24" Type="http://schemas.openxmlformats.org/officeDocument/2006/relationships/hyperlink" Target="https://www.itu.int/en/ITU-D/Cybersecurity/Pages/CyberDrill-2022/2022-Pakistan-CyberDrill.aspx" TargetMode="External"/><Relationship Id="rId40" Type="http://schemas.openxmlformats.org/officeDocument/2006/relationships/hyperlink" Target="https://www.itu.int/en/ITU-D/Regional-Presence/AsiaPacific/Pages/v2/regional-events.aspx" TargetMode="External"/><Relationship Id="rId45" Type="http://schemas.openxmlformats.org/officeDocument/2006/relationships/hyperlink" Target="https://academy.itu.int/training-courses/full-catalogue/formacion-en-herramientas-innovadoras-de-comunicacion-para-el-fortalecimiento-de-las-capacidades-de-2" TargetMode="External"/><Relationship Id="rId66" Type="http://schemas.openxmlformats.org/officeDocument/2006/relationships/hyperlink" Target="https://www.itu.int/en/ITU-D/Emergency-Telecommunications/Pages/TampereConvention.aspx" TargetMode="External"/><Relationship Id="rId87" Type="http://schemas.openxmlformats.org/officeDocument/2006/relationships/hyperlink" Target="https://academy.itu.int/training-courses/full-catalogue/last-mile-internet-connectivity-0" TargetMode="External"/><Relationship Id="rId110" Type="http://schemas.openxmlformats.org/officeDocument/2006/relationships/hyperlink" Target="https://www.itu.int/dms_ties/itu-s/md/22/pp/c/S22-PP-C-0202!!PDF-E.pdf" TargetMode="External"/><Relationship Id="rId115" Type="http://schemas.openxmlformats.org/officeDocument/2006/relationships/hyperlink" Target="https://cep2030.org/" TargetMode="External"/><Relationship Id="rId61" Type="http://schemas.openxmlformats.org/officeDocument/2006/relationships/hyperlink" Target="https://www.who.int/initiatives/tobacco-cessation-consortium/tobacco-cessation-mobile-app-assessment" TargetMode="External"/><Relationship Id="rId82" Type="http://schemas.openxmlformats.org/officeDocument/2006/relationships/hyperlink" Target="https://www.itu.int/hub/2022/06/tech-companies-take-steps-towards-net-zero/" TargetMode="External"/><Relationship Id="rId19" Type="http://schemas.openxmlformats.org/officeDocument/2006/relationships/hyperlink" Target="https://www.itu.int/en/ITU-D/Cybersecurity/Pages/cyberdrills.aspx" TargetMode="External"/><Relationship Id="rId14" Type="http://schemas.openxmlformats.org/officeDocument/2006/relationships/hyperlink" Target="https://academy.itu.int/" TargetMode="External"/><Relationship Id="rId30" Type="http://schemas.openxmlformats.org/officeDocument/2006/relationships/hyperlink" Target="https://www.itu.int/en/ITU-D/Cybersecurity/Pages/Cyber4Good/Cyber4Good.aspx" TargetMode="External"/><Relationship Id="rId35" Type="http://schemas.openxmlformats.org/officeDocument/2006/relationships/hyperlink" Target="https://www.itu.int/en/ITU-D/Cybersecurity/Pages/COP/POP.aspx" TargetMode="External"/><Relationship Id="rId56" Type="http://schemas.openxmlformats.org/officeDocument/2006/relationships/hyperlink" Target="https://news.itu.int/itu-innovations-challenges-a-life-changing-experience/" TargetMode="External"/><Relationship Id="rId77" Type="http://schemas.openxmlformats.org/officeDocument/2006/relationships/hyperlink" Target="https://www.itu.int/en/ITU-D/Environment/Pages/Spotlight/E-waste-data-in-Namibia.aspx" TargetMode="External"/><Relationship Id="rId100" Type="http://schemas.openxmlformats.org/officeDocument/2006/relationships/hyperlink" Target="https://www.itu.int/en/ITU-D/Regulatory-Market/Pages/Events2022/EconomicRoundTable2022.aspx" TargetMode="External"/><Relationship Id="rId105" Type="http://schemas.openxmlformats.org/officeDocument/2006/relationships/hyperlink" Target="https://www.itu.int/itu-d/meetings/statistics/umc2030/" TargetMode="External"/><Relationship Id="rId8" Type="http://schemas.openxmlformats.org/officeDocument/2006/relationships/webSettings" Target="webSettings.xml"/><Relationship Id="rId51" Type="http://schemas.openxmlformats.org/officeDocument/2006/relationships/hyperlink" Target="https://www.itu.int/pub/D-PHCB-TOOLKIT.01-2021" TargetMode="External"/><Relationship Id="rId72" Type="http://schemas.openxmlformats.org/officeDocument/2006/relationships/hyperlink" Target="https://www.itu.int/en/ITU-D/Environment/Documents/Publications/2022/REM_LATAM_2022_ENG_Final.pdf" TargetMode="External"/><Relationship Id="rId93" Type="http://schemas.openxmlformats.org/officeDocument/2006/relationships/hyperlink" Target="https://app.gen5.digital/tracker/metrics" TargetMode="External"/><Relationship Id="rId98" Type="http://schemas.openxmlformats.org/officeDocument/2006/relationships/hyperlink" Target="https://www.itu.int/en/ITU-T/Workshops-and-Seminars/2022/1103/Pages/default.aspx"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itu.int/en/ITU-D/Cybersecurity/Pages/CyberDrill-2022/ASEAN-ITU-2022-CyberDrill.aspx" TargetMode="External"/><Relationship Id="rId46" Type="http://schemas.openxmlformats.org/officeDocument/2006/relationships/hyperlink" Target="https://academy.itu.int/training-courses/full-catalogue/formacion-de-promotoras-y-promotores-tecnicos-en-comunidades-indigenas-en-telecomunicaciones-y-0" TargetMode="External"/><Relationship Id="rId67" Type="http://schemas.openxmlformats.org/officeDocument/2006/relationships/hyperlink" Target="https://www.itu.int/en/ITU-D/Emergency-Telecommunications/Pages/Disaster-Connectivity-Maps.aspx" TargetMode="External"/><Relationship Id="rId116" Type="http://schemas.openxmlformats.org/officeDocument/2006/relationships/hyperlink" Target="https://cep2030.org/files/cep-system-map-2022.pdf" TargetMode="External"/><Relationship Id="rId20" Type="http://schemas.openxmlformats.org/officeDocument/2006/relationships/hyperlink" Target="https://www.itu.int/en/ITU-D/Cybersecurity/Pages/CyberDrill-2022/CyberDrill-2022.aspx" TargetMode="External"/><Relationship Id="rId41" Type="http://schemas.openxmlformats.org/officeDocument/2006/relationships/hyperlink" Target="https://www.itu.int/en/ITU-D/Regional-Presence/Americas/Pages/EVENTS/2022/AA-2022.aspx" TargetMode="External"/><Relationship Id="rId62" Type="http://schemas.openxmlformats.org/officeDocument/2006/relationships/hyperlink" Target="https://startupcentraleurasia.com/en/" TargetMode="External"/><Relationship Id="rId83" Type="http://schemas.openxmlformats.org/officeDocument/2006/relationships/hyperlink" Target="https://www.itu.int/hub/2022/03/tech-transfer-digital-public-goods-climate-action-africa" TargetMode="External"/><Relationship Id="rId88" Type="http://schemas.openxmlformats.org/officeDocument/2006/relationships/hyperlink" Target="https://www.youtube.com/watch?v=6NYLHZqeEvo" TargetMode="External"/><Relationship Id="rId111" Type="http://schemas.openxmlformats.org/officeDocument/2006/relationships/hyperlink" Target="https://www.itu.int/md/D22-SG01-ADM-0003" TargetMode="External"/><Relationship Id="rId15" Type="http://schemas.openxmlformats.org/officeDocument/2006/relationships/hyperlink" Target="https://academy.itu.int/index.php/centres-excellence/coe-cycles/coe-cycle-2019-2022" TargetMode="External"/><Relationship Id="rId36" Type="http://schemas.openxmlformats.org/officeDocument/2006/relationships/hyperlink" Target="https://elibrary.iite.unesco.org/h5/index.html" TargetMode="External"/><Relationship Id="rId57" Type="http://schemas.openxmlformats.org/officeDocument/2006/relationships/hyperlink" Target="https://www.itu.int/en/ITU-D/Innovation/Pages/Events/2022/Innovations-to-Empower-Women-and-Girls.aspx" TargetMode="External"/><Relationship Id="rId106" Type="http://schemas.openxmlformats.org/officeDocument/2006/relationships/hyperlink" Target="https://datahub.itu.int/" TargetMode="External"/><Relationship Id="rId10" Type="http://schemas.openxmlformats.org/officeDocument/2006/relationships/endnotes" Target="endnotes.xml"/><Relationship Id="rId31" Type="http://schemas.openxmlformats.org/officeDocument/2006/relationships/hyperlink" Target="https://www.itu.int/en/ITU-D/Cybersecurity/Pages/Women-in-Cyber/Women-in-Cyber-Mentorship-Programme.aspx" TargetMode="External"/><Relationship Id="rId52" Type="http://schemas.openxmlformats.org/officeDocument/2006/relationships/hyperlink" Target="https://www.itu.int/en/ITU-D/Digital-Inclusion/Pages/resources-on-ICT-accessibility/default.aspx" TargetMode="External"/><Relationship Id="rId73" Type="http://schemas.openxmlformats.org/officeDocument/2006/relationships/hyperlink" Target="https://www.itu.int/en/ITU-D/Environment/Pages/Toolbox/REM-Arab-States-2021.aspx" TargetMode="External"/><Relationship Id="rId78" Type="http://schemas.openxmlformats.org/officeDocument/2006/relationships/hyperlink" Target="https://academy.itu.int/training-courses/full-catalogue/introduction-e-waste-policy-1" TargetMode="External"/><Relationship Id="rId94" Type="http://schemas.openxmlformats.org/officeDocument/2006/relationships/hyperlink" Target="https://gen5.digital/national-approaches/library-of-national-approaches-to-collaborative-governance/" TargetMode="External"/><Relationship Id="rId99" Type="http://schemas.openxmlformats.org/officeDocument/2006/relationships/hyperlink" Target="https://www.itu.int/pub/D-PREF-EF.GOV_PS-02-2022" TargetMode="External"/><Relationship Id="rId101" Type="http://schemas.openxmlformats.org/officeDocument/2006/relationships/hyperlink" Target="https://www.itu.int/gcr2022"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DBC41-098F-46EB-B24E-0469901512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DC7AAB-A9A0-4CAF-8751-91A337402DFC}">
  <ds:schemaRefs>
    <ds:schemaRef ds:uri="http://schemas.openxmlformats.org/officeDocument/2006/bibliography"/>
  </ds:schemaRefs>
</ds:datastoreItem>
</file>

<file path=customXml/itemProps3.xml><?xml version="1.0" encoding="utf-8"?>
<ds:datastoreItem xmlns:ds="http://schemas.openxmlformats.org/officeDocument/2006/customXml" ds:itemID="{6884915A-C889-4D8F-A399-3ECDADB5D767}">
  <ds:schemaRefs>
    <ds:schemaRef ds:uri="http://schemas.microsoft.com/sharepoint/v3/contenttype/forms"/>
  </ds:schemaRefs>
</ds:datastoreItem>
</file>

<file path=customXml/itemProps4.xml><?xml version="1.0" encoding="utf-8"?>
<ds:datastoreItem xmlns:ds="http://schemas.openxmlformats.org/officeDocument/2006/customXml" ds:itemID="{FE5E8287-9F7E-478B-B3CB-95AB4211B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17392</Words>
  <Characters>99141</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116301</CharactersWithSpaces>
  <SharedDoc>false</SharedDoc>
  <HLinks>
    <vt:vector size="648" baseType="variant">
      <vt:variant>
        <vt:i4>2162813</vt:i4>
      </vt:variant>
      <vt:variant>
        <vt:i4>318</vt:i4>
      </vt:variant>
      <vt:variant>
        <vt:i4>0</vt:i4>
      </vt:variant>
      <vt:variant>
        <vt:i4>5</vt:i4>
      </vt:variant>
      <vt:variant>
        <vt:lpwstr>https://uneuropecentralasia.org/en/un-digital-transformation-group-europe-and-central-asia</vt:lpwstr>
      </vt:variant>
      <vt:variant>
        <vt:lpwstr/>
      </vt:variant>
      <vt:variant>
        <vt:i4>5898311</vt:i4>
      </vt:variant>
      <vt:variant>
        <vt:i4>315</vt:i4>
      </vt:variant>
      <vt:variant>
        <vt:i4>0</vt:i4>
      </vt:variant>
      <vt:variant>
        <vt:i4>5</vt:i4>
      </vt:variant>
      <vt:variant>
        <vt:lpwstr>https://cep2030.org/files/cep-system-map-2022.pdf</vt:lpwstr>
      </vt:variant>
      <vt:variant>
        <vt:lpwstr/>
      </vt:variant>
      <vt:variant>
        <vt:i4>393307</vt:i4>
      </vt:variant>
      <vt:variant>
        <vt:i4>312</vt:i4>
      </vt:variant>
      <vt:variant>
        <vt:i4>0</vt:i4>
      </vt:variant>
      <vt:variant>
        <vt:i4>5</vt:i4>
      </vt:variant>
      <vt:variant>
        <vt:lpwstr>https://cep2030.org/</vt:lpwstr>
      </vt:variant>
      <vt:variant>
        <vt:lpwstr/>
      </vt:variant>
      <vt:variant>
        <vt:i4>3735602</vt:i4>
      </vt:variant>
      <vt:variant>
        <vt:i4>309</vt:i4>
      </vt:variant>
      <vt:variant>
        <vt:i4>0</vt:i4>
      </vt:variant>
      <vt:variant>
        <vt:i4>5</vt:i4>
      </vt:variant>
      <vt:variant>
        <vt:lpwstr>https://www.itu.int/en/ITU-D/Environment/Documents/Publications/2022/Final - Climate Change Adaptation CoP Report - Jan.24.docx.pdf</vt:lpwstr>
      </vt:variant>
      <vt:variant>
        <vt:lpwstr/>
      </vt:variant>
      <vt:variant>
        <vt:i4>2097258</vt:i4>
      </vt:variant>
      <vt:variant>
        <vt:i4>306</vt:i4>
      </vt:variant>
      <vt:variant>
        <vt:i4>0</vt:i4>
      </vt:variant>
      <vt:variant>
        <vt:i4>5</vt:i4>
      </vt:variant>
      <vt:variant>
        <vt:lpwstr>https://www.itu.int/md/D22-SG02-ADM-0003/en</vt:lpwstr>
      </vt:variant>
      <vt:variant>
        <vt:lpwstr/>
      </vt:variant>
      <vt:variant>
        <vt:i4>1966157</vt:i4>
      </vt:variant>
      <vt:variant>
        <vt:i4>303</vt:i4>
      </vt:variant>
      <vt:variant>
        <vt:i4>0</vt:i4>
      </vt:variant>
      <vt:variant>
        <vt:i4>5</vt:i4>
      </vt:variant>
      <vt:variant>
        <vt:lpwstr>https://www.itu.int/net4/ITU-D/CDS/sg/blkmeetings.asp?lg=1&amp;sp=2018&amp;blk=20348</vt:lpwstr>
      </vt:variant>
      <vt:variant>
        <vt:lpwstr/>
      </vt:variant>
      <vt:variant>
        <vt:i4>4522054</vt:i4>
      </vt:variant>
      <vt:variant>
        <vt:i4>300</vt:i4>
      </vt:variant>
      <vt:variant>
        <vt:i4>0</vt:i4>
      </vt:variant>
      <vt:variant>
        <vt:i4>5</vt:i4>
      </vt:variant>
      <vt:variant>
        <vt:lpwstr>https://www.itu.int/md/D22-SG01-ADM-0003</vt:lpwstr>
      </vt:variant>
      <vt:variant>
        <vt:lpwstr/>
      </vt:variant>
      <vt:variant>
        <vt:i4>6029415</vt:i4>
      </vt:variant>
      <vt:variant>
        <vt:i4>297</vt:i4>
      </vt:variant>
      <vt:variant>
        <vt:i4>0</vt:i4>
      </vt:variant>
      <vt:variant>
        <vt:i4>5</vt:i4>
      </vt:variant>
      <vt:variant>
        <vt:lpwstr>https://www.itu.int/dms_ties/itu-s/md/22/pp/c/S22-PP-C-0202!!PDF-E.pdf</vt:lpwstr>
      </vt:variant>
      <vt:variant>
        <vt:lpwstr/>
      </vt:variant>
      <vt:variant>
        <vt:i4>262250</vt:i4>
      </vt:variant>
      <vt:variant>
        <vt:i4>294</vt:i4>
      </vt:variant>
      <vt:variant>
        <vt:i4>0</vt:i4>
      </vt:variant>
      <vt:variant>
        <vt:i4>5</vt:i4>
      </vt:variant>
      <vt:variant>
        <vt:lpwstr>https://www.itu.int/dms_pub/itu-d/opb/tdc/D-TDC-WTDC-2022-PDF-E.pdf</vt:lpwstr>
      </vt:variant>
      <vt:variant>
        <vt:lpwstr/>
      </vt:variant>
      <vt:variant>
        <vt:i4>3539047</vt:i4>
      </vt:variant>
      <vt:variant>
        <vt:i4>291</vt:i4>
      </vt:variant>
      <vt:variant>
        <vt:i4>0</vt:i4>
      </vt:variant>
      <vt:variant>
        <vt:i4>5</vt:i4>
      </vt:variant>
      <vt:variant>
        <vt:lpwstr>https://www.itu.int/en/ITU-D/Statistics/Pages/bigdata/default.aspx</vt:lpwstr>
      </vt:variant>
      <vt:variant>
        <vt:lpwstr/>
      </vt:variant>
      <vt:variant>
        <vt:i4>3997744</vt:i4>
      </vt:variant>
      <vt:variant>
        <vt:i4>288</vt:i4>
      </vt:variant>
      <vt:variant>
        <vt:i4>0</vt:i4>
      </vt:variant>
      <vt:variant>
        <vt:i4>5</vt:i4>
      </vt:variant>
      <vt:variant>
        <vt:lpwstr>https://unstats.un.org/wiki/display/MPDMIS</vt:lpwstr>
      </vt:variant>
      <vt:variant>
        <vt:lpwstr/>
      </vt:variant>
      <vt:variant>
        <vt:i4>5308507</vt:i4>
      </vt:variant>
      <vt:variant>
        <vt:i4>285</vt:i4>
      </vt:variant>
      <vt:variant>
        <vt:i4>0</vt:i4>
      </vt:variant>
      <vt:variant>
        <vt:i4>5</vt:i4>
      </vt:variant>
      <vt:variant>
        <vt:lpwstr>https://datahub.itu.int/</vt:lpwstr>
      </vt:variant>
      <vt:variant>
        <vt:lpwstr/>
      </vt:variant>
      <vt:variant>
        <vt:i4>2687087</vt:i4>
      </vt:variant>
      <vt:variant>
        <vt:i4>282</vt:i4>
      </vt:variant>
      <vt:variant>
        <vt:i4>0</vt:i4>
      </vt:variant>
      <vt:variant>
        <vt:i4>5</vt:i4>
      </vt:variant>
      <vt:variant>
        <vt:lpwstr>https://www.itu.int/itu-d/meetings/statistics/umc2030/</vt:lpwstr>
      </vt:variant>
      <vt:variant>
        <vt:lpwstr/>
      </vt:variant>
      <vt:variant>
        <vt:i4>2031693</vt:i4>
      </vt:variant>
      <vt:variant>
        <vt:i4>279</vt:i4>
      </vt:variant>
      <vt:variant>
        <vt:i4>0</vt:i4>
      </vt:variant>
      <vt:variant>
        <vt:i4>5</vt:i4>
      </vt:variant>
      <vt:variant>
        <vt:lpwstr>https://www.itu.int/en/ITU-D/Statistics/Dashboards/Pages/IPB.aspx</vt:lpwstr>
      </vt:variant>
      <vt:variant>
        <vt:lpwstr/>
      </vt:variant>
      <vt:variant>
        <vt:i4>5242909</vt:i4>
      </vt:variant>
      <vt:variant>
        <vt:i4>276</vt:i4>
      </vt:variant>
      <vt:variant>
        <vt:i4>0</vt:i4>
      </vt:variant>
      <vt:variant>
        <vt:i4>5</vt:i4>
      </vt:variant>
      <vt:variant>
        <vt:lpwstr>https://www.itu.int/en/ITU-D/Statistics/Pages/ICTprices/default.aspx</vt:lpwstr>
      </vt:variant>
      <vt:variant>
        <vt:lpwstr/>
      </vt:variant>
      <vt:variant>
        <vt:i4>5898260</vt:i4>
      </vt:variant>
      <vt:variant>
        <vt:i4>273</vt:i4>
      </vt:variant>
      <vt:variant>
        <vt:i4>0</vt:i4>
      </vt:variant>
      <vt:variant>
        <vt:i4>5</vt:i4>
      </vt:variant>
      <vt:variant>
        <vt:lpwstr>https://www.itu.int/en/ITU-D/Statistics/Pages/facts/default.aspx</vt:lpwstr>
      </vt:variant>
      <vt:variant>
        <vt:lpwstr/>
      </vt:variant>
      <vt:variant>
        <vt:i4>3145828</vt:i4>
      </vt:variant>
      <vt:variant>
        <vt:i4>270</vt:i4>
      </vt:variant>
      <vt:variant>
        <vt:i4>0</vt:i4>
      </vt:variant>
      <vt:variant>
        <vt:i4>5</vt:i4>
      </vt:variant>
      <vt:variant>
        <vt:lpwstr>https://www.itu.int/gcr2022</vt:lpwstr>
      </vt:variant>
      <vt:variant>
        <vt:lpwstr/>
      </vt:variant>
      <vt:variant>
        <vt:i4>3407922</vt:i4>
      </vt:variant>
      <vt:variant>
        <vt:i4>267</vt:i4>
      </vt:variant>
      <vt:variant>
        <vt:i4>0</vt:i4>
      </vt:variant>
      <vt:variant>
        <vt:i4>5</vt:i4>
      </vt:variant>
      <vt:variant>
        <vt:lpwstr>https://www.itu.int/en/ITU-D/Regulatory-Market/Pages/Events2022/EconomicRoundTable2022.aspx</vt:lpwstr>
      </vt:variant>
      <vt:variant>
        <vt:lpwstr/>
      </vt:variant>
      <vt:variant>
        <vt:i4>2555927</vt:i4>
      </vt:variant>
      <vt:variant>
        <vt:i4>264</vt:i4>
      </vt:variant>
      <vt:variant>
        <vt:i4>0</vt:i4>
      </vt:variant>
      <vt:variant>
        <vt:i4>5</vt:i4>
      </vt:variant>
      <vt:variant>
        <vt:lpwstr>https://www.itu.int/pub/D-PREF-EF.GOV_PS-02-2022</vt:lpwstr>
      </vt:variant>
      <vt:variant>
        <vt:lpwstr/>
      </vt:variant>
      <vt:variant>
        <vt:i4>6094922</vt:i4>
      </vt:variant>
      <vt:variant>
        <vt:i4>261</vt:i4>
      </vt:variant>
      <vt:variant>
        <vt:i4>0</vt:i4>
      </vt:variant>
      <vt:variant>
        <vt:i4>5</vt:i4>
      </vt:variant>
      <vt:variant>
        <vt:lpwstr>https://www.itu.int/en/ITU-T/Workshops-and-Seminars/2022/1103/Pages/default.aspx</vt:lpwstr>
      </vt:variant>
      <vt:variant>
        <vt:lpwstr/>
      </vt:variant>
      <vt:variant>
        <vt:i4>196687</vt:i4>
      </vt:variant>
      <vt:variant>
        <vt:i4>258</vt:i4>
      </vt:variant>
      <vt:variant>
        <vt:i4>0</vt:i4>
      </vt:variant>
      <vt:variant>
        <vt:i4>5</vt:i4>
      </vt:variant>
      <vt:variant>
        <vt:lpwstr>https://www.itu.int/en/ITU-D/Regional-Presence/Americas/Pages/EVENTS/2022/IPEC-2022.aspx</vt:lpwstr>
      </vt:variant>
      <vt:variant>
        <vt:lpwstr/>
      </vt:variant>
      <vt:variant>
        <vt:i4>1507363</vt:i4>
      </vt:variant>
      <vt:variant>
        <vt:i4>255</vt:i4>
      </vt:variant>
      <vt:variant>
        <vt:i4>0</vt:i4>
      </vt:variant>
      <vt:variant>
        <vt:i4>5</vt:i4>
      </vt:variant>
      <vt:variant>
        <vt:lpwstr>https://digitalregulation.org/wp-content/uploads/22-00076_R2_Collaborative-regulation-for-digital-transformation-in-Mexico_BAT.pdf</vt:lpwstr>
      </vt:variant>
      <vt:variant>
        <vt:lpwstr/>
      </vt:variant>
      <vt:variant>
        <vt:i4>524402</vt:i4>
      </vt:variant>
      <vt:variant>
        <vt:i4>252</vt:i4>
      </vt:variant>
      <vt:variant>
        <vt:i4>0</vt:i4>
      </vt:variant>
      <vt:variant>
        <vt:i4>5</vt:i4>
      </vt:variant>
      <vt:variant>
        <vt:lpwstr>https://digitalregulation.org/wp-content/uploads/21-00770_R3_Saudi-Arabia-digital-transformation_E.pdf</vt:lpwstr>
      </vt:variant>
      <vt:variant>
        <vt:lpwstr/>
      </vt:variant>
      <vt:variant>
        <vt:i4>6094877</vt:i4>
      </vt:variant>
      <vt:variant>
        <vt:i4>249</vt:i4>
      </vt:variant>
      <vt:variant>
        <vt:i4>0</vt:i4>
      </vt:variant>
      <vt:variant>
        <vt:i4>5</vt:i4>
      </vt:variant>
      <vt:variant>
        <vt:lpwstr>https://gen5.digital/national-approaches/library-of-national-approaches-to-collaborative-governance/</vt:lpwstr>
      </vt:variant>
      <vt:variant>
        <vt:lpwstr/>
      </vt:variant>
      <vt:variant>
        <vt:i4>720919</vt:i4>
      </vt:variant>
      <vt:variant>
        <vt:i4>246</vt:i4>
      </vt:variant>
      <vt:variant>
        <vt:i4>0</vt:i4>
      </vt:variant>
      <vt:variant>
        <vt:i4>5</vt:i4>
      </vt:variant>
      <vt:variant>
        <vt:lpwstr>https://app.gen5.digital/tracker/metrics</vt:lpwstr>
      </vt:variant>
      <vt:variant>
        <vt:lpwstr/>
      </vt:variant>
      <vt:variant>
        <vt:i4>6881402</vt:i4>
      </vt:variant>
      <vt:variant>
        <vt:i4>243</vt:i4>
      </vt:variant>
      <vt:variant>
        <vt:i4>0</vt:i4>
      </vt:variant>
      <vt:variant>
        <vt:i4>5</vt:i4>
      </vt:variant>
      <vt:variant>
        <vt:lpwstr>https://app.gen5.digital/benchmark/metrics</vt:lpwstr>
      </vt:variant>
      <vt:variant>
        <vt:lpwstr/>
      </vt:variant>
      <vt:variant>
        <vt:i4>720919</vt:i4>
      </vt:variant>
      <vt:variant>
        <vt:i4>240</vt:i4>
      </vt:variant>
      <vt:variant>
        <vt:i4>0</vt:i4>
      </vt:variant>
      <vt:variant>
        <vt:i4>5</vt:i4>
      </vt:variant>
      <vt:variant>
        <vt:lpwstr>https://app.gen5.digital/tracker/metrics</vt:lpwstr>
      </vt:variant>
      <vt:variant>
        <vt:lpwstr/>
      </vt:variant>
      <vt:variant>
        <vt:i4>5898246</vt:i4>
      </vt:variant>
      <vt:variant>
        <vt:i4>237</vt:i4>
      </vt:variant>
      <vt:variant>
        <vt:i4>0</vt:i4>
      </vt:variant>
      <vt:variant>
        <vt:i4>5</vt:i4>
      </vt:variant>
      <vt:variant>
        <vt:lpwstr>https://gen5.digital/</vt:lpwstr>
      </vt:variant>
      <vt:variant>
        <vt:lpwstr/>
      </vt:variant>
      <vt:variant>
        <vt:i4>2687034</vt:i4>
      </vt:variant>
      <vt:variant>
        <vt:i4>234</vt:i4>
      </vt:variant>
      <vt:variant>
        <vt:i4>0</vt:i4>
      </vt:variant>
      <vt:variant>
        <vt:i4>5</vt:i4>
      </vt:variant>
      <vt:variant>
        <vt:lpwstr>https://eur03.safelinks.protection.outlook.com/?url=https%3A%2F%2Fdigitalregulation.org%2F&amp;data=05%7C01%7CYoulia.Lozanova%40itu.int%7Ccd88bb4f818c4484ce6708db47b902e2%7C23e464d704e64b87913c24bd89219fd3%7C0%7C0%7C638182633186791550%7CUnknown%7CTWFpbGZsb3d8eyJWIjoiMC4wLjAwMDAiLCJQIjoiV2luMzIiLCJBTiI6Ik1haWwiLCJXVCI6Mn0%3D%7C3000%7C%7C%7C&amp;sdata=snJfXCESijGeQAoDN6%2BAD48EA%2B%2BGDw2zekHJ5PS%2BmJo%3D&amp;reserved=0</vt:lpwstr>
      </vt:variant>
      <vt:variant>
        <vt:lpwstr/>
      </vt:variant>
      <vt:variant>
        <vt:i4>3407996</vt:i4>
      </vt:variant>
      <vt:variant>
        <vt:i4>231</vt:i4>
      </vt:variant>
      <vt:variant>
        <vt:i4>0</vt:i4>
      </vt:variant>
      <vt:variant>
        <vt:i4>5</vt:i4>
      </vt:variant>
      <vt:variant>
        <vt:lpwstr>https://www.youtube.com/watch?v=6NYLHZqeEvo</vt:lpwstr>
      </vt:variant>
      <vt:variant>
        <vt:lpwstr/>
      </vt:variant>
      <vt:variant>
        <vt:i4>4456528</vt:i4>
      </vt:variant>
      <vt:variant>
        <vt:i4>228</vt:i4>
      </vt:variant>
      <vt:variant>
        <vt:i4>0</vt:i4>
      </vt:variant>
      <vt:variant>
        <vt:i4>5</vt:i4>
      </vt:variant>
      <vt:variant>
        <vt:lpwstr>https://academy.itu.int/training-courses/full-catalogue/last-mile-internet-connectivity-0</vt:lpwstr>
      </vt:variant>
      <vt:variant>
        <vt:lpwstr/>
      </vt:variant>
      <vt:variant>
        <vt:i4>2424939</vt:i4>
      </vt:variant>
      <vt:variant>
        <vt:i4>225</vt:i4>
      </vt:variant>
      <vt:variant>
        <vt:i4>0</vt:i4>
      </vt:variant>
      <vt:variant>
        <vt:i4>5</vt:i4>
      </vt:variant>
      <vt:variant>
        <vt:lpwstr>https://www.itu.int/en/ITU-D/Regional-Presence/AsiaPacific/Pages/Events/2022/LMCASP22/main.aspx</vt:lpwstr>
      </vt:variant>
      <vt:variant>
        <vt:lpwstr/>
      </vt:variant>
      <vt:variant>
        <vt:i4>2687024</vt:i4>
      </vt:variant>
      <vt:variant>
        <vt:i4>222</vt:i4>
      </vt:variant>
      <vt:variant>
        <vt:i4>0</vt:i4>
      </vt:variant>
      <vt:variant>
        <vt:i4>5</vt:i4>
      </vt:variant>
      <vt:variant>
        <vt:lpwstr>https://www.itu.int/en/myitu/News/2020/10/06/07/37/Mapping-financial-inclusion-Mexico-FIGI</vt:lpwstr>
      </vt:variant>
      <vt:variant>
        <vt:lpwstr/>
      </vt:variant>
      <vt:variant>
        <vt:i4>7340139</vt:i4>
      </vt:variant>
      <vt:variant>
        <vt:i4>219</vt:i4>
      </vt:variant>
      <vt:variant>
        <vt:i4>0</vt:i4>
      </vt:variant>
      <vt:variant>
        <vt:i4>5</vt:i4>
      </vt:variant>
      <vt:variant>
        <vt:lpwstr>https://www.itu.int/en/ITU-D/Technology/Pages/InteractiveTransmissionMaps.aspx</vt:lpwstr>
      </vt:variant>
      <vt:variant>
        <vt:lpwstr/>
      </vt:variant>
      <vt:variant>
        <vt:i4>5046338</vt:i4>
      </vt:variant>
      <vt:variant>
        <vt:i4>216</vt:i4>
      </vt:variant>
      <vt:variant>
        <vt:i4>0</vt:i4>
      </vt:variant>
      <vt:variant>
        <vt:i4>5</vt:i4>
      </vt:variant>
      <vt:variant>
        <vt:lpwstr>https://www.itu.int/hub/2022/03/tech-transfer-digital-public-goods-climate-action-africa</vt:lpwstr>
      </vt:variant>
      <vt:variant>
        <vt:lpwstr/>
      </vt:variant>
      <vt:variant>
        <vt:i4>7471136</vt:i4>
      </vt:variant>
      <vt:variant>
        <vt:i4>213</vt:i4>
      </vt:variant>
      <vt:variant>
        <vt:i4>0</vt:i4>
      </vt:variant>
      <vt:variant>
        <vt:i4>5</vt:i4>
      </vt:variant>
      <vt:variant>
        <vt:lpwstr>https://www.itu.int/hub/2022/06/tech-companies-take-steps-towards-net-zero/</vt:lpwstr>
      </vt:variant>
      <vt:variant>
        <vt:lpwstr/>
      </vt:variant>
      <vt:variant>
        <vt:i4>3407920</vt:i4>
      </vt:variant>
      <vt:variant>
        <vt:i4>210</vt:i4>
      </vt:variant>
      <vt:variant>
        <vt:i4>0</vt:i4>
      </vt:variant>
      <vt:variant>
        <vt:i4>5</vt:i4>
      </vt:variant>
      <vt:variant>
        <vt:lpwstr>https://www.itu.int/en/ITU-D/Environment/Pages/Events/2022/Greening-Digital-Companies.aspx</vt:lpwstr>
      </vt:variant>
      <vt:variant>
        <vt:lpwstr/>
      </vt:variant>
      <vt:variant>
        <vt:i4>7077943</vt:i4>
      </vt:variant>
      <vt:variant>
        <vt:i4>207</vt:i4>
      </vt:variant>
      <vt:variant>
        <vt:i4>0</vt:i4>
      </vt:variant>
      <vt:variant>
        <vt:i4>5</vt:i4>
      </vt:variant>
      <vt:variant>
        <vt:lpwstr>https://www.itu.int/en/ITU-D/Environment/Pages/Toolbox/Greening-Digital-Companies.aspx</vt:lpwstr>
      </vt:variant>
      <vt:variant>
        <vt:lpwstr/>
      </vt:variant>
      <vt:variant>
        <vt:i4>3407995</vt:i4>
      </vt:variant>
      <vt:variant>
        <vt:i4>204</vt:i4>
      </vt:variant>
      <vt:variant>
        <vt:i4>0</vt:i4>
      </vt:variant>
      <vt:variant>
        <vt:i4>5</vt:i4>
      </vt:variant>
      <vt:variant>
        <vt:lpwstr>https://www.itu.int/en/mediacentre/Pages/PR-2022-06-22-Green-tech-firms-for-sustainable-future.aspx</vt:lpwstr>
      </vt:variant>
      <vt:variant>
        <vt:lpwstr/>
      </vt:variant>
      <vt:variant>
        <vt:i4>1376265</vt:i4>
      </vt:variant>
      <vt:variant>
        <vt:i4>201</vt:i4>
      </vt:variant>
      <vt:variant>
        <vt:i4>0</vt:i4>
      </vt:variant>
      <vt:variant>
        <vt:i4>5</vt:i4>
      </vt:variant>
      <vt:variant>
        <vt:lpwstr>https://academy.itu.int/training-courses/full-catalogue/introduction-e-waste-policy-1</vt:lpwstr>
      </vt:variant>
      <vt:variant>
        <vt:lpwstr/>
      </vt:variant>
      <vt:variant>
        <vt:i4>1704021</vt:i4>
      </vt:variant>
      <vt:variant>
        <vt:i4>198</vt:i4>
      </vt:variant>
      <vt:variant>
        <vt:i4>0</vt:i4>
      </vt:variant>
      <vt:variant>
        <vt:i4>5</vt:i4>
      </vt:variant>
      <vt:variant>
        <vt:lpwstr>https://www.itu.int/en/ITU-D/Environment/Pages/Spotlight/E-waste-data-in-Namibia.aspx</vt:lpwstr>
      </vt:variant>
      <vt:variant>
        <vt:lpwstr/>
      </vt:variant>
      <vt:variant>
        <vt:i4>3604594</vt:i4>
      </vt:variant>
      <vt:variant>
        <vt:i4>195</vt:i4>
      </vt:variant>
      <vt:variant>
        <vt:i4>0</vt:i4>
      </vt:variant>
      <vt:variant>
        <vt:i4>5</vt:i4>
      </vt:variant>
      <vt:variant>
        <vt:lpwstr>https://www.itu.int/en/ITU-D/Environment/Pages/Spotlight/Improving-Data-Collection-in-Botswana.aspx</vt:lpwstr>
      </vt:variant>
      <vt:variant>
        <vt:lpwstr/>
      </vt:variant>
      <vt:variant>
        <vt:i4>5767185</vt:i4>
      </vt:variant>
      <vt:variant>
        <vt:i4>192</vt:i4>
      </vt:variant>
      <vt:variant>
        <vt:i4>0</vt:i4>
      </vt:variant>
      <vt:variant>
        <vt:i4>5</vt:i4>
      </vt:variant>
      <vt:variant>
        <vt:lpwstr>https://www.itu.int/en/ITU-D/Environment/Pages/Spotlight/E-waste-data-in-Malawi.aspx</vt:lpwstr>
      </vt:variant>
      <vt:variant>
        <vt:lpwstr/>
      </vt:variant>
      <vt:variant>
        <vt:i4>2359393</vt:i4>
      </vt:variant>
      <vt:variant>
        <vt:i4>189</vt:i4>
      </vt:variant>
      <vt:variant>
        <vt:i4>0</vt:i4>
      </vt:variant>
      <vt:variant>
        <vt:i4>5</vt:i4>
      </vt:variant>
      <vt:variant>
        <vt:lpwstr>https://www.itu.int/en/ITU-D/Environment/Documents/Publications/2021/English_REM_2021_CIS+GEORGIA_WEB_final_nov_24_pages.pdf</vt:lpwstr>
      </vt:variant>
      <vt:variant>
        <vt:lpwstr/>
      </vt:variant>
      <vt:variant>
        <vt:i4>5898307</vt:i4>
      </vt:variant>
      <vt:variant>
        <vt:i4>186</vt:i4>
      </vt:variant>
      <vt:variant>
        <vt:i4>0</vt:i4>
      </vt:variant>
      <vt:variant>
        <vt:i4>5</vt:i4>
      </vt:variant>
      <vt:variant>
        <vt:lpwstr>https://www.itu.int/en/ITU-D/Environment/Pages/Toolbox/REM-Arab-States-2021.aspx</vt:lpwstr>
      </vt:variant>
      <vt:variant>
        <vt:lpwstr/>
      </vt:variant>
      <vt:variant>
        <vt:i4>5898321</vt:i4>
      </vt:variant>
      <vt:variant>
        <vt:i4>183</vt:i4>
      </vt:variant>
      <vt:variant>
        <vt:i4>0</vt:i4>
      </vt:variant>
      <vt:variant>
        <vt:i4>5</vt:i4>
      </vt:variant>
      <vt:variant>
        <vt:lpwstr>https://www.itu.int/en/ITU-D/Environment/Documents/Publications/2022/REM_LATAM_2022_ENG_Final.pdf</vt:lpwstr>
      </vt:variant>
      <vt:variant>
        <vt:lpwstr/>
      </vt:variant>
      <vt:variant>
        <vt:i4>458827</vt:i4>
      </vt:variant>
      <vt:variant>
        <vt:i4>180</vt:i4>
      </vt:variant>
      <vt:variant>
        <vt:i4>0</vt:i4>
      </vt:variant>
      <vt:variant>
        <vt:i4>5</vt:i4>
      </vt:variant>
      <vt:variant>
        <vt:lpwstr>https://globalewaste.org/map/</vt:lpwstr>
      </vt:variant>
      <vt:variant>
        <vt:lpwstr/>
      </vt:variant>
      <vt:variant>
        <vt:i4>1703941</vt:i4>
      </vt:variant>
      <vt:variant>
        <vt:i4>177</vt:i4>
      </vt:variant>
      <vt:variant>
        <vt:i4>0</vt:i4>
      </vt:variant>
      <vt:variant>
        <vt:i4>5</vt:i4>
      </vt:variant>
      <vt:variant>
        <vt:lpwstr>https://globalewaste.org/</vt:lpwstr>
      </vt:variant>
      <vt:variant>
        <vt:lpwstr/>
      </vt:variant>
      <vt:variant>
        <vt:i4>8060978</vt:i4>
      </vt:variant>
      <vt:variant>
        <vt:i4>174</vt:i4>
      </vt:variant>
      <vt:variant>
        <vt:i4>0</vt:i4>
      </vt:variant>
      <vt:variant>
        <vt:i4>5</vt:i4>
      </vt:variant>
      <vt:variant>
        <vt:lpwstr>https://www.itu.int/en/ITU-D/Environment/Pages/Spotlight/E-waste-EACO.aspx</vt:lpwstr>
      </vt:variant>
      <vt:variant>
        <vt:lpwstr/>
      </vt:variant>
      <vt:variant>
        <vt:i4>2687008</vt:i4>
      </vt:variant>
      <vt:variant>
        <vt:i4>171</vt:i4>
      </vt:variant>
      <vt:variant>
        <vt:i4>0</vt:i4>
      </vt:variant>
      <vt:variant>
        <vt:i4>5</vt:i4>
      </vt:variant>
      <vt:variant>
        <vt:lpwstr>https://www.itu.int/en/ITU-D/Climate-Change/Pages/ewaste/globalewastestatisticspartnership.aspx</vt:lpwstr>
      </vt:variant>
      <vt:variant>
        <vt:lpwstr/>
      </vt:variant>
      <vt:variant>
        <vt:i4>6488125</vt:i4>
      </vt:variant>
      <vt:variant>
        <vt:i4>168</vt:i4>
      </vt:variant>
      <vt:variant>
        <vt:i4>0</vt:i4>
      </vt:variant>
      <vt:variant>
        <vt:i4>5</vt:i4>
      </vt:variant>
      <vt:variant>
        <vt:lpwstr>https://www.itu.int/en/ITU-D/Emergency-Telecommunications/Pages/Disaster-Connectivity-Maps.aspx</vt:lpwstr>
      </vt:variant>
      <vt:variant>
        <vt:lpwstr/>
      </vt:variant>
      <vt:variant>
        <vt:i4>6815794</vt:i4>
      </vt:variant>
      <vt:variant>
        <vt:i4>165</vt:i4>
      </vt:variant>
      <vt:variant>
        <vt:i4>0</vt:i4>
      </vt:variant>
      <vt:variant>
        <vt:i4>5</vt:i4>
      </vt:variant>
      <vt:variant>
        <vt:lpwstr>https://www.itu.int/en/ITU-D/Emergency-Telecommunications/Pages/TampereConvention.aspx</vt:lpwstr>
      </vt:variant>
      <vt:variant>
        <vt:lpwstr/>
      </vt:variant>
      <vt:variant>
        <vt:i4>5570645</vt:i4>
      </vt:variant>
      <vt:variant>
        <vt:i4>162</vt:i4>
      </vt:variant>
      <vt:variant>
        <vt:i4>0</vt:i4>
      </vt:variant>
      <vt:variant>
        <vt:i4>5</vt:i4>
      </vt:variant>
      <vt:variant>
        <vt:lpwstr>https://www.itu.int/en/ITU-D/Emergency-Telecommunications/Pages/Simulation-Exercises.aspx</vt:lpwstr>
      </vt:variant>
      <vt:variant>
        <vt:lpwstr/>
      </vt:variant>
      <vt:variant>
        <vt:i4>7798900</vt:i4>
      </vt:variant>
      <vt:variant>
        <vt:i4>159</vt:i4>
      </vt:variant>
      <vt:variant>
        <vt:i4>0</vt:i4>
      </vt:variant>
      <vt:variant>
        <vt:i4>5</vt:i4>
      </vt:variant>
      <vt:variant>
        <vt:lpwstr>https://www.itu.int/en/ITU-D/Emergency-Telecommunications/Pages/Publications/Guidelines-for-NETPs.aspx</vt:lpwstr>
      </vt:variant>
      <vt:variant>
        <vt:lpwstr/>
      </vt:variant>
      <vt:variant>
        <vt:i4>7340139</vt:i4>
      </vt:variant>
      <vt:variant>
        <vt:i4>156</vt:i4>
      </vt:variant>
      <vt:variant>
        <vt:i4>0</vt:i4>
      </vt:variant>
      <vt:variant>
        <vt:i4>5</vt:i4>
      </vt:variant>
      <vt:variant>
        <vt:lpwstr>https://www.itu.int/en/ITU-D/Emergency-Telecommunications/Pages/ITU-Online-Modules-on-Emergency-Telecommunications.aspx</vt:lpwstr>
      </vt:variant>
      <vt:variant>
        <vt:lpwstr/>
      </vt:variant>
      <vt:variant>
        <vt:i4>786504</vt:i4>
      </vt:variant>
      <vt:variant>
        <vt:i4>153</vt:i4>
      </vt:variant>
      <vt:variant>
        <vt:i4>0</vt:i4>
      </vt:variant>
      <vt:variant>
        <vt:i4>5</vt:i4>
      </vt:variant>
      <vt:variant>
        <vt:lpwstr>https://startupcentraleurasia.com/en/</vt:lpwstr>
      </vt:variant>
      <vt:variant>
        <vt:lpwstr/>
      </vt:variant>
      <vt:variant>
        <vt:i4>1441805</vt:i4>
      </vt:variant>
      <vt:variant>
        <vt:i4>150</vt:i4>
      </vt:variant>
      <vt:variant>
        <vt:i4>0</vt:i4>
      </vt:variant>
      <vt:variant>
        <vt:i4>5</vt:i4>
      </vt:variant>
      <vt:variant>
        <vt:lpwstr>https://www.who.int/initiatives/tobacco-cessation-consortium/tobacco-cessation-mobile-app-assessment</vt:lpwstr>
      </vt:variant>
      <vt:variant>
        <vt:lpwstr/>
      </vt:variant>
      <vt:variant>
        <vt:i4>1572874</vt:i4>
      </vt:variant>
      <vt:variant>
        <vt:i4>147</vt:i4>
      </vt:variant>
      <vt:variant>
        <vt:i4>0</vt:i4>
      </vt:variant>
      <vt:variant>
        <vt:i4>5</vt:i4>
      </vt:variant>
      <vt:variant>
        <vt:lpwstr>https://www.govstack.global/</vt:lpwstr>
      </vt:variant>
      <vt:variant>
        <vt:lpwstr/>
      </vt:variant>
      <vt:variant>
        <vt:i4>4587531</vt:i4>
      </vt:variant>
      <vt:variant>
        <vt:i4>144</vt:i4>
      </vt:variant>
      <vt:variant>
        <vt:i4>0</vt:i4>
      </vt:variant>
      <vt:variant>
        <vt:i4>5</vt:i4>
      </vt:variant>
      <vt:variant>
        <vt:lpwstr>https://www.itu.int/en/ITU-D/Innovation/Pages/Missing-link-for-Youth-Innovation-Capacity.aspx</vt:lpwstr>
      </vt:variant>
      <vt:variant>
        <vt:lpwstr/>
      </vt:variant>
      <vt:variant>
        <vt:i4>7274529</vt:i4>
      </vt:variant>
      <vt:variant>
        <vt:i4>141</vt:i4>
      </vt:variant>
      <vt:variant>
        <vt:i4>0</vt:i4>
      </vt:variant>
      <vt:variant>
        <vt:i4>5</vt:i4>
      </vt:variant>
      <vt:variant>
        <vt:lpwstr>https://marykayglobal.com/</vt:lpwstr>
      </vt:variant>
      <vt:variant>
        <vt:lpwstr/>
      </vt:variant>
      <vt:variant>
        <vt:i4>2818163</vt:i4>
      </vt:variant>
      <vt:variant>
        <vt:i4>138</vt:i4>
      </vt:variant>
      <vt:variant>
        <vt:i4>0</vt:i4>
      </vt:variant>
      <vt:variant>
        <vt:i4>5</vt:i4>
      </vt:variant>
      <vt:variant>
        <vt:lpwstr>https://www.we-accelerate.com/</vt:lpwstr>
      </vt:variant>
      <vt:variant>
        <vt:lpwstr/>
      </vt:variant>
      <vt:variant>
        <vt:i4>6029329</vt:i4>
      </vt:variant>
      <vt:variant>
        <vt:i4>135</vt:i4>
      </vt:variant>
      <vt:variant>
        <vt:i4>0</vt:i4>
      </vt:variant>
      <vt:variant>
        <vt:i4>5</vt:i4>
      </vt:variant>
      <vt:variant>
        <vt:lpwstr>https://www.itu.int/en/ITU-D/Innovation/Pages/Events/2022/Innovations-to-Empower-Women-and-Girls.aspx</vt:lpwstr>
      </vt:variant>
      <vt:variant>
        <vt:lpwstr/>
      </vt:variant>
      <vt:variant>
        <vt:i4>3342373</vt:i4>
      </vt:variant>
      <vt:variant>
        <vt:i4>132</vt:i4>
      </vt:variant>
      <vt:variant>
        <vt:i4>0</vt:i4>
      </vt:variant>
      <vt:variant>
        <vt:i4>5</vt:i4>
      </vt:variant>
      <vt:variant>
        <vt:lpwstr>https://news.itu.int/itu-innovations-challenges-a-life-changing-experience/</vt:lpwstr>
      </vt:variant>
      <vt:variant>
        <vt:lpwstr/>
      </vt:variant>
      <vt:variant>
        <vt:i4>5570625</vt:i4>
      </vt:variant>
      <vt:variant>
        <vt:i4>129</vt:i4>
      </vt:variant>
      <vt:variant>
        <vt:i4>0</vt:i4>
      </vt:variant>
      <vt:variant>
        <vt:i4>5</vt:i4>
      </vt:variant>
      <vt:variant>
        <vt:lpwstr>https://www.itu.int/en/ITU-D/Innovation/Pages/ITU-Innovation-Challenges.aspx</vt:lpwstr>
      </vt:variant>
      <vt:variant>
        <vt:lpwstr/>
      </vt:variant>
      <vt:variant>
        <vt:i4>4980823</vt:i4>
      </vt:variant>
      <vt:variant>
        <vt:i4>126</vt:i4>
      </vt:variant>
      <vt:variant>
        <vt:i4>0</vt:i4>
      </vt:variant>
      <vt:variant>
        <vt:i4>5</vt:i4>
      </vt:variant>
      <vt:variant>
        <vt:lpwstr>https://www.edf-feph.org/content/uploads/2022/02/European-Disability-Summit-2022-Outcome-Document-EN.pdf</vt:lpwstr>
      </vt:variant>
      <vt:variant>
        <vt:lpwstr/>
      </vt:variant>
      <vt:variant>
        <vt:i4>7667828</vt:i4>
      </vt:variant>
      <vt:variant>
        <vt:i4>123</vt:i4>
      </vt:variant>
      <vt:variant>
        <vt:i4>0</vt:i4>
      </vt:variant>
      <vt:variant>
        <vt:i4>5</vt:i4>
      </vt:variant>
      <vt:variant>
        <vt:lpwstr>https://www.agccamericalatina.org/home-es/</vt:lpwstr>
      </vt:variant>
      <vt:variant>
        <vt:lpwstr/>
      </vt:variant>
      <vt:variant>
        <vt:i4>4653083</vt:i4>
      </vt:variant>
      <vt:variant>
        <vt:i4>120</vt:i4>
      </vt:variant>
      <vt:variant>
        <vt:i4>0</vt:i4>
      </vt:variant>
      <vt:variant>
        <vt:i4>5</vt:i4>
      </vt:variant>
      <vt:variant>
        <vt:lpwstr>https://www.itu.int/en/ITU-D/Digital-Inclusion/Pages/resources-on-ICT-accessibility/default.aspx</vt:lpwstr>
      </vt:variant>
      <vt:variant>
        <vt:lpwstr/>
      </vt:variant>
      <vt:variant>
        <vt:i4>3539068</vt:i4>
      </vt:variant>
      <vt:variant>
        <vt:i4>117</vt:i4>
      </vt:variant>
      <vt:variant>
        <vt:i4>0</vt:i4>
      </vt:variant>
      <vt:variant>
        <vt:i4>5</vt:i4>
      </vt:variant>
      <vt:variant>
        <vt:lpwstr>https://www.itu.int/pub/D-PHCB-TOOLKIT.01-2021</vt:lpwstr>
      </vt:variant>
      <vt:variant>
        <vt:lpwstr/>
      </vt:variant>
      <vt:variant>
        <vt:i4>6357089</vt:i4>
      </vt:variant>
      <vt:variant>
        <vt:i4>114</vt:i4>
      </vt:variant>
      <vt:variant>
        <vt:i4>0</vt:i4>
      </vt:variant>
      <vt:variant>
        <vt:i4>5</vt:i4>
      </vt:variant>
      <vt:variant>
        <vt:lpwstr>https://academy.itu.int/training-courses/full-catalogue/how-ensure-inclusive-digital-communication-during-crises-and-emergency-situations-1</vt:lpwstr>
      </vt:variant>
      <vt:variant>
        <vt:lpwstr/>
      </vt:variant>
      <vt:variant>
        <vt:i4>6094930</vt:i4>
      </vt:variant>
      <vt:variant>
        <vt:i4>111</vt:i4>
      </vt:variant>
      <vt:variant>
        <vt:i4>0</vt:i4>
      </vt:variant>
      <vt:variant>
        <vt:i4>5</vt:i4>
      </vt:variant>
      <vt:variant>
        <vt:lpwstr>https://academy.itu.int/training-courses/full-catalogue/inclusive-employment-how-ensure-online-job-applications-and-recruitment-systems-are-accessible-all-0</vt:lpwstr>
      </vt:variant>
      <vt:variant>
        <vt:lpwstr/>
      </vt:variant>
      <vt:variant>
        <vt:i4>4849668</vt:i4>
      </vt:variant>
      <vt:variant>
        <vt:i4>108</vt:i4>
      </vt:variant>
      <vt:variant>
        <vt:i4>0</vt:i4>
      </vt:variant>
      <vt:variant>
        <vt:i4>5</vt:i4>
      </vt:variant>
      <vt:variant>
        <vt:lpwstr>https://www.itu.int/en/ITU-D/Digital-Inclusion/Pages/itu-ilo/default.aspx</vt:lpwstr>
      </vt:variant>
      <vt:variant>
        <vt:lpwstr/>
      </vt:variant>
      <vt:variant>
        <vt:i4>1966146</vt:i4>
      </vt:variant>
      <vt:variant>
        <vt:i4>105</vt:i4>
      </vt:variant>
      <vt:variant>
        <vt:i4>0</vt:i4>
      </vt:variant>
      <vt:variant>
        <vt:i4>5</vt:i4>
      </vt:variant>
      <vt:variant>
        <vt:lpwstr>https://youtu.be/qevgxfq56Gg</vt:lpwstr>
      </vt:variant>
      <vt:variant>
        <vt:lpwstr/>
      </vt:variant>
      <vt:variant>
        <vt:i4>6029334</vt:i4>
      </vt:variant>
      <vt:variant>
        <vt:i4>102</vt:i4>
      </vt:variant>
      <vt:variant>
        <vt:i4>0</vt:i4>
      </vt:variant>
      <vt:variant>
        <vt:i4>5</vt:i4>
      </vt:variant>
      <vt:variant>
        <vt:lpwstr>https://academy.itu.int/training-courses/full-catalogue/formacion-de-promotoras-y-promotores-tecnicos-en-comunidades-indigenas-en-telecomunicaciones-y-0</vt:lpwstr>
      </vt:variant>
      <vt:variant>
        <vt:lpwstr/>
      </vt:variant>
      <vt:variant>
        <vt:i4>1769546</vt:i4>
      </vt:variant>
      <vt:variant>
        <vt:i4>99</vt:i4>
      </vt:variant>
      <vt:variant>
        <vt:i4>0</vt:i4>
      </vt:variant>
      <vt:variant>
        <vt:i4>5</vt:i4>
      </vt:variant>
      <vt:variant>
        <vt:lpwstr>https://academy.itu.int/training-courses/full-catalogue/formacion-en-herramientas-innovadoras-de-comunicacion-para-el-fortalecimiento-de-las-capacidades-de-2</vt:lpwstr>
      </vt:variant>
      <vt:variant>
        <vt:lpwstr/>
      </vt:variant>
      <vt:variant>
        <vt:i4>5636101</vt:i4>
      </vt:variant>
      <vt:variant>
        <vt:i4>96</vt:i4>
      </vt:variant>
      <vt:variant>
        <vt:i4>0</vt:i4>
      </vt:variant>
      <vt:variant>
        <vt:i4>5</vt:i4>
      </vt:variant>
      <vt:variant>
        <vt:lpwstr>https://academy.itu.int/training-courses/full-catalogue/icts-better-ageing-and-livelihood-digital-landscape-1</vt:lpwstr>
      </vt:variant>
      <vt:variant>
        <vt:lpwstr/>
      </vt:variant>
      <vt:variant>
        <vt:i4>7405628</vt:i4>
      </vt:variant>
      <vt:variant>
        <vt:i4>93</vt:i4>
      </vt:variant>
      <vt:variant>
        <vt:i4>0</vt:i4>
      </vt:variant>
      <vt:variant>
        <vt:i4>5</vt:i4>
      </vt:variant>
      <vt:variant>
        <vt:lpwstr>https://www.itu.int/en/ITU-D/Regional-Presence/ArabStates/Pages/Events/2022/AccessibleARB/Accessible-ARB2022.aspx</vt:lpwstr>
      </vt:variant>
      <vt:variant>
        <vt:lpwstr>:~:text=The%20International%20Telecommunication%20Union%20(ITU,in%20Arabic%2C%20English%20and%20French.</vt:lpwstr>
      </vt:variant>
      <vt:variant>
        <vt:i4>7209075</vt:i4>
      </vt:variant>
      <vt:variant>
        <vt:i4>90</vt:i4>
      </vt:variant>
      <vt:variant>
        <vt:i4>0</vt:i4>
      </vt:variant>
      <vt:variant>
        <vt:i4>5</vt:i4>
      </vt:variant>
      <vt:variant>
        <vt:lpwstr>https://www.itu.int/en/ITU-D/Regional-Presence/Europe/Pages/Events/2022/Accessible Europe ICT 4 All Forum - 6 Dec 2022/Accessible-Europe-ICT-4-All-Forum--Celebration-of-the-International-Day-of-Persons-with-Disabilities-.aspx</vt:lpwstr>
      </vt:variant>
      <vt:variant>
        <vt:lpwstr>:~:text=The%20special%20event%20for%20Europe,virtually%20on%206%20December%202022.</vt:lpwstr>
      </vt:variant>
      <vt:variant>
        <vt:i4>1245214</vt:i4>
      </vt:variant>
      <vt:variant>
        <vt:i4>87</vt:i4>
      </vt:variant>
      <vt:variant>
        <vt:i4>0</vt:i4>
      </vt:variant>
      <vt:variant>
        <vt:i4>5</vt:i4>
      </vt:variant>
      <vt:variant>
        <vt:lpwstr>https://www.itu.int/en/ITU-D/Regional-Presence/Americas/Pages/EVENTS/2022/AA-2022.aspx</vt:lpwstr>
      </vt:variant>
      <vt:variant>
        <vt:lpwstr>:~:text=The%209th%20edition%20of%20Accessible,)%2C%20the%20Brazilian%20regulatory%20authority.</vt:lpwstr>
      </vt:variant>
      <vt:variant>
        <vt:i4>327750</vt:i4>
      </vt:variant>
      <vt:variant>
        <vt:i4>84</vt:i4>
      </vt:variant>
      <vt:variant>
        <vt:i4>0</vt:i4>
      </vt:variant>
      <vt:variant>
        <vt:i4>5</vt:i4>
      </vt:variant>
      <vt:variant>
        <vt:lpwstr>https://www.itu.int/en/ITU-D/Regional-Presence/AsiaPacific/Pages/v2/regional-events.aspx</vt:lpwstr>
      </vt:variant>
      <vt:variant>
        <vt:lpwstr/>
      </vt:variant>
      <vt:variant>
        <vt:i4>6750255</vt:i4>
      </vt:variant>
      <vt:variant>
        <vt:i4>81</vt:i4>
      </vt:variant>
      <vt:variant>
        <vt:i4>0</vt:i4>
      </vt:variant>
      <vt:variant>
        <vt:i4>5</vt:i4>
      </vt:variant>
      <vt:variant>
        <vt:lpwstr>https://www.itu.int/en/ITU-D/Regional-Presence/CIS/Documents/RI-WTDC22/COP Guidelines for parents and educators in Armenian.pdf</vt:lpwstr>
      </vt:variant>
      <vt:variant>
        <vt:lpwstr/>
      </vt:variant>
      <vt:variant>
        <vt:i4>2490490</vt:i4>
      </vt:variant>
      <vt:variant>
        <vt:i4>78</vt:i4>
      </vt:variant>
      <vt:variant>
        <vt:i4>0</vt:i4>
      </vt:variant>
      <vt:variant>
        <vt:i4>5</vt:i4>
      </vt:variant>
      <vt:variant>
        <vt:lpwstr>https://www.itu.int/en/ITU-D/Regional-Presence/CIS/Documents/RI-WTDC22/COP Guidelines for industry in Armenian.pdf</vt:lpwstr>
      </vt:variant>
      <vt:variant>
        <vt:lpwstr/>
      </vt:variant>
      <vt:variant>
        <vt:i4>7536765</vt:i4>
      </vt:variant>
      <vt:variant>
        <vt:i4>75</vt:i4>
      </vt:variant>
      <vt:variant>
        <vt:i4>0</vt:i4>
      </vt:variant>
      <vt:variant>
        <vt:i4>5</vt:i4>
      </vt:variant>
      <vt:variant>
        <vt:lpwstr>https://www.itu.int/en/ITU-D/Regional-Presence/CIS/Documents/RI-WTDC22/COP Guidelines for policy-makers in Armenian.pdf</vt:lpwstr>
      </vt:variant>
      <vt:variant>
        <vt:lpwstr/>
      </vt:variant>
      <vt:variant>
        <vt:i4>5832790</vt:i4>
      </vt:variant>
      <vt:variant>
        <vt:i4>72</vt:i4>
      </vt:variant>
      <vt:variant>
        <vt:i4>0</vt:i4>
      </vt:variant>
      <vt:variant>
        <vt:i4>5</vt:i4>
      </vt:variant>
      <vt:variant>
        <vt:lpwstr>https://elibrary.iite.unesco.org/h5/index.html</vt:lpwstr>
      </vt:variant>
      <vt:variant>
        <vt:lpwstr>/courseManagement/courseDetail/b15a8dca-a240-47c1-8f52-4562cd22876f</vt:lpwstr>
      </vt:variant>
      <vt:variant>
        <vt:i4>5242881</vt:i4>
      </vt:variant>
      <vt:variant>
        <vt:i4>69</vt:i4>
      </vt:variant>
      <vt:variant>
        <vt:i4>0</vt:i4>
      </vt:variant>
      <vt:variant>
        <vt:i4>5</vt:i4>
      </vt:variant>
      <vt:variant>
        <vt:lpwstr>https://www.itu.int/en/ITU-D/Cybersecurity/Pages/COP/POP.aspx</vt:lpwstr>
      </vt:variant>
      <vt:variant>
        <vt:lpwstr/>
      </vt:variant>
      <vt:variant>
        <vt:i4>4915276</vt:i4>
      </vt:variant>
      <vt:variant>
        <vt:i4>66</vt:i4>
      </vt:variant>
      <vt:variant>
        <vt:i4>0</vt:i4>
      </vt:variant>
      <vt:variant>
        <vt:i4>5</vt:i4>
      </vt:variant>
      <vt:variant>
        <vt:lpwstr>https://www.itu-cop-guidelines.com/implementation</vt:lpwstr>
      </vt:variant>
      <vt:variant>
        <vt:lpwstr/>
      </vt:variant>
      <vt:variant>
        <vt:i4>3539067</vt:i4>
      </vt:variant>
      <vt:variant>
        <vt:i4>63</vt:i4>
      </vt:variant>
      <vt:variant>
        <vt:i4>0</vt:i4>
      </vt:variant>
      <vt:variant>
        <vt:i4>5</vt:i4>
      </vt:variant>
      <vt:variant>
        <vt:lpwstr>https://www.itu.int/en/ITU-D/Cybersecurity/Pages/COP/Trainings.aspx</vt:lpwstr>
      </vt:variant>
      <vt:variant>
        <vt:lpwstr/>
      </vt:variant>
      <vt:variant>
        <vt:i4>3997801</vt:i4>
      </vt:variant>
      <vt:variant>
        <vt:i4>60</vt:i4>
      </vt:variant>
      <vt:variant>
        <vt:i4>0</vt:i4>
      </vt:variant>
      <vt:variant>
        <vt:i4>5</vt:i4>
      </vt:variant>
      <vt:variant>
        <vt:lpwstr>https://www.itu-cop-guidelines.com/</vt:lpwstr>
      </vt:variant>
      <vt:variant>
        <vt:lpwstr/>
      </vt:variant>
      <vt:variant>
        <vt:i4>786503</vt:i4>
      </vt:variant>
      <vt:variant>
        <vt:i4>57</vt:i4>
      </vt:variant>
      <vt:variant>
        <vt:i4>0</vt:i4>
      </vt:variant>
      <vt:variant>
        <vt:i4>5</vt:i4>
      </vt:variant>
      <vt:variant>
        <vt:lpwstr>https://www.itu.int/en/ITU-D/Cybersecurity/Pages/Women-in-Cyber/Women-in-Cyber-Mentorship-Programme.aspx</vt:lpwstr>
      </vt:variant>
      <vt:variant>
        <vt:lpwstr/>
      </vt:variant>
      <vt:variant>
        <vt:i4>3407990</vt:i4>
      </vt:variant>
      <vt:variant>
        <vt:i4>54</vt:i4>
      </vt:variant>
      <vt:variant>
        <vt:i4>0</vt:i4>
      </vt:variant>
      <vt:variant>
        <vt:i4>5</vt:i4>
      </vt:variant>
      <vt:variant>
        <vt:lpwstr>https://www.itu.int/en/ITU-D/Cybersecurity/Pages/Cyber4Good/Cyber4Good.aspx</vt:lpwstr>
      </vt:variant>
      <vt:variant>
        <vt:lpwstr/>
      </vt:variant>
      <vt:variant>
        <vt:i4>7929894</vt:i4>
      </vt:variant>
      <vt:variant>
        <vt:i4>51</vt:i4>
      </vt:variant>
      <vt:variant>
        <vt:i4>0</vt:i4>
      </vt:variant>
      <vt:variant>
        <vt:i4>5</vt:i4>
      </vt:variant>
      <vt:variant>
        <vt:lpwstr>https://cybilportal.org/projects/joint-integrated-cyber-analysis-project-jicap/</vt:lpwstr>
      </vt:variant>
      <vt:variant>
        <vt:lpwstr/>
      </vt:variant>
      <vt:variant>
        <vt:i4>1179716</vt:i4>
      </vt:variant>
      <vt:variant>
        <vt:i4>48</vt:i4>
      </vt:variant>
      <vt:variant>
        <vt:i4>0</vt:i4>
      </vt:variant>
      <vt:variant>
        <vt:i4>5</vt:i4>
      </vt:variant>
      <vt:variant>
        <vt:lpwstr>https://www.dgssi.gov.ma/fr/content/ateliers-debats-autour-des-nouveaux-objectifs-strategiques-nationaux-en-matiere-de-cybersecurite.html</vt:lpwstr>
      </vt:variant>
      <vt:variant>
        <vt:lpwstr/>
      </vt:variant>
      <vt:variant>
        <vt:i4>1114128</vt:i4>
      </vt:variant>
      <vt:variant>
        <vt:i4>45</vt:i4>
      </vt:variant>
      <vt:variant>
        <vt:i4>0</vt:i4>
      </vt:variant>
      <vt:variant>
        <vt:i4>5</vt:i4>
      </vt:variant>
      <vt:variant>
        <vt:lpwstr>https://ncsguide.org/</vt:lpwstr>
      </vt:variant>
      <vt:variant>
        <vt:lpwstr/>
      </vt:variant>
      <vt:variant>
        <vt:i4>2031622</vt:i4>
      </vt:variant>
      <vt:variant>
        <vt:i4>42</vt:i4>
      </vt:variant>
      <vt:variant>
        <vt:i4>0</vt:i4>
      </vt:variant>
      <vt:variant>
        <vt:i4>5</vt:i4>
      </vt:variant>
      <vt:variant>
        <vt:lpwstr>https://www.itu.int/en/ITU-D/Cybersecurity/Pages/global-cybersecurity-index.aspx</vt:lpwstr>
      </vt:variant>
      <vt:variant>
        <vt:lpwstr/>
      </vt:variant>
      <vt:variant>
        <vt:i4>2556021</vt:i4>
      </vt:variant>
      <vt:variant>
        <vt:i4>39</vt:i4>
      </vt:variant>
      <vt:variant>
        <vt:i4>0</vt:i4>
      </vt:variant>
      <vt:variant>
        <vt:i4>5</vt:i4>
      </vt:variant>
      <vt:variant>
        <vt:lpwstr>https://www.itu.int/en/ITU-D/Cybersecurity/Pages/CyberDrill-2022/ASEAN-ITU-2022-CyberDrill.aspx</vt:lpwstr>
      </vt:variant>
      <vt:variant>
        <vt:lpwstr/>
      </vt:variant>
      <vt:variant>
        <vt:i4>6750315</vt:i4>
      </vt:variant>
      <vt:variant>
        <vt:i4>36</vt:i4>
      </vt:variant>
      <vt:variant>
        <vt:i4>0</vt:i4>
      </vt:variant>
      <vt:variant>
        <vt:i4>5</vt:i4>
      </vt:variant>
      <vt:variant>
        <vt:lpwstr>https://www.itu.int/en/ITU-D/Cybersecurity/Pages/CyberDrill-2022/2022-Pakistan-CyberDrill.aspx</vt:lpwstr>
      </vt:variant>
      <vt:variant>
        <vt:lpwstr/>
      </vt:variant>
      <vt:variant>
        <vt:i4>7012387</vt:i4>
      </vt:variant>
      <vt:variant>
        <vt:i4>33</vt:i4>
      </vt:variant>
      <vt:variant>
        <vt:i4>0</vt:i4>
      </vt:variant>
      <vt:variant>
        <vt:i4>5</vt:i4>
      </vt:variant>
      <vt:variant>
        <vt:lpwstr>https://rcssummit.com/</vt:lpwstr>
      </vt:variant>
      <vt:variant>
        <vt:lpwstr/>
      </vt:variant>
      <vt:variant>
        <vt:i4>3014712</vt:i4>
      </vt:variant>
      <vt:variant>
        <vt:i4>30</vt:i4>
      </vt:variant>
      <vt:variant>
        <vt:i4>0</vt:i4>
      </vt:variant>
      <vt:variant>
        <vt:i4>5</vt:i4>
      </vt:variant>
      <vt:variant>
        <vt:lpwstr>https://www.itu.int/en/ITU-D/Regional-Presence/CIS/Pages/EVENTS/2022/CyberDrill22.aspx</vt:lpwstr>
      </vt:variant>
      <vt:variant>
        <vt:lpwstr/>
      </vt:variant>
      <vt:variant>
        <vt:i4>2687012</vt:i4>
      </vt:variant>
      <vt:variant>
        <vt:i4>27</vt:i4>
      </vt:variant>
      <vt:variant>
        <vt:i4>0</vt:i4>
      </vt:variant>
      <vt:variant>
        <vt:i4>5</vt:i4>
      </vt:variant>
      <vt:variant>
        <vt:lpwstr>https://www.itu.int/en/ITU-D/Cybersecurity/Pages/CyberDrill-2022/2022-ITU-Bhutan-joint-CyberDrill.aspx</vt:lpwstr>
      </vt:variant>
      <vt:variant>
        <vt:lpwstr/>
      </vt:variant>
      <vt:variant>
        <vt:i4>4390913</vt:i4>
      </vt:variant>
      <vt:variant>
        <vt:i4>24</vt:i4>
      </vt:variant>
      <vt:variant>
        <vt:i4>0</vt:i4>
      </vt:variant>
      <vt:variant>
        <vt:i4>5</vt:i4>
      </vt:variant>
      <vt:variant>
        <vt:lpwstr>https://www.itu.int/en/ITU-D/Cybersecurity/Pages/CyberDrill-2022/CyberDrill-2022.aspx</vt:lpwstr>
      </vt:variant>
      <vt:variant>
        <vt:lpwstr/>
      </vt:variant>
      <vt:variant>
        <vt:i4>6094931</vt:i4>
      </vt:variant>
      <vt:variant>
        <vt:i4>21</vt:i4>
      </vt:variant>
      <vt:variant>
        <vt:i4>0</vt:i4>
      </vt:variant>
      <vt:variant>
        <vt:i4>5</vt:i4>
      </vt:variant>
      <vt:variant>
        <vt:lpwstr>https://www.itu.int/en/ITU-D/Cybersecurity/Pages/cyberdrills.aspx</vt:lpwstr>
      </vt:variant>
      <vt:variant>
        <vt:lpwstr/>
      </vt:variant>
      <vt:variant>
        <vt:i4>5636186</vt:i4>
      </vt:variant>
      <vt:variant>
        <vt:i4>18</vt:i4>
      </vt:variant>
      <vt:variant>
        <vt:i4>0</vt:i4>
      </vt:variant>
      <vt:variant>
        <vt:i4>5</vt:i4>
      </vt:variant>
      <vt:variant>
        <vt:lpwstr>https://academy.itu.int/index.php/main-activities/ilo-itu-digital-skills-campaign</vt:lpwstr>
      </vt:variant>
      <vt:variant>
        <vt:lpwstr/>
      </vt:variant>
      <vt:variant>
        <vt:i4>3866746</vt:i4>
      </vt:variant>
      <vt:variant>
        <vt:i4>15</vt:i4>
      </vt:variant>
      <vt:variant>
        <vt:i4>0</vt:i4>
      </vt:variant>
      <vt:variant>
        <vt:i4>5</vt:i4>
      </vt:variant>
      <vt:variant>
        <vt:lpwstr>https://academy.itu.int/index.php/main-activities/digital-transformation-centres-initiative</vt:lpwstr>
      </vt:variant>
      <vt:variant>
        <vt:lpwstr/>
      </vt:variant>
      <vt:variant>
        <vt:i4>7405673</vt:i4>
      </vt:variant>
      <vt:variant>
        <vt:i4>12</vt:i4>
      </vt:variant>
      <vt:variant>
        <vt:i4>0</vt:i4>
      </vt:variant>
      <vt:variant>
        <vt:i4>5</vt:i4>
      </vt:variant>
      <vt:variant>
        <vt:lpwstr>https://academy.itu.int/itu-d/projects-activities/centres-excellence/coe-cycles/coe-cycle-2019-2022</vt:lpwstr>
      </vt:variant>
      <vt:variant>
        <vt:lpwstr/>
      </vt:variant>
      <vt:variant>
        <vt:i4>3145790</vt:i4>
      </vt:variant>
      <vt:variant>
        <vt:i4>9</vt:i4>
      </vt:variant>
      <vt:variant>
        <vt:i4>0</vt:i4>
      </vt:variant>
      <vt:variant>
        <vt:i4>5</vt:i4>
      </vt:variant>
      <vt:variant>
        <vt:lpwstr>https://academy.itu.int/index.php/centres-excellence/coe-cycles/coe-cycle-2019-2022</vt:lpwstr>
      </vt:variant>
      <vt:variant>
        <vt:lpwstr/>
      </vt:variant>
      <vt:variant>
        <vt:i4>5111901</vt:i4>
      </vt:variant>
      <vt:variant>
        <vt:i4>6</vt:i4>
      </vt:variant>
      <vt:variant>
        <vt:i4>0</vt:i4>
      </vt:variant>
      <vt:variant>
        <vt:i4>5</vt:i4>
      </vt:variant>
      <vt:variant>
        <vt:lpwstr>https://academy.itu.int/</vt:lpwstr>
      </vt:variant>
      <vt:variant>
        <vt:lpwstr/>
      </vt:variant>
      <vt:variant>
        <vt:i4>2949237</vt:i4>
      </vt:variant>
      <vt:variant>
        <vt:i4>3</vt:i4>
      </vt:variant>
      <vt:variant>
        <vt:i4>0</vt:i4>
      </vt:variant>
      <vt:variant>
        <vt:i4>5</vt:i4>
      </vt:variant>
      <vt:variant>
        <vt:lpwstr>https://www.itu.int/md/D18-WTDC21-C-0002/en</vt:lpwstr>
      </vt:variant>
      <vt:variant>
        <vt:lpwstr/>
      </vt:variant>
      <vt:variant>
        <vt:i4>2949237</vt:i4>
      </vt:variant>
      <vt:variant>
        <vt:i4>0</vt:i4>
      </vt:variant>
      <vt:variant>
        <vt:i4>0</vt:i4>
      </vt:variant>
      <vt:variant>
        <vt:i4>5</vt:i4>
      </vt:variant>
      <vt:variant>
        <vt:lpwstr>https://www.itu.int/md/D18-WTDC21-C-0002/en</vt:lpwstr>
      </vt:variant>
      <vt:variant>
        <vt:lpwstr/>
      </vt:variant>
      <vt:variant>
        <vt:i4>7995396</vt:i4>
      </vt:variant>
      <vt:variant>
        <vt:i4>0</vt:i4>
      </vt:variant>
      <vt:variant>
        <vt:i4>0</vt:i4>
      </vt:variant>
      <vt:variant>
        <vt:i4>5</vt:i4>
      </vt:variant>
      <vt:variant>
        <vt:lpwstr>mailto:stephen.bereaux@itu.int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Comas Barnes, Maite</cp:lastModifiedBy>
  <cp:revision>3</cp:revision>
  <cp:lastPrinted>2014-11-04T18:22:00Z</cp:lastPrinted>
  <dcterms:created xsi:type="dcterms:W3CDTF">2023-05-22T20:05:00Z</dcterms:created>
  <dcterms:modified xsi:type="dcterms:W3CDTF">2023-05-22T20:06:00Z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