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5CD80069"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EE2E03">
              <w:rPr>
                <w:b/>
                <w:bCs/>
                <w:lang w:val="en-US"/>
              </w:rPr>
              <w:t>2</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1A3FBA4" w:rsidR="00683C32" w:rsidRPr="007F1CC7" w:rsidRDefault="00415168" w:rsidP="00B648C7">
            <w:pPr>
              <w:spacing w:before="0"/>
              <w:rPr>
                <w:b/>
                <w:szCs w:val="24"/>
              </w:rPr>
            </w:pPr>
            <w:bookmarkStart w:id="2" w:name="CreationDate"/>
            <w:bookmarkEnd w:id="2"/>
            <w:r>
              <w:rPr>
                <w:b/>
                <w:bCs/>
                <w:szCs w:val="28"/>
              </w:rPr>
              <w:t>22</w:t>
            </w:r>
            <w:r w:rsidR="002939C0">
              <w:rPr>
                <w:b/>
                <w:bCs/>
                <w:szCs w:val="28"/>
              </w:rPr>
              <w:t xml:space="preserve"> May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0AC64E28" w:rsidR="00A13162" w:rsidRPr="0030353C" w:rsidRDefault="00AA58DC" w:rsidP="0030353C">
            <w:pPr>
              <w:pStyle w:val="Source"/>
            </w:pPr>
            <w:bookmarkStart w:id="4" w:name="Source"/>
            <w:bookmarkEnd w:id="4"/>
            <w:r>
              <w:t>Director, Telecommunication Development Bureau</w:t>
            </w:r>
          </w:p>
        </w:tc>
      </w:tr>
      <w:tr w:rsidR="00D3552C" w:rsidRPr="00282B46" w14:paraId="5D9DB09D" w14:textId="77777777">
        <w:trPr>
          <w:cantSplit/>
        </w:trPr>
        <w:tc>
          <w:tcPr>
            <w:tcW w:w="9888" w:type="dxa"/>
            <w:gridSpan w:val="2"/>
          </w:tcPr>
          <w:p w14:paraId="17A9869B" w14:textId="494E50C1" w:rsidR="00D3552C" w:rsidRPr="00282B46" w:rsidRDefault="00F9342C" w:rsidP="00D3552C">
            <w:pPr>
              <w:pStyle w:val="Title1"/>
              <w:rPr>
                <w:b/>
                <w:bCs/>
                <w:szCs w:val="22"/>
              </w:rPr>
            </w:pPr>
            <w:bookmarkStart w:id="5" w:name="Title"/>
            <w:bookmarkEnd w:id="5"/>
            <w:r w:rsidRPr="00282B46">
              <w:t>R</w:t>
            </w:r>
            <w:r w:rsidR="002939C0">
              <w:t xml:space="preserve">eporting on the implementation of the </w:t>
            </w:r>
            <w:r w:rsidRPr="00282B46">
              <w:t>WTDC-</w:t>
            </w:r>
            <w:r>
              <w:t>22</w:t>
            </w:r>
            <w:r w:rsidRPr="00282B46">
              <w:t xml:space="preserve"> </w:t>
            </w:r>
            <w:r w:rsidR="002939C0">
              <w:t xml:space="preserve">Kigali Action Plan </w:t>
            </w:r>
            <w:r w:rsidRPr="00282B46">
              <w:t>(</w:t>
            </w:r>
            <w:r w:rsidR="002939C0">
              <w:t>including Regional Initiatives</w:t>
            </w:r>
            <w:r w:rsidRPr="00282B46">
              <w:t>),</w:t>
            </w:r>
            <w:r w:rsidR="002939C0">
              <w:t xml:space="preserve"> and contribution to the implementation of the </w:t>
            </w:r>
            <w:r w:rsidRPr="00282B46">
              <w:t xml:space="preserve">WSIS </w:t>
            </w:r>
            <w:r w:rsidR="002939C0">
              <w:t xml:space="preserve">Plan of Action and the Sustainable Development Goals </w:t>
            </w:r>
            <w:r w:rsidRPr="00282B46">
              <w:t>(SDGS)</w:t>
            </w:r>
          </w:p>
        </w:tc>
      </w:tr>
      <w:tr w:rsidR="00D3552C" w:rsidRPr="00282B46" w14:paraId="1B05404C" w14:textId="77777777">
        <w:trPr>
          <w:cantSplit/>
        </w:trPr>
        <w:tc>
          <w:tcPr>
            <w:tcW w:w="9888" w:type="dxa"/>
            <w:gridSpan w:val="2"/>
            <w:tcBorders>
              <w:bottom w:val="single" w:sz="4" w:space="0" w:color="auto"/>
            </w:tcBorders>
          </w:tcPr>
          <w:p w14:paraId="058D5BBE" w14:textId="77777777" w:rsidR="00D3552C" w:rsidRPr="00282B46" w:rsidRDefault="00D3552C" w:rsidP="00D3552C"/>
        </w:tc>
      </w:tr>
      <w:tr w:rsidR="00D3552C" w:rsidRPr="006E3A1B" w14:paraId="1D42A2FD"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338066E5" w14:textId="77777777" w:rsidR="00D3552C" w:rsidRPr="006E3A1B" w:rsidRDefault="00D3552C" w:rsidP="00B6273E">
            <w:pPr>
              <w:spacing w:after="120"/>
              <w:rPr>
                <w:b/>
                <w:bCs/>
              </w:rPr>
            </w:pPr>
            <w:r w:rsidRPr="006E3A1B">
              <w:rPr>
                <w:b/>
                <w:bCs/>
              </w:rPr>
              <w:t>Summary:</w:t>
            </w:r>
          </w:p>
          <w:p w14:paraId="57C8C204" w14:textId="2BE89183" w:rsidR="00D3552C" w:rsidRPr="006E3A1B" w:rsidRDefault="00D3552C" w:rsidP="00B6273E">
            <w:pPr>
              <w:spacing w:after="120"/>
            </w:pPr>
            <w:r w:rsidRPr="006E3A1B">
              <w:t>The 2022 ITU World Telecommunication Development Conference (WTDC-</w:t>
            </w:r>
            <w:r w:rsidR="00EE2E03" w:rsidRPr="006E3A1B">
              <w:t>22</w:t>
            </w:r>
            <w:r w:rsidRPr="006E3A1B">
              <w:t xml:space="preserve">) convened in Kigali, Rwanda from 6 </w:t>
            </w:r>
            <w:r w:rsidR="00745FB4">
              <w:t>to</w:t>
            </w:r>
            <w:r w:rsidR="00745FB4" w:rsidRPr="006E3A1B">
              <w:t xml:space="preserve"> </w:t>
            </w:r>
            <w:r w:rsidRPr="006E3A1B">
              <w:t xml:space="preserve">16 June 2022 and adopted the </w:t>
            </w:r>
            <w:hyperlink r:id="rId12">
              <w:r w:rsidRPr="006E3A1B">
                <w:rPr>
                  <w:rStyle w:val="Hyperlink"/>
                  <w:color w:val="auto"/>
                  <w:u w:val="none"/>
                </w:rPr>
                <w:t>Kigali Action Plan</w:t>
              </w:r>
            </w:hyperlink>
            <w:r w:rsidRPr="006E3A1B">
              <w:t xml:space="preserve"> (</w:t>
            </w:r>
            <w:r w:rsidR="00EE2E03" w:rsidRPr="006E3A1B">
              <w:t>KAP</w:t>
            </w:r>
            <w:r w:rsidRPr="006E3A1B">
              <w:t xml:space="preserve">). The plan, which includes the ITU-D Priorities, a set of regional initiatives, and new and revised resolutions, </w:t>
            </w:r>
            <w:r w:rsidR="00E638BB" w:rsidRPr="006E3A1B">
              <w:t>recommendations,</w:t>
            </w:r>
            <w:r w:rsidRPr="006E3A1B">
              <w:t xml:space="preserve"> and Study Group Questions, defines the mandate, </w:t>
            </w:r>
            <w:r w:rsidR="00E638BB" w:rsidRPr="006E3A1B">
              <w:t>objectives,</w:t>
            </w:r>
            <w:r w:rsidRPr="006E3A1B">
              <w:t xml:space="preserve"> and priorities of the ITU Development Sector (ITU-D) for the period 2023</w:t>
            </w:r>
            <w:r w:rsidR="00745FB4">
              <w:t>-</w:t>
            </w:r>
            <w:r w:rsidRPr="006E3A1B">
              <w:t>202</w:t>
            </w:r>
            <w:r w:rsidR="003B1F1A" w:rsidRPr="006E3A1B">
              <w:t>6</w:t>
            </w:r>
            <w:r w:rsidRPr="006E3A1B">
              <w:t xml:space="preserve">. It also aligns the Development Sector work with the strategic objectives of ITU to allow countries to harness the full benefits of ICTs. </w:t>
            </w:r>
          </w:p>
          <w:p w14:paraId="51577214" w14:textId="4066294D" w:rsidR="00D3552C" w:rsidRPr="006E3A1B" w:rsidRDefault="00D3552C" w:rsidP="00B6273E">
            <w:pPr>
              <w:spacing w:after="120"/>
            </w:pPr>
            <w:r w:rsidRPr="006E3A1B">
              <w:t xml:space="preserve">This document reports on the closure of the implementation of the Buenos Aires Action Plan (adopted at WTDC-17) the completion of which covered the work of </w:t>
            </w:r>
            <w:r w:rsidR="001755E9" w:rsidRPr="006E3A1B">
              <w:t>the Telecommunication Development Bureau (BDT)</w:t>
            </w:r>
            <w:r w:rsidRPr="006E3A1B">
              <w:t xml:space="preserve"> from WTDC-22 until the end of 2022 and the work done by BDT from January to April </w:t>
            </w:r>
            <w:r w:rsidR="003F0E7B">
              <w:t>2023</w:t>
            </w:r>
            <w:bookmarkStart w:id="6" w:name="_GoBack"/>
            <w:bookmarkEnd w:id="6"/>
            <w:r w:rsidRPr="006E3A1B">
              <w:t xml:space="preserve"> to</w:t>
            </w:r>
            <w:r w:rsidR="00EE2E03" w:rsidRPr="006E3A1B">
              <w:t>wards effective</w:t>
            </w:r>
            <w:r w:rsidRPr="006E3A1B">
              <w:t xml:space="preserve"> implement</w:t>
            </w:r>
            <w:r w:rsidR="00EE2E03" w:rsidRPr="006E3A1B">
              <w:t>ation</w:t>
            </w:r>
            <w:r w:rsidRPr="006E3A1B">
              <w:t xml:space="preserve"> </w:t>
            </w:r>
            <w:r w:rsidR="00EE2E03" w:rsidRPr="006E3A1B">
              <w:t xml:space="preserve">of </w:t>
            </w:r>
            <w:r w:rsidRPr="006E3A1B">
              <w:t>KAP.</w:t>
            </w:r>
          </w:p>
          <w:p w14:paraId="22C039D1" w14:textId="77777777" w:rsidR="00D3552C" w:rsidRPr="006E3A1B" w:rsidRDefault="00D3552C" w:rsidP="00B6273E">
            <w:pPr>
              <w:spacing w:after="120"/>
              <w:rPr>
                <w:b/>
                <w:bCs/>
              </w:rPr>
            </w:pPr>
            <w:r w:rsidRPr="006E3A1B">
              <w:rPr>
                <w:b/>
                <w:bCs/>
              </w:rPr>
              <w:t>Action required:</w:t>
            </w:r>
          </w:p>
          <w:p w14:paraId="6B160C15" w14:textId="77777777" w:rsidR="006F57D2" w:rsidRPr="006E3A1B" w:rsidRDefault="00D3552C" w:rsidP="00B6273E">
            <w:pPr>
              <w:spacing w:after="120"/>
            </w:pPr>
            <w:r w:rsidRPr="006E3A1B">
              <w:t>TDAG is invited to</w:t>
            </w:r>
            <w:r w:rsidR="006F57D2" w:rsidRPr="006E3A1B">
              <w:t>:</w:t>
            </w:r>
          </w:p>
          <w:p w14:paraId="4376C484" w14:textId="7253F5CB" w:rsidR="00D3552C" w:rsidRPr="006E3A1B" w:rsidRDefault="006F57D2" w:rsidP="00B6273E">
            <w:pPr>
              <w:pStyle w:val="ListParagraph"/>
              <w:numPr>
                <w:ilvl w:val="0"/>
                <w:numId w:val="18"/>
              </w:numPr>
              <w:spacing w:before="60" w:after="60"/>
              <w:ind w:left="357" w:hanging="357"/>
              <w:contextualSpacing w:val="0"/>
            </w:pPr>
            <w:r w:rsidRPr="006E3A1B">
              <w:t>E</w:t>
            </w:r>
            <w:r w:rsidR="00D3552C" w:rsidRPr="006E3A1B">
              <w:t>xamine this report and provide guidance as deemed appropriate.</w:t>
            </w:r>
          </w:p>
          <w:p w14:paraId="1A096490" w14:textId="1EEB61A3" w:rsidR="006F57D2" w:rsidRPr="006E3A1B" w:rsidRDefault="006F57D2" w:rsidP="00B6273E">
            <w:pPr>
              <w:pStyle w:val="ListParagraph"/>
              <w:numPr>
                <w:ilvl w:val="0"/>
                <w:numId w:val="18"/>
              </w:numPr>
              <w:spacing w:before="60" w:after="60"/>
              <w:ind w:left="357" w:hanging="357"/>
              <w:contextualSpacing w:val="0"/>
            </w:pPr>
            <w:r w:rsidRPr="006E3A1B">
              <w:t>Consider and approve the measurable Key Performance Indicators described in Addendum 2, for assessment of Outcomes to be achieved under the Kigali Action Plan.</w:t>
            </w:r>
          </w:p>
          <w:p w14:paraId="3E5DE1A2" w14:textId="77777777" w:rsidR="00D3552C" w:rsidRPr="006E3A1B" w:rsidRDefault="00D3552C" w:rsidP="00B6273E">
            <w:pPr>
              <w:pStyle w:val="Title1"/>
              <w:jc w:val="left"/>
              <w:rPr>
                <w:rFonts w:cstheme="minorHAnsi"/>
                <w:b/>
                <w:bCs/>
                <w:caps/>
                <w:sz w:val="24"/>
              </w:rPr>
            </w:pPr>
            <w:r w:rsidRPr="006E3A1B">
              <w:rPr>
                <w:rFonts w:cstheme="minorHAnsi"/>
                <w:b/>
                <w:bCs/>
                <w:sz w:val="24"/>
              </w:rPr>
              <w:t>References:</w:t>
            </w:r>
          </w:p>
          <w:p w14:paraId="524EA499" w14:textId="77777777" w:rsidR="00D3552C" w:rsidRPr="006E3A1B" w:rsidRDefault="00D3552C" w:rsidP="00B6273E">
            <w:pPr>
              <w:spacing w:after="120"/>
            </w:pPr>
            <w:r w:rsidRPr="006E3A1B">
              <w:t xml:space="preserve">WTDC-17 Buenos Aires Action Plan </w:t>
            </w:r>
          </w:p>
          <w:p w14:paraId="1E241C36" w14:textId="77777777" w:rsidR="00D3552C" w:rsidRPr="006E3A1B" w:rsidRDefault="00D3552C" w:rsidP="00B6273E">
            <w:pPr>
              <w:spacing w:after="120"/>
            </w:pPr>
            <w:r w:rsidRPr="006E3A1B">
              <w:t>WTDC-22 Kigali Action Plan</w:t>
            </w:r>
          </w:p>
          <w:p w14:paraId="32A5C9FC" w14:textId="57EA82B3" w:rsidR="006F57D2" w:rsidRPr="006E3A1B" w:rsidRDefault="006F57D2" w:rsidP="00B6273E">
            <w:pPr>
              <w:spacing w:after="120"/>
            </w:pPr>
            <w:r w:rsidRPr="006E3A1B">
              <w:t>Document 2, WTDC-</w:t>
            </w:r>
            <w:r w:rsidR="18FE501F" w:rsidRPr="006E3A1B">
              <w:t>22</w:t>
            </w:r>
            <w:r w:rsidRPr="006E3A1B">
              <w:t xml:space="preserve"> </w:t>
            </w:r>
          </w:p>
        </w:tc>
      </w:tr>
    </w:tbl>
    <w:p w14:paraId="2073809B" w14:textId="378B6190" w:rsidR="00D3552C" w:rsidRPr="006E3A1B" w:rsidRDefault="00D3552C" w:rsidP="00745FB4">
      <w:pPr>
        <w:pStyle w:val="Heading1"/>
        <w:keepLines w:val="0"/>
        <w:pageBreakBefore/>
        <w:numPr>
          <w:ilvl w:val="0"/>
          <w:numId w:val="17"/>
        </w:numPr>
        <w:tabs>
          <w:tab w:val="clear" w:pos="794"/>
          <w:tab w:val="clear" w:pos="1191"/>
          <w:tab w:val="clear" w:pos="1588"/>
          <w:tab w:val="clear" w:pos="1985"/>
          <w:tab w:val="left" w:pos="567"/>
          <w:tab w:val="left" w:pos="1134"/>
          <w:tab w:val="left" w:pos="1701"/>
          <w:tab w:val="left" w:pos="2268"/>
        </w:tabs>
        <w:spacing w:before="240" w:after="120"/>
        <w:ind w:left="567" w:hanging="567"/>
        <w:rPr>
          <w:rFonts w:cstheme="minorBidi"/>
          <w:sz w:val="24"/>
          <w:szCs w:val="24"/>
        </w:rPr>
      </w:pPr>
      <w:r w:rsidRPr="006E3A1B">
        <w:rPr>
          <w:rFonts w:cstheme="minorBidi"/>
          <w:sz w:val="24"/>
          <w:szCs w:val="24"/>
        </w:rPr>
        <w:lastRenderedPageBreak/>
        <w:t xml:space="preserve">Introduction </w:t>
      </w:r>
    </w:p>
    <w:p w14:paraId="573A949A" w14:textId="1423121A" w:rsidR="002E392B" w:rsidRPr="006E3A1B" w:rsidRDefault="002E392B" w:rsidP="00745FB4">
      <w:pPr>
        <w:tabs>
          <w:tab w:val="clear" w:pos="794"/>
          <w:tab w:val="clear" w:pos="1191"/>
          <w:tab w:val="clear" w:pos="1588"/>
          <w:tab w:val="clear" w:pos="1985"/>
          <w:tab w:val="left" w:pos="567"/>
          <w:tab w:val="left" w:pos="1134"/>
          <w:tab w:val="left" w:pos="1701"/>
          <w:tab w:val="left" w:pos="2268"/>
        </w:tabs>
        <w:spacing w:after="120"/>
        <w:ind w:left="567" w:hanging="567"/>
        <w:rPr>
          <w:rFonts w:cstheme="minorBidi"/>
        </w:rPr>
      </w:pPr>
      <w:r w:rsidRPr="006E3A1B">
        <w:rPr>
          <w:rFonts w:cstheme="minorHAnsi"/>
          <w:szCs w:val="24"/>
        </w:rPr>
        <w:t>1.1</w:t>
      </w:r>
      <w:r w:rsidRPr="006E3A1B">
        <w:rPr>
          <w:rFonts w:cstheme="minorHAnsi"/>
          <w:szCs w:val="24"/>
        </w:rPr>
        <w:tab/>
      </w:r>
      <w:r w:rsidR="00D3552C" w:rsidRPr="006E3A1B">
        <w:rPr>
          <w:rFonts w:cstheme="minorBidi"/>
        </w:rPr>
        <w:t>The 2022 ITU World Telecommunication Development Conference (WTDC-</w:t>
      </w:r>
      <w:r w:rsidR="00544627" w:rsidRPr="006E3A1B">
        <w:rPr>
          <w:rFonts w:cstheme="minorBidi"/>
        </w:rPr>
        <w:t>22</w:t>
      </w:r>
      <w:r w:rsidR="00D3552C" w:rsidRPr="006E3A1B">
        <w:rPr>
          <w:rFonts w:cstheme="minorBidi"/>
        </w:rPr>
        <w:t>) convened in Kigali, Rwanda from 6</w:t>
      </w:r>
      <w:r w:rsidR="00745FB4">
        <w:rPr>
          <w:rFonts w:cstheme="minorBidi"/>
        </w:rPr>
        <w:t xml:space="preserve"> to </w:t>
      </w:r>
      <w:r w:rsidR="00D3552C" w:rsidRPr="006E3A1B">
        <w:rPr>
          <w:rFonts w:cstheme="minorBidi"/>
        </w:rPr>
        <w:t xml:space="preserve">16 June 2022 and adopted </w:t>
      </w:r>
      <w:r w:rsidR="00544627" w:rsidRPr="006E3A1B">
        <w:rPr>
          <w:rFonts w:cstheme="minorBidi"/>
        </w:rPr>
        <w:t>an action plan for the ITU</w:t>
      </w:r>
      <w:r w:rsidR="006406EC" w:rsidRPr="006E3A1B">
        <w:rPr>
          <w:rFonts w:cstheme="minorBidi"/>
        </w:rPr>
        <w:t>-</w:t>
      </w:r>
      <w:r w:rsidR="00544627" w:rsidRPr="006E3A1B">
        <w:rPr>
          <w:rFonts w:cstheme="minorBidi"/>
        </w:rPr>
        <w:t xml:space="preserve">D Sector, </w:t>
      </w:r>
      <w:r w:rsidR="00D3552C" w:rsidRPr="006E3A1B">
        <w:rPr>
          <w:rFonts w:cstheme="minorBidi"/>
        </w:rPr>
        <w:t xml:space="preserve">the </w:t>
      </w:r>
      <w:hyperlink r:id="rId13">
        <w:r w:rsidR="00D3552C" w:rsidRPr="006E3A1B">
          <w:rPr>
            <w:rStyle w:val="Hyperlink"/>
            <w:rFonts w:cstheme="minorBidi"/>
            <w:color w:val="auto"/>
            <w:u w:val="none"/>
          </w:rPr>
          <w:t>Kigali Action Plan</w:t>
        </w:r>
      </w:hyperlink>
      <w:r w:rsidR="00544627" w:rsidRPr="006E3A1B">
        <w:rPr>
          <w:rStyle w:val="Hyperlink"/>
          <w:rFonts w:cstheme="minorBidi"/>
          <w:color w:val="auto"/>
          <w:u w:val="none"/>
        </w:rPr>
        <w:t xml:space="preserve"> (KAP)</w:t>
      </w:r>
      <w:r w:rsidR="00D3552C" w:rsidRPr="006E3A1B">
        <w:rPr>
          <w:rFonts w:cstheme="minorBidi"/>
        </w:rPr>
        <w:t xml:space="preserve">. </w:t>
      </w:r>
    </w:p>
    <w:p w14:paraId="488A1A02" w14:textId="3A0D48B9" w:rsidR="00A0792F" w:rsidRPr="006E3A1B" w:rsidRDefault="002E392B" w:rsidP="00745FB4">
      <w:pPr>
        <w:tabs>
          <w:tab w:val="clear" w:pos="794"/>
          <w:tab w:val="clear" w:pos="1191"/>
          <w:tab w:val="clear" w:pos="1588"/>
          <w:tab w:val="clear" w:pos="1985"/>
          <w:tab w:val="left" w:pos="567"/>
          <w:tab w:val="left" w:pos="1134"/>
          <w:tab w:val="left" w:pos="1701"/>
          <w:tab w:val="left" w:pos="2268"/>
        </w:tabs>
        <w:spacing w:after="120"/>
        <w:ind w:left="567" w:hanging="567"/>
        <w:rPr>
          <w:rFonts w:cstheme="minorHAnsi"/>
          <w:color w:val="000000"/>
        </w:rPr>
      </w:pPr>
      <w:r w:rsidRPr="006E3A1B">
        <w:rPr>
          <w:rFonts w:cstheme="minorHAnsi"/>
          <w:color w:val="000000"/>
        </w:rPr>
        <w:t>1.2</w:t>
      </w:r>
      <w:r w:rsidRPr="006E3A1B">
        <w:rPr>
          <w:rFonts w:cstheme="minorHAnsi"/>
          <w:color w:val="000000"/>
        </w:rPr>
        <w:tab/>
      </w:r>
      <w:r w:rsidR="00D3552C" w:rsidRPr="006E3A1B">
        <w:rPr>
          <w:rFonts w:cstheme="minorHAnsi"/>
          <w:color w:val="000000"/>
        </w:rPr>
        <w:t xml:space="preserve">Based on the thematic priorities, product and service offerings and enablers defined in the ITU strategic plan for 2024-2027, </w:t>
      </w:r>
      <w:r w:rsidR="00111523" w:rsidRPr="006E3A1B">
        <w:rPr>
          <w:rFonts w:cstheme="minorHAnsi"/>
          <w:color w:val="000000"/>
        </w:rPr>
        <w:t xml:space="preserve">KAP </w:t>
      </w:r>
      <w:r w:rsidR="00D3552C" w:rsidRPr="006E3A1B">
        <w:rPr>
          <w:rFonts w:cstheme="minorHAnsi"/>
          <w:color w:val="000000"/>
        </w:rPr>
        <w:t>aligns and charts ITU</w:t>
      </w:r>
      <w:r w:rsidR="00D3552C" w:rsidRPr="006E3A1B">
        <w:rPr>
          <w:rFonts w:cstheme="minorHAnsi"/>
          <w:color w:val="000000"/>
        </w:rPr>
        <w:noBreakHyphen/>
        <w:t>D's work with ITU resolutions and Recommendations relevant to the mandate of ITU</w:t>
      </w:r>
      <w:r w:rsidR="00D3552C" w:rsidRPr="006E3A1B">
        <w:rPr>
          <w:rFonts w:cstheme="minorHAnsi"/>
          <w:color w:val="000000"/>
        </w:rPr>
        <w:noBreakHyphen/>
        <w:t>D, the regional initiatives and the study Questions. The action plan also maps its contribution to the World Summit on the Information Society (WSIS) action lines and the overarching United Nations Sustainable Development Goals (SDGs).</w:t>
      </w:r>
      <w:r w:rsidR="00B46808" w:rsidRPr="006E3A1B">
        <w:rPr>
          <w:rFonts w:cstheme="minorHAnsi"/>
          <w:color w:val="000000"/>
        </w:rPr>
        <w:t xml:space="preserve"> </w:t>
      </w:r>
      <w:r w:rsidR="00373D70" w:rsidRPr="006E3A1B">
        <w:rPr>
          <w:rFonts w:cstheme="minorHAnsi"/>
          <w:color w:val="000000"/>
        </w:rPr>
        <w:t>A detailed outline</w:t>
      </w:r>
      <w:r w:rsidR="00111523" w:rsidRPr="006E3A1B">
        <w:rPr>
          <w:rFonts w:cstheme="minorHAnsi"/>
          <w:color w:val="000000"/>
        </w:rPr>
        <w:t xml:space="preserve"> of KAP </w:t>
      </w:r>
      <w:r w:rsidR="00373D70" w:rsidRPr="006E3A1B">
        <w:rPr>
          <w:rFonts w:cstheme="minorHAnsi"/>
          <w:color w:val="000000"/>
        </w:rPr>
        <w:t xml:space="preserve">is </w:t>
      </w:r>
      <w:r w:rsidR="00111523" w:rsidRPr="006E3A1B">
        <w:rPr>
          <w:rFonts w:cstheme="minorHAnsi"/>
          <w:color w:val="000000"/>
        </w:rPr>
        <w:t xml:space="preserve">contained in </w:t>
      </w:r>
      <w:r w:rsidR="006C7DAF" w:rsidRPr="006E3A1B">
        <w:rPr>
          <w:rFonts w:cstheme="minorHAnsi"/>
          <w:color w:val="000000"/>
        </w:rPr>
        <w:t>TDAG</w:t>
      </w:r>
      <w:r w:rsidR="00393264" w:rsidRPr="006E3A1B">
        <w:rPr>
          <w:rFonts w:cstheme="minorHAnsi"/>
          <w:color w:val="000000"/>
        </w:rPr>
        <w:t xml:space="preserve">-23, </w:t>
      </w:r>
      <w:r w:rsidR="006C7DAF" w:rsidRPr="006E3A1B">
        <w:rPr>
          <w:rFonts w:cstheme="minorHAnsi"/>
          <w:color w:val="000000"/>
        </w:rPr>
        <w:t>Document 15</w:t>
      </w:r>
      <w:r w:rsidR="00393264" w:rsidRPr="006E3A1B">
        <w:rPr>
          <w:rFonts w:cstheme="minorHAnsi"/>
          <w:color w:val="000000"/>
        </w:rPr>
        <w:t>.</w:t>
      </w:r>
    </w:p>
    <w:p w14:paraId="04795995" w14:textId="121A4929" w:rsidR="00A0792F" w:rsidRPr="006E3A1B" w:rsidRDefault="00A0792F" w:rsidP="00745FB4">
      <w:pPr>
        <w:tabs>
          <w:tab w:val="clear" w:pos="794"/>
          <w:tab w:val="clear" w:pos="1191"/>
          <w:tab w:val="clear" w:pos="1588"/>
          <w:tab w:val="clear" w:pos="1985"/>
          <w:tab w:val="left" w:pos="567"/>
          <w:tab w:val="left" w:pos="1134"/>
          <w:tab w:val="left" w:pos="1701"/>
          <w:tab w:val="left" w:pos="2268"/>
        </w:tabs>
        <w:spacing w:after="120"/>
        <w:ind w:left="567" w:hanging="567"/>
        <w:rPr>
          <w:rFonts w:cstheme="minorHAnsi"/>
          <w:szCs w:val="24"/>
        </w:rPr>
      </w:pPr>
      <w:r w:rsidRPr="006E3A1B">
        <w:rPr>
          <w:rFonts w:cstheme="minorHAnsi"/>
          <w:color w:val="000000"/>
        </w:rPr>
        <w:t>1.3</w:t>
      </w:r>
      <w:r w:rsidRPr="006E3A1B">
        <w:rPr>
          <w:rFonts w:cstheme="minorHAnsi"/>
          <w:color w:val="000000"/>
        </w:rPr>
        <w:tab/>
      </w:r>
      <w:r w:rsidR="006F57D2" w:rsidRPr="006E3A1B">
        <w:rPr>
          <w:rFonts w:cstheme="minorHAnsi"/>
          <w:szCs w:val="24"/>
        </w:rPr>
        <w:t xml:space="preserve">This document </w:t>
      </w:r>
      <w:r w:rsidR="00393264" w:rsidRPr="006E3A1B">
        <w:rPr>
          <w:rFonts w:cstheme="minorHAnsi"/>
          <w:szCs w:val="24"/>
        </w:rPr>
        <w:t xml:space="preserve">reports on </w:t>
      </w:r>
      <w:r w:rsidR="006F57D2" w:rsidRPr="006E3A1B">
        <w:rPr>
          <w:rFonts w:cstheme="minorHAnsi"/>
          <w:szCs w:val="24"/>
        </w:rPr>
        <w:t>BDT’s work since WTDC-22</w:t>
      </w:r>
      <w:r w:rsidR="00730717" w:rsidRPr="006E3A1B">
        <w:rPr>
          <w:rFonts w:cstheme="minorHAnsi"/>
          <w:szCs w:val="24"/>
        </w:rPr>
        <w:t xml:space="preserve"> to </w:t>
      </w:r>
      <w:r w:rsidR="00240F10" w:rsidRPr="006E3A1B">
        <w:rPr>
          <w:rFonts w:cstheme="minorHAnsi"/>
          <w:szCs w:val="24"/>
        </w:rPr>
        <w:t xml:space="preserve">complete implementation on the Buenos Aires Action Plan (BAAP) established </w:t>
      </w:r>
      <w:r w:rsidR="007874A1" w:rsidRPr="006E3A1B">
        <w:rPr>
          <w:rFonts w:cstheme="minorHAnsi"/>
          <w:szCs w:val="24"/>
        </w:rPr>
        <w:t xml:space="preserve">at WTDC-17, and to </w:t>
      </w:r>
      <w:r w:rsidR="00F72E6E" w:rsidRPr="006E3A1B">
        <w:rPr>
          <w:rFonts w:cstheme="minorHAnsi"/>
          <w:szCs w:val="24"/>
        </w:rPr>
        <w:t>plan the implementation of the KAP</w:t>
      </w:r>
      <w:r w:rsidR="006F57D2" w:rsidRPr="006E3A1B">
        <w:rPr>
          <w:rFonts w:cstheme="minorHAnsi"/>
          <w:szCs w:val="24"/>
        </w:rPr>
        <w:t xml:space="preserve">. </w:t>
      </w:r>
    </w:p>
    <w:p w14:paraId="03846F1F" w14:textId="2AABA338" w:rsidR="00A0792F" w:rsidRPr="006E3A1B" w:rsidRDefault="00A0792F" w:rsidP="00745FB4">
      <w:pPr>
        <w:keepNext/>
        <w:tabs>
          <w:tab w:val="clear" w:pos="794"/>
          <w:tab w:val="clear" w:pos="1191"/>
          <w:tab w:val="clear" w:pos="1588"/>
          <w:tab w:val="clear" w:pos="1985"/>
          <w:tab w:val="left" w:pos="567"/>
          <w:tab w:val="left" w:pos="1134"/>
          <w:tab w:val="left" w:pos="1701"/>
          <w:tab w:val="left" w:pos="2268"/>
        </w:tabs>
        <w:spacing w:before="200"/>
        <w:ind w:left="567" w:hanging="567"/>
        <w:rPr>
          <w:rFonts w:cstheme="minorHAnsi"/>
          <w:b/>
          <w:bCs/>
          <w:color w:val="000000"/>
        </w:rPr>
      </w:pPr>
      <w:r w:rsidRPr="006E3A1B">
        <w:rPr>
          <w:rFonts w:cstheme="minorHAnsi"/>
          <w:b/>
          <w:bCs/>
          <w:color w:val="000000"/>
        </w:rPr>
        <w:t>2.</w:t>
      </w:r>
      <w:r w:rsidRPr="006E3A1B">
        <w:rPr>
          <w:rFonts w:cstheme="minorHAnsi"/>
          <w:b/>
          <w:bCs/>
          <w:color w:val="000000"/>
        </w:rPr>
        <w:tab/>
      </w:r>
      <w:r w:rsidR="00373D70" w:rsidRPr="006E3A1B">
        <w:rPr>
          <w:rFonts w:cstheme="minorHAnsi"/>
          <w:b/>
          <w:bCs/>
          <w:color w:val="000000"/>
        </w:rPr>
        <w:t>April</w:t>
      </w:r>
      <w:r w:rsidR="004C41A7" w:rsidRPr="006E3A1B">
        <w:rPr>
          <w:rFonts w:cstheme="minorHAnsi"/>
          <w:b/>
          <w:bCs/>
          <w:color w:val="000000"/>
        </w:rPr>
        <w:t xml:space="preserve"> </w:t>
      </w:r>
      <w:r w:rsidR="00373D70" w:rsidRPr="006E3A1B">
        <w:rPr>
          <w:rFonts w:cstheme="minorHAnsi"/>
          <w:b/>
          <w:bCs/>
          <w:color w:val="000000"/>
        </w:rPr>
        <w:t>to</w:t>
      </w:r>
      <w:r w:rsidR="004C41A7" w:rsidRPr="006E3A1B">
        <w:rPr>
          <w:rFonts w:cstheme="minorHAnsi"/>
          <w:b/>
          <w:bCs/>
          <w:color w:val="000000"/>
        </w:rPr>
        <w:t xml:space="preserve"> December 2022: </w:t>
      </w:r>
      <w:r w:rsidR="00A7054A" w:rsidRPr="006E3A1B">
        <w:rPr>
          <w:rFonts w:cstheme="minorHAnsi"/>
          <w:b/>
          <w:bCs/>
          <w:color w:val="000000"/>
        </w:rPr>
        <w:t>Final</w:t>
      </w:r>
      <w:r w:rsidR="004C41A7" w:rsidRPr="006E3A1B">
        <w:rPr>
          <w:rFonts w:cstheme="minorHAnsi"/>
          <w:b/>
          <w:bCs/>
          <w:color w:val="000000"/>
        </w:rPr>
        <w:t xml:space="preserve"> </w:t>
      </w:r>
      <w:r w:rsidR="003014F2" w:rsidRPr="006E3A1B">
        <w:rPr>
          <w:rFonts w:cstheme="minorHAnsi"/>
          <w:b/>
          <w:bCs/>
          <w:color w:val="000000"/>
        </w:rPr>
        <w:t>i</w:t>
      </w:r>
      <w:r w:rsidR="004C41A7" w:rsidRPr="006E3A1B">
        <w:rPr>
          <w:rFonts w:cstheme="minorHAnsi"/>
          <w:b/>
          <w:bCs/>
          <w:color w:val="000000"/>
        </w:rPr>
        <w:t>mplementation of the Buenos Aires Action Plan (BAAP)</w:t>
      </w:r>
    </w:p>
    <w:p w14:paraId="6188E8E4" w14:textId="0B0E2B75" w:rsidR="00672398" w:rsidRPr="006E3A1B" w:rsidRDefault="009B490D" w:rsidP="00745FB4">
      <w:pPr>
        <w:tabs>
          <w:tab w:val="clear" w:pos="794"/>
          <w:tab w:val="clear" w:pos="1191"/>
          <w:tab w:val="clear" w:pos="1588"/>
          <w:tab w:val="clear" w:pos="1985"/>
          <w:tab w:val="left" w:pos="567"/>
          <w:tab w:val="left" w:pos="1134"/>
          <w:tab w:val="left" w:pos="1701"/>
          <w:tab w:val="left" w:pos="2268"/>
        </w:tabs>
        <w:spacing w:after="120"/>
        <w:rPr>
          <w:rFonts w:cstheme="minorHAnsi"/>
          <w:szCs w:val="24"/>
        </w:rPr>
      </w:pPr>
      <w:r w:rsidRPr="006E3A1B">
        <w:rPr>
          <w:rFonts w:cstheme="minorHAnsi"/>
          <w:color w:val="000000"/>
          <w:szCs w:val="24"/>
        </w:rPr>
        <w:t xml:space="preserve">At WTDC-22, </w:t>
      </w:r>
      <w:r w:rsidR="00373D70" w:rsidRPr="006E3A1B">
        <w:rPr>
          <w:rFonts w:cstheme="minorHAnsi"/>
          <w:color w:val="000000"/>
          <w:szCs w:val="24"/>
        </w:rPr>
        <w:t xml:space="preserve">the </w:t>
      </w:r>
      <w:r w:rsidRPr="006E3A1B">
        <w:rPr>
          <w:rFonts w:cstheme="minorHAnsi"/>
          <w:color w:val="000000"/>
          <w:szCs w:val="24"/>
        </w:rPr>
        <w:t xml:space="preserve">BDT </w:t>
      </w:r>
      <w:r w:rsidR="00373D70" w:rsidRPr="006E3A1B">
        <w:rPr>
          <w:rFonts w:cstheme="minorHAnsi"/>
          <w:color w:val="000000"/>
          <w:szCs w:val="24"/>
        </w:rPr>
        <w:t xml:space="preserve">Director submitted </w:t>
      </w:r>
      <w:r w:rsidRPr="006E3A1B">
        <w:rPr>
          <w:rFonts w:cstheme="minorHAnsi"/>
          <w:color w:val="000000"/>
          <w:szCs w:val="24"/>
        </w:rPr>
        <w:t xml:space="preserve">a report on the work done during the period from 2018 to </w:t>
      </w:r>
      <w:r w:rsidR="00373D70" w:rsidRPr="006E3A1B">
        <w:rPr>
          <w:rFonts w:cstheme="minorHAnsi"/>
          <w:color w:val="000000"/>
          <w:szCs w:val="24"/>
        </w:rPr>
        <w:t xml:space="preserve">April </w:t>
      </w:r>
      <w:r w:rsidRPr="006E3A1B">
        <w:rPr>
          <w:rFonts w:cstheme="minorHAnsi"/>
          <w:color w:val="000000"/>
          <w:szCs w:val="24"/>
        </w:rPr>
        <w:t>202</w:t>
      </w:r>
      <w:r w:rsidR="00A3480C" w:rsidRPr="006E3A1B">
        <w:rPr>
          <w:rFonts w:cstheme="minorHAnsi"/>
          <w:color w:val="000000"/>
          <w:szCs w:val="24"/>
        </w:rPr>
        <w:t>2</w:t>
      </w:r>
      <w:r w:rsidRPr="006E3A1B">
        <w:rPr>
          <w:rFonts w:cstheme="minorHAnsi"/>
          <w:color w:val="000000"/>
          <w:szCs w:val="24"/>
        </w:rPr>
        <w:t>, to implement the objectives set out in the BAAP</w:t>
      </w:r>
      <w:r w:rsidR="00373D70" w:rsidRPr="006E3A1B">
        <w:rPr>
          <w:rFonts w:cstheme="minorHAnsi"/>
          <w:color w:val="000000"/>
          <w:szCs w:val="24"/>
        </w:rPr>
        <w:t xml:space="preserve"> (WTDC-22, Document</w:t>
      </w:r>
      <w:r w:rsidR="00042BA6">
        <w:rPr>
          <w:rFonts w:cstheme="minorHAnsi"/>
          <w:color w:val="000000"/>
          <w:szCs w:val="24"/>
        </w:rPr>
        <w:t> </w:t>
      </w:r>
      <w:r w:rsidR="00373D70" w:rsidRPr="006E3A1B">
        <w:rPr>
          <w:rFonts w:cstheme="minorHAnsi"/>
          <w:color w:val="000000"/>
          <w:szCs w:val="24"/>
        </w:rPr>
        <w:t>2)</w:t>
      </w:r>
      <w:r w:rsidRPr="006E3A1B">
        <w:rPr>
          <w:rFonts w:cstheme="minorHAnsi"/>
          <w:color w:val="000000"/>
          <w:szCs w:val="24"/>
        </w:rPr>
        <w:t>.  BDT continued its work on the BAAP until 31 December 2022.</w:t>
      </w:r>
      <w:r w:rsidR="00672398" w:rsidRPr="006E3A1B">
        <w:rPr>
          <w:rFonts w:cstheme="minorHAnsi"/>
          <w:color w:val="000000"/>
          <w:szCs w:val="24"/>
        </w:rPr>
        <w:t xml:space="preserve"> </w:t>
      </w:r>
      <w:r w:rsidR="002B7923">
        <w:rPr>
          <w:rFonts w:cstheme="minorHAnsi"/>
          <w:color w:val="000000"/>
          <w:szCs w:val="24"/>
        </w:rPr>
        <w:t xml:space="preserve"> </w:t>
      </w:r>
      <w:r w:rsidRPr="006E3A1B">
        <w:rPr>
          <w:rFonts w:cstheme="minorHAnsi"/>
          <w:color w:val="000000"/>
          <w:szCs w:val="24"/>
        </w:rPr>
        <w:t xml:space="preserve">Addendum 1 to this document (see </w:t>
      </w:r>
      <w:r w:rsidR="006F57D2" w:rsidRPr="006E3A1B">
        <w:rPr>
          <w:rFonts w:cstheme="minorHAnsi"/>
          <w:color w:val="000000"/>
          <w:szCs w:val="24"/>
        </w:rPr>
        <w:t>TDAG Document 2</w:t>
      </w:r>
      <w:r w:rsidR="00BD337F">
        <w:rPr>
          <w:rFonts w:cstheme="minorHAnsi"/>
          <w:color w:val="000000"/>
          <w:szCs w:val="24"/>
        </w:rPr>
        <w:t>(</w:t>
      </w:r>
      <w:r w:rsidR="00672398" w:rsidRPr="006E3A1B">
        <w:rPr>
          <w:rFonts w:cstheme="minorHAnsi"/>
          <w:szCs w:val="24"/>
        </w:rPr>
        <w:t>Add</w:t>
      </w:r>
      <w:r w:rsidR="006F57D2" w:rsidRPr="006E3A1B">
        <w:rPr>
          <w:rFonts w:cstheme="minorHAnsi"/>
          <w:szCs w:val="24"/>
        </w:rPr>
        <w:t>.</w:t>
      </w:r>
      <w:r w:rsidR="00672398" w:rsidRPr="006E3A1B">
        <w:rPr>
          <w:rFonts w:cstheme="minorHAnsi"/>
          <w:szCs w:val="24"/>
        </w:rPr>
        <w:t>1</w:t>
      </w:r>
      <w:r w:rsidR="00BD337F">
        <w:rPr>
          <w:rFonts w:cstheme="minorHAnsi"/>
          <w:szCs w:val="24"/>
        </w:rPr>
        <w:t>)</w:t>
      </w:r>
      <w:r w:rsidRPr="006E3A1B">
        <w:rPr>
          <w:rFonts w:cstheme="minorHAnsi"/>
          <w:szCs w:val="24"/>
        </w:rPr>
        <w:t>)</w:t>
      </w:r>
      <w:r w:rsidR="00672398" w:rsidRPr="006E3A1B">
        <w:rPr>
          <w:rFonts w:cstheme="minorHAnsi"/>
          <w:szCs w:val="24"/>
        </w:rPr>
        <w:t xml:space="preserve"> provides an update to the </w:t>
      </w:r>
      <w:r w:rsidR="00EF398E" w:rsidRPr="006E3A1B">
        <w:rPr>
          <w:rFonts w:cstheme="minorHAnsi"/>
          <w:szCs w:val="24"/>
        </w:rPr>
        <w:t>r</w:t>
      </w:r>
      <w:r w:rsidR="00672398" w:rsidRPr="006E3A1B">
        <w:rPr>
          <w:rFonts w:cstheme="minorHAnsi"/>
          <w:szCs w:val="24"/>
        </w:rPr>
        <w:t>eport presented to WTDC-22 on the Implementation of BAAP</w:t>
      </w:r>
      <w:r w:rsidR="003949A0" w:rsidRPr="006E3A1B">
        <w:rPr>
          <w:rFonts w:cstheme="minorHAnsi"/>
          <w:szCs w:val="24"/>
        </w:rPr>
        <w:t>,</w:t>
      </w:r>
      <w:r w:rsidR="00672398" w:rsidRPr="006E3A1B">
        <w:rPr>
          <w:rFonts w:cstheme="minorHAnsi"/>
          <w:szCs w:val="24"/>
        </w:rPr>
        <w:t xml:space="preserve"> covering the work completed during the period from </w:t>
      </w:r>
      <w:r w:rsidR="003949A0" w:rsidRPr="006E3A1B">
        <w:rPr>
          <w:rFonts w:cstheme="minorHAnsi"/>
          <w:szCs w:val="24"/>
        </w:rPr>
        <w:t>May</w:t>
      </w:r>
      <w:r w:rsidR="00672398" w:rsidRPr="006E3A1B">
        <w:rPr>
          <w:rFonts w:cstheme="minorHAnsi"/>
          <w:szCs w:val="24"/>
        </w:rPr>
        <w:t xml:space="preserve"> 2022 to the end of the cycle covered by BAAP, on 31 December 2022.</w:t>
      </w:r>
    </w:p>
    <w:p w14:paraId="0D977800" w14:textId="57D68D01" w:rsidR="00C262B1" w:rsidRPr="006E3A1B" w:rsidRDefault="00C262B1" w:rsidP="00745FB4">
      <w:pPr>
        <w:keepNext/>
        <w:tabs>
          <w:tab w:val="clear" w:pos="794"/>
          <w:tab w:val="clear" w:pos="1191"/>
          <w:tab w:val="clear" w:pos="1588"/>
          <w:tab w:val="clear" w:pos="1985"/>
          <w:tab w:val="left" w:pos="567"/>
          <w:tab w:val="left" w:pos="1134"/>
          <w:tab w:val="left" w:pos="1701"/>
          <w:tab w:val="left" w:pos="2268"/>
        </w:tabs>
        <w:spacing w:before="200"/>
        <w:ind w:left="567" w:hanging="567"/>
        <w:rPr>
          <w:rFonts w:cstheme="minorHAnsi"/>
          <w:b/>
          <w:bCs/>
          <w:szCs w:val="24"/>
        </w:rPr>
      </w:pPr>
      <w:r w:rsidRPr="006E3A1B">
        <w:rPr>
          <w:rFonts w:cstheme="minorHAnsi"/>
          <w:b/>
          <w:bCs/>
          <w:szCs w:val="24"/>
        </w:rPr>
        <w:t>3.</w:t>
      </w:r>
      <w:r w:rsidRPr="006E3A1B">
        <w:rPr>
          <w:rFonts w:cstheme="minorHAnsi"/>
          <w:b/>
          <w:bCs/>
          <w:szCs w:val="24"/>
        </w:rPr>
        <w:tab/>
        <w:t>January to May 2023: Implementation of the Kigali Action Plan (KAP)</w:t>
      </w:r>
    </w:p>
    <w:p w14:paraId="22A587ED" w14:textId="0C633DD4" w:rsidR="00FE778E" w:rsidRPr="006E3A1B" w:rsidRDefault="001B711E" w:rsidP="00745FB4">
      <w:pPr>
        <w:tabs>
          <w:tab w:val="clear" w:pos="794"/>
          <w:tab w:val="clear" w:pos="1191"/>
          <w:tab w:val="clear" w:pos="1588"/>
          <w:tab w:val="clear" w:pos="1985"/>
          <w:tab w:val="left" w:pos="567"/>
          <w:tab w:val="left" w:pos="1134"/>
          <w:tab w:val="left" w:pos="1701"/>
          <w:tab w:val="left" w:pos="2268"/>
        </w:tabs>
        <w:spacing w:after="120"/>
        <w:rPr>
          <w:rFonts w:cstheme="minorBidi"/>
        </w:rPr>
      </w:pPr>
      <w:r w:rsidRPr="2D0F60D7">
        <w:rPr>
          <w:rFonts w:cstheme="minorBidi"/>
          <w:color w:val="000000"/>
        </w:rPr>
        <w:t>In January 2023</w:t>
      </w:r>
      <w:r w:rsidR="007C4318" w:rsidRPr="2D0F60D7">
        <w:rPr>
          <w:rFonts w:cstheme="minorBidi"/>
          <w:color w:val="000000"/>
        </w:rPr>
        <w:t>,</w:t>
      </w:r>
      <w:r w:rsidRPr="2D0F60D7">
        <w:rPr>
          <w:rFonts w:cstheme="minorBidi"/>
          <w:color w:val="000000"/>
        </w:rPr>
        <w:t xml:space="preserve"> </w:t>
      </w:r>
      <w:r w:rsidR="001F7C90" w:rsidRPr="2D0F60D7">
        <w:rPr>
          <w:rFonts w:cstheme="minorBidi"/>
          <w:color w:val="000000"/>
        </w:rPr>
        <w:t xml:space="preserve">BDT </w:t>
      </w:r>
      <w:r w:rsidRPr="2D0F60D7">
        <w:rPr>
          <w:rFonts w:cstheme="minorBidi"/>
          <w:color w:val="000000"/>
        </w:rPr>
        <w:t xml:space="preserve">commenced implementation </w:t>
      </w:r>
      <w:r w:rsidR="00672398" w:rsidRPr="2D0F60D7">
        <w:rPr>
          <w:rFonts w:cstheme="minorBidi"/>
          <w:color w:val="000000"/>
        </w:rPr>
        <w:t xml:space="preserve">of the Kigali Action Plan. </w:t>
      </w:r>
      <w:r w:rsidR="00672398" w:rsidRPr="006E3A1B">
        <w:rPr>
          <w:rStyle w:val="normaltextrun"/>
          <w:rFonts w:ascii="Calibri" w:hAnsi="Calibri" w:cs="Calibri"/>
          <w:color w:val="000000"/>
          <w:shd w:val="clear" w:color="auto" w:fill="FFFFFF"/>
          <w:lang w:val="en-US"/>
        </w:rPr>
        <w:t xml:space="preserve">The </w:t>
      </w:r>
      <w:r w:rsidR="009B02A4" w:rsidRPr="006E3A1B">
        <w:rPr>
          <w:rStyle w:val="normaltextrun"/>
          <w:rFonts w:ascii="Calibri" w:hAnsi="Calibri" w:cs="Calibri"/>
          <w:color w:val="000000"/>
          <w:shd w:val="clear" w:color="auto" w:fill="FFFFFF"/>
          <w:lang w:val="en-US"/>
        </w:rPr>
        <w:t xml:space="preserve">planning </w:t>
      </w:r>
      <w:r w:rsidR="00672398" w:rsidRPr="006E3A1B">
        <w:rPr>
          <w:rStyle w:val="normaltextrun"/>
          <w:rFonts w:ascii="Calibri" w:hAnsi="Calibri" w:cs="Calibri"/>
          <w:color w:val="000000"/>
          <w:shd w:val="clear" w:color="auto" w:fill="FFFFFF"/>
          <w:lang w:val="en-US"/>
        </w:rPr>
        <w:t xml:space="preserve">process and its outcomes </w:t>
      </w:r>
      <w:r w:rsidR="009B02A4" w:rsidRPr="006E3A1B">
        <w:rPr>
          <w:rStyle w:val="normaltextrun"/>
          <w:rFonts w:ascii="Calibri" w:hAnsi="Calibri" w:cs="Calibri"/>
          <w:color w:val="000000"/>
          <w:shd w:val="clear" w:color="auto" w:fill="FFFFFF"/>
          <w:lang w:val="en-US"/>
        </w:rPr>
        <w:t>is</w:t>
      </w:r>
      <w:r w:rsidR="00672398" w:rsidRPr="006E3A1B">
        <w:rPr>
          <w:rStyle w:val="normaltextrun"/>
          <w:rFonts w:ascii="Calibri" w:hAnsi="Calibri" w:cs="Calibri"/>
          <w:color w:val="000000"/>
          <w:shd w:val="clear" w:color="auto" w:fill="FFFFFF"/>
          <w:lang w:val="en-US"/>
        </w:rPr>
        <w:t xml:space="preserve"> set out in in detail in TDAG Document 2</w:t>
      </w:r>
      <w:r w:rsidR="0099504A">
        <w:rPr>
          <w:rStyle w:val="normaltextrun"/>
          <w:rFonts w:ascii="Calibri" w:hAnsi="Calibri" w:cs="Calibri"/>
          <w:color w:val="000000"/>
          <w:shd w:val="clear" w:color="auto" w:fill="FFFFFF"/>
          <w:lang w:val="en-US"/>
        </w:rPr>
        <w:t>(</w:t>
      </w:r>
      <w:r w:rsidR="00672398" w:rsidRPr="006E3A1B">
        <w:rPr>
          <w:rStyle w:val="normaltextrun"/>
          <w:rFonts w:ascii="Calibri" w:hAnsi="Calibri" w:cs="Calibri"/>
          <w:color w:val="000000"/>
          <w:shd w:val="clear" w:color="auto" w:fill="FFFFFF"/>
          <w:lang w:val="en-US"/>
        </w:rPr>
        <w:t>Add.2</w:t>
      </w:r>
      <w:r w:rsidR="0099504A">
        <w:rPr>
          <w:rStyle w:val="normaltextrun"/>
          <w:rFonts w:ascii="Calibri" w:hAnsi="Calibri" w:cs="Calibri"/>
          <w:color w:val="000000"/>
          <w:shd w:val="clear" w:color="auto" w:fill="FFFFFF"/>
          <w:lang w:val="en-US"/>
        </w:rPr>
        <w:t>)</w:t>
      </w:r>
      <w:r w:rsidR="00672398" w:rsidRPr="006E3A1B">
        <w:rPr>
          <w:rStyle w:val="normaltextrun"/>
          <w:rFonts w:ascii="Calibri" w:hAnsi="Calibri" w:cs="Calibri"/>
          <w:color w:val="000000"/>
          <w:shd w:val="clear" w:color="auto" w:fill="FFFFFF"/>
          <w:lang w:val="en-US"/>
        </w:rPr>
        <w:t xml:space="preserve"> and consisted of defining the framing principles for initiating action the plan, followed by extensive consultations and engagement at a BDT Executive Retreat in February 202</w:t>
      </w:r>
      <w:r w:rsidR="006E3A1B">
        <w:rPr>
          <w:rStyle w:val="normaltextrun"/>
          <w:rFonts w:ascii="Calibri" w:hAnsi="Calibri" w:cs="Calibri"/>
          <w:color w:val="000000"/>
          <w:shd w:val="clear" w:color="auto" w:fill="FFFFFF"/>
          <w:lang w:val="en-US"/>
        </w:rPr>
        <w:t xml:space="preserve">3 </w:t>
      </w:r>
      <w:r w:rsidR="006E3A1B" w:rsidRPr="006E3A1B">
        <w:rPr>
          <w:rStyle w:val="normaltextrun"/>
          <w:rFonts w:ascii="Calibri" w:hAnsi="Calibri" w:cs="Calibri"/>
          <w:color w:val="000000"/>
          <w:shd w:val="clear" w:color="auto" w:fill="FFFFFF"/>
          <w:lang w:val="en-US"/>
        </w:rPr>
        <w:t>(</w:t>
      </w:r>
      <w:r w:rsidR="0067248A">
        <w:rPr>
          <w:rStyle w:val="normaltextrun"/>
          <w:rFonts w:ascii="Calibri" w:hAnsi="Calibri" w:cs="Calibri"/>
          <w:color w:val="000000"/>
          <w:shd w:val="clear" w:color="auto" w:fill="FFFFFF"/>
          <w:lang w:val="en-US"/>
        </w:rPr>
        <w:t xml:space="preserve">Annex 1 in </w:t>
      </w:r>
      <w:r w:rsidR="006E3A1B" w:rsidRPr="006E3A1B">
        <w:rPr>
          <w:rStyle w:val="normaltextrun"/>
          <w:rFonts w:ascii="Calibri" w:hAnsi="Calibri" w:cs="Calibri"/>
          <w:color w:val="000000"/>
          <w:shd w:val="clear" w:color="auto" w:fill="FFFFFF"/>
          <w:lang w:val="en-US"/>
        </w:rPr>
        <w:t>Document 2</w:t>
      </w:r>
      <w:r w:rsidR="0067248A">
        <w:rPr>
          <w:rStyle w:val="normaltextrun"/>
          <w:rFonts w:ascii="Calibri" w:hAnsi="Calibri" w:cs="Calibri"/>
          <w:color w:val="000000"/>
          <w:shd w:val="clear" w:color="auto" w:fill="FFFFFF"/>
          <w:lang w:val="en-US"/>
        </w:rPr>
        <w:t>(Add.2)</w:t>
      </w:r>
      <w:r w:rsidR="006E3A1B" w:rsidRPr="006E3A1B">
        <w:rPr>
          <w:rStyle w:val="normaltextrun"/>
          <w:rFonts w:ascii="Calibri" w:hAnsi="Calibri" w:cs="Calibri"/>
          <w:color w:val="000000"/>
          <w:shd w:val="clear" w:color="auto" w:fill="FFFFFF"/>
          <w:lang w:val="en-US"/>
        </w:rPr>
        <w:t xml:space="preserve"> contains the report of the retreat)</w:t>
      </w:r>
      <w:r w:rsidR="006E3A1B">
        <w:rPr>
          <w:rStyle w:val="normaltextrun"/>
          <w:rFonts w:ascii="Calibri" w:hAnsi="Calibri" w:cs="Calibri"/>
          <w:color w:val="000000"/>
          <w:shd w:val="clear" w:color="auto" w:fill="FFFFFF"/>
          <w:lang w:val="en-US"/>
        </w:rPr>
        <w:t xml:space="preserve">. </w:t>
      </w:r>
      <w:r w:rsidR="38DA56A3">
        <w:t xml:space="preserve">TDAG is reminded that WTDC-22 requested that TDAG develop measurable Key Performance indicators for the outcomes set out in KAP. Consistent with this </w:t>
      </w:r>
      <w:r w:rsidR="272074F2">
        <w:t xml:space="preserve">and </w:t>
      </w:r>
      <w:proofErr w:type="gramStart"/>
      <w:r w:rsidR="272074F2">
        <w:t>taking into account</w:t>
      </w:r>
      <w:proofErr w:type="gramEnd"/>
      <w:r w:rsidR="272074F2">
        <w:t xml:space="preserve"> the work of the TDAG Working Group on the Strategic and Operational Plan, </w:t>
      </w:r>
      <w:r w:rsidR="38DA56A3">
        <w:t xml:space="preserve">the secretariat has prepared </w:t>
      </w:r>
      <w:r w:rsidR="115C456F">
        <w:t xml:space="preserve">and proposes </w:t>
      </w:r>
      <w:r w:rsidR="38DA56A3">
        <w:t xml:space="preserve">a set of KPIs which are available in Addendum 2.  </w:t>
      </w:r>
      <w:r w:rsidR="006F57D2" w:rsidRPr="006E3A1B">
        <w:rPr>
          <w:rStyle w:val="normaltextrun"/>
          <w:rFonts w:ascii="Calibri" w:hAnsi="Calibri" w:cs="Calibri"/>
          <w:color w:val="000000"/>
          <w:shd w:val="clear" w:color="auto" w:fill="FFFFFF"/>
          <w:lang w:val="en-US"/>
        </w:rPr>
        <w:t xml:space="preserve">This continued with efforts to </w:t>
      </w:r>
      <w:r w:rsidR="00672398" w:rsidRPr="006E3A1B">
        <w:rPr>
          <w:rStyle w:val="normaltextrun"/>
          <w:rFonts w:ascii="Calibri" w:hAnsi="Calibri" w:cs="Calibri"/>
          <w:color w:val="000000"/>
          <w:shd w:val="clear" w:color="auto" w:fill="FFFFFF"/>
          <w:lang w:val="en-US"/>
        </w:rPr>
        <w:t>ensur</w:t>
      </w:r>
      <w:r w:rsidR="006F57D2" w:rsidRPr="006E3A1B">
        <w:rPr>
          <w:rStyle w:val="normaltextrun"/>
          <w:rFonts w:ascii="Calibri" w:hAnsi="Calibri" w:cs="Calibri"/>
          <w:color w:val="000000"/>
          <w:shd w:val="clear" w:color="auto" w:fill="FFFFFF"/>
          <w:lang w:val="en-US"/>
        </w:rPr>
        <w:t>e</w:t>
      </w:r>
      <w:r w:rsidR="00672398" w:rsidRPr="006E3A1B">
        <w:rPr>
          <w:rStyle w:val="normaltextrun"/>
          <w:rFonts w:ascii="Calibri" w:hAnsi="Calibri" w:cs="Calibri"/>
          <w:color w:val="000000"/>
          <w:shd w:val="clear" w:color="auto" w:fill="FFFFFF"/>
          <w:lang w:val="en-US"/>
        </w:rPr>
        <w:t xml:space="preserve"> coherence across the board. The approval of the 2023 Operational Plan and budget were completed in March 2023</w:t>
      </w:r>
      <w:r w:rsidR="006F57D2" w:rsidRPr="006E3A1B">
        <w:rPr>
          <w:rStyle w:val="normaltextrun"/>
          <w:rFonts w:ascii="Calibri" w:hAnsi="Calibri" w:cs="Calibri"/>
          <w:color w:val="000000"/>
          <w:shd w:val="clear" w:color="auto" w:fill="FFFFFF"/>
          <w:lang w:val="en-US"/>
        </w:rPr>
        <w:t>, as part of overall outcomes for the four-year period 2023-2026</w:t>
      </w:r>
      <w:r w:rsidR="00672398" w:rsidRPr="006E3A1B">
        <w:rPr>
          <w:rStyle w:val="normaltextrun"/>
          <w:rFonts w:ascii="Calibri" w:hAnsi="Calibri" w:cs="Calibri"/>
          <w:color w:val="000000"/>
          <w:shd w:val="clear" w:color="auto" w:fill="FFFFFF"/>
          <w:lang w:val="en-US"/>
        </w:rPr>
        <w:t>. </w:t>
      </w:r>
      <w:r w:rsidR="00672398" w:rsidRPr="006E3A1B">
        <w:rPr>
          <w:rStyle w:val="eop"/>
          <w:rFonts w:ascii="Calibri" w:hAnsi="Calibri" w:cs="Calibri"/>
          <w:color w:val="000000"/>
          <w:shd w:val="clear" w:color="auto" w:fill="FFFFFF"/>
        </w:rPr>
        <w:t> </w:t>
      </w:r>
    </w:p>
    <w:p w14:paraId="6D6A761E" w14:textId="77777777" w:rsidR="00437AA3" w:rsidRPr="00B6273E" w:rsidRDefault="726F4D2F" w:rsidP="00745FB4">
      <w:pPr>
        <w:keepNext/>
        <w:tabs>
          <w:tab w:val="clear" w:pos="794"/>
          <w:tab w:val="clear" w:pos="1191"/>
          <w:tab w:val="clear" w:pos="1588"/>
          <w:tab w:val="clear" w:pos="1985"/>
          <w:tab w:val="left" w:pos="567"/>
          <w:tab w:val="left" w:pos="1134"/>
          <w:tab w:val="left" w:pos="1701"/>
          <w:tab w:val="left" w:pos="2268"/>
        </w:tabs>
        <w:spacing w:before="200"/>
        <w:ind w:left="567" w:hanging="567"/>
        <w:rPr>
          <w:rStyle w:val="eop"/>
          <w:rFonts w:ascii="Calibri" w:hAnsi="Calibri" w:cs="Calibri"/>
          <w:b/>
          <w:bCs/>
          <w:color w:val="000000" w:themeColor="text1"/>
        </w:rPr>
      </w:pPr>
      <w:r w:rsidRPr="00B6273E">
        <w:rPr>
          <w:rStyle w:val="eop"/>
          <w:rFonts w:ascii="Calibri" w:hAnsi="Calibri" w:cs="Calibri"/>
          <w:b/>
          <w:bCs/>
          <w:color w:val="000000" w:themeColor="text1"/>
        </w:rPr>
        <w:t>4.</w:t>
      </w:r>
      <w:r w:rsidR="00A974AC" w:rsidRPr="00B6273E">
        <w:rPr>
          <w:rStyle w:val="eop"/>
          <w:rFonts w:ascii="Calibri" w:hAnsi="Calibri" w:cs="Calibri"/>
          <w:b/>
          <w:bCs/>
          <w:color w:val="000000" w:themeColor="text1"/>
        </w:rPr>
        <w:tab/>
        <w:t>Conclusion</w:t>
      </w:r>
    </w:p>
    <w:p w14:paraId="1DFFCA58" w14:textId="65209693" w:rsidR="00A921EB" w:rsidRPr="006E3A1B" w:rsidRDefault="00A921EB" w:rsidP="00745FB4">
      <w:pPr>
        <w:tabs>
          <w:tab w:val="clear" w:pos="794"/>
          <w:tab w:val="clear" w:pos="1191"/>
          <w:tab w:val="clear" w:pos="1588"/>
          <w:tab w:val="clear" w:pos="1985"/>
          <w:tab w:val="left" w:pos="567"/>
          <w:tab w:val="left" w:pos="1134"/>
          <w:tab w:val="left" w:pos="1701"/>
          <w:tab w:val="left" w:pos="2268"/>
        </w:tabs>
        <w:spacing w:after="120"/>
        <w:ind w:left="567" w:hanging="567"/>
      </w:pPr>
      <w:r w:rsidRPr="006E3A1B">
        <w:rPr>
          <w:rStyle w:val="eop"/>
          <w:rFonts w:ascii="Calibri" w:hAnsi="Calibri" w:cs="Calibri"/>
          <w:color w:val="000000" w:themeColor="text1"/>
        </w:rPr>
        <w:t>4.1</w:t>
      </w:r>
      <w:r w:rsidRPr="006E3A1B">
        <w:rPr>
          <w:rStyle w:val="eop"/>
          <w:rFonts w:ascii="Calibri" w:hAnsi="Calibri" w:cs="Calibri"/>
          <w:color w:val="000000" w:themeColor="text1"/>
        </w:rPr>
        <w:tab/>
      </w:r>
      <w:r w:rsidR="00252D31" w:rsidRPr="006E3A1B">
        <w:t>TDAG is invited to review and note the reporting on the implementation of the BAAP</w:t>
      </w:r>
      <w:r w:rsidR="00E638BB" w:rsidRPr="006E3A1B">
        <w:t xml:space="preserve"> set out in Addendum 1</w:t>
      </w:r>
      <w:r w:rsidR="00252D31" w:rsidRPr="006E3A1B">
        <w:t xml:space="preserve">. </w:t>
      </w:r>
    </w:p>
    <w:p w14:paraId="5046E60D" w14:textId="51C7CAFB" w:rsidR="00A921EB" w:rsidRPr="006E3A1B" w:rsidRDefault="00A921EB" w:rsidP="00745FB4">
      <w:pPr>
        <w:tabs>
          <w:tab w:val="clear" w:pos="794"/>
          <w:tab w:val="clear" w:pos="1191"/>
          <w:tab w:val="clear" w:pos="1588"/>
          <w:tab w:val="clear" w:pos="1985"/>
          <w:tab w:val="left" w:pos="567"/>
          <w:tab w:val="left" w:pos="1134"/>
          <w:tab w:val="left" w:pos="1701"/>
          <w:tab w:val="left" w:pos="2268"/>
        </w:tabs>
        <w:spacing w:after="120"/>
        <w:ind w:left="567" w:hanging="567"/>
      </w:pPr>
      <w:r w:rsidRPr="2D0F60D7">
        <w:rPr>
          <w:rStyle w:val="eop"/>
          <w:rFonts w:ascii="Calibri" w:hAnsi="Calibri" w:cs="Calibri"/>
          <w:color w:val="000000" w:themeColor="text1"/>
        </w:rPr>
        <w:t>4.2</w:t>
      </w:r>
      <w:r>
        <w:tab/>
      </w:r>
      <w:r w:rsidR="00252D31">
        <w:t xml:space="preserve">TDAG is reminded that WTDC-22 </w:t>
      </w:r>
      <w:r>
        <w:t>requested that TDAG develop measurable Key Performance indicators for the outcomes set out in KAP. Accordingly, TDAG is asked to review</w:t>
      </w:r>
      <w:r w:rsidR="00252D31">
        <w:t xml:space="preserve"> the Key Performance Indicators described in Addendum 2, </w:t>
      </w:r>
      <w:r>
        <w:t>and to advise as appropriate and endorse</w:t>
      </w:r>
      <w:r w:rsidR="00252D31">
        <w:t>.</w:t>
      </w:r>
    </w:p>
    <w:p w14:paraId="0546561C" w14:textId="72321233" w:rsidR="00FE778E" w:rsidRDefault="00A921EB" w:rsidP="00745FB4">
      <w:pPr>
        <w:tabs>
          <w:tab w:val="clear" w:pos="794"/>
          <w:tab w:val="clear" w:pos="1191"/>
          <w:tab w:val="clear" w:pos="1588"/>
          <w:tab w:val="clear" w:pos="1985"/>
          <w:tab w:val="left" w:pos="567"/>
          <w:tab w:val="left" w:pos="1134"/>
          <w:tab w:val="left" w:pos="1701"/>
          <w:tab w:val="left" w:pos="2268"/>
        </w:tabs>
        <w:spacing w:after="120"/>
        <w:ind w:left="567" w:hanging="567"/>
        <w:rPr>
          <w:rStyle w:val="eop"/>
          <w:rFonts w:ascii="Calibri" w:hAnsi="Calibri" w:cs="Calibri"/>
          <w:color w:val="000000" w:themeColor="text1"/>
        </w:rPr>
      </w:pPr>
      <w:r w:rsidRPr="006E3A1B">
        <w:rPr>
          <w:rStyle w:val="eop"/>
          <w:rFonts w:ascii="Calibri" w:hAnsi="Calibri" w:cs="Calibri"/>
          <w:color w:val="000000" w:themeColor="text1"/>
        </w:rPr>
        <w:t>4.3</w:t>
      </w:r>
      <w:r w:rsidRPr="006E3A1B">
        <w:rPr>
          <w:rStyle w:val="eop"/>
          <w:rFonts w:ascii="Calibri" w:hAnsi="Calibri" w:cs="Calibri"/>
          <w:color w:val="000000" w:themeColor="text1"/>
        </w:rPr>
        <w:tab/>
      </w:r>
      <w:r w:rsidR="009B02A4" w:rsidRPr="006E3A1B">
        <w:rPr>
          <w:rStyle w:val="eop"/>
          <w:rFonts w:ascii="Calibri" w:hAnsi="Calibri" w:cs="Calibri"/>
          <w:color w:val="000000" w:themeColor="text1"/>
        </w:rPr>
        <w:t>The</w:t>
      </w:r>
      <w:r w:rsidR="007E5722" w:rsidRPr="006E3A1B">
        <w:rPr>
          <w:rStyle w:val="eop"/>
          <w:rFonts w:ascii="Calibri" w:hAnsi="Calibri" w:cs="Calibri"/>
          <w:color w:val="000000" w:themeColor="text1"/>
        </w:rPr>
        <w:t xml:space="preserve"> implementation of KAP will continue over the </w:t>
      </w:r>
      <w:r w:rsidR="00E638BB" w:rsidRPr="006E3A1B">
        <w:rPr>
          <w:rStyle w:val="eop"/>
          <w:rFonts w:ascii="Calibri" w:hAnsi="Calibri" w:cs="Calibri"/>
          <w:color w:val="000000" w:themeColor="text1"/>
        </w:rPr>
        <w:t>four-year</w:t>
      </w:r>
      <w:r w:rsidR="007E5722" w:rsidRPr="006E3A1B">
        <w:rPr>
          <w:rStyle w:val="eop"/>
          <w:rFonts w:ascii="Calibri" w:hAnsi="Calibri" w:cs="Calibri"/>
          <w:color w:val="000000" w:themeColor="text1"/>
        </w:rPr>
        <w:t xml:space="preserve"> period </w:t>
      </w:r>
      <w:r w:rsidR="00E638BB" w:rsidRPr="006E3A1B">
        <w:rPr>
          <w:rStyle w:val="eop"/>
          <w:rFonts w:ascii="Calibri" w:hAnsi="Calibri" w:cs="Calibri"/>
          <w:color w:val="000000" w:themeColor="text1"/>
        </w:rPr>
        <w:t xml:space="preserve">from 2023 through </w:t>
      </w:r>
      <w:r w:rsidR="00252D31" w:rsidRPr="006E3A1B">
        <w:rPr>
          <w:rStyle w:val="eop"/>
          <w:rFonts w:ascii="Calibri" w:hAnsi="Calibri" w:cs="Calibri"/>
          <w:color w:val="000000" w:themeColor="text1"/>
        </w:rPr>
        <w:t xml:space="preserve">2026, and the </w:t>
      </w:r>
      <w:r w:rsidRPr="006E3A1B">
        <w:rPr>
          <w:rStyle w:val="eop"/>
          <w:rFonts w:ascii="Calibri" w:hAnsi="Calibri" w:cs="Calibri"/>
          <w:color w:val="000000" w:themeColor="text1"/>
        </w:rPr>
        <w:t xml:space="preserve">Director </w:t>
      </w:r>
      <w:r w:rsidR="00E638BB" w:rsidRPr="006E3A1B">
        <w:rPr>
          <w:rStyle w:val="eop"/>
          <w:rFonts w:ascii="Calibri" w:hAnsi="Calibri" w:cs="Calibri"/>
          <w:color w:val="000000" w:themeColor="text1"/>
        </w:rPr>
        <w:t xml:space="preserve">of </w:t>
      </w:r>
      <w:r w:rsidRPr="006E3A1B">
        <w:rPr>
          <w:rStyle w:val="eop"/>
          <w:rFonts w:ascii="Calibri" w:hAnsi="Calibri" w:cs="Calibri"/>
          <w:color w:val="000000" w:themeColor="text1"/>
        </w:rPr>
        <w:t>BDT</w:t>
      </w:r>
      <w:r w:rsidR="00252D31" w:rsidRPr="006E3A1B">
        <w:rPr>
          <w:rStyle w:val="eop"/>
          <w:rFonts w:ascii="Calibri" w:hAnsi="Calibri" w:cs="Calibri"/>
          <w:color w:val="000000" w:themeColor="text1"/>
        </w:rPr>
        <w:t xml:space="preserve"> will continue to report to TDAG on the status of implementation based on </w:t>
      </w:r>
      <w:r w:rsidRPr="006E3A1B">
        <w:rPr>
          <w:rStyle w:val="eop"/>
          <w:rFonts w:ascii="Calibri" w:hAnsi="Calibri" w:cs="Calibri"/>
          <w:color w:val="000000" w:themeColor="text1"/>
        </w:rPr>
        <w:t>the approved</w:t>
      </w:r>
      <w:r w:rsidR="00252D31" w:rsidRPr="006E3A1B">
        <w:rPr>
          <w:rStyle w:val="eop"/>
          <w:rFonts w:ascii="Calibri" w:hAnsi="Calibri" w:cs="Calibri"/>
          <w:color w:val="000000" w:themeColor="text1"/>
        </w:rPr>
        <w:t xml:space="preserve"> indicators.</w:t>
      </w:r>
      <w:r w:rsidR="00252D31">
        <w:rPr>
          <w:rStyle w:val="eop"/>
          <w:rFonts w:ascii="Calibri" w:hAnsi="Calibri" w:cs="Calibri"/>
          <w:color w:val="000000" w:themeColor="text1"/>
        </w:rPr>
        <w:t xml:space="preserve"> </w:t>
      </w:r>
    </w:p>
    <w:p w14:paraId="7AF096D8" w14:textId="487ED7F7" w:rsidR="005C4974" w:rsidRPr="00A921EB" w:rsidRDefault="005C4974" w:rsidP="00745FB4">
      <w:pPr>
        <w:tabs>
          <w:tab w:val="clear" w:pos="794"/>
          <w:tab w:val="clear" w:pos="1191"/>
          <w:tab w:val="clear" w:pos="1588"/>
          <w:tab w:val="clear" w:pos="1985"/>
        </w:tabs>
        <w:spacing w:before="0"/>
        <w:ind w:left="567" w:hanging="567"/>
        <w:jc w:val="center"/>
        <w:rPr>
          <w:rStyle w:val="eop"/>
        </w:rPr>
      </w:pPr>
      <w:r>
        <w:rPr>
          <w:rStyle w:val="eop"/>
          <w:rFonts w:ascii="Calibri" w:hAnsi="Calibri" w:cs="Calibri"/>
          <w:color w:val="000000" w:themeColor="text1"/>
        </w:rPr>
        <w:t>________________</w:t>
      </w:r>
    </w:p>
    <w:sectPr w:rsidR="005C4974" w:rsidRPr="00A921EB"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D3CAE" w14:textId="77777777" w:rsidR="004C3EC0" w:rsidRDefault="004C3EC0">
      <w:r>
        <w:separator/>
      </w:r>
    </w:p>
  </w:endnote>
  <w:endnote w:type="continuationSeparator" w:id="0">
    <w:p w14:paraId="69B1FE74" w14:textId="77777777" w:rsidR="004C3EC0" w:rsidRDefault="004C3EC0">
      <w:r>
        <w:continuationSeparator/>
      </w:r>
    </w:p>
  </w:endnote>
  <w:endnote w:type="continuationNotice" w:id="1">
    <w:p w14:paraId="5B3BB493" w14:textId="77777777" w:rsidR="004C3EC0" w:rsidRDefault="004C3E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C50761" w:rsidRPr="004D495C" w14:paraId="6F4C50AF" w14:textId="77777777" w:rsidTr="0064453A">
      <w:tc>
        <w:tcPr>
          <w:tcW w:w="1432" w:type="dxa"/>
          <w:tcBorders>
            <w:top w:val="single" w:sz="4" w:space="0" w:color="000000"/>
          </w:tcBorders>
          <w:shd w:val="clear" w:color="auto" w:fill="auto"/>
        </w:tcPr>
        <w:p w14:paraId="70F25D76" w14:textId="77777777" w:rsidR="00C50761" w:rsidRPr="004D495C" w:rsidRDefault="00C50761" w:rsidP="00C50761">
          <w:pPr>
            <w:pStyle w:val="FirstFooter"/>
            <w:tabs>
              <w:tab w:val="left" w:pos="1559"/>
              <w:tab w:val="left" w:pos="3828"/>
            </w:tabs>
            <w:spacing w:before="0"/>
            <w:rPr>
              <w:sz w:val="18"/>
              <w:szCs w:val="18"/>
            </w:rPr>
          </w:pPr>
          <w:proofErr w:type="gramStart"/>
          <w:r w:rsidRPr="004D495C">
            <w:rPr>
              <w:sz w:val="18"/>
              <w:szCs w:val="18"/>
            </w:rPr>
            <w:t>Contact:</w:t>
          </w:r>
          <w:proofErr w:type="gramEnd"/>
        </w:p>
      </w:tc>
      <w:tc>
        <w:tcPr>
          <w:tcW w:w="2250" w:type="dxa"/>
          <w:tcBorders>
            <w:top w:val="single" w:sz="4" w:space="0" w:color="000000"/>
          </w:tcBorders>
          <w:shd w:val="clear" w:color="auto" w:fill="auto"/>
        </w:tcPr>
        <w:p w14:paraId="1CF86FFB" w14:textId="77777777" w:rsidR="00C50761" w:rsidRPr="004D495C" w:rsidRDefault="00C50761" w:rsidP="00C50761">
          <w:pPr>
            <w:pStyle w:val="FirstFooter"/>
            <w:tabs>
              <w:tab w:val="left" w:pos="2302"/>
            </w:tabs>
            <w:spacing w:before="0"/>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proofErr w:type="gramStart"/>
          <w:r w:rsidRPr="004D495C">
            <w:rPr>
              <w:sz w:val="18"/>
              <w:szCs w:val="18"/>
            </w:rPr>
            <w:t>Entity</w:t>
          </w:r>
          <w:proofErr w:type="spellEnd"/>
          <w:r w:rsidRPr="004D495C">
            <w:rPr>
              <w:sz w:val="18"/>
              <w:szCs w:val="18"/>
            </w:rPr>
            <w:t>:</w:t>
          </w:r>
          <w:proofErr w:type="gramEnd"/>
        </w:p>
      </w:tc>
      <w:tc>
        <w:tcPr>
          <w:tcW w:w="5958" w:type="dxa"/>
          <w:tcBorders>
            <w:top w:val="single" w:sz="4" w:space="0" w:color="000000"/>
          </w:tcBorders>
        </w:tcPr>
        <w:p w14:paraId="01ECAA42" w14:textId="77777777" w:rsidR="00C50761" w:rsidRPr="003F4270" w:rsidRDefault="00C50761" w:rsidP="00C50761">
          <w:pPr>
            <w:pStyle w:val="FirstFooter"/>
            <w:tabs>
              <w:tab w:val="left" w:pos="2302"/>
            </w:tabs>
            <w:spacing w:before="0"/>
            <w:rPr>
              <w:sz w:val="18"/>
              <w:szCs w:val="18"/>
              <w:highlight w:val="yellow"/>
              <w:lang w:val="en-GB"/>
            </w:rPr>
          </w:pPr>
          <w:r w:rsidRPr="003F4270">
            <w:rPr>
              <w:sz w:val="18"/>
              <w:szCs w:val="18"/>
              <w:lang w:val="en-GB"/>
            </w:rPr>
            <w:t>Mr Stephen Bereaux, Deputy to the Director, Telecommunication Development Bureau</w:t>
          </w:r>
        </w:p>
      </w:tc>
      <w:bookmarkStart w:id="7" w:name="OrgName"/>
      <w:bookmarkEnd w:id="7"/>
    </w:tr>
    <w:tr w:rsidR="00C50761" w:rsidRPr="004D495C" w14:paraId="351590AA" w14:textId="77777777" w:rsidTr="0064453A">
      <w:tc>
        <w:tcPr>
          <w:tcW w:w="1432" w:type="dxa"/>
          <w:shd w:val="clear" w:color="auto" w:fill="auto"/>
        </w:tcPr>
        <w:p w14:paraId="5DC037F2" w14:textId="77777777" w:rsidR="00C50761" w:rsidRPr="003F4270" w:rsidRDefault="00C50761" w:rsidP="00C50761">
          <w:pPr>
            <w:pStyle w:val="FirstFooter"/>
            <w:tabs>
              <w:tab w:val="left" w:pos="1559"/>
              <w:tab w:val="left" w:pos="3828"/>
            </w:tabs>
            <w:spacing w:before="0"/>
            <w:rPr>
              <w:sz w:val="20"/>
              <w:lang w:val="en-GB"/>
            </w:rPr>
          </w:pPr>
        </w:p>
      </w:tc>
      <w:tc>
        <w:tcPr>
          <w:tcW w:w="2250" w:type="dxa"/>
          <w:shd w:val="clear" w:color="auto" w:fill="auto"/>
        </w:tcPr>
        <w:p w14:paraId="322F1EC0" w14:textId="77777777" w:rsidR="00C50761" w:rsidRPr="004D495C" w:rsidRDefault="00C50761" w:rsidP="00C50761">
          <w:pPr>
            <w:pStyle w:val="FirstFooter"/>
            <w:tabs>
              <w:tab w:val="left" w:pos="2302"/>
            </w:tabs>
            <w:spacing w:before="0"/>
            <w:rPr>
              <w:sz w:val="18"/>
              <w:szCs w:val="18"/>
            </w:rPr>
          </w:pPr>
          <w:r w:rsidRPr="004D495C">
            <w:rPr>
              <w:sz w:val="18"/>
              <w:szCs w:val="18"/>
            </w:rPr>
            <w:t xml:space="preserve">Phone </w:t>
          </w:r>
          <w:proofErr w:type="spellStart"/>
          <w:proofErr w:type="gramStart"/>
          <w:r w:rsidRPr="004D495C">
            <w:rPr>
              <w:sz w:val="18"/>
              <w:szCs w:val="18"/>
            </w:rPr>
            <w:t>number</w:t>
          </w:r>
          <w:proofErr w:type="spellEnd"/>
          <w:r w:rsidRPr="004D495C">
            <w:rPr>
              <w:sz w:val="18"/>
              <w:szCs w:val="18"/>
            </w:rPr>
            <w:t>:</w:t>
          </w:r>
          <w:proofErr w:type="gramEnd"/>
        </w:p>
      </w:tc>
      <w:tc>
        <w:tcPr>
          <w:tcW w:w="5958" w:type="dxa"/>
        </w:tcPr>
        <w:p w14:paraId="54BB6B70" w14:textId="77777777" w:rsidR="00C50761" w:rsidRPr="004D495C" w:rsidRDefault="00C50761" w:rsidP="00C50761">
          <w:pPr>
            <w:pStyle w:val="FirstFooter"/>
            <w:tabs>
              <w:tab w:val="left" w:pos="2302"/>
            </w:tabs>
            <w:spacing w:before="0"/>
            <w:rPr>
              <w:sz w:val="18"/>
              <w:szCs w:val="18"/>
              <w:highlight w:val="yellow"/>
            </w:rPr>
          </w:pPr>
          <w:r w:rsidRPr="00523FA7">
            <w:rPr>
              <w:sz w:val="18"/>
              <w:szCs w:val="18"/>
            </w:rPr>
            <w:t>+</w:t>
          </w:r>
          <w:r w:rsidRPr="00D934D7">
            <w:rPr>
              <w:sz w:val="18"/>
              <w:szCs w:val="18"/>
            </w:rPr>
            <w:t>41 22 730 5131</w:t>
          </w:r>
        </w:p>
      </w:tc>
      <w:bookmarkStart w:id="8" w:name="PhoneNo"/>
      <w:bookmarkEnd w:id="8"/>
    </w:tr>
    <w:tr w:rsidR="00C50761" w:rsidRPr="004D495C" w14:paraId="754A4F72" w14:textId="77777777" w:rsidTr="0064453A">
      <w:tc>
        <w:tcPr>
          <w:tcW w:w="1432" w:type="dxa"/>
          <w:shd w:val="clear" w:color="auto" w:fill="auto"/>
        </w:tcPr>
        <w:p w14:paraId="175B8F98" w14:textId="77777777" w:rsidR="00C50761" w:rsidRPr="004D495C" w:rsidRDefault="00C50761" w:rsidP="00C50761">
          <w:pPr>
            <w:pStyle w:val="FirstFooter"/>
            <w:tabs>
              <w:tab w:val="left" w:pos="1559"/>
              <w:tab w:val="left" w:pos="3828"/>
            </w:tabs>
            <w:spacing w:before="0"/>
            <w:rPr>
              <w:sz w:val="20"/>
            </w:rPr>
          </w:pPr>
        </w:p>
      </w:tc>
      <w:tc>
        <w:tcPr>
          <w:tcW w:w="2250" w:type="dxa"/>
          <w:shd w:val="clear" w:color="auto" w:fill="auto"/>
        </w:tcPr>
        <w:p w14:paraId="2EA078C9" w14:textId="77777777" w:rsidR="00C50761" w:rsidRPr="004D495C" w:rsidRDefault="00C50761" w:rsidP="00C50761">
          <w:pPr>
            <w:pStyle w:val="FirstFooter"/>
            <w:tabs>
              <w:tab w:val="left" w:pos="2302"/>
            </w:tabs>
            <w:spacing w:before="0"/>
            <w:rPr>
              <w:sz w:val="18"/>
              <w:szCs w:val="18"/>
            </w:rPr>
          </w:pPr>
          <w:proofErr w:type="gramStart"/>
          <w:r w:rsidRPr="004D495C">
            <w:rPr>
              <w:sz w:val="18"/>
              <w:szCs w:val="18"/>
            </w:rPr>
            <w:t>E-mail:</w:t>
          </w:r>
          <w:proofErr w:type="gramEnd"/>
        </w:p>
      </w:tc>
      <w:tc>
        <w:tcPr>
          <w:tcW w:w="5958" w:type="dxa"/>
        </w:tcPr>
        <w:p w14:paraId="5D468432" w14:textId="77777777" w:rsidR="00C50761" w:rsidRPr="004D495C" w:rsidRDefault="003F0E7B" w:rsidP="00C50761">
          <w:pPr>
            <w:pStyle w:val="FirstFooter"/>
            <w:tabs>
              <w:tab w:val="left" w:pos="2302"/>
            </w:tabs>
            <w:spacing w:before="0"/>
            <w:rPr>
              <w:sz w:val="18"/>
              <w:szCs w:val="18"/>
              <w:highlight w:val="yellow"/>
            </w:rPr>
          </w:pPr>
          <w:hyperlink r:id="rId1" w:history="1">
            <w:r w:rsidR="00C50761" w:rsidRPr="00D934D7">
              <w:rPr>
                <w:rStyle w:val="Hyperlink"/>
                <w:sz w:val="18"/>
                <w:szCs w:val="22"/>
              </w:rPr>
              <w:t>stephen.bereaux@itu.int</w:t>
            </w:r>
          </w:hyperlink>
          <w:r w:rsidR="00C50761" w:rsidRPr="00D934D7">
            <w:rPr>
              <w:sz w:val="18"/>
              <w:szCs w:val="22"/>
            </w:rPr>
            <w:t xml:space="preserve"> </w:t>
          </w:r>
        </w:p>
      </w:tc>
      <w:bookmarkStart w:id="9" w:name="Email"/>
      <w:bookmarkEnd w:id="9"/>
    </w:tr>
  </w:tbl>
  <w:p w14:paraId="3ED6CE16" w14:textId="77777777" w:rsidR="00C50761" w:rsidRDefault="00C50761" w:rsidP="00C50761">
    <w:pPr>
      <w:pStyle w:val="Footer"/>
      <w:jc w:val="center"/>
      <w:rPr>
        <w:lang w:val="en-GB"/>
      </w:rPr>
    </w:pPr>
  </w:p>
  <w:p w14:paraId="40A321D0" w14:textId="6F0313B3" w:rsidR="00721657" w:rsidRPr="00D3552C" w:rsidRDefault="003F0E7B" w:rsidP="00C50761">
    <w:pPr>
      <w:pStyle w:val="Footer"/>
      <w:jc w:val="center"/>
    </w:pPr>
    <w:hyperlink r:id="rId2" w:history="1">
      <w:r w:rsidR="00C50761">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DD042" w14:textId="77777777" w:rsidR="004C3EC0" w:rsidRDefault="004C3EC0">
      <w:r>
        <w:t>____________________</w:t>
      </w:r>
    </w:p>
  </w:footnote>
  <w:footnote w:type="continuationSeparator" w:id="0">
    <w:p w14:paraId="5AA392A8" w14:textId="77777777" w:rsidR="004C3EC0" w:rsidRDefault="004C3EC0">
      <w:r>
        <w:continuationSeparator/>
      </w:r>
    </w:p>
  </w:footnote>
  <w:footnote w:type="continuationNotice" w:id="1">
    <w:p w14:paraId="777913EC" w14:textId="77777777" w:rsidR="004C3EC0" w:rsidRDefault="004C3EC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3737D31B"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FE778E">
      <w:rPr>
        <w:sz w:val="22"/>
        <w:szCs w:val="22"/>
        <w:lang w:val="de-CH"/>
      </w:rPr>
      <w:t>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3AFC"/>
    <w:multiLevelType w:val="hybridMultilevel"/>
    <w:tmpl w:val="316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B750A"/>
    <w:multiLevelType w:val="hybridMultilevel"/>
    <w:tmpl w:val="B678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4" w15:restartNumberingAfterBreak="0">
    <w:nsid w:val="265D0398"/>
    <w:multiLevelType w:val="hybridMultilevel"/>
    <w:tmpl w:val="0FD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05418F"/>
    <w:multiLevelType w:val="hybridMultilevel"/>
    <w:tmpl w:val="7D72FA48"/>
    <w:lvl w:ilvl="0" w:tplc="BC8496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402A0"/>
    <w:multiLevelType w:val="hybridMultilevel"/>
    <w:tmpl w:val="89D8B1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5A9675E3"/>
    <w:multiLevelType w:val="hybridMultilevel"/>
    <w:tmpl w:val="A546F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9B294E"/>
    <w:multiLevelType w:val="hybridMultilevel"/>
    <w:tmpl w:val="2F541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E555DB"/>
    <w:multiLevelType w:val="hybridMultilevel"/>
    <w:tmpl w:val="EFE2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381AE6"/>
    <w:multiLevelType w:val="hybridMultilevel"/>
    <w:tmpl w:val="2F1498DC"/>
    <w:lvl w:ilvl="0" w:tplc="BC8496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11E03"/>
    <w:multiLevelType w:val="hybridMultilevel"/>
    <w:tmpl w:val="3ACE3EE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1C4F54"/>
    <w:multiLevelType w:val="hybridMultilevel"/>
    <w:tmpl w:val="2D3E1A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2"/>
  </w:num>
  <w:num w:numId="2">
    <w:abstractNumId w:val="3"/>
  </w:num>
  <w:num w:numId="3">
    <w:abstractNumId w:val="16"/>
  </w:num>
  <w:num w:numId="4">
    <w:abstractNumId w:val="5"/>
  </w:num>
  <w:num w:numId="5">
    <w:abstractNumId w:val="8"/>
  </w:num>
  <w:num w:numId="6">
    <w:abstractNumId w:val="0"/>
  </w:num>
  <w:num w:numId="7">
    <w:abstractNumId w:val="13"/>
  </w:num>
  <w:num w:numId="8">
    <w:abstractNumId w:val="9"/>
  </w:num>
  <w:num w:numId="9">
    <w:abstractNumId w:val="11"/>
  </w:num>
  <w:num w:numId="10">
    <w:abstractNumId w:val="2"/>
  </w:num>
  <w:num w:numId="11">
    <w:abstractNumId w:val="4"/>
  </w:num>
  <w:num w:numId="12">
    <w:abstractNumId w:val="1"/>
  </w:num>
  <w:num w:numId="13">
    <w:abstractNumId w:val="6"/>
  </w:num>
  <w:num w:numId="14">
    <w:abstractNumId w:val="14"/>
  </w:num>
  <w:num w:numId="15">
    <w:abstractNumId w:val="7"/>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5F73"/>
    <w:rsid w:val="00010827"/>
    <w:rsid w:val="00015089"/>
    <w:rsid w:val="0001616E"/>
    <w:rsid w:val="0001795B"/>
    <w:rsid w:val="0002520B"/>
    <w:rsid w:val="00037A9E"/>
    <w:rsid w:val="00037F91"/>
    <w:rsid w:val="00042BA6"/>
    <w:rsid w:val="00050989"/>
    <w:rsid w:val="0005330E"/>
    <w:rsid w:val="000539F1"/>
    <w:rsid w:val="00054747"/>
    <w:rsid w:val="00055A2A"/>
    <w:rsid w:val="00060648"/>
    <w:rsid w:val="000615C1"/>
    <w:rsid w:val="00061675"/>
    <w:rsid w:val="00063A13"/>
    <w:rsid w:val="000743AA"/>
    <w:rsid w:val="00077B02"/>
    <w:rsid w:val="0009076F"/>
    <w:rsid w:val="0009225C"/>
    <w:rsid w:val="00092B30"/>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1523"/>
    <w:rsid w:val="00113EE8"/>
    <w:rsid w:val="0011455A"/>
    <w:rsid w:val="00114A65"/>
    <w:rsid w:val="00116B8C"/>
    <w:rsid w:val="00130DC8"/>
    <w:rsid w:val="00133061"/>
    <w:rsid w:val="0013376D"/>
    <w:rsid w:val="00141699"/>
    <w:rsid w:val="00147000"/>
    <w:rsid w:val="00153626"/>
    <w:rsid w:val="00156A14"/>
    <w:rsid w:val="00162B73"/>
    <w:rsid w:val="00163091"/>
    <w:rsid w:val="001645CB"/>
    <w:rsid w:val="00166305"/>
    <w:rsid w:val="00167545"/>
    <w:rsid w:val="001703C6"/>
    <w:rsid w:val="00173781"/>
    <w:rsid w:val="001755E9"/>
    <w:rsid w:val="00175ADF"/>
    <w:rsid w:val="00175CAE"/>
    <w:rsid w:val="001828DB"/>
    <w:rsid w:val="001850FE"/>
    <w:rsid w:val="00185135"/>
    <w:rsid w:val="0019037C"/>
    <w:rsid w:val="001905A9"/>
    <w:rsid w:val="00191273"/>
    <w:rsid w:val="001942A7"/>
    <w:rsid w:val="0019587B"/>
    <w:rsid w:val="001A163D"/>
    <w:rsid w:val="001A441E"/>
    <w:rsid w:val="001A6733"/>
    <w:rsid w:val="001B0606"/>
    <w:rsid w:val="001B23C4"/>
    <w:rsid w:val="001B357F"/>
    <w:rsid w:val="001B711E"/>
    <w:rsid w:val="001C3444"/>
    <w:rsid w:val="001C3702"/>
    <w:rsid w:val="001C4656"/>
    <w:rsid w:val="001C46BC"/>
    <w:rsid w:val="001D1E06"/>
    <w:rsid w:val="001E6FFB"/>
    <w:rsid w:val="001F0E40"/>
    <w:rsid w:val="001F23E6"/>
    <w:rsid w:val="001F4238"/>
    <w:rsid w:val="001F6AC9"/>
    <w:rsid w:val="001F7C90"/>
    <w:rsid w:val="00200A38"/>
    <w:rsid w:val="00200A46"/>
    <w:rsid w:val="002059A3"/>
    <w:rsid w:val="00211B6F"/>
    <w:rsid w:val="00217CC3"/>
    <w:rsid w:val="00220AB6"/>
    <w:rsid w:val="0022120F"/>
    <w:rsid w:val="0022754A"/>
    <w:rsid w:val="0023068B"/>
    <w:rsid w:val="00230C23"/>
    <w:rsid w:val="00236560"/>
    <w:rsid w:val="0023662E"/>
    <w:rsid w:val="00240F10"/>
    <w:rsid w:val="00245D0F"/>
    <w:rsid w:val="00250C1A"/>
    <w:rsid w:val="00252D31"/>
    <w:rsid w:val="002548C3"/>
    <w:rsid w:val="00257ACD"/>
    <w:rsid w:val="00262908"/>
    <w:rsid w:val="002650F4"/>
    <w:rsid w:val="002715FD"/>
    <w:rsid w:val="002770B1"/>
    <w:rsid w:val="00285B33"/>
    <w:rsid w:val="00287A3C"/>
    <w:rsid w:val="002939C0"/>
    <w:rsid w:val="002A2FC6"/>
    <w:rsid w:val="002B27F1"/>
    <w:rsid w:val="002B3E90"/>
    <w:rsid w:val="002B7923"/>
    <w:rsid w:val="002C1BA8"/>
    <w:rsid w:val="002C1EC7"/>
    <w:rsid w:val="002C3015"/>
    <w:rsid w:val="002C4342"/>
    <w:rsid w:val="002C7EA3"/>
    <w:rsid w:val="002D16B5"/>
    <w:rsid w:val="002D189F"/>
    <w:rsid w:val="002D20AE"/>
    <w:rsid w:val="002D44F3"/>
    <w:rsid w:val="002D6C61"/>
    <w:rsid w:val="002E065E"/>
    <w:rsid w:val="002E2104"/>
    <w:rsid w:val="002E2DAC"/>
    <w:rsid w:val="002E392B"/>
    <w:rsid w:val="002E6963"/>
    <w:rsid w:val="002E6F8F"/>
    <w:rsid w:val="002F05D8"/>
    <w:rsid w:val="002F2DE0"/>
    <w:rsid w:val="002F5E25"/>
    <w:rsid w:val="003014F2"/>
    <w:rsid w:val="0030353C"/>
    <w:rsid w:val="003125C3"/>
    <w:rsid w:val="00312AE6"/>
    <w:rsid w:val="00317D1A"/>
    <w:rsid w:val="003211FF"/>
    <w:rsid w:val="003242AB"/>
    <w:rsid w:val="00327247"/>
    <w:rsid w:val="00327A9D"/>
    <w:rsid w:val="0033130E"/>
    <w:rsid w:val="0033269C"/>
    <w:rsid w:val="003468FE"/>
    <w:rsid w:val="00351C79"/>
    <w:rsid w:val="0035516C"/>
    <w:rsid w:val="00355A4C"/>
    <w:rsid w:val="003604FB"/>
    <w:rsid w:val="00360B73"/>
    <w:rsid w:val="00373D70"/>
    <w:rsid w:val="00380B71"/>
    <w:rsid w:val="0038365A"/>
    <w:rsid w:val="00386A89"/>
    <w:rsid w:val="00393264"/>
    <w:rsid w:val="003949A0"/>
    <w:rsid w:val="0039648E"/>
    <w:rsid w:val="003A5AFE"/>
    <w:rsid w:val="003A5D5F"/>
    <w:rsid w:val="003A7FFE"/>
    <w:rsid w:val="003B0A63"/>
    <w:rsid w:val="003B1F1A"/>
    <w:rsid w:val="003B50E1"/>
    <w:rsid w:val="003C1746"/>
    <w:rsid w:val="003C2AA9"/>
    <w:rsid w:val="003C58BF"/>
    <w:rsid w:val="003D110A"/>
    <w:rsid w:val="003D451D"/>
    <w:rsid w:val="003E0CF5"/>
    <w:rsid w:val="003E533A"/>
    <w:rsid w:val="003F0E7B"/>
    <w:rsid w:val="003F2DD8"/>
    <w:rsid w:val="003F3F2D"/>
    <w:rsid w:val="003F50B2"/>
    <w:rsid w:val="003F558D"/>
    <w:rsid w:val="00400CCF"/>
    <w:rsid w:val="00401BFF"/>
    <w:rsid w:val="00404424"/>
    <w:rsid w:val="00405BFF"/>
    <w:rsid w:val="00406BC5"/>
    <w:rsid w:val="004112D6"/>
    <w:rsid w:val="0041156B"/>
    <w:rsid w:val="004122C5"/>
    <w:rsid w:val="00413B78"/>
    <w:rsid w:val="00413CBC"/>
    <w:rsid w:val="00415168"/>
    <w:rsid w:val="00416DDE"/>
    <w:rsid w:val="00423602"/>
    <w:rsid w:val="00437AA3"/>
    <w:rsid w:val="0044411E"/>
    <w:rsid w:val="00444CF1"/>
    <w:rsid w:val="00453435"/>
    <w:rsid w:val="00460089"/>
    <w:rsid w:val="004610BD"/>
    <w:rsid w:val="00466398"/>
    <w:rsid w:val="0047306D"/>
    <w:rsid w:val="00473791"/>
    <w:rsid w:val="00476BD2"/>
    <w:rsid w:val="00476E48"/>
    <w:rsid w:val="00481DE9"/>
    <w:rsid w:val="0048258E"/>
    <w:rsid w:val="0049128B"/>
    <w:rsid w:val="00493B49"/>
    <w:rsid w:val="00495501"/>
    <w:rsid w:val="004A070A"/>
    <w:rsid w:val="004A320E"/>
    <w:rsid w:val="004A4E9C"/>
    <w:rsid w:val="004B1A3C"/>
    <w:rsid w:val="004B76B5"/>
    <w:rsid w:val="004C3EC0"/>
    <w:rsid w:val="004C41A7"/>
    <w:rsid w:val="004D2CC3"/>
    <w:rsid w:val="004D35CB"/>
    <w:rsid w:val="004D6518"/>
    <w:rsid w:val="004D7DAB"/>
    <w:rsid w:val="004E1D37"/>
    <w:rsid w:val="004E1FF9"/>
    <w:rsid w:val="004E20E5"/>
    <w:rsid w:val="004E64EA"/>
    <w:rsid w:val="004E7828"/>
    <w:rsid w:val="004F46AA"/>
    <w:rsid w:val="004F6A70"/>
    <w:rsid w:val="004F6D20"/>
    <w:rsid w:val="00500AD7"/>
    <w:rsid w:val="00502ABF"/>
    <w:rsid w:val="00504DB0"/>
    <w:rsid w:val="00507C35"/>
    <w:rsid w:val="00510735"/>
    <w:rsid w:val="00514D2F"/>
    <w:rsid w:val="00516EDE"/>
    <w:rsid w:val="005412E6"/>
    <w:rsid w:val="0054420E"/>
    <w:rsid w:val="00544627"/>
    <w:rsid w:val="00544CAA"/>
    <w:rsid w:val="00544D1B"/>
    <w:rsid w:val="00545DC0"/>
    <w:rsid w:val="00545F6C"/>
    <w:rsid w:val="005477D9"/>
    <w:rsid w:val="00554F9F"/>
    <w:rsid w:val="0055720C"/>
    <w:rsid w:val="00561796"/>
    <w:rsid w:val="00562F8A"/>
    <w:rsid w:val="005632DD"/>
    <w:rsid w:val="005638DE"/>
    <w:rsid w:val="0056423B"/>
    <w:rsid w:val="00573424"/>
    <w:rsid w:val="0057402F"/>
    <w:rsid w:val="00581653"/>
    <w:rsid w:val="005849D6"/>
    <w:rsid w:val="00585367"/>
    <w:rsid w:val="005871A1"/>
    <w:rsid w:val="0058737E"/>
    <w:rsid w:val="00592518"/>
    <w:rsid w:val="00592E87"/>
    <w:rsid w:val="0059420B"/>
    <w:rsid w:val="00594C4D"/>
    <w:rsid w:val="005A0CE9"/>
    <w:rsid w:val="005A2FDE"/>
    <w:rsid w:val="005A33B0"/>
    <w:rsid w:val="005A74DD"/>
    <w:rsid w:val="005C189D"/>
    <w:rsid w:val="005C2DC2"/>
    <w:rsid w:val="005C304A"/>
    <w:rsid w:val="005C3D69"/>
    <w:rsid w:val="005C4974"/>
    <w:rsid w:val="005C5A93"/>
    <w:rsid w:val="005C7C98"/>
    <w:rsid w:val="005D2C3A"/>
    <w:rsid w:val="005D55A4"/>
    <w:rsid w:val="005D57C8"/>
    <w:rsid w:val="005D7761"/>
    <w:rsid w:val="005E0278"/>
    <w:rsid w:val="005E090D"/>
    <w:rsid w:val="005E3B47"/>
    <w:rsid w:val="005E3CA0"/>
    <w:rsid w:val="005E44B1"/>
    <w:rsid w:val="005E67B0"/>
    <w:rsid w:val="005E7047"/>
    <w:rsid w:val="005E777F"/>
    <w:rsid w:val="005F1CA7"/>
    <w:rsid w:val="005F3DBC"/>
    <w:rsid w:val="005F43DD"/>
    <w:rsid w:val="005F51A9"/>
    <w:rsid w:val="005F651A"/>
    <w:rsid w:val="005F6BE1"/>
    <w:rsid w:val="005F7416"/>
    <w:rsid w:val="00600C11"/>
    <w:rsid w:val="00606B89"/>
    <w:rsid w:val="00611EAF"/>
    <w:rsid w:val="00615046"/>
    <w:rsid w:val="00623F30"/>
    <w:rsid w:val="00625FB8"/>
    <w:rsid w:val="006261BD"/>
    <w:rsid w:val="00631696"/>
    <w:rsid w:val="00635EDB"/>
    <w:rsid w:val="006406EC"/>
    <w:rsid w:val="0064734E"/>
    <w:rsid w:val="00650137"/>
    <w:rsid w:val="006509D7"/>
    <w:rsid w:val="00651CE8"/>
    <w:rsid w:val="0065441B"/>
    <w:rsid w:val="0065521B"/>
    <w:rsid w:val="006609C2"/>
    <w:rsid w:val="00671EF6"/>
    <w:rsid w:val="0067205B"/>
    <w:rsid w:val="00672398"/>
    <w:rsid w:val="0067248A"/>
    <w:rsid w:val="006739DC"/>
    <w:rsid w:val="006748F8"/>
    <w:rsid w:val="0067550B"/>
    <w:rsid w:val="00680489"/>
    <w:rsid w:val="00682F4A"/>
    <w:rsid w:val="00683C32"/>
    <w:rsid w:val="00690BB2"/>
    <w:rsid w:val="00693D09"/>
    <w:rsid w:val="006A14CB"/>
    <w:rsid w:val="006A6549"/>
    <w:rsid w:val="006A7710"/>
    <w:rsid w:val="006A7A61"/>
    <w:rsid w:val="006B108D"/>
    <w:rsid w:val="006B1E59"/>
    <w:rsid w:val="006B2FFB"/>
    <w:rsid w:val="006C0B84"/>
    <w:rsid w:val="006C10A2"/>
    <w:rsid w:val="006C1F18"/>
    <w:rsid w:val="006C7DAF"/>
    <w:rsid w:val="006D40D5"/>
    <w:rsid w:val="006E3A1B"/>
    <w:rsid w:val="006E4354"/>
    <w:rsid w:val="006E6087"/>
    <w:rsid w:val="006F009A"/>
    <w:rsid w:val="006F39AC"/>
    <w:rsid w:val="006F3D93"/>
    <w:rsid w:val="006F4E77"/>
    <w:rsid w:val="006F57D2"/>
    <w:rsid w:val="00701969"/>
    <w:rsid w:val="007019B1"/>
    <w:rsid w:val="00721657"/>
    <w:rsid w:val="007279A8"/>
    <w:rsid w:val="00727B1A"/>
    <w:rsid w:val="00730717"/>
    <w:rsid w:val="00741337"/>
    <w:rsid w:val="00745FB4"/>
    <w:rsid w:val="0075151B"/>
    <w:rsid w:val="00752258"/>
    <w:rsid w:val="007529E1"/>
    <w:rsid w:val="00762880"/>
    <w:rsid w:val="00762AD6"/>
    <w:rsid w:val="00762E02"/>
    <w:rsid w:val="007679C5"/>
    <w:rsid w:val="00772290"/>
    <w:rsid w:val="00772CDB"/>
    <w:rsid w:val="00777265"/>
    <w:rsid w:val="007805E7"/>
    <w:rsid w:val="0078222A"/>
    <w:rsid w:val="007874A1"/>
    <w:rsid w:val="00787D48"/>
    <w:rsid w:val="00795294"/>
    <w:rsid w:val="007A376E"/>
    <w:rsid w:val="007A4E50"/>
    <w:rsid w:val="007B18A7"/>
    <w:rsid w:val="007B250E"/>
    <w:rsid w:val="007C1CF2"/>
    <w:rsid w:val="007C27FC"/>
    <w:rsid w:val="007C2E50"/>
    <w:rsid w:val="007C4318"/>
    <w:rsid w:val="007C51FF"/>
    <w:rsid w:val="007D50E4"/>
    <w:rsid w:val="007D6E9D"/>
    <w:rsid w:val="007E28AC"/>
    <w:rsid w:val="007E2DC5"/>
    <w:rsid w:val="007E35D0"/>
    <w:rsid w:val="007E5722"/>
    <w:rsid w:val="007E6BB7"/>
    <w:rsid w:val="007F1CC7"/>
    <w:rsid w:val="008027AC"/>
    <w:rsid w:val="008028CE"/>
    <w:rsid w:val="0080332E"/>
    <w:rsid w:val="008141E0"/>
    <w:rsid w:val="00816EE1"/>
    <w:rsid w:val="00816F88"/>
    <w:rsid w:val="00821996"/>
    <w:rsid w:val="00822323"/>
    <w:rsid w:val="00827BC6"/>
    <w:rsid w:val="008300AD"/>
    <w:rsid w:val="00833024"/>
    <w:rsid w:val="00835138"/>
    <w:rsid w:val="008419B1"/>
    <w:rsid w:val="00844A56"/>
    <w:rsid w:val="00845B11"/>
    <w:rsid w:val="00852081"/>
    <w:rsid w:val="00852B9B"/>
    <w:rsid w:val="00854625"/>
    <w:rsid w:val="00872B6E"/>
    <w:rsid w:val="00872EF4"/>
    <w:rsid w:val="00874DFD"/>
    <w:rsid w:val="008802F9"/>
    <w:rsid w:val="00883086"/>
    <w:rsid w:val="008879FD"/>
    <w:rsid w:val="00891436"/>
    <w:rsid w:val="00894C37"/>
    <w:rsid w:val="008A00EA"/>
    <w:rsid w:val="008A3C76"/>
    <w:rsid w:val="008A3F93"/>
    <w:rsid w:val="008A6236"/>
    <w:rsid w:val="008A6E1C"/>
    <w:rsid w:val="008A72FD"/>
    <w:rsid w:val="008B2EDF"/>
    <w:rsid w:val="008B47C7"/>
    <w:rsid w:val="008B54CB"/>
    <w:rsid w:val="008B5A3D"/>
    <w:rsid w:val="008B75C0"/>
    <w:rsid w:val="008C4010"/>
    <w:rsid w:val="008C4FDF"/>
    <w:rsid w:val="008C6B1F"/>
    <w:rsid w:val="008D5E4F"/>
    <w:rsid w:val="008D65E7"/>
    <w:rsid w:val="008E34F0"/>
    <w:rsid w:val="008F14F5"/>
    <w:rsid w:val="008F4DC8"/>
    <w:rsid w:val="008F5DAD"/>
    <w:rsid w:val="008F71C1"/>
    <w:rsid w:val="00902D41"/>
    <w:rsid w:val="00902F49"/>
    <w:rsid w:val="00904230"/>
    <w:rsid w:val="009068BC"/>
    <w:rsid w:val="00914004"/>
    <w:rsid w:val="00916006"/>
    <w:rsid w:val="00922EC1"/>
    <w:rsid w:val="00923CF1"/>
    <w:rsid w:val="009266FB"/>
    <w:rsid w:val="009301F1"/>
    <w:rsid w:val="009307DF"/>
    <w:rsid w:val="009359B8"/>
    <w:rsid w:val="00935FF0"/>
    <w:rsid w:val="009431F8"/>
    <w:rsid w:val="00946990"/>
    <w:rsid w:val="00947A35"/>
    <w:rsid w:val="0096201B"/>
    <w:rsid w:val="00962081"/>
    <w:rsid w:val="0096298F"/>
    <w:rsid w:val="00966CB5"/>
    <w:rsid w:val="0097003D"/>
    <w:rsid w:val="00975786"/>
    <w:rsid w:val="00981CB7"/>
    <w:rsid w:val="00983E1F"/>
    <w:rsid w:val="00987CFC"/>
    <w:rsid w:val="00992114"/>
    <w:rsid w:val="00993F46"/>
    <w:rsid w:val="009948C5"/>
    <w:rsid w:val="0099504A"/>
    <w:rsid w:val="00997358"/>
    <w:rsid w:val="009A452B"/>
    <w:rsid w:val="009B02A4"/>
    <w:rsid w:val="009B050C"/>
    <w:rsid w:val="009B087F"/>
    <w:rsid w:val="009B269F"/>
    <w:rsid w:val="009B2AF4"/>
    <w:rsid w:val="009B30D9"/>
    <w:rsid w:val="009B490D"/>
    <w:rsid w:val="009C110B"/>
    <w:rsid w:val="009C5441"/>
    <w:rsid w:val="009D119F"/>
    <w:rsid w:val="009D49A2"/>
    <w:rsid w:val="009F29DB"/>
    <w:rsid w:val="009F3940"/>
    <w:rsid w:val="009F3EB2"/>
    <w:rsid w:val="009F6EB1"/>
    <w:rsid w:val="00A0792F"/>
    <w:rsid w:val="00A11D05"/>
    <w:rsid w:val="00A13162"/>
    <w:rsid w:val="00A131AE"/>
    <w:rsid w:val="00A20267"/>
    <w:rsid w:val="00A3158C"/>
    <w:rsid w:val="00A32DF3"/>
    <w:rsid w:val="00A33E32"/>
    <w:rsid w:val="00A3480C"/>
    <w:rsid w:val="00A34B34"/>
    <w:rsid w:val="00A35E20"/>
    <w:rsid w:val="00A36F6D"/>
    <w:rsid w:val="00A41F0E"/>
    <w:rsid w:val="00A433F4"/>
    <w:rsid w:val="00A50CA0"/>
    <w:rsid w:val="00A525CC"/>
    <w:rsid w:val="00A53E7C"/>
    <w:rsid w:val="00A60087"/>
    <w:rsid w:val="00A60EC6"/>
    <w:rsid w:val="00A7054A"/>
    <w:rsid w:val="00A705E8"/>
    <w:rsid w:val="00A721F4"/>
    <w:rsid w:val="00A847E1"/>
    <w:rsid w:val="00A921EB"/>
    <w:rsid w:val="00A9392C"/>
    <w:rsid w:val="00A9462B"/>
    <w:rsid w:val="00A974AC"/>
    <w:rsid w:val="00A97D59"/>
    <w:rsid w:val="00AA3E09"/>
    <w:rsid w:val="00AA4BEF"/>
    <w:rsid w:val="00AA523D"/>
    <w:rsid w:val="00AA58DC"/>
    <w:rsid w:val="00AA5ED1"/>
    <w:rsid w:val="00AB1659"/>
    <w:rsid w:val="00AB1CF1"/>
    <w:rsid w:val="00AB4962"/>
    <w:rsid w:val="00AB6F4A"/>
    <w:rsid w:val="00AB734E"/>
    <w:rsid w:val="00AB740F"/>
    <w:rsid w:val="00AC170B"/>
    <w:rsid w:val="00AC6F14"/>
    <w:rsid w:val="00AC7221"/>
    <w:rsid w:val="00AD4677"/>
    <w:rsid w:val="00AD6EB1"/>
    <w:rsid w:val="00AE5961"/>
    <w:rsid w:val="00AF0745"/>
    <w:rsid w:val="00AF2133"/>
    <w:rsid w:val="00AF4971"/>
    <w:rsid w:val="00AF5276"/>
    <w:rsid w:val="00AF6F6C"/>
    <w:rsid w:val="00AF7C86"/>
    <w:rsid w:val="00B01046"/>
    <w:rsid w:val="00B164AA"/>
    <w:rsid w:val="00B310F9"/>
    <w:rsid w:val="00B37866"/>
    <w:rsid w:val="00B379D0"/>
    <w:rsid w:val="00B412FB"/>
    <w:rsid w:val="00B45588"/>
    <w:rsid w:val="00B4576B"/>
    <w:rsid w:val="00B46350"/>
    <w:rsid w:val="00B46808"/>
    <w:rsid w:val="00B46DF3"/>
    <w:rsid w:val="00B6273E"/>
    <w:rsid w:val="00B648C7"/>
    <w:rsid w:val="00B664A1"/>
    <w:rsid w:val="00B66E8F"/>
    <w:rsid w:val="00B80157"/>
    <w:rsid w:val="00B83D5E"/>
    <w:rsid w:val="00B8460A"/>
    <w:rsid w:val="00B8650D"/>
    <w:rsid w:val="00B879B4"/>
    <w:rsid w:val="00B90F07"/>
    <w:rsid w:val="00B97BB9"/>
    <w:rsid w:val="00BA0009"/>
    <w:rsid w:val="00BB02B5"/>
    <w:rsid w:val="00BB1863"/>
    <w:rsid w:val="00BB25EE"/>
    <w:rsid w:val="00BB363A"/>
    <w:rsid w:val="00BC0523"/>
    <w:rsid w:val="00BC10A0"/>
    <w:rsid w:val="00BC7BA2"/>
    <w:rsid w:val="00BD337F"/>
    <w:rsid w:val="00BD426B"/>
    <w:rsid w:val="00BD79F0"/>
    <w:rsid w:val="00BE2B4D"/>
    <w:rsid w:val="00BE3D7B"/>
    <w:rsid w:val="00C015F8"/>
    <w:rsid w:val="00C02C2A"/>
    <w:rsid w:val="00C07E26"/>
    <w:rsid w:val="00C1011C"/>
    <w:rsid w:val="00C12F94"/>
    <w:rsid w:val="00C177C5"/>
    <w:rsid w:val="00C262B1"/>
    <w:rsid w:val="00C33676"/>
    <w:rsid w:val="00C34EC3"/>
    <w:rsid w:val="00C4038C"/>
    <w:rsid w:val="00C42AB0"/>
    <w:rsid w:val="00C42BA2"/>
    <w:rsid w:val="00C44066"/>
    <w:rsid w:val="00C44E13"/>
    <w:rsid w:val="00C50761"/>
    <w:rsid w:val="00C60A41"/>
    <w:rsid w:val="00C62DE8"/>
    <w:rsid w:val="00C62DFB"/>
    <w:rsid w:val="00C630E6"/>
    <w:rsid w:val="00C63812"/>
    <w:rsid w:val="00C64AF3"/>
    <w:rsid w:val="00C66F4D"/>
    <w:rsid w:val="00C67BB5"/>
    <w:rsid w:val="00C72713"/>
    <w:rsid w:val="00C75288"/>
    <w:rsid w:val="00C848EF"/>
    <w:rsid w:val="00C86600"/>
    <w:rsid w:val="00C87BCA"/>
    <w:rsid w:val="00C87EED"/>
    <w:rsid w:val="00C92FCF"/>
    <w:rsid w:val="00C94506"/>
    <w:rsid w:val="00C954BC"/>
    <w:rsid w:val="00CA1F0B"/>
    <w:rsid w:val="00CA33F9"/>
    <w:rsid w:val="00CB110F"/>
    <w:rsid w:val="00CB2A2E"/>
    <w:rsid w:val="00CB338A"/>
    <w:rsid w:val="00CB79C5"/>
    <w:rsid w:val="00CC0AB0"/>
    <w:rsid w:val="00CC2A0C"/>
    <w:rsid w:val="00CC411F"/>
    <w:rsid w:val="00CC4B75"/>
    <w:rsid w:val="00CC732E"/>
    <w:rsid w:val="00CD2FCD"/>
    <w:rsid w:val="00CD7207"/>
    <w:rsid w:val="00CE0422"/>
    <w:rsid w:val="00CE0DBE"/>
    <w:rsid w:val="00CE45E6"/>
    <w:rsid w:val="00CE5D55"/>
    <w:rsid w:val="00CE5E4D"/>
    <w:rsid w:val="00CF02C4"/>
    <w:rsid w:val="00CF167F"/>
    <w:rsid w:val="00CF72E5"/>
    <w:rsid w:val="00CF7AB8"/>
    <w:rsid w:val="00D013EE"/>
    <w:rsid w:val="00D01800"/>
    <w:rsid w:val="00D01F54"/>
    <w:rsid w:val="00D040F7"/>
    <w:rsid w:val="00D04A76"/>
    <w:rsid w:val="00D10FC7"/>
    <w:rsid w:val="00D1519F"/>
    <w:rsid w:val="00D20E99"/>
    <w:rsid w:val="00D21C83"/>
    <w:rsid w:val="00D30E37"/>
    <w:rsid w:val="00D32E9F"/>
    <w:rsid w:val="00D34281"/>
    <w:rsid w:val="00D3552C"/>
    <w:rsid w:val="00D35BDD"/>
    <w:rsid w:val="00D44394"/>
    <w:rsid w:val="00D51F9F"/>
    <w:rsid w:val="00D57513"/>
    <w:rsid w:val="00D607DB"/>
    <w:rsid w:val="00D63006"/>
    <w:rsid w:val="00D72301"/>
    <w:rsid w:val="00D911DE"/>
    <w:rsid w:val="00D91B97"/>
    <w:rsid w:val="00D93ACC"/>
    <w:rsid w:val="00D93C08"/>
    <w:rsid w:val="00D95DAC"/>
    <w:rsid w:val="00DA0B53"/>
    <w:rsid w:val="00DA42DF"/>
    <w:rsid w:val="00DB1171"/>
    <w:rsid w:val="00DB1519"/>
    <w:rsid w:val="00DB1761"/>
    <w:rsid w:val="00DB2840"/>
    <w:rsid w:val="00DC1496"/>
    <w:rsid w:val="00DC1BD3"/>
    <w:rsid w:val="00DC2C1A"/>
    <w:rsid w:val="00DD66B4"/>
    <w:rsid w:val="00DE1972"/>
    <w:rsid w:val="00DE27AB"/>
    <w:rsid w:val="00DE6B73"/>
    <w:rsid w:val="00DF2AB3"/>
    <w:rsid w:val="00DF5C61"/>
    <w:rsid w:val="00DF7250"/>
    <w:rsid w:val="00E00CAA"/>
    <w:rsid w:val="00E03EBF"/>
    <w:rsid w:val="00E05209"/>
    <w:rsid w:val="00E05AC1"/>
    <w:rsid w:val="00E078B2"/>
    <w:rsid w:val="00E11BCF"/>
    <w:rsid w:val="00E21653"/>
    <w:rsid w:val="00E2258E"/>
    <w:rsid w:val="00E260C2"/>
    <w:rsid w:val="00E32596"/>
    <w:rsid w:val="00E368F7"/>
    <w:rsid w:val="00E36EB8"/>
    <w:rsid w:val="00E37FB8"/>
    <w:rsid w:val="00E40B07"/>
    <w:rsid w:val="00E42326"/>
    <w:rsid w:val="00E43544"/>
    <w:rsid w:val="00E43D88"/>
    <w:rsid w:val="00E44D89"/>
    <w:rsid w:val="00E477EA"/>
    <w:rsid w:val="00E55807"/>
    <w:rsid w:val="00E62278"/>
    <w:rsid w:val="00E638BB"/>
    <w:rsid w:val="00E63B14"/>
    <w:rsid w:val="00E65CA0"/>
    <w:rsid w:val="00E70267"/>
    <w:rsid w:val="00E70D9F"/>
    <w:rsid w:val="00E83810"/>
    <w:rsid w:val="00E86933"/>
    <w:rsid w:val="00E9605B"/>
    <w:rsid w:val="00E97298"/>
    <w:rsid w:val="00E97753"/>
    <w:rsid w:val="00EA0C51"/>
    <w:rsid w:val="00EA7DE7"/>
    <w:rsid w:val="00EB7A8A"/>
    <w:rsid w:val="00EC6FED"/>
    <w:rsid w:val="00EC7E79"/>
    <w:rsid w:val="00EC7F3B"/>
    <w:rsid w:val="00ED5299"/>
    <w:rsid w:val="00ED6B14"/>
    <w:rsid w:val="00EE2E03"/>
    <w:rsid w:val="00EE3A64"/>
    <w:rsid w:val="00EE50E5"/>
    <w:rsid w:val="00EE702C"/>
    <w:rsid w:val="00EE7E63"/>
    <w:rsid w:val="00EF01CF"/>
    <w:rsid w:val="00EF2157"/>
    <w:rsid w:val="00EF339E"/>
    <w:rsid w:val="00EF398E"/>
    <w:rsid w:val="00EF3C01"/>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BB"/>
    <w:rsid w:val="00F626F7"/>
    <w:rsid w:val="00F71BE6"/>
    <w:rsid w:val="00F72E6E"/>
    <w:rsid w:val="00F736F9"/>
    <w:rsid w:val="00F73833"/>
    <w:rsid w:val="00F9211C"/>
    <w:rsid w:val="00F9342C"/>
    <w:rsid w:val="00FA095D"/>
    <w:rsid w:val="00FA6C8B"/>
    <w:rsid w:val="00FA6CDA"/>
    <w:rsid w:val="00FA7BE8"/>
    <w:rsid w:val="00FA7C89"/>
    <w:rsid w:val="00FB2F23"/>
    <w:rsid w:val="00FB4139"/>
    <w:rsid w:val="00FB476E"/>
    <w:rsid w:val="00FC0D90"/>
    <w:rsid w:val="00FC40D2"/>
    <w:rsid w:val="00FC7B28"/>
    <w:rsid w:val="00FC7D8C"/>
    <w:rsid w:val="00FD3980"/>
    <w:rsid w:val="00FD3E23"/>
    <w:rsid w:val="00FD431E"/>
    <w:rsid w:val="00FD5A2C"/>
    <w:rsid w:val="00FE0D47"/>
    <w:rsid w:val="00FE1D5C"/>
    <w:rsid w:val="00FE2F8B"/>
    <w:rsid w:val="00FE3481"/>
    <w:rsid w:val="00FE3669"/>
    <w:rsid w:val="00FE5204"/>
    <w:rsid w:val="00FE778E"/>
    <w:rsid w:val="00FF287F"/>
    <w:rsid w:val="00FF74A8"/>
    <w:rsid w:val="024413BF"/>
    <w:rsid w:val="060D546E"/>
    <w:rsid w:val="07922988"/>
    <w:rsid w:val="08B172A9"/>
    <w:rsid w:val="08FD8B7A"/>
    <w:rsid w:val="115C456F"/>
    <w:rsid w:val="121D8F5B"/>
    <w:rsid w:val="1856C621"/>
    <w:rsid w:val="18FE501F"/>
    <w:rsid w:val="193AB8C7"/>
    <w:rsid w:val="1F5DD362"/>
    <w:rsid w:val="21D65583"/>
    <w:rsid w:val="23166802"/>
    <w:rsid w:val="272074F2"/>
    <w:rsid w:val="2D0F60D7"/>
    <w:rsid w:val="2FEC043D"/>
    <w:rsid w:val="3190A788"/>
    <w:rsid w:val="35A0CD91"/>
    <w:rsid w:val="382C9FA8"/>
    <w:rsid w:val="38DA56A3"/>
    <w:rsid w:val="3A22A6F0"/>
    <w:rsid w:val="3B6EFEF5"/>
    <w:rsid w:val="3DADC7C6"/>
    <w:rsid w:val="4177CE79"/>
    <w:rsid w:val="48D6C712"/>
    <w:rsid w:val="4A602746"/>
    <w:rsid w:val="4AD9F2DF"/>
    <w:rsid w:val="4B1A0FC1"/>
    <w:rsid w:val="4D035E26"/>
    <w:rsid w:val="4E1B999D"/>
    <w:rsid w:val="4FDFD4F4"/>
    <w:rsid w:val="55BDC29E"/>
    <w:rsid w:val="567BAF53"/>
    <w:rsid w:val="572BA2C0"/>
    <w:rsid w:val="57551AC6"/>
    <w:rsid w:val="5871DF5F"/>
    <w:rsid w:val="588EBBF6"/>
    <w:rsid w:val="5B63E0D1"/>
    <w:rsid w:val="5E9B8193"/>
    <w:rsid w:val="6A9B2103"/>
    <w:rsid w:val="72548BC1"/>
    <w:rsid w:val="726F4D2F"/>
    <w:rsid w:val="7AB3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0CE6B884-D04D-4D12-B84A-B87074B6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 w:type="character" w:customStyle="1" w:styleId="Title1Char">
    <w:name w:val="Title 1 Char"/>
    <w:link w:val="Title1"/>
    <w:qFormat/>
    <w:locked/>
    <w:rsid w:val="00D3552C"/>
    <w:rPr>
      <w:rFonts w:asciiTheme="minorHAnsi" w:hAnsiTheme="minorHAnsi" w:cs="Times New Roman Bold"/>
      <w:sz w:val="28"/>
      <w:lang w:val="en-GB" w:eastAsia="en-US"/>
    </w:rPr>
  </w:style>
  <w:style w:type="paragraph" w:customStyle="1" w:styleId="Pa10">
    <w:name w:val="Pa10"/>
    <w:basedOn w:val="Normal"/>
    <w:next w:val="Normal"/>
    <w:uiPriority w:val="99"/>
    <w:rsid w:val="00D3552C"/>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AA523D"/>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13">
    <w:name w:val="Pa13"/>
    <w:basedOn w:val="Normal"/>
    <w:next w:val="Normal"/>
    <w:uiPriority w:val="99"/>
    <w:rsid w:val="006C0B8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normaltextrun">
    <w:name w:val="normaltextrun"/>
    <w:basedOn w:val="DefaultParagraphFont"/>
    <w:rsid w:val="00672398"/>
  </w:style>
  <w:style w:type="character" w:customStyle="1" w:styleId="eop">
    <w:name w:val="eop"/>
    <w:basedOn w:val="DefaultParagraphFont"/>
    <w:rsid w:val="00672398"/>
  </w:style>
  <w:style w:type="paragraph" w:styleId="CommentText">
    <w:name w:val="annotation text"/>
    <w:basedOn w:val="Normal"/>
    <w:link w:val="CommentTextChar"/>
    <w:semiHidden/>
    <w:unhideWhenUsed/>
    <w:rsid w:val="00050989"/>
    <w:rPr>
      <w:sz w:val="20"/>
    </w:rPr>
  </w:style>
  <w:style w:type="character" w:customStyle="1" w:styleId="CommentTextChar">
    <w:name w:val="Comment Text Char"/>
    <w:basedOn w:val="DefaultParagraphFont"/>
    <w:link w:val="CommentText"/>
    <w:semiHidden/>
    <w:rsid w:val="00050989"/>
    <w:rPr>
      <w:rFonts w:asciiTheme="minorHAnsi" w:hAnsiTheme="minorHAnsi"/>
      <w:lang w:val="en-GB" w:eastAsia="en-US"/>
    </w:rPr>
  </w:style>
  <w:style w:type="character" w:styleId="CommentReference">
    <w:name w:val="annotation reference"/>
    <w:basedOn w:val="DefaultParagraphFont"/>
    <w:semiHidden/>
    <w:unhideWhenUsed/>
    <w:rsid w:val="00050989"/>
    <w:rPr>
      <w:sz w:val="16"/>
      <w:szCs w:val="16"/>
    </w:rPr>
  </w:style>
  <w:style w:type="paragraph" w:styleId="BalloonText">
    <w:name w:val="Balloon Text"/>
    <w:basedOn w:val="Normal"/>
    <w:link w:val="BalloonTextChar"/>
    <w:semiHidden/>
    <w:unhideWhenUsed/>
    <w:rsid w:val="002939C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939C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169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onferences/WTDC/WTDC17/Documents/WTDC17_final_report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Conferences/WTDC/WTDC17/Documents/WTDC17_final_report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3.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54CA2-0E33-4C6F-9DF2-68E6C12E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4339</Characters>
  <Application>Microsoft Office Word</Application>
  <DocSecurity>0</DocSecurity>
  <Lines>36</Lines>
  <Paragraphs>10</Paragraphs>
  <ScaleCrop>false</ScaleCrop>
  <Manager>General Secretariat - Pool</Manager>
  <Company>International Telecommunication Union (ITU)</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BDT-nd</cp:lastModifiedBy>
  <cp:revision>2</cp:revision>
  <cp:lastPrinted>2023-05-03T14:02:00Z</cp:lastPrinted>
  <dcterms:created xsi:type="dcterms:W3CDTF">2023-06-01T09:10:00Z</dcterms:created>
  <dcterms:modified xsi:type="dcterms:W3CDTF">2023-06-01T09:10:00Z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