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952667">
        <w:trPr>
          <w:cantSplit/>
          <w:trHeight w:val="1134"/>
        </w:trPr>
        <w:tc>
          <w:tcPr>
            <w:tcW w:w="6379" w:type="dxa"/>
          </w:tcPr>
          <w:p w14:paraId="75516FF4" w14:textId="77777777" w:rsidR="00272A8A" w:rsidRPr="006D4EA0" w:rsidRDefault="00272A8A" w:rsidP="00272A8A">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Pr>
                <w:b/>
                <w:bCs/>
                <w:sz w:val="32"/>
                <w:szCs w:val="32"/>
              </w:rPr>
              <w:t xml:space="preserve">Streamlining Resolutions </w:t>
            </w:r>
            <w:r w:rsidRPr="006D4EA0">
              <w:rPr>
                <w:b/>
                <w:bCs/>
                <w:sz w:val="32"/>
                <w:szCs w:val="32"/>
              </w:rPr>
              <w:t>(TDAG-WG-</w:t>
            </w:r>
            <w:r>
              <w:rPr>
                <w:b/>
                <w:bCs/>
                <w:sz w:val="32"/>
                <w:szCs w:val="32"/>
              </w:rPr>
              <w:t>SR</w:t>
            </w:r>
            <w:r w:rsidRPr="006D4EA0">
              <w:rPr>
                <w:b/>
                <w:bCs/>
                <w:sz w:val="32"/>
                <w:szCs w:val="32"/>
              </w:rPr>
              <w:t>)</w:t>
            </w:r>
          </w:p>
          <w:p w14:paraId="5F5F590A" w14:textId="5040CB0A" w:rsidR="00307769" w:rsidRPr="006D4EA0" w:rsidRDefault="00272A8A" w:rsidP="00272A8A">
            <w:pPr>
              <w:tabs>
                <w:tab w:val="clear" w:pos="1191"/>
                <w:tab w:val="clear" w:pos="1588"/>
                <w:tab w:val="clear" w:pos="1985"/>
              </w:tabs>
              <w:spacing w:after="120"/>
              <w:ind w:left="34"/>
              <w:rPr>
                <w:rFonts w:ascii="Verdana" w:hAnsi="Verdana"/>
                <w:sz w:val="28"/>
                <w:szCs w:val="28"/>
              </w:rPr>
            </w:pPr>
            <w:r>
              <w:rPr>
                <w:b/>
                <w:bCs/>
                <w:sz w:val="26"/>
                <w:szCs w:val="26"/>
              </w:rPr>
              <w:t xml:space="preserve">3rd Meeting, </w:t>
            </w:r>
            <w:r w:rsidRPr="006D4EA0">
              <w:rPr>
                <w:b/>
                <w:bCs/>
                <w:sz w:val="26"/>
                <w:szCs w:val="26"/>
              </w:rPr>
              <w:t xml:space="preserve">Virtual, </w:t>
            </w:r>
            <w:r>
              <w:rPr>
                <w:b/>
                <w:bCs/>
                <w:sz w:val="26"/>
                <w:szCs w:val="26"/>
              </w:rPr>
              <w:t xml:space="preserve">5 September </w:t>
            </w:r>
            <w:r w:rsidRPr="006D4EA0">
              <w:rPr>
                <w:b/>
                <w:bCs/>
                <w:sz w:val="26"/>
                <w:szCs w:val="26"/>
              </w:rPr>
              <w:t>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794F4A">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683C32" w:rsidRPr="00794F4A" w14:paraId="0BB3FBC4" w14:textId="77777777" w:rsidTr="00794F4A">
        <w:trPr>
          <w:cantSplit/>
        </w:trPr>
        <w:tc>
          <w:tcPr>
            <w:tcW w:w="6379" w:type="dxa"/>
          </w:tcPr>
          <w:p w14:paraId="43C54B3D" w14:textId="77777777" w:rsidR="00683C32" w:rsidRPr="006D4EA0" w:rsidRDefault="00683C32" w:rsidP="00400CCF">
            <w:pPr>
              <w:pStyle w:val="Committee"/>
              <w:spacing w:before="0"/>
              <w:rPr>
                <w:b w:val="0"/>
                <w:szCs w:val="24"/>
              </w:rPr>
            </w:pPr>
          </w:p>
        </w:tc>
        <w:tc>
          <w:tcPr>
            <w:tcW w:w="3509" w:type="dxa"/>
          </w:tcPr>
          <w:p w14:paraId="02E44EE9" w14:textId="14A9C2E6" w:rsidR="00683C32" w:rsidRPr="006D4EA0" w:rsidRDefault="008A3899" w:rsidP="00B648C7">
            <w:pPr>
              <w:spacing w:before="0"/>
              <w:jc w:val="both"/>
              <w:rPr>
                <w:bCs/>
                <w:szCs w:val="24"/>
                <w:lang w:val="fr-FR"/>
              </w:rPr>
            </w:pPr>
            <w:r w:rsidRPr="008A3899">
              <w:rPr>
                <w:b/>
                <w:bCs/>
                <w:lang w:val="fr-FR"/>
              </w:rPr>
              <w:t>Document TDAG-WG-SR</w:t>
            </w:r>
            <w:r w:rsidR="0039586C">
              <w:rPr>
                <w:b/>
                <w:bCs/>
                <w:lang w:val="fr-FR"/>
              </w:rPr>
              <w:t>/</w:t>
            </w:r>
            <w:r w:rsidR="00E675CA">
              <w:rPr>
                <w:b/>
                <w:bCs/>
                <w:lang w:val="fr-FR"/>
              </w:rPr>
              <w:t>14</w:t>
            </w:r>
            <w:r w:rsidR="004C5BD5">
              <w:rPr>
                <w:b/>
                <w:bCs/>
                <w:lang w:val="fr-FR"/>
              </w:rPr>
              <w:t>-</w:t>
            </w:r>
            <w:r w:rsidR="0096201B" w:rsidRPr="006D4EA0">
              <w:rPr>
                <w:b/>
                <w:bCs/>
                <w:lang w:val="fr-FR"/>
              </w:rPr>
              <w:t>E</w:t>
            </w:r>
          </w:p>
        </w:tc>
      </w:tr>
      <w:tr w:rsidR="00683C32" w:rsidRPr="006D4EA0" w14:paraId="24D04936" w14:textId="77777777" w:rsidTr="00794F4A">
        <w:trPr>
          <w:cantSplit/>
        </w:trPr>
        <w:tc>
          <w:tcPr>
            <w:tcW w:w="6379" w:type="dxa"/>
          </w:tcPr>
          <w:p w14:paraId="12CE4DBF" w14:textId="77777777" w:rsidR="00683C32" w:rsidRPr="006D4EA0" w:rsidRDefault="00683C32" w:rsidP="00400CCF">
            <w:pPr>
              <w:spacing w:before="0"/>
              <w:rPr>
                <w:b/>
                <w:bCs/>
                <w:smallCaps/>
                <w:szCs w:val="24"/>
                <w:lang w:val="fr-FR"/>
              </w:rPr>
            </w:pPr>
          </w:p>
        </w:tc>
        <w:tc>
          <w:tcPr>
            <w:tcW w:w="3509" w:type="dxa"/>
          </w:tcPr>
          <w:p w14:paraId="0F89640F" w14:textId="1E24F374" w:rsidR="00683C32" w:rsidRPr="00795ED2" w:rsidRDefault="00797B26" w:rsidP="00B648C7">
            <w:pPr>
              <w:spacing w:before="0"/>
              <w:rPr>
                <w:b/>
                <w:szCs w:val="24"/>
                <w:highlight w:val="yellow"/>
              </w:rPr>
            </w:pPr>
            <w:bookmarkStart w:id="0" w:name="CreationDate"/>
            <w:bookmarkEnd w:id="0"/>
            <w:r>
              <w:rPr>
                <w:b/>
                <w:bCs/>
                <w:szCs w:val="28"/>
              </w:rPr>
              <w:t>2</w:t>
            </w:r>
            <w:r w:rsidR="009178A8">
              <w:rPr>
                <w:b/>
                <w:bCs/>
                <w:szCs w:val="28"/>
              </w:rPr>
              <w:t>5</w:t>
            </w:r>
            <w:r w:rsidR="00CE0422" w:rsidRPr="003E6435">
              <w:rPr>
                <w:b/>
                <w:bCs/>
                <w:szCs w:val="28"/>
              </w:rPr>
              <w:t xml:space="preserve"> </w:t>
            </w:r>
            <w:r>
              <w:rPr>
                <w:b/>
                <w:bCs/>
                <w:szCs w:val="28"/>
              </w:rPr>
              <w:t>November</w:t>
            </w:r>
            <w:r w:rsidR="00CE0422" w:rsidRPr="003E6435">
              <w:rPr>
                <w:b/>
                <w:bCs/>
                <w:szCs w:val="28"/>
              </w:rPr>
              <w:t xml:space="preserve"> 20</w:t>
            </w:r>
            <w:r w:rsidR="00B648C7" w:rsidRPr="003E6435">
              <w:rPr>
                <w:b/>
                <w:bCs/>
                <w:szCs w:val="28"/>
              </w:rPr>
              <w:t>2</w:t>
            </w:r>
            <w:r w:rsidR="00D1703C" w:rsidRPr="003E6435">
              <w:rPr>
                <w:b/>
                <w:bCs/>
                <w:szCs w:val="28"/>
              </w:rPr>
              <w:t>4</w:t>
            </w:r>
          </w:p>
        </w:tc>
      </w:tr>
      <w:tr w:rsidR="00683C32" w:rsidRPr="006D4EA0" w14:paraId="7B96545F" w14:textId="77777777" w:rsidTr="00794F4A">
        <w:trPr>
          <w:cantSplit/>
        </w:trPr>
        <w:tc>
          <w:tcPr>
            <w:tcW w:w="6379" w:type="dxa"/>
          </w:tcPr>
          <w:p w14:paraId="65956FD3" w14:textId="77777777" w:rsidR="00683C32" w:rsidRPr="006D4EA0" w:rsidRDefault="00683C32" w:rsidP="00400CCF">
            <w:pPr>
              <w:spacing w:before="0"/>
              <w:rPr>
                <w:b/>
                <w:bCs/>
                <w:smallCaps/>
                <w:szCs w:val="24"/>
              </w:rPr>
            </w:pPr>
          </w:p>
        </w:tc>
        <w:tc>
          <w:tcPr>
            <w:tcW w:w="3509" w:type="dxa"/>
          </w:tcPr>
          <w:p w14:paraId="30EFD39F" w14:textId="30763F1D" w:rsidR="00514D2F" w:rsidRPr="006D4EA0" w:rsidRDefault="00AD4677" w:rsidP="00D73343">
            <w:pPr>
              <w:spacing w:before="0" w:after="240"/>
              <w:rPr>
                <w:szCs w:val="24"/>
              </w:rPr>
            </w:pPr>
            <w:bookmarkStart w:id="1" w:name="Original"/>
            <w:bookmarkEnd w:id="1"/>
            <w:r w:rsidRPr="006D4EA0">
              <w:rPr>
                <w:b/>
              </w:rPr>
              <w:t>English</w:t>
            </w:r>
            <w:r w:rsidR="00566BDC" w:rsidRPr="006D4EA0">
              <w:rPr>
                <w:b/>
              </w:rPr>
              <w:t xml:space="preserve"> only</w:t>
            </w:r>
          </w:p>
        </w:tc>
      </w:tr>
      <w:tr w:rsidR="005E6FC9" w:rsidRPr="006D4EA0" w14:paraId="31656E31" w14:textId="77777777" w:rsidTr="00107E85">
        <w:trPr>
          <w:cantSplit/>
          <w:trHeight w:val="852"/>
        </w:trPr>
        <w:tc>
          <w:tcPr>
            <w:tcW w:w="9888" w:type="dxa"/>
            <w:gridSpan w:val="2"/>
          </w:tcPr>
          <w:p w14:paraId="512FCA01" w14:textId="15D8650C" w:rsidR="005E6FC9" w:rsidRPr="006D4EA0" w:rsidRDefault="005E6FC9" w:rsidP="005E6FC9">
            <w:pPr>
              <w:pStyle w:val="Source"/>
            </w:pPr>
            <w:bookmarkStart w:id="2" w:name="Source"/>
            <w:bookmarkEnd w:id="2"/>
            <w:r w:rsidRPr="004D28EC">
              <w:t>Chair, TDAG-WG-</w:t>
            </w:r>
            <w:r>
              <w:t>SR</w:t>
            </w:r>
          </w:p>
        </w:tc>
      </w:tr>
      <w:tr w:rsidR="005E6FC9" w:rsidRPr="006D4EA0" w14:paraId="2CBD3A36" w14:textId="77777777" w:rsidTr="00107E85">
        <w:trPr>
          <w:cantSplit/>
        </w:trPr>
        <w:tc>
          <w:tcPr>
            <w:tcW w:w="9888" w:type="dxa"/>
            <w:gridSpan w:val="2"/>
          </w:tcPr>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5E6FC9" w:rsidRPr="00C30721" w14:paraId="00C969E6" w14:textId="77777777" w:rsidTr="00A42C89">
              <w:trPr>
                <w:cantSplit/>
              </w:trPr>
              <w:tc>
                <w:tcPr>
                  <w:tcW w:w="9888" w:type="dxa"/>
                </w:tcPr>
                <w:p w14:paraId="5A0B5BB1" w14:textId="62F203FA" w:rsidR="005E6FC9" w:rsidRPr="00E675CA" w:rsidRDefault="005E6FC9" w:rsidP="00E675CA">
                  <w:pPr>
                    <w:pStyle w:val="Title1"/>
                    <w:ind w:left="720"/>
                    <w:rPr>
                      <w:rFonts w:cstheme="minorHAnsi"/>
                      <w:bCs/>
                      <w:sz w:val="24"/>
                      <w:szCs w:val="24"/>
                    </w:rPr>
                  </w:pPr>
                  <w:bookmarkStart w:id="3" w:name="Title"/>
                  <w:bookmarkEnd w:id="3"/>
                  <w:r w:rsidRPr="00095B5E">
                    <w:rPr>
                      <w:rFonts w:cstheme="minorHAnsi"/>
                      <w:bCs/>
                      <w:szCs w:val="28"/>
                    </w:rPr>
                    <w:t xml:space="preserve">Report of the third meeting of the TDAG Working Group </w:t>
                  </w:r>
                  <w:r w:rsidRPr="00095B5E">
                    <w:rPr>
                      <w:rFonts w:cstheme="minorHAnsi"/>
                      <w:bCs/>
                      <w:szCs w:val="28"/>
                    </w:rPr>
                    <w:br/>
                    <w:t>on Streamlining Resolutions</w:t>
                  </w:r>
                </w:p>
              </w:tc>
            </w:tr>
            <w:tr w:rsidR="00326C3E" w:rsidRPr="00C30721" w14:paraId="7990C4A4" w14:textId="77777777" w:rsidTr="00A42C89">
              <w:trPr>
                <w:cantSplit/>
              </w:trPr>
              <w:tc>
                <w:tcPr>
                  <w:tcW w:w="9888" w:type="dxa"/>
                  <w:tcBorders>
                    <w:bottom w:val="single" w:sz="4" w:space="0" w:color="auto"/>
                  </w:tcBorders>
                </w:tcPr>
                <w:p w14:paraId="73E37F1F" w14:textId="77777777" w:rsidR="00326C3E" w:rsidRPr="00095B5E" w:rsidRDefault="00326C3E" w:rsidP="00A42C89">
                  <w:pPr>
                    <w:pStyle w:val="Title1"/>
                    <w:spacing w:after="0"/>
                    <w:ind w:left="720"/>
                    <w:rPr>
                      <w:rFonts w:cstheme="minorHAnsi"/>
                      <w:bCs/>
                      <w:szCs w:val="28"/>
                    </w:rPr>
                  </w:pPr>
                </w:p>
              </w:tc>
            </w:tr>
          </w:tbl>
          <w:p w14:paraId="1B4121DF" w14:textId="77777777" w:rsidR="00F76C58" w:rsidRPr="00C30721" w:rsidRDefault="00F76C58" w:rsidP="00F76C58">
            <w:pPr>
              <w:pStyle w:val="ListParagraph"/>
              <w:spacing w:before="60" w:after="60"/>
              <w:rPr>
                <w:rFonts w:cstheme="minorHAnsi"/>
                <w:szCs w:val="24"/>
              </w:rPr>
            </w:pPr>
          </w:p>
        </w:tc>
      </w:tr>
    </w:tbl>
    <w:p w14:paraId="18BEA871" w14:textId="7F9B6E13" w:rsidR="00654443" w:rsidRPr="008E5BF6" w:rsidRDefault="00654443" w:rsidP="008E5BF6">
      <w:pPr>
        <w:pStyle w:val="ListParagraph"/>
        <w:numPr>
          <w:ilvl w:val="0"/>
          <w:numId w:val="7"/>
        </w:numPr>
        <w:spacing w:after="120"/>
        <w:ind w:left="357" w:hanging="357"/>
        <w:contextualSpacing w:val="0"/>
        <w:rPr>
          <w:rFonts w:cstheme="minorHAnsi"/>
          <w:b/>
          <w:bCs/>
          <w:szCs w:val="24"/>
        </w:rPr>
      </w:pPr>
      <w:r w:rsidRPr="008E5BF6">
        <w:rPr>
          <w:rFonts w:cstheme="minorHAnsi"/>
          <w:b/>
          <w:bCs/>
          <w:szCs w:val="24"/>
          <w:lang w:val="en-US"/>
        </w:rPr>
        <w:t>Opening of the meeting and approval of agenda</w:t>
      </w:r>
    </w:p>
    <w:p w14:paraId="6550B6D0" w14:textId="77777777" w:rsidR="00654443" w:rsidRPr="008E5BF6" w:rsidRDefault="00654443" w:rsidP="008E5BF6">
      <w:pPr>
        <w:spacing w:after="120"/>
        <w:rPr>
          <w:rFonts w:cstheme="minorHAnsi"/>
          <w:szCs w:val="24"/>
        </w:rPr>
      </w:pPr>
      <w:r w:rsidRPr="008E5BF6">
        <w:rPr>
          <w:rFonts w:cstheme="minorHAnsi"/>
          <w:szCs w:val="24"/>
        </w:rPr>
        <w:t xml:space="preserve">Ms. Andrea Grippa (Brazil), Chair of the TDAG Working Group on Streamlining Resolutions (TDAG-WG-SR) welcomed all present. </w:t>
      </w:r>
    </w:p>
    <w:p w14:paraId="64823981" w14:textId="08DAD015" w:rsidR="00654443" w:rsidRPr="008E5BF6" w:rsidRDefault="00654443" w:rsidP="008E5BF6">
      <w:pPr>
        <w:spacing w:after="120"/>
        <w:rPr>
          <w:rFonts w:cstheme="minorHAnsi"/>
          <w:szCs w:val="24"/>
        </w:rPr>
      </w:pPr>
      <w:r w:rsidRPr="008E5BF6">
        <w:rPr>
          <w:rFonts w:cstheme="minorHAnsi"/>
          <w:szCs w:val="24"/>
        </w:rPr>
        <w:t xml:space="preserve">The BDT Director, Dr Cosmas </w:t>
      </w:r>
      <w:proofErr w:type="spellStart"/>
      <w:r w:rsidRPr="008E5BF6">
        <w:rPr>
          <w:rFonts w:cstheme="minorHAnsi"/>
          <w:szCs w:val="24"/>
        </w:rPr>
        <w:t>Luckyson</w:t>
      </w:r>
      <w:proofErr w:type="spellEnd"/>
      <w:r w:rsidRPr="008E5BF6">
        <w:rPr>
          <w:rFonts w:cstheme="minorHAnsi"/>
          <w:szCs w:val="24"/>
        </w:rPr>
        <w:t xml:space="preserve"> Zavazava, welcomed all participants to the meeting. He thanked and commended the work and progress in driving streamlining resolutions by the TDAG-WG-SR participants and its Chair. The BDT Director reiterated, as brought up at the TSAG, membership should pay attention to the WTSA particularly to the issue of duplication of resolutions that already exist. He wished the meeting a good success and remained available to provide any further assistance. </w:t>
      </w:r>
    </w:p>
    <w:p w14:paraId="72E4F1F0" w14:textId="77777777" w:rsidR="00654443" w:rsidRPr="008E5BF6" w:rsidRDefault="00654443" w:rsidP="008E5BF6">
      <w:pPr>
        <w:spacing w:after="120"/>
        <w:rPr>
          <w:rFonts w:cstheme="minorHAnsi"/>
          <w:szCs w:val="24"/>
        </w:rPr>
      </w:pPr>
      <w:r w:rsidRPr="008E5BF6">
        <w:rPr>
          <w:rFonts w:cstheme="minorHAnsi"/>
          <w:szCs w:val="24"/>
        </w:rPr>
        <w:t xml:space="preserve">The agenda per document </w:t>
      </w:r>
      <w:hyperlink r:id="rId12" w:history="1">
        <w:r w:rsidRPr="008E5BF6">
          <w:rPr>
            <w:rStyle w:val="Hyperlink"/>
            <w:rFonts w:cstheme="minorHAnsi"/>
            <w:szCs w:val="24"/>
          </w:rPr>
          <w:t>TDAG-WG-SR/11(Rev.1</w:t>
        </w:r>
      </w:hyperlink>
      <w:r w:rsidRPr="008E5BF6">
        <w:rPr>
          <w:rStyle w:val="Hyperlink"/>
          <w:rFonts w:cstheme="minorHAnsi"/>
          <w:szCs w:val="24"/>
        </w:rPr>
        <w:t>)</w:t>
      </w:r>
      <w:r w:rsidRPr="008E5BF6">
        <w:rPr>
          <w:rFonts w:cstheme="minorHAnsi"/>
          <w:szCs w:val="24"/>
        </w:rPr>
        <w:t xml:space="preserve"> was presented by the Chair of the TDAG-WG-SR and approved.</w:t>
      </w:r>
    </w:p>
    <w:p w14:paraId="4735D06E" w14:textId="77777777" w:rsidR="00654443" w:rsidRPr="008E5BF6" w:rsidRDefault="00654443" w:rsidP="008E5BF6">
      <w:pPr>
        <w:pStyle w:val="ListParagraph"/>
        <w:numPr>
          <w:ilvl w:val="0"/>
          <w:numId w:val="7"/>
        </w:numPr>
        <w:spacing w:after="120"/>
        <w:ind w:left="357" w:hanging="357"/>
        <w:contextualSpacing w:val="0"/>
        <w:rPr>
          <w:rFonts w:cstheme="minorHAnsi"/>
          <w:b/>
          <w:bCs/>
          <w:szCs w:val="24"/>
          <w:lang w:val="en-US"/>
        </w:rPr>
      </w:pPr>
      <w:r w:rsidRPr="008E5BF6">
        <w:rPr>
          <w:rFonts w:cstheme="minorHAnsi"/>
          <w:b/>
          <w:bCs/>
          <w:szCs w:val="24"/>
          <w:lang w:val="en-US"/>
        </w:rPr>
        <w:t>Contributions</w:t>
      </w:r>
    </w:p>
    <w:p w14:paraId="7689D4A3" w14:textId="3CB18085" w:rsidR="00654443" w:rsidRPr="008E5BF6" w:rsidRDefault="00654443" w:rsidP="0069535F">
      <w:pPr>
        <w:pStyle w:val="ListParagraph"/>
        <w:numPr>
          <w:ilvl w:val="1"/>
          <w:numId w:val="7"/>
        </w:numPr>
        <w:spacing w:after="120"/>
        <w:ind w:left="431" w:hanging="431"/>
        <w:contextualSpacing w:val="0"/>
        <w:rPr>
          <w:rFonts w:cstheme="minorHAnsi"/>
          <w:b/>
          <w:bCs/>
          <w:szCs w:val="24"/>
          <w:lang w:val="en-US"/>
        </w:rPr>
      </w:pPr>
      <w:r w:rsidRPr="008E5BF6">
        <w:rPr>
          <w:rFonts w:cstheme="minorHAnsi"/>
          <w:b/>
          <w:bCs/>
          <w:szCs w:val="24"/>
          <w:lang w:val="en-US"/>
        </w:rPr>
        <w:t xml:space="preserve">The Contribution </w:t>
      </w:r>
      <w:hyperlink r:id="rId13" w:history="1">
        <w:r w:rsidRPr="008E5BF6">
          <w:rPr>
            <w:rStyle w:val="Hyperlink"/>
            <w:rFonts w:cstheme="minorHAnsi"/>
            <w:b/>
            <w:bCs/>
            <w:szCs w:val="24"/>
            <w:lang w:val="en-US"/>
          </w:rPr>
          <w:t>TDAG-WG-SR/12</w:t>
        </w:r>
      </w:hyperlink>
      <w:r w:rsidRPr="008E5BF6">
        <w:rPr>
          <w:rFonts w:cstheme="minorHAnsi"/>
          <w:b/>
          <w:bCs/>
          <w:szCs w:val="24"/>
          <w:lang w:val="en-US"/>
        </w:rPr>
        <w:t xml:space="preserve"> (Future Meetings) submitted by the Chair to TDAG-WG-SR was presented and discussed.</w:t>
      </w:r>
    </w:p>
    <w:p w14:paraId="20AF78C3" w14:textId="77777777" w:rsidR="00654443" w:rsidRPr="008E5BF6" w:rsidRDefault="00654443" w:rsidP="0069535F">
      <w:pPr>
        <w:pStyle w:val="ListParagraph"/>
        <w:numPr>
          <w:ilvl w:val="0"/>
          <w:numId w:val="6"/>
        </w:numPr>
        <w:spacing w:after="120"/>
        <w:ind w:left="357" w:hanging="357"/>
        <w:contextualSpacing w:val="0"/>
        <w:rPr>
          <w:rFonts w:cstheme="minorHAnsi"/>
          <w:szCs w:val="24"/>
        </w:rPr>
      </w:pPr>
      <w:r w:rsidRPr="008E5BF6">
        <w:rPr>
          <w:rFonts w:cstheme="minorHAnsi"/>
          <w:szCs w:val="24"/>
        </w:rPr>
        <w:t>The Chair sought input on the proposed future meetings dates for the TDAG-WG-SR, particularly if another meeting may be required in 2025 before having the proposed physical meeting during the TDAG-25.</w:t>
      </w:r>
    </w:p>
    <w:p w14:paraId="06B89AF3" w14:textId="77777777" w:rsidR="00654443" w:rsidRPr="008E5BF6" w:rsidRDefault="00654443" w:rsidP="0069535F">
      <w:pPr>
        <w:pStyle w:val="ListParagraph"/>
        <w:numPr>
          <w:ilvl w:val="0"/>
          <w:numId w:val="6"/>
        </w:numPr>
        <w:spacing w:after="120"/>
        <w:ind w:left="357" w:hanging="357"/>
        <w:contextualSpacing w:val="0"/>
        <w:rPr>
          <w:rFonts w:cstheme="minorHAnsi"/>
          <w:szCs w:val="24"/>
        </w:rPr>
      </w:pPr>
      <w:proofErr w:type="spellStart"/>
      <w:r w:rsidRPr="008E5BF6">
        <w:rPr>
          <w:rFonts w:cstheme="minorHAnsi"/>
          <w:szCs w:val="24"/>
        </w:rPr>
        <w:t>Dr.</w:t>
      </w:r>
      <w:proofErr w:type="spellEnd"/>
      <w:r w:rsidRPr="008E5BF6">
        <w:rPr>
          <w:rFonts w:cstheme="minorHAnsi"/>
          <w:szCs w:val="24"/>
        </w:rPr>
        <w:t xml:space="preserve"> Mazar (Israel) proposed that the work be conducted via correspondence rather than holding an additional meeting.</w:t>
      </w:r>
    </w:p>
    <w:p w14:paraId="731D020A" w14:textId="77777777" w:rsidR="00654443" w:rsidRPr="008E5BF6" w:rsidRDefault="00654443" w:rsidP="0069535F">
      <w:pPr>
        <w:pStyle w:val="ListParagraph"/>
        <w:numPr>
          <w:ilvl w:val="0"/>
          <w:numId w:val="6"/>
        </w:numPr>
        <w:spacing w:after="120"/>
        <w:ind w:left="357" w:hanging="357"/>
        <w:contextualSpacing w:val="0"/>
        <w:rPr>
          <w:rFonts w:cstheme="minorHAnsi"/>
          <w:szCs w:val="24"/>
        </w:rPr>
      </w:pPr>
      <w:r w:rsidRPr="008E5BF6">
        <w:rPr>
          <w:rFonts w:cstheme="minorHAnsi"/>
          <w:szCs w:val="24"/>
        </w:rPr>
        <w:t xml:space="preserve">The Chair agreed to maintain the TDAG-WG-SR future meeting dates as presented and continue working by correspondence until the next meeting on 5 December 2024. Based on the work carried out, an assessment would be made to re-consider the need for additional meetings to have the final report ready to present at the TDAG-25. </w:t>
      </w:r>
    </w:p>
    <w:p w14:paraId="3AE42874" w14:textId="77777777" w:rsidR="00654443" w:rsidRPr="008E5BF6" w:rsidRDefault="00654443" w:rsidP="0069535F">
      <w:pPr>
        <w:pStyle w:val="ListParagraph"/>
        <w:numPr>
          <w:ilvl w:val="0"/>
          <w:numId w:val="6"/>
        </w:numPr>
        <w:spacing w:after="120"/>
        <w:ind w:left="357" w:hanging="357"/>
        <w:contextualSpacing w:val="0"/>
        <w:rPr>
          <w:rFonts w:cstheme="minorHAnsi"/>
          <w:szCs w:val="24"/>
        </w:rPr>
      </w:pPr>
      <w:r w:rsidRPr="008E5BF6">
        <w:rPr>
          <w:rFonts w:cstheme="minorHAnsi"/>
          <w:szCs w:val="24"/>
        </w:rPr>
        <w:t xml:space="preserve">The document was noted. </w:t>
      </w:r>
    </w:p>
    <w:p w14:paraId="5DF0B67E" w14:textId="77777777" w:rsidR="00654443" w:rsidRPr="008E5BF6" w:rsidRDefault="00654443" w:rsidP="008E5BF6">
      <w:pPr>
        <w:pStyle w:val="ListParagraph"/>
        <w:spacing w:after="120"/>
        <w:ind w:left="360"/>
        <w:contextualSpacing w:val="0"/>
        <w:rPr>
          <w:rFonts w:cstheme="minorHAnsi"/>
          <w:szCs w:val="24"/>
        </w:rPr>
      </w:pPr>
    </w:p>
    <w:p w14:paraId="7695DD22" w14:textId="7B553EFE" w:rsidR="00654443" w:rsidRPr="0069535F" w:rsidRDefault="00654443" w:rsidP="0069535F">
      <w:pPr>
        <w:pStyle w:val="ListParagraph"/>
        <w:numPr>
          <w:ilvl w:val="1"/>
          <w:numId w:val="7"/>
        </w:numPr>
        <w:spacing w:after="120"/>
        <w:ind w:left="431" w:hanging="431"/>
        <w:contextualSpacing w:val="0"/>
        <w:rPr>
          <w:rFonts w:cstheme="minorHAnsi"/>
          <w:b/>
          <w:bCs/>
          <w:szCs w:val="24"/>
          <w:lang w:val="en-US"/>
        </w:rPr>
      </w:pPr>
      <w:r w:rsidRPr="0069535F">
        <w:rPr>
          <w:rFonts w:cstheme="minorHAnsi"/>
          <w:b/>
          <w:bCs/>
          <w:szCs w:val="24"/>
          <w:lang w:val="en-US"/>
        </w:rPr>
        <w:lastRenderedPageBreak/>
        <w:t xml:space="preserve">The Contribution </w:t>
      </w:r>
      <w:hyperlink r:id="rId14" w:history="1">
        <w:r w:rsidRPr="0069535F">
          <w:rPr>
            <w:rStyle w:val="Hyperlink"/>
            <w:rFonts w:cstheme="minorHAnsi"/>
            <w:b/>
            <w:bCs/>
            <w:szCs w:val="24"/>
            <w:lang w:val="en-US"/>
          </w:rPr>
          <w:t>TDAG-WG-SR/10</w:t>
        </w:r>
      </w:hyperlink>
      <w:r w:rsidRPr="0069535F">
        <w:rPr>
          <w:rFonts w:cstheme="minorHAnsi"/>
          <w:b/>
          <w:bCs/>
          <w:szCs w:val="24"/>
          <w:lang w:val="en-US"/>
        </w:rPr>
        <w:t xml:space="preserve"> (Mapping towards Final Report) submitted by the United Kingdom to TDAG-WG-SR was presented and discussed.</w:t>
      </w:r>
    </w:p>
    <w:p w14:paraId="6E5147A0" w14:textId="3356309D" w:rsidR="00654443" w:rsidRPr="008E5BF6" w:rsidRDefault="00382506" w:rsidP="00417A85">
      <w:pPr>
        <w:pStyle w:val="ListParagraph"/>
        <w:numPr>
          <w:ilvl w:val="0"/>
          <w:numId w:val="5"/>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Woodhouse (United Kingdom) presented this Contribution that aims to structure and support meeting the mandate. It also feeds into Contribution </w:t>
      </w:r>
      <w:hyperlink r:id="rId15" w:history="1">
        <w:r w:rsidR="00654443" w:rsidRPr="008E5BF6">
          <w:rPr>
            <w:rStyle w:val="Hyperlink"/>
            <w:rFonts w:cstheme="minorHAnsi"/>
            <w:szCs w:val="24"/>
          </w:rPr>
          <w:t xml:space="preserve">TDAG-WG-SR/13 </w:t>
        </w:r>
      </w:hyperlink>
      <w:r w:rsidR="00654443" w:rsidRPr="008E5BF6">
        <w:rPr>
          <w:rFonts w:cstheme="minorHAnsi"/>
          <w:szCs w:val="24"/>
        </w:rPr>
        <w:t>from the Chair on clustering resolutions. It picks up from the Russian Federation's contribution to TDAG-23 (</w:t>
      </w:r>
      <w:hyperlink r:id="rId16" w:history="1">
        <w:r w:rsidR="00654443" w:rsidRPr="008E5BF6">
          <w:rPr>
            <w:rStyle w:val="Hyperlink"/>
            <w:rFonts w:cstheme="minorHAnsi"/>
            <w:szCs w:val="24"/>
          </w:rPr>
          <w:t>TDAG-23/31</w:t>
        </w:r>
      </w:hyperlink>
      <w:r w:rsidR="00654443" w:rsidRPr="008E5BF6">
        <w:rPr>
          <w:rFonts w:cstheme="minorHAnsi"/>
          <w:szCs w:val="24"/>
        </w:rPr>
        <w:t xml:space="preserve">) and was open to any suggestions and thoughts from the participants of the TDAG-WG-SR. It is proposed to serve as a basis to systematically progress through the resolutions and go into the substantive part of the work of the TDAG-WG-SR. In this regard, </w:t>
      </w:r>
      <w:r>
        <w:rPr>
          <w:rFonts w:cstheme="minorHAnsi"/>
          <w:szCs w:val="24"/>
        </w:rPr>
        <w:t xml:space="preserve">Mr </w:t>
      </w:r>
      <w:r w:rsidR="00654443" w:rsidRPr="008E5BF6">
        <w:rPr>
          <w:rFonts w:cstheme="minorHAnsi"/>
          <w:szCs w:val="24"/>
        </w:rPr>
        <w:t>Woodhouse commented that the clustering of resolutions as proposed by the Chair would be a good way forward.</w:t>
      </w:r>
    </w:p>
    <w:p w14:paraId="3F35C314" w14:textId="77777777" w:rsidR="00654443" w:rsidRPr="008E5BF6" w:rsidRDefault="00654443" w:rsidP="00417A85">
      <w:pPr>
        <w:pStyle w:val="ListParagraph"/>
        <w:numPr>
          <w:ilvl w:val="0"/>
          <w:numId w:val="5"/>
        </w:numPr>
        <w:spacing w:after="120"/>
        <w:ind w:left="357" w:hanging="357"/>
        <w:contextualSpacing w:val="0"/>
        <w:rPr>
          <w:rFonts w:cstheme="minorHAnsi"/>
          <w:szCs w:val="24"/>
        </w:rPr>
      </w:pPr>
      <w:r w:rsidRPr="008E5BF6">
        <w:rPr>
          <w:rFonts w:cstheme="minorHAnsi"/>
          <w:szCs w:val="24"/>
        </w:rPr>
        <w:t xml:space="preserve">The Chair thanked and commended the United Kingdon for this contribution and also the Russian Federation for the previous contribution presented at the TDAG-23. </w:t>
      </w:r>
    </w:p>
    <w:p w14:paraId="0C89BD25" w14:textId="77777777" w:rsidR="00654443" w:rsidRPr="008E5BF6" w:rsidRDefault="00654443" w:rsidP="00417A85">
      <w:pPr>
        <w:pStyle w:val="ListParagraph"/>
        <w:numPr>
          <w:ilvl w:val="0"/>
          <w:numId w:val="5"/>
        </w:numPr>
        <w:spacing w:after="120"/>
        <w:ind w:left="357" w:hanging="357"/>
        <w:contextualSpacing w:val="0"/>
        <w:rPr>
          <w:rFonts w:cstheme="minorHAnsi"/>
          <w:szCs w:val="24"/>
        </w:rPr>
      </w:pPr>
      <w:r w:rsidRPr="008E5BF6">
        <w:rPr>
          <w:rFonts w:cstheme="minorHAnsi"/>
          <w:szCs w:val="24"/>
        </w:rPr>
        <w:t>The document was noted.</w:t>
      </w:r>
    </w:p>
    <w:p w14:paraId="33F4BA0D" w14:textId="10F64FF7" w:rsidR="00654443" w:rsidRPr="00417A85" w:rsidRDefault="00654443" w:rsidP="00417A85">
      <w:pPr>
        <w:pStyle w:val="ListParagraph"/>
        <w:numPr>
          <w:ilvl w:val="1"/>
          <w:numId w:val="7"/>
        </w:numPr>
        <w:spacing w:after="120"/>
        <w:ind w:left="431" w:hanging="431"/>
        <w:contextualSpacing w:val="0"/>
        <w:rPr>
          <w:rFonts w:cstheme="minorHAnsi"/>
          <w:b/>
          <w:bCs/>
          <w:szCs w:val="24"/>
          <w:lang w:val="en-US"/>
        </w:rPr>
      </w:pPr>
      <w:r w:rsidRPr="00417A85">
        <w:rPr>
          <w:rFonts w:cstheme="minorHAnsi"/>
          <w:b/>
          <w:bCs/>
          <w:szCs w:val="24"/>
          <w:lang w:val="en-US"/>
        </w:rPr>
        <w:t xml:space="preserve">The Contribution </w:t>
      </w:r>
      <w:hyperlink r:id="rId17" w:history="1">
        <w:r w:rsidRPr="00417A85">
          <w:rPr>
            <w:rStyle w:val="Hyperlink"/>
            <w:rFonts w:cstheme="minorHAnsi"/>
            <w:b/>
            <w:bCs/>
            <w:szCs w:val="24"/>
            <w:lang w:val="en-US"/>
          </w:rPr>
          <w:t>TDAG-WG-SR/13</w:t>
        </w:r>
      </w:hyperlink>
      <w:r w:rsidRPr="00417A85">
        <w:rPr>
          <w:rFonts w:cstheme="minorHAnsi"/>
          <w:b/>
          <w:bCs/>
          <w:szCs w:val="24"/>
          <w:lang w:val="en-US"/>
        </w:rPr>
        <w:t xml:space="preserve"> (Proposed Clustering of Resolutions) submitted by the Chair to TDAG-WG-SR was presented and discussed.</w:t>
      </w:r>
    </w:p>
    <w:p w14:paraId="4E924769"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presented this Contribution which groups the resolutions that had been mapped by some common aspects in the text of the resolutions; therefore, creating an opportunity for those who would like to work on specific clusters of resolutions. The Chair invited volunteers to work on any specific cluster(s) by correspondence (offline) which would help focus the streamlining work, and by the fourth meeting of the TDAG-WG-SR on 5 December 2024, some contributions could be presented by the volunteers and discussed.</w:t>
      </w:r>
    </w:p>
    <w:p w14:paraId="5CCA53F2"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proofErr w:type="spellStart"/>
      <w:r w:rsidRPr="008E5BF6">
        <w:rPr>
          <w:rFonts w:cstheme="minorHAnsi"/>
          <w:szCs w:val="24"/>
        </w:rPr>
        <w:t>Dr.</w:t>
      </w:r>
      <w:proofErr w:type="spellEnd"/>
      <w:r w:rsidRPr="008E5BF6">
        <w:rPr>
          <w:rFonts w:cstheme="minorHAnsi"/>
          <w:szCs w:val="24"/>
        </w:rPr>
        <w:t xml:space="preserve"> Mazar (Israel) commented that the cluster volunteers may consider including resolutions from WTSA to look into overlaps as well.</w:t>
      </w:r>
    </w:p>
    <w:p w14:paraId="59034BB8" w14:textId="1CD25DC9"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Alanazi (Saudi Arabia) expressed that significant effort had gone into developing resolutions over time, and TDAG-WG-SR should carefully consider the criteria before making changes. It was noted that no two resolutions are identical, citing WTDC Resolution 8 and PP Resolution 131, both on statistics but with different contexts. </w:t>
      </w:r>
    </w:p>
    <w:p w14:paraId="6E7CC5C1"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The Chair added that the </w:t>
      </w:r>
      <w:hyperlink r:id="rId18" w:history="1">
        <w:r w:rsidRPr="008E5BF6">
          <w:rPr>
            <w:rStyle w:val="Hyperlink"/>
            <w:rFonts w:cstheme="minorHAnsi"/>
            <w:szCs w:val="24"/>
          </w:rPr>
          <w:t>Terms of Reference of the TDAG-WG-SR</w:t>
        </w:r>
      </w:hyperlink>
      <w:r w:rsidRPr="008E5BF6">
        <w:rPr>
          <w:rFonts w:cstheme="minorHAnsi"/>
          <w:szCs w:val="24"/>
        </w:rPr>
        <w:t xml:space="preserve"> adopted contains some criteria, and streamlining would mainly consider duplication in content and mandates in the resolutions pertaining to WTDC and PP. The main idea is not to simply delete a resolution which deals with the same subject as another, but to try to optimize the text. Particularly if there is a certain mandate to the BDT Director on a given subject, as an example, then the very same text in the corresponding resolution in PP is to be compared. </w:t>
      </w:r>
    </w:p>
    <w:p w14:paraId="43BB7D3E"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Prof Minkin (Russian Federation) expressed that TDAG-WG-SR should take into account that a resolution in itself should be self-explanatory and not just refer to a PP resolution. It is not necessary to be repetitive particularly in the information section. But in the operational section, a resolution should clearly state what the sector should provide.</w:t>
      </w:r>
    </w:p>
    <w:p w14:paraId="0AC07E61"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agreed with the points raised in providing a common approach of TDAG-WG-SR when working on the different clusters. The Chair emphasised the goal to have more concise, objective and precise texts on the same subject.</w:t>
      </w:r>
    </w:p>
    <w:p w14:paraId="15BD1453" w14:textId="27214F26"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Alanazi (Saudi Arabia) noted that some countries might only be working on WTDC and not PP, and these countries may be surprised should some resolutions be changed or modified without their knowledge nor understanding of the criteria applied. TDAG-WG-SR would focus </w:t>
      </w:r>
      <w:r w:rsidR="00654443" w:rsidRPr="008E5BF6">
        <w:rPr>
          <w:rFonts w:cstheme="minorHAnsi"/>
          <w:szCs w:val="24"/>
        </w:rPr>
        <w:lastRenderedPageBreak/>
        <w:t>on text duplications and content. If it is the same, then consider a deletion, especially in the preamble to reduce duplication, and also to review the mandate.</w:t>
      </w:r>
    </w:p>
    <w:p w14:paraId="11C179C4"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The Chair proposed to start with PP resolutions on similar subjects and then consider if the WTDC resolution encompasses already the mandate and spirit of the PP resolution. The mandate of the TDAG-WG-SR is not to propose modifications on PP resolutions. It was proposed to maintain the main idea, spirit and mandate in the PP resolutions and bring this to WTDC resolutions and delete duplications. The Chair acknowledged that some administrations might be surprised by proposed deletions but reiterated that streamlining resolutions is the group’s purpose. </w:t>
      </w:r>
    </w:p>
    <w:p w14:paraId="4668FDDD"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proofErr w:type="spellStart"/>
      <w:r w:rsidRPr="008E5BF6">
        <w:rPr>
          <w:rFonts w:cstheme="minorHAnsi"/>
          <w:szCs w:val="24"/>
        </w:rPr>
        <w:t>Dr.</w:t>
      </w:r>
      <w:proofErr w:type="spellEnd"/>
      <w:r w:rsidRPr="008E5BF6">
        <w:rPr>
          <w:rFonts w:cstheme="minorHAnsi"/>
          <w:szCs w:val="24"/>
        </w:rPr>
        <w:t xml:space="preserve"> Mazar (Israel) agreed with the points expressed by Prof. Minkin (Russia Federation). And further commented that TDAG cannot change a WTDC resolution and the WTDC cannot change a PP resolution. So, only streamlining WTDC resolutions would be discussed. </w:t>
      </w:r>
      <w:proofErr w:type="spellStart"/>
      <w:r w:rsidRPr="008E5BF6">
        <w:rPr>
          <w:rFonts w:cstheme="minorHAnsi"/>
          <w:szCs w:val="24"/>
        </w:rPr>
        <w:t>Dr.</w:t>
      </w:r>
      <w:proofErr w:type="spellEnd"/>
      <w:r w:rsidRPr="008E5BF6">
        <w:rPr>
          <w:rFonts w:cstheme="minorHAnsi"/>
          <w:szCs w:val="24"/>
        </w:rPr>
        <w:t xml:space="preserve"> Mazar requested clarification if the proposal to insert a column on WTSA resolutions in the table for volunteers would be adopted.</w:t>
      </w:r>
    </w:p>
    <w:p w14:paraId="44DFE0D3"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agreed that the TDAG-WG-SR is preparing for the WTDC. Views of the TDAG-WG-SR were sought at the meeting on the proposal to insert a column on WTSA resolutions.</w:t>
      </w:r>
    </w:p>
    <w:p w14:paraId="5BC0DAD0" w14:textId="6EB12324"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Alanazi (Saudi Arabia) in consideration of the TDAG-WG-SR workload, proposed that the work of the TDAG-WG-SR would be to cross check WTDC resolutions with PP resolutions.</w:t>
      </w:r>
    </w:p>
    <w:p w14:paraId="10974770"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Prof Minkin (Russian Federation) informed that a </w:t>
      </w:r>
      <w:hyperlink r:id="rId19" w:history="1">
        <w:r w:rsidRPr="008E5BF6">
          <w:rPr>
            <w:rStyle w:val="Hyperlink"/>
            <w:rFonts w:cstheme="minorHAnsi"/>
            <w:szCs w:val="24"/>
          </w:rPr>
          <w:t>mapping table of the PP and other sector resolutions</w:t>
        </w:r>
      </w:hyperlink>
      <w:r w:rsidRPr="008E5BF6">
        <w:rPr>
          <w:rFonts w:cstheme="minorHAnsi"/>
          <w:szCs w:val="24"/>
        </w:rPr>
        <w:t xml:space="preserve"> had been prepared by the intersectoral coordination and available as a reference. </w:t>
      </w:r>
    </w:p>
    <w:p w14:paraId="169C606B"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requested collaboration to start with WTDC and PP resolutions to present some proposals to streamline the WTDC resolutions.</w:t>
      </w:r>
    </w:p>
    <w:p w14:paraId="082B9C5A" w14:textId="79705F4F"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Burton (United States) expressed that some administrations might consult with their experts to identify potential volunteers. It was proposed to set a response date for volunteering, using the document with the table as a guide. </w:t>
      </w:r>
    </w:p>
    <w:p w14:paraId="0C19D402"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Ms. Mina (Republic of Korea) commented while noting the usefulness of the table in preparing resolutions, pointed out that resolutions would be considered in the preparatory groups. Per the adopted </w:t>
      </w:r>
      <w:hyperlink r:id="rId20" w:history="1">
        <w:r w:rsidRPr="008E5BF6">
          <w:rPr>
            <w:rStyle w:val="Hyperlink"/>
            <w:rFonts w:cstheme="minorHAnsi"/>
            <w:szCs w:val="24"/>
          </w:rPr>
          <w:t>Terms of Reference of the TDAG-WG-SR</w:t>
        </w:r>
      </w:hyperlink>
      <w:r w:rsidRPr="008E5BF6">
        <w:rPr>
          <w:rFonts w:cstheme="minorHAnsi"/>
          <w:szCs w:val="24"/>
        </w:rPr>
        <w:t xml:space="preserve">, it was proposed that the group also considers any missing points from the PP resolutions that are related to WTDC resolutions. </w:t>
      </w:r>
    </w:p>
    <w:p w14:paraId="55E703C0"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The Chair expressed that the upfront work of the TDAG-WG-SR would be useful to the membership in their bringing forward proposals on streamlining resolutions to the regional preparatory meetings. It was also agreed that a deadline be considered for volunteering on the proposed clusters. </w:t>
      </w:r>
    </w:p>
    <w:p w14:paraId="1A87D157"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Ms. Webber (TDAG Chair) expressed that the different TDAG working groups would prepare their work in their various spheres. And then this work would be available to the membership to draw on in terms of making their own proposals to the WTDC. There would be reporting at the last TDAG meeting in May 2025. But the work of the working groups would stand on its own. This work provides information to the members that might consider submitting proposals to the WTDC, either as individual countries or through their regions. So, this would be an opportunity to get a sense of what people are thinking, the direction, and discuss way ahead of the conference and hopefully prepare some consensus that could be very helpful for the conference. The end result would be that there is consensus around certain ways of streamlining. This would serve as a resource for members to propose to the actual conference.</w:t>
      </w:r>
    </w:p>
    <w:p w14:paraId="6776C25B"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lastRenderedPageBreak/>
        <w:t xml:space="preserve">Prof Minkin (Russian Federation) commented that considering this work is on all sectors, finding a final solution during the meeting of the TDAG-WG-SR would be challenging, but this provides a good opportunity to share views. It was proposed to request all regional organizations to inform the TDAG-WG-SR which resolutions would be of interest and who would be coordinating the resolutions in each regional organization. And if an organization or country or sector member would then present at the TDAG-WG-SR some draft resolutions, it would be useful for sharing views and receiving comments. </w:t>
      </w:r>
    </w:p>
    <w:p w14:paraId="520B0F66"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The Chair expressed that requesting regional organizations informally is a good approach, but highlighted the timing challenge since regional meetings are scheduled for the first quarter of 2025. Delaying streamlining resolutions by TDAG-WG-SR until next year would result in lost time. While a lot can be achieved prior to the regional meetings which may lead to some outcomes for discussions. Having no volunteers might indicate that streamlining resolutions is not sought by the membership. The Chair encouraged members to work by correspondence, aiming to have some resolutions ready for the last TDAG meeting before WTDC. </w:t>
      </w:r>
    </w:p>
    <w:p w14:paraId="0D5A9CF1"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proofErr w:type="spellStart"/>
      <w:r w:rsidRPr="008E5BF6">
        <w:rPr>
          <w:rFonts w:cstheme="minorHAnsi"/>
          <w:szCs w:val="24"/>
        </w:rPr>
        <w:t>Dr.</w:t>
      </w:r>
      <w:proofErr w:type="spellEnd"/>
      <w:r w:rsidRPr="008E5BF6">
        <w:rPr>
          <w:rFonts w:cstheme="minorHAnsi"/>
          <w:szCs w:val="24"/>
        </w:rPr>
        <w:t xml:space="preserve"> Mazar (Israel) expressed that TDAG-WG-SR in looking into proposals for WTDC resolutions could consider whether resolutions should be streamlined or not. </w:t>
      </w:r>
    </w:p>
    <w:p w14:paraId="684377B4" w14:textId="5439DA86"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Alanazi (Saudi Arabia) commented if modifications to resolutions are proposed, these proposals would need to be presented by membership at the WTDC. Further information was requested in going forward if these proposals would be shared via correspondence to Member States and sought further elaboration on the process. </w:t>
      </w:r>
    </w:p>
    <w:p w14:paraId="7F543065"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expressed that this practical exercise on having some WTDC resolutions streamlined would support the administrations in presenting at regional level. As well as support regional organizations in their preparations of contributions to WTDC. TDAG-WG-SR would not have the mandate to present contributions to the conference itself.</w:t>
      </w:r>
    </w:p>
    <w:p w14:paraId="5BD18422"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Ms. Webber (TDAG Chair) added this would support all membership including regional organizations that the outputs of the TDAG working groups be available to reflect the thinking of the TDAG and participants of TDAG on the various subjects. So, as individual country submissions or regional submissions are being prepared it is helpful to be aware if there is some consensus from the working group on a particular point.</w:t>
      </w:r>
    </w:p>
    <w:p w14:paraId="0FC6E67E"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Ms. Nagwa (African Telecommunication Union) emphasized the need for well-defined criteria for streamlining resolutions, acknowledging the complexity of the task, and further proposed using an example resolution to guide the process, which would benefit all members. </w:t>
      </w:r>
    </w:p>
    <w:p w14:paraId="5C8536F4"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announced that a package of documents including the main criteria for streamlining and examples of streamlined resolutions would be prepared with the BDT Secretariat and shared with members. The Chair also expressed appreciation for the suggestions received.</w:t>
      </w:r>
    </w:p>
    <w:p w14:paraId="7D9A1DE8"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proofErr w:type="spellStart"/>
      <w:r w:rsidRPr="008E5BF6">
        <w:rPr>
          <w:rFonts w:cstheme="minorHAnsi"/>
          <w:szCs w:val="24"/>
        </w:rPr>
        <w:t>Dr.</w:t>
      </w:r>
      <w:proofErr w:type="spellEnd"/>
      <w:r w:rsidRPr="008E5BF6">
        <w:rPr>
          <w:rFonts w:cstheme="minorHAnsi"/>
          <w:szCs w:val="24"/>
        </w:rPr>
        <w:t xml:space="preserve"> Mazar (Israel) further commented that official contributions from regional groups or Member States would be presented to the WTDC. </w:t>
      </w:r>
    </w:p>
    <w:p w14:paraId="1C7A435F" w14:textId="560308E9" w:rsidR="00654443" w:rsidRPr="008E5BF6" w:rsidRDefault="00382506" w:rsidP="00417A85">
      <w:pPr>
        <w:pStyle w:val="ListParagraph"/>
        <w:numPr>
          <w:ilvl w:val="0"/>
          <w:numId w:val="9"/>
        </w:numPr>
        <w:spacing w:after="120"/>
        <w:ind w:left="357" w:hanging="357"/>
        <w:contextualSpacing w:val="0"/>
        <w:rPr>
          <w:rFonts w:cstheme="minorHAnsi"/>
          <w:szCs w:val="24"/>
        </w:rPr>
      </w:pPr>
      <w:r>
        <w:rPr>
          <w:rFonts w:cstheme="minorHAnsi"/>
          <w:szCs w:val="24"/>
        </w:rPr>
        <w:t xml:space="preserve">Mr </w:t>
      </w:r>
      <w:r w:rsidR="00654443" w:rsidRPr="008E5BF6">
        <w:rPr>
          <w:rFonts w:cstheme="minorHAnsi"/>
          <w:szCs w:val="24"/>
        </w:rPr>
        <w:t xml:space="preserve">Burton (United States) acknowledged the significant amount of work needed to provide helpful inputs for the WTDC and would support soliciting cluster volunteers. </w:t>
      </w:r>
    </w:p>
    <w:p w14:paraId="1977512E"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Ms. Webber (TDAG Chair) encouraged perseverance despite the current lack of volunteers. The significance of the work would become evident as resolutions are reviewed and compared, and responses would eventually come in. It was recognized the difficulty for individuals to commit without consulting their administrations.</w:t>
      </w:r>
    </w:p>
    <w:p w14:paraId="117217FF"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lastRenderedPageBreak/>
        <w:t>Ms. Mina (Republic of Korea) acknowledged the usefulness of the table for members in preparing their own resolutions and Republic of Korea may consider volunteering for comparing text in resolutions.</w:t>
      </w:r>
    </w:p>
    <w:p w14:paraId="610F53A6"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Chair stated that the goal is to present the material in advance of the Regional Preparatory Meetings (RPMs). TDAG-WG-SR would aim to provide valuable input for preparation, that can be useful to both administrations and regions.</w:t>
      </w:r>
    </w:p>
    <w:p w14:paraId="2408E21F"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Ms. Webber (TDAG Chair) suggested that using an email reflector for communication would be beneficial.</w:t>
      </w:r>
    </w:p>
    <w:p w14:paraId="03D77870"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BDT Secretariat informed there is a </w:t>
      </w:r>
      <w:hyperlink r:id="rId21" w:history="1">
        <w:r w:rsidRPr="008E5BF6">
          <w:rPr>
            <w:rStyle w:val="Hyperlink"/>
            <w:rFonts w:cstheme="minorHAnsi"/>
            <w:szCs w:val="24"/>
          </w:rPr>
          <w:t>TDAG-WG-SR Teams Collaborative Workspace</w:t>
        </w:r>
      </w:hyperlink>
      <w:r w:rsidRPr="008E5BF6">
        <w:rPr>
          <w:rFonts w:cstheme="minorHAnsi"/>
          <w:szCs w:val="24"/>
        </w:rPr>
        <w:t xml:space="preserve"> which contains the documents discussed and provides an opportunity for any collaborative work by the participants to be posted therein. At the same time, participants registered to this meeting are on the TDAG-WG-SR mailing list (</w:t>
      </w:r>
      <w:hyperlink r:id="rId22" w:history="1">
        <w:r w:rsidRPr="008E5BF6">
          <w:rPr>
            <w:rStyle w:val="Hyperlink"/>
            <w:rFonts w:cstheme="minorHAnsi"/>
            <w:szCs w:val="24"/>
          </w:rPr>
          <w:t>tdag-wg-streamres@lists.itu.int</w:t>
        </w:r>
      </w:hyperlink>
      <w:r w:rsidRPr="008E5BF6">
        <w:rPr>
          <w:rFonts w:cstheme="minorHAnsi"/>
          <w:szCs w:val="24"/>
        </w:rPr>
        <w:t>) to support work by correspondence.</w:t>
      </w:r>
    </w:p>
    <w:p w14:paraId="7C340480" w14:textId="77777777"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 xml:space="preserve">The Chair concluded that an information package would be shared to facilitate contributions for the next meeting on 5 December 2024. Based on how things evolve, additional meetings may be considered. The Chair also informed of her continued availability to advise or help in doing this work. </w:t>
      </w:r>
    </w:p>
    <w:p w14:paraId="729D9BF5" w14:textId="23C430C0" w:rsidR="00654443" w:rsidRPr="008E5BF6" w:rsidRDefault="00654443" w:rsidP="00417A85">
      <w:pPr>
        <w:pStyle w:val="ListParagraph"/>
        <w:numPr>
          <w:ilvl w:val="0"/>
          <w:numId w:val="9"/>
        </w:numPr>
        <w:spacing w:after="120"/>
        <w:ind w:left="357" w:hanging="357"/>
        <w:contextualSpacing w:val="0"/>
        <w:rPr>
          <w:rFonts w:cstheme="minorHAnsi"/>
          <w:szCs w:val="24"/>
        </w:rPr>
      </w:pPr>
      <w:r w:rsidRPr="008E5BF6">
        <w:rPr>
          <w:rFonts w:cstheme="minorHAnsi"/>
          <w:szCs w:val="24"/>
        </w:rPr>
        <w:t>The document was noted. The Chair closed the meeting with a note of thanks and requested members of this working group to consider volunteering to work on the resolutions grouped in the 10 clusters.</w:t>
      </w:r>
      <w:r w:rsidR="009F60C1">
        <w:rPr>
          <w:rFonts w:cstheme="minorHAnsi"/>
          <w:szCs w:val="24"/>
        </w:rPr>
        <w:t xml:space="preserve"> </w:t>
      </w:r>
      <w:r w:rsidRPr="008E5BF6">
        <w:rPr>
          <w:rFonts w:cstheme="minorHAnsi"/>
          <w:szCs w:val="24"/>
        </w:rPr>
        <w:t>The list of volunteers for the clusters would remain open for work by correspondence.</w:t>
      </w:r>
    </w:p>
    <w:p w14:paraId="5845D5FD" w14:textId="77777777" w:rsidR="00654443" w:rsidRPr="00417A85" w:rsidRDefault="00654443" w:rsidP="00417A85">
      <w:pPr>
        <w:pStyle w:val="ListParagraph"/>
        <w:numPr>
          <w:ilvl w:val="0"/>
          <w:numId w:val="7"/>
        </w:numPr>
        <w:spacing w:after="120"/>
        <w:ind w:left="357" w:hanging="357"/>
        <w:contextualSpacing w:val="0"/>
        <w:rPr>
          <w:rFonts w:cstheme="minorHAnsi"/>
          <w:b/>
          <w:bCs/>
          <w:szCs w:val="24"/>
          <w:lang w:val="en-US"/>
        </w:rPr>
      </w:pPr>
      <w:r w:rsidRPr="00417A85">
        <w:rPr>
          <w:rFonts w:cstheme="minorHAnsi"/>
          <w:b/>
          <w:bCs/>
          <w:szCs w:val="24"/>
          <w:lang w:val="en-US"/>
        </w:rPr>
        <w:t>Work by Correspondence (6 September 2024 – 23 November 2024)</w:t>
      </w:r>
    </w:p>
    <w:p w14:paraId="0A2F20A2" w14:textId="77777777" w:rsidR="00654443" w:rsidRPr="008E5BF6" w:rsidRDefault="00654443" w:rsidP="00417A85">
      <w:pPr>
        <w:pStyle w:val="ListParagraph"/>
        <w:numPr>
          <w:ilvl w:val="0"/>
          <w:numId w:val="10"/>
        </w:numPr>
        <w:spacing w:after="120"/>
        <w:ind w:left="357" w:hanging="357"/>
        <w:contextualSpacing w:val="0"/>
        <w:rPr>
          <w:rFonts w:cstheme="minorHAnsi"/>
          <w:szCs w:val="24"/>
        </w:rPr>
      </w:pPr>
      <w:r w:rsidRPr="008E5BF6">
        <w:rPr>
          <w:rFonts w:cstheme="minorHAnsi"/>
          <w:szCs w:val="24"/>
        </w:rPr>
        <w:t>A package of documents, including a draft document which could be adapted for further elaboration in preparing contributions on streamlining resolutions and references to examples, was prepared and shared with the TDAG-WG-SR by email (</w:t>
      </w:r>
      <w:hyperlink r:id="rId23" w:history="1">
        <w:r w:rsidRPr="008E5BF6">
          <w:rPr>
            <w:rStyle w:val="Hyperlink"/>
            <w:rFonts w:cstheme="minorHAnsi"/>
            <w:szCs w:val="24"/>
          </w:rPr>
          <w:t>tdag-wg-streamres@lists.itu.int</w:t>
        </w:r>
      </w:hyperlink>
      <w:r w:rsidRPr="008E5BF6">
        <w:rPr>
          <w:rStyle w:val="Hyperlink"/>
          <w:rFonts w:cstheme="minorHAnsi"/>
          <w:szCs w:val="24"/>
        </w:rPr>
        <w:t>)</w:t>
      </w:r>
      <w:r w:rsidRPr="008E5BF6">
        <w:rPr>
          <w:rFonts w:cstheme="minorHAnsi"/>
          <w:szCs w:val="24"/>
        </w:rPr>
        <w:t xml:space="preserve"> and on the </w:t>
      </w:r>
      <w:hyperlink r:id="rId24" w:history="1">
        <w:r w:rsidRPr="008E5BF6">
          <w:rPr>
            <w:rStyle w:val="Hyperlink"/>
            <w:rFonts w:cstheme="minorHAnsi"/>
            <w:szCs w:val="24"/>
          </w:rPr>
          <w:t>TDAG-WG-SR Teams Collaborative Workspace</w:t>
        </w:r>
      </w:hyperlink>
      <w:r w:rsidRPr="008E5BF6">
        <w:rPr>
          <w:rFonts w:cstheme="minorHAnsi"/>
          <w:szCs w:val="24"/>
        </w:rPr>
        <w:t xml:space="preserve"> for work by correspondence. The </w:t>
      </w:r>
      <w:hyperlink r:id="rId25" w:history="1">
        <w:r w:rsidRPr="008E5BF6">
          <w:rPr>
            <w:rStyle w:val="Hyperlink"/>
            <w:rFonts w:cstheme="minorHAnsi"/>
            <w:szCs w:val="24"/>
          </w:rPr>
          <w:t>mapping table of the PP and other sector resolutions</w:t>
        </w:r>
      </w:hyperlink>
      <w:r w:rsidRPr="008E5BF6">
        <w:rPr>
          <w:rFonts w:cstheme="minorHAnsi"/>
          <w:szCs w:val="24"/>
        </w:rPr>
        <w:t xml:space="preserve"> was also provided. During this period of work by correspondence, volunteers were received for the first three clusters as follows:</w:t>
      </w:r>
    </w:p>
    <w:tbl>
      <w:tblPr>
        <w:tblStyle w:val="TableGrid"/>
        <w:tblW w:w="0" w:type="auto"/>
        <w:jc w:val="center"/>
        <w:tblLook w:val="04A0" w:firstRow="1" w:lastRow="0" w:firstColumn="1" w:lastColumn="0" w:noHBand="0" w:noVBand="1"/>
      </w:tblPr>
      <w:tblGrid>
        <w:gridCol w:w="2972"/>
        <w:gridCol w:w="2968"/>
        <w:gridCol w:w="2969"/>
      </w:tblGrid>
      <w:tr w:rsidR="00654443" w:rsidRPr="00C30721" w14:paraId="16859AE7" w14:textId="77777777" w:rsidTr="00417A85">
        <w:trPr>
          <w:jc w:val="center"/>
        </w:trPr>
        <w:tc>
          <w:tcPr>
            <w:tcW w:w="2972" w:type="dxa"/>
          </w:tcPr>
          <w:p w14:paraId="1D1967A4" w14:textId="77777777" w:rsidR="00654443" w:rsidRPr="00C30721" w:rsidRDefault="00654443" w:rsidP="00654443">
            <w:pPr>
              <w:pStyle w:val="ListParagraph"/>
              <w:spacing w:before="60" w:after="60"/>
              <w:ind w:left="360"/>
              <w:rPr>
                <w:color w:val="000000" w:themeColor="text1"/>
                <w:sz w:val="22"/>
                <w:szCs w:val="22"/>
                <w14:ligatures w14:val="standardContextual"/>
              </w:rPr>
            </w:pPr>
            <w:r w:rsidRPr="00C30721">
              <w:rPr>
                <w:color w:val="000000" w:themeColor="text1"/>
                <w:sz w:val="22"/>
                <w:szCs w:val="22"/>
                <w14:ligatures w14:val="standardContextual"/>
              </w:rPr>
              <w:t>Clusters</w:t>
            </w:r>
          </w:p>
        </w:tc>
        <w:tc>
          <w:tcPr>
            <w:tcW w:w="2968" w:type="dxa"/>
          </w:tcPr>
          <w:p w14:paraId="72A9B832" w14:textId="77777777" w:rsidR="00654443" w:rsidRPr="00C30721" w:rsidRDefault="00654443" w:rsidP="00654443">
            <w:pPr>
              <w:pStyle w:val="ListParagraph"/>
              <w:spacing w:before="60" w:after="60"/>
              <w:ind w:left="0"/>
              <w:jc w:val="center"/>
              <w:rPr>
                <w:color w:val="000000" w:themeColor="text1"/>
                <w:sz w:val="22"/>
                <w:szCs w:val="22"/>
                <w14:ligatures w14:val="standardContextual"/>
              </w:rPr>
            </w:pPr>
            <w:r w:rsidRPr="00C30721">
              <w:rPr>
                <w:color w:val="000000" w:themeColor="text1"/>
                <w:sz w:val="22"/>
                <w:szCs w:val="22"/>
                <w14:ligatures w14:val="standardContextual"/>
              </w:rPr>
              <w:t>WTDC Resolutions</w:t>
            </w:r>
          </w:p>
        </w:tc>
        <w:tc>
          <w:tcPr>
            <w:tcW w:w="2969" w:type="dxa"/>
          </w:tcPr>
          <w:p w14:paraId="740C4A26" w14:textId="77777777" w:rsidR="00654443" w:rsidRPr="00C30721" w:rsidRDefault="00654443" w:rsidP="00654443">
            <w:pPr>
              <w:pStyle w:val="ListParagraph"/>
              <w:spacing w:before="60" w:after="60"/>
              <w:ind w:left="0"/>
              <w:rPr>
                <w:rStyle w:val="normaltextrun"/>
                <w:rFonts w:ascii="Calibri" w:hAnsi="Calibri" w:cs="Calibri"/>
                <w:sz w:val="22"/>
                <w:szCs w:val="22"/>
              </w:rPr>
            </w:pPr>
            <w:r w:rsidRPr="00C30721">
              <w:rPr>
                <w:rStyle w:val="normaltextrun"/>
                <w:rFonts w:ascii="Calibri" w:hAnsi="Calibri" w:cs="Calibri"/>
                <w:sz w:val="22"/>
                <w:szCs w:val="22"/>
              </w:rPr>
              <w:t>Volunteers</w:t>
            </w:r>
          </w:p>
        </w:tc>
      </w:tr>
      <w:tr w:rsidR="00654443" w:rsidRPr="00C30721" w14:paraId="5848A87B" w14:textId="77777777" w:rsidTr="00417A85">
        <w:trPr>
          <w:jc w:val="center"/>
        </w:trPr>
        <w:tc>
          <w:tcPr>
            <w:tcW w:w="2972" w:type="dxa"/>
          </w:tcPr>
          <w:p w14:paraId="1E945694" w14:textId="77777777" w:rsidR="00654443" w:rsidRPr="00C30721" w:rsidRDefault="00654443" w:rsidP="00654443">
            <w:pPr>
              <w:pStyle w:val="ListParagraph"/>
              <w:numPr>
                <w:ilvl w:val="0"/>
                <w:numId w:val="11"/>
              </w:numPr>
              <w:spacing w:before="60" w:after="60"/>
              <w:rPr>
                <w:rFonts w:cstheme="minorHAnsi"/>
                <w:sz w:val="22"/>
                <w:szCs w:val="22"/>
              </w:rPr>
            </w:pPr>
            <w:r w:rsidRPr="00C30721">
              <w:rPr>
                <w:color w:val="000000" w:themeColor="text1"/>
                <w:sz w:val="22"/>
                <w:szCs w:val="22"/>
                <w14:ligatures w14:val="standardContextual"/>
              </w:rPr>
              <w:t>Information and Statistics</w:t>
            </w:r>
          </w:p>
        </w:tc>
        <w:tc>
          <w:tcPr>
            <w:tcW w:w="2968" w:type="dxa"/>
          </w:tcPr>
          <w:p w14:paraId="3BCA2A42" w14:textId="77777777" w:rsidR="00654443" w:rsidRPr="00C30721" w:rsidRDefault="00654443" w:rsidP="00654443">
            <w:pPr>
              <w:pStyle w:val="ListParagraph"/>
              <w:spacing w:before="60" w:after="60"/>
              <w:ind w:left="0"/>
              <w:jc w:val="center"/>
              <w:rPr>
                <w:rFonts w:cstheme="minorHAnsi"/>
                <w:sz w:val="22"/>
                <w:szCs w:val="22"/>
              </w:rPr>
            </w:pPr>
            <w:r w:rsidRPr="00C30721">
              <w:rPr>
                <w:color w:val="000000" w:themeColor="text1"/>
                <w:sz w:val="22"/>
                <w:szCs w:val="22"/>
                <w14:ligatures w14:val="standardContextual"/>
              </w:rPr>
              <w:t>Res. 8</w:t>
            </w:r>
          </w:p>
        </w:tc>
        <w:tc>
          <w:tcPr>
            <w:tcW w:w="2969" w:type="dxa"/>
          </w:tcPr>
          <w:p w14:paraId="55C3EC2F" w14:textId="3C9EAE48" w:rsidR="00654443" w:rsidRPr="00C30721" w:rsidRDefault="00654443" w:rsidP="00654443">
            <w:pPr>
              <w:pStyle w:val="ListParagraph"/>
              <w:spacing w:before="60" w:after="60"/>
              <w:ind w:left="0"/>
              <w:rPr>
                <w:rFonts w:cstheme="minorHAnsi"/>
                <w:sz w:val="22"/>
                <w:szCs w:val="22"/>
              </w:rPr>
            </w:pPr>
            <w:r w:rsidRPr="00C30721">
              <w:rPr>
                <w:rStyle w:val="normaltextrun"/>
                <w:rFonts w:ascii="Calibri" w:hAnsi="Calibri" w:cs="Calibri"/>
                <w:sz w:val="22"/>
                <w:szCs w:val="22"/>
              </w:rPr>
              <w:t xml:space="preserve">Arseny </w:t>
            </w:r>
            <w:proofErr w:type="spellStart"/>
            <w:r w:rsidRPr="00C30721">
              <w:rPr>
                <w:rStyle w:val="normaltextrun"/>
                <w:rFonts w:ascii="Calibri" w:hAnsi="Calibri" w:cs="Calibri"/>
                <w:sz w:val="22"/>
                <w:szCs w:val="22"/>
              </w:rPr>
              <w:t>Plossky</w:t>
            </w:r>
            <w:proofErr w:type="spellEnd"/>
            <w:r w:rsidRPr="00C30721">
              <w:rPr>
                <w:rStyle w:val="normaltextrun"/>
                <w:rFonts w:ascii="Calibri" w:hAnsi="Calibri" w:cs="Calibri"/>
                <w:sz w:val="22"/>
                <w:szCs w:val="22"/>
              </w:rPr>
              <w:t>, Russian Federation</w:t>
            </w:r>
          </w:p>
        </w:tc>
      </w:tr>
      <w:tr w:rsidR="00654443" w:rsidRPr="00C30721" w14:paraId="0C188BC0" w14:textId="77777777" w:rsidTr="00417A85">
        <w:trPr>
          <w:jc w:val="center"/>
        </w:trPr>
        <w:tc>
          <w:tcPr>
            <w:tcW w:w="2972" w:type="dxa"/>
          </w:tcPr>
          <w:p w14:paraId="7674559D" w14:textId="77777777" w:rsidR="00654443" w:rsidRPr="00C30721" w:rsidRDefault="00654443" w:rsidP="00654443">
            <w:pPr>
              <w:pStyle w:val="ListParagraph"/>
              <w:numPr>
                <w:ilvl w:val="0"/>
                <w:numId w:val="11"/>
              </w:numPr>
              <w:spacing w:before="60" w:after="60"/>
              <w:rPr>
                <w:rFonts w:cstheme="minorHAnsi"/>
                <w:sz w:val="22"/>
                <w:szCs w:val="22"/>
              </w:rPr>
            </w:pPr>
            <w:r w:rsidRPr="00C30721">
              <w:rPr>
                <w:color w:val="000000" w:themeColor="text1"/>
                <w:sz w:val="22"/>
                <w:szCs w:val="22"/>
                <w14:ligatures w14:val="standardContextual"/>
              </w:rPr>
              <w:t>Regional Cooperation and Projects</w:t>
            </w:r>
          </w:p>
        </w:tc>
        <w:tc>
          <w:tcPr>
            <w:tcW w:w="2968" w:type="dxa"/>
          </w:tcPr>
          <w:p w14:paraId="68056D8E" w14:textId="77777777" w:rsidR="00654443" w:rsidRPr="00C30721" w:rsidRDefault="00654443" w:rsidP="00654443">
            <w:pPr>
              <w:pStyle w:val="ListParagraph"/>
              <w:spacing w:before="60" w:after="60"/>
              <w:ind w:left="0"/>
              <w:jc w:val="center"/>
              <w:rPr>
                <w:rFonts w:cstheme="minorHAnsi"/>
                <w:sz w:val="22"/>
                <w:szCs w:val="22"/>
              </w:rPr>
            </w:pPr>
            <w:r w:rsidRPr="00C30721">
              <w:rPr>
                <w:color w:val="000000" w:themeColor="text1"/>
                <w:sz w:val="22"/>
                <w:szCs w:val="22"/>
                <w14:ligatures w14:val="standardContextual"/>
              </w:rPr>
              <w:t>Res. 17</w:t>
            </w:r>
          </w:p>
        </w:tc>
        <w:tc>
          <w:tcPr>
            <w:tcW w:w="2969" w:type="dxa"/>
          </w:tcPr>
          <w:p w14:paraId="3348D4CD" w14:textId="77777777" w:rsidR="00654443" w:rsidRPr="00C30721" w:rsidRDefault="00654443" w:rsidP="00654443">
            <w:pPr>
              <w:pStyle w:val="ListParagraph"/>
              <w:spacing w:before="60" w:after="60"/>
              <w:ind w:left="0"/>
              <w:rPr>
                <w:rFonts w:cstheme="minorHAnsi"/>
                <w:sz w:val="22"/>
                <w:szCs w:val="22"/>
              </w:rPr>
            </w:pPr>
            <w:r w:rsidRPr="00C30721">
              <w:rPr>
                <w:rStyle w:val="normaltextrun"/>
                <w:rFonts w:ascii="Calibri" w:hAnsi="Calibri" w:cs="Calibri"/>
                <w:color w:val="000000"/>
                <w:sz w:val="22"/>
                <w:szCs w:val="22"/>
              </w:rPr>
              <w:t xml:space="preserve">Maria </w:t>
            </w:r>
            <w:proofErr w:type="spellStart"/>
            <w:r w:rsidRPr="00C30721">
              <w:rPr>
                <w:rStyle w:val="normaltextrun"/>
                <w:rFonts w:ascii="Calibri" w:hAnsi="Calibri" w:cs="Calibri"/>
                <w:color w:val="000000"/>
                <w:sz w:val="22"/>
                <w:szCs w:val="22"/>
              </w:rPr>
              <w:t>Myutel</w:t>
            </w:r>
            <w:proofErr w:type="spellEnd"/>
            <w:r w:rsidRPr="00C30721">
              <w:rPr>
                <w:rStyle w:val="normaltextrun"/>
                <w:rFonts w:ascii="Calibri" w:hAnsi="Calibri" w:cs="Calibri"/>
                <w:color w:val="000000"/>
                <w:sz w:val="22"/>
                <w:szCs w:val="22"/>
              </w:rPr>
              <w:t>, Australia</w:t>
            </w:r>
            <w:r w:rsidRPr="00C30721">
              <w:rPr>
                <w:rStyle w:val="eop"/>
                <w:rFonts w:ascii="Calibri" w:hAnsi="Calibri" w:cs="Calibri"/>
                <w:color w:val="000000"/>
                <w:sz w:val="22"/>
                <w:szCs w:val="22"/>
              </w:rPr>
              <w:t> </w:t>
            </w:r>
          </w:p>
        </w:tc>
      </w:tr>
      <w:tr w:rsidR="00654443" w:rsidRPr="00C30721" w14:paraId="12014404" w14:textId="77777777" w:rsidTr="00417A85">
        <w:trPr>
          <w:jc w:val="center"/>
        </w:trPr>
        <w:tc>
          <w:tcPr>
            <w:tcW w:w="2972" w:type="dxa"/>
          </w:tcPr>
          <w:p w14:paraId="24B5FEF9" w14:textId="77777777" w:rsidR="00654443" w:rsidRPr="00C30721" w:rsidRDefault="00654443" w:rsidP="00654443">
            <w:pPr>
              <w:pStyle w:val="ListParagraph"/>
              <w:numPr>
                <w:ilvl w:val="0"/>
                <w:numId w:val="11"/>
              </w:numPr>
              <w:spacing w:before="60" w:after="60"/>
              <w:rPr>
                <w:rFonts w:cstheme="minorHAnsi"/>
                <w:sz w:val="22"/>
                <w:szCs w:val="22"/>
              </w:rPr>
            </w:pPr>
            <w:r w:rsidRPr="00C30721">
              <w:rPr>
                <w:color w:val="000000" w:themeColor="text1"/>
                <w:sz w:val="22"/>
                <w:szCs w:val="22"/>
                <w14:ligatures w14:val="standardContextual"/>
              </w:rPr>
              <w:t>Infrastructure and Access Networks</w:t>
            </w:r>
          </w:p>
        </w:tc>
        <w:tc>
          <w:tcPr>
            <w:tcW w:w="2968" w:type="dxa"/>
          </w:tcPr>
          <w:p w14:paraId="75034F1A" w14:textId="77777777" w:rsidR="00654443" w:rsidRPr="00C30721" w:rsidRDefault="00654443" w:rsidP="00654443">
            <w:pPr>
              <w:spacing w:before="0" w:after="60"/>
              <w:jc w:val="center"/>
              <w:rPr>
                <w:color w:val="000000" w:themeColor="text1"/>
                <w:sz w:val="22"/>
                <w:szCs w:val="22"/>
                <w14:ligatures w14:val="standardContextual"/>
              </w:rPr>
            </w:pPr>
            <w:r w:rsidRPr="00C30721">
              <w:rPr>
                <w:color w:val="000000" w:themeColor="text1"/>
                <w:sz w:val="22"/>
                <w:szCs w:val="22"/>
                <w14:ligatures w14:val="standardContextual"/>
              </w:rPr>
              <w:t>Res. 20</w:t>
            </w:r>
          </w:p>
          <w:p w14:paraId="1AFE7E93" w14:textId="77777777" w:rsidR="00654443" w:rsidRPr="00C30721" w:rsidRDefault="00654443" w:rsidP="00654443">
            <w:pPr>
              <w:spacing w:before="0" w:after="60"/>
              <w:jc w:val="center"/>
              <w:rPr>
                <w:color w:val="000000" w:themeColor="text1"/>
                <w:sz w:val="22"/>
                <w:szCs w:val="22"/>
                <w14:ligatures w14:val="standardContextual"/>
              </w:rPr>
            </w:pPr>
            <w:r w:rsidRPr="00C30721">
              <w:rPr>
                <w:color w:val="000000" w:themeColor="text1"/>
                <w:sz w:val="22"/>
                <w:szCs w:val="22"/>
                <w14:ligatures w14:val="standardContextual"/>
              </w:rPr>
              <w:t>Res. 22</w:t>
            </w:r>
          </w:p>
          <w:p w14:paraId="304A970F" w14:textId="77777777" w:rsidR="00654443" w:rsidRPr="00C30721" w:rsidRDefault="00654443" w:rsidP="00654443">
            <w:pPr>
              <w:spacing w:before="0" w:after="60"/>
              <w:jc w:val="center"/>
              <w:rPr>
                <w:color w:val="000000" w:themeColor="text1"/>
                <w:sz w:val="22"/>
                <w:szCs w:val="22"/>
                <w14:ligatures w14:val="standardContextual"/>
              </w:rPr>
            </w:pPr>
            <w:r w:rsidRPr="00C30721">
              <w:rPr>
                <w:color w:val="000000" w:themeColor="text1"/>
                <w:sz w:val="22"/>
                <w:szCs w:val="22"/>
                <w14:ligatures w14:val="standardContextual"/>
              </w:rPr>
              <w:t>Res. 23</w:t>
            </w:r>
          </w:p>
          <w:p w14:paraId="3891E321" w14:textId="77777777" w:rsidR="00654443" w:rsidRPr="00C30721" w:rsidRDefault="00654443" w:rsidP="00654443">
            <w:pPr>
              <w:pStyle w:val="ListParagraph"/>
              <w:spacing w:before="60" w:after="60"/>
              <w:ind w:left="0"/>
              <w:jc w:val="center"/>
              <w:rPr>
                <w:rFonts w:cstheme="minorHAnsi"/>
                <w:sz w:val="22"/>
                <w:szCs w:val="22"/>
              </w:rPr>
            </w:pPr>
            <w:r w:rsidRPr="00C30721">
              <w:rPr>
                <w:color w:val="000000" w:themeColor="text1"/>
                <w:sz w:val="22"/>
                <w:szCs w:val="22"/>
                <w14:ligatures w14:val="standardContextual"/>
              </w:rPr>
              <w:t>Res. 63</w:t>
            </w:r>
          </w:p>
        </w:tc>
        <w:tc>
          <w:tcPr>
            <w:tcW w:w="2969" w:type="dxa"/>
          </w:tcPr>
          <w:p w14:paraId="4FC34A2B" w14:textId="77777777" w:rsidR="00654443" w:rsidRPr="00C30721" w:rsidRDefault="00654443" w:rsidP="00654443">
            <w:pPr>
              <w:pStyle w:val="ListParagraph"/>
              <w:spacing w:before="60" w:after="60"/>
              <w:ind w:left="0"/>
              <w:rPr>
                <w:rFonts w:cstheme="minorHAnsi"/>
                <w:sz w:val="22"/>
                <w:szCs w:val="22"/>
              </w:rPr>
            </w:pPr>
            <w:r w:rsidRPr="00C30721">
              <w:rPr>
                <w:rStyle w:val="normaltextrun"/>
                <w:rFonts w:ascii="Calibri" w:hAnsi="Calibri" w:cs="Calibri"/>
                <w:color w:val="000000"/>
                <w:sz w:val="22"/>
                <w:szCs w:val="22"/>
              </w:rPr>
              <w:t>Prince Ankrah, Ghana</w:t>
            </w:r>
            <w:r w:rsidRPr="00C30721">
              <w:rPr>
                <w:rStyle w:val="eop"/>
                <w:rFonts w:ascii="Calibri" w:hAnsi="Calibri" w:cs="Calibri"/>
                <w:color w:val="000000"/>
                <w:sz w:val="22"/>
                <w:szCs w:val="22"/>
              </w:rPr>
              <w:t> </w:t>
            </w:r>
          </w:p>
        </w:tc>
      </w:tr>
    </w:tbl>
    <w:p w14:paraId="79B7BC45" w14:textId="211A1033" w:rsidR="00654443" w:rsidRPr="007634E8" w:rsidRDefault="007634E8" w:rsidP="00417A85">
      <w:pPr>
        <w:pStyle w:val="ListParagraph"/>
        <w:numPr>
          <w:ilvl w:val="0"/>
          <w:numId w:val="10"/>
        </w:numPr>
        <w:spacing w:after="120"/>
        <w:ind w:left="357" w:hanging="357"/>
        <w:contextualSpacing w:val="0"/>
        <w:rPr>
          <w:rFonts w:cstheme="minorHAnsi"/>
          <w:szCs w:val="24"/>
        </w:rPr>
      </w:pPr>
      <w:r w:rsidRPr="007634E8">
        <w:rPr>
          <w:rFonts w:cstheme="minorHAnsi"/>
          <w:szCs w:val="24"/>
        </w:rPr>
        <w:t>C</w:t>
      </w:r>
      <w:r w:rsidRPr="00A1430E">
        <w:rPr>
          <w:rFonts w:cstheme="minorHAnsi"/>
          <w:szCs w:val="24"/>
        </w:rPr>
        <w:t>ontributions for the fourth meeting of the TDAG-WG-SR were open for submission until 23</w:t>
      </w:r>
      <w:r w:rsidR="008021A0">
        <w:rPr>
          <w:rFonts w:cstheme="minorHAnsi"/>
          <w:szCs w:val="24"/>
        </w:rPr>
        <w:t> </w:t>
      </w:r>
      <w:r w:rsidRPr="00A1430E">
        <w:rPr>
          <w:rFonts w:cstheme="minorHAnsi"/>
          <w:szCs w:val="24"/>
        </w:rPr>
        <w:t>November 2024</w:t>
      </w:r>
      <w:r>
        <w:rPr>
          <w:rFonts w:cstheme="minorHAnsi"/>
          <w:szCs w:val="24"/>
        </w:rPr>
        <w:t>.</w:t>
      </w:r>
    </w:p>
    <w:p w14:paraId="7759C759" w14:textId="12BD0D66"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16102F">
      <w:headerReference w:type="defaul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D8804" w14:textId="77777777" w:rsidR="00E30BB7" w:rsidRDefault="00E30BB7">
      <w:r>
        <w:separator/>
      </w:r>
    </w:p>
  </w:endnote>
  <w:endnote w:type="continuationSeparator" w:id="0">
    <w:p w14:paraId="416BC424" w14:textId="77777777" w:rsidR="00E30BB7" w:rsidRDefault="00E30BB7">
      <w:r>
        <w:continuationSeparator/>
      </w:r>
    </w:p>
  </w:endnote>
  <w:endnote w:type="continuationNotice" w:id="1">
    <w:p w14:paraId="5129FDF6" w14:textId="77777777" w:rsidR="00E30BB7" w:rsidRDefault="00E30B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FF7C21" w:rsidRPr="004D495C" w14:paraId="04F52019" w14:textId="77777777" w:rsidTr="00CD5C5C">
      <w:tc>
        <w:tcPr>
          <w:tcW w:w="1526" w:type="dxa"/>
          <w:tcBorders>
            <w:top w:val="single" w:sz="4" w:space="0" w:color="000000"/>
          </w:tcBorders>
          <w:shd w:val="clear" w:color="auto" w:fill="auto"/>
        </w:tcPr>
        <w:p w14:paraId="3073EE8D" w14:textId="1025C89F" w:rsidR="00FF7C21" w:rsidRPr="004D495C" w:rsidRDefault="00FF7C21" w:rsidP="00FF7C21">
          <w:pPr>
            <w:pStyle w:val="FirstFooter"/>
            <w:tabs>
              <w:tab w:val="left" w:pos="1559"/>
              <w:tab w:val="left" w:pos="3828"/>
            </w:tabs>
            <w:rPr>
              <w:sz w:val="18"/>
              <w:szCs w:val="18"/>
            </w:rPr>
          </w:pPr>
          <w:r w:rsidRPr="00FE613B">
            <w:rPr>
              <w:sz w:val="18"/>
              <w:szCs w:val="18"/>
              <w:lang w:val="en-US"/>
            </w:rPr>
            <w:t>Contact:</w:t>
          </w:r>
        </w:p>
      </w:tc>
      <w:tc>
        <w:tcPr>
          <w:tcW w:w="2410" w:type="dxa"/>
          <w:tcBorders>
            <w:top w:val="single" w:sz="4" w:space="0" w:color="000000"/>
          </w:tcBorders>
          <w:shd w:val="clear" w:color="auto" w:fill="auto"/>
        </w:tcPr>
        <w:p w14:paraId="6A937568" w14:textId="2D49CDBF" w:rsidR="00FF7C21" w:rsidRPr="004D495C" w:rsidRDefault="00FF7C21" w:rsidP="00FF7C21">
          <w:pPr>
            <w:pStyle w:val="FirstFooter"/>
            <w:tabs>
              <w:tab w:val="left" w:pos="2302"/>
            </w:tabs>
            <w:ind w:left="2302" w:hanging="2302"/>
            <w:rPr>
              <w:sz w:val="18"/>
              <w:szCs w:val="18"/>
              <w:lang w:val="en-US"/>
            </w:rPr>
          </w:pPr>
          <w:r w:rsidRPr="00FE613B">
            <w:rPr>
              <w:sz w:val="18"/>
              <w:szCs w:val="18"/>
              <w:lang w:val="en-US"/>
            </w:rPr>
            <w:t>Name/Organization/Entity:</w:t>
          </w:r>
        </w:p>
      </w:tc>
      <w:tc>
        <w:tcPr>
          <w:tcW w:w="5987" w:type="dxa"/>
          <w:tcBorders>
            <w:top w:val="single" w:sz="4" w:space="0" w:color="000000"/>
          </w:tcBorders>
        </w:tcPr>
        <w:p w14:paraId="360BFCFC" w14:textId="1FCEE817" w:rsidR="00FF7C21" w:rsidRPr="00AF7A97" w:rsidRDefault="00FF7C21" w:rsidP="00FF7C21">
          <w:pPr>
            <w:pStyle w:val="FirstFooter"/>
            <w:tabs>
              <w:tab w:val="left" w:pos="2302"/>
            </w:tabs>
            <w:rPr>
              <w:sz w:val="18"/>
              <w:szCs w:val="18"/>
              <w:lang w:val="en-US"/>
            </w:rPr>
          </w:pPr>
          <w:r w:rsidRPr="00FE613B">
            <w:rPr>
              <w:sz w:val="18"/>
              <w:szCs w:val="18"/>
              <w:lang w:val="en-GB"/>
            </w:rPr>
            <w:t xml:space="preserve">Ms Andrea Grippa, </w:t>
          </w:r>
          <w:proofErr w:type="spellStart"/>
          <w:r w:rsidRPr="00FE613B">
            <w:rPr>
              <w:sz w:val="18"/>
              <w:szCs w:val="18"/>
              <w:lang w:val="en-GB"/>
            </w:rPr>
            <w:t>Agência</w:t>
          </w:r>
          <w:proofErr w:type="spellEnd"/>
          <w:r w:rsidRPr="00FE613B">
            <w:rPr>
              <w:sz w:val="18"/>
              <w:szCs w:val="18"/>
              <w:lang w:val="en-GB"/>
            </w:rPr>
            <w:t xml:space="preserve"> Nacional de </w:t>
          </w:r>
          <w:proofErr w:type="spellStart"/>
          <w:r w:rsidRPr="00FE613B">
            <w:rPr>
              <w:sz w:val="18"/>
              <w:szCs w:val="18"/>
              <w:lang w:val="en-GB"/>
            </w:rPr>
            <w:t>Telecomunicações</w:t>
          </w:r>
          <w:proofErr w:type="spellEnd"/>
          <w:r w:rsidRPr="00FE613B">
            <w:rPr>
              <w:sz w:val="18"/>
              <w:szCs w:val="18"/>
              <w:lang w:val="en-GB"/>
            </w:rPr>
            <w:t xml:space="preserve"> (ANATEL), Brazil</w:t>
          </w:r>
          <w:r w:rsidRPr="00FE613B">
            <w:rPr>
              <w:sz w:val="18"/>
              <w:szCs w:val="18"/>
              <w:lang w:val="en-GB"/>
            </w:rPr>
            <w:br/>
            <w:t>Chair, TDAG Working Group on Streamlining Resolutions</w:t>
          </w:r>
        </w:p>
      </w:tc>
      <w:bookmarkStart w:id="4" w:name="OrgName"/>
      <w:bookmarkEnd w:id="4"/>
    </w:tr>
    <w:tr w:rsidR="00FF7C21" w:rsidRPr="004D495C" w14:paraId="40199BC4" w14:textId="77777777" w:rsidTr="00CD5C5C">
      <w:tc>
        <w:tcPr>
          <w:tcW w:w="1526" w:type="dxa"/>
          <w:shd w:val="clear" w:color="auto" w:fill="auto"/>
        </w:tcPr>
        <w:p w14:paraId="4ADD1CAC" w14:textId="77777777" w:rsidR="00FF7C21" w:rsidRPr="004D495C" w:rsidRDefault="00FF7C21" w:rsidP="00FF7C21">
          <w:pPr>
            <w:pStyle w:val="FirstFooter"/>
            <w:tabs>
              <w:tab w:val="left" w:pos="1559"/>
              <w:tab w:val="left" w:pos="3828"/>
            </w:tabs>
            <w:rPr>
              <w:sz w:val="20"/>
              <w:lang w:val="en-US"/>
            </w:rPr>
          </w:pPr>
        </w:p>
      </w:tc>
      <w:tc>
        <w:tcPr>
          <w:tcW w:w="2410" w:type="dxa"/>
          <w:shd w:val="clear" w:color="auto" w:fill="auto"/>
        </w:tcPr>
        <w:p w14:paraId="1FA1D82A" w14:textId="28F68E09" w:rsidR="00FF7C21" w:rsidRPr="004D495C" w:rsidRDefault="00FF7C21" w:rsidP="00FF7C21">
          <w:pPr>
            <w:pStyle w:val="FirstFooter"/>
            <w:tabs>
              <w:tab w:val="left" w:pos="2302"/>
            </w:tabs>
            <w:rPr>
              <w:sz w:val="18"/>
              <w:szCs w:val="18"/>
              <w:lang w:val="en-US"/>
            </w:rPr>
          </w:pPr>
          <w:r w:rsidRPr="00FE613B">
            <w:rPr>
              <w:sz w:val="18"/>
              <w:szCs w:val="18"/>
              <w:lang w:val="en-US"/>
            </w:rPr>
            <w:t>Phone number:</w:t>
          </w:r>
        </w:p>
      </w:tc>
      <w:tc>
        <w:tcPr>
          <w:tcW w:w="5987" w:type="dxa"/>
        </w:tcPr>
        <w:p w14:paraId="1EEE8965" w14:textId="295A3555" w:rsidR="00FF7C21" w:rsidRPr="00AF7A97" w:rsidRDefault="00FF7C21" w:rsidP="00FF7C21">
          <w:pPr>
            <w:pStyle w:val="FirstFooter"/>
            <w:tabs>
              <w:tab w:val="left" w:pos="2302"/>
            </w:tabs>
            <w:rPr>
              <w:sz w:val="18"/>
              <w:szCs w:val="18"/>
              <w:lang w:val="en-US"/>
            </w:rPr>
          </w:pPr>
          <w:r w:rsidRPr="00FE613B">
            <w:rPr>
              <w:sz w:val="18"/>
              <w:szCs w:val="18"/>
            </w:rPr>
            <w:t>+55 61 99244-5456</w:t>
          </w:r>
        </w:p>
      </w:tc>
      <w:bookmarkStart w:id="5" w:name="PhoneNo"/>
      <w:bookmarkEnd w:id="5"/>
    </w:tr>
    <w:tr w:rsidR="00FF7C21" w:rsidRPr="004D495C" w14:paraId="7A9104C1" w14:textId="77777777" w:rsidTr="00CD5C5C">
      <w:tc>
        <w:tcPr>
          <w:tcW w:w="1526" w:type="dxa"/>
          <w:shd w:val="clear" w:color="auto" w:fill="auto"/>
        </w:tcPr>
        <w:p w14:paraId="31799142" w14:textId="77777777" w:rsidR="00FF7C21" w:rsidRPr="004D495C" w:rsidRDefault="00FF7C21" w:rsidP="00FF7C21">
          <w:pPr>
            <w:pStyle w:val="FirstFooter"/>
            <w:tabs>
              <w:tab w:val="left" w:pos="1559"/>
              <w:tab w:val="left" w:pos="3828"/>
            </w:tabs>
            <w:rPr>
              <w:sz w:val="20"/>
              <w:lang w:val="en-US"/>
            </w:rPr>
          </w:pPr>
        </w:p>
      </w:tc>
      <w:tc>
        <w:tcPr>
          <w:tcW w:w="2410" w:type="dxa"/>
          <w:shd w:val="clear" w:color="auto" w:fill="auto"/>
        </w:tcPr>
        <w:p w14:paraId="1FC66FC3" w14:textId="5B564365" w:rsidR="00FF7C21" w:rsidRPr="004D495C" w:rsidRDefault="00FF7C21" w:rsidP="00FF7C21">
          <w:pPr>
            <w:pStyle w:val="FirstFooter"/>
            <w:tabs>
              <w:tab w:val="left" w:pos="2302"/>
            </w:tabs>
            <w:rPr>
              <w:sz w:val="18"/>
              <w:szCs w:val="18"/>
              <w:lang w:val="en-US"/>
            </w:rPr>
          </w:pPr>
          <w:r w:rsidRPr="00FE613B">
            <w:rPr>
              <w:sz w:val="18"/>
              <w:szCs w:val="18"/>
              <w:lang w:val="en-US"/>
            </w:rPr>
            <w:t>E-mail:</w:t>
          </w:r>
        </w:p>
      </w:tc>
      <w:tc>
        <w:tcPr>
          <w:tcW w:w="5987" w:type="dxa"/>
        </w:tcPr>
        <w:p w14:paraId="1ABA5D11" w14:textId="001BCC1D" w:rsidR="00FF7C21" w:rsidRPr="00AF7A97" w:rsidRDefault="00FF7C21" w:rsidP="00FF7C21">
          <w:pPr>
            <w:pStyle w:val="FirstFooter"/>
            <w:tabs>
              <w:tab w:val="left" w:pos="2302"/>
            </w:tabs>
            <w:rPr>
              <w:sz w:val="18"/>
              <w:szCs w:val="18"/>
              <w:lang w:val="en-US"/>
            </w:rPr>
          </w:pPr>
          <w:hyperlink r:id="rId1" w:history="1">
            <w:r w:rsidRPr="00FE613B">
              <w:rPr>
                <w:rStyle w:val="Hyperlink"/>
                <w:sz w:val="18"/>
                <w:szCs w:val="18"/>
                <w:lang w:val="en-GB"/>
              </w:rPr>
              <w:t>agrippa@anatel.gov.br</w:t>
            </w:r>
          </w:hyperlink>
          <w:r w:rsidRPr="00FE613B">
            <w:rPr>
              <w:sz w:val="18"/>
              <w:szCs w:val="18"/>
              <w:lang w:val="en-GB"/>
            </w:rPr>
            <w:t xml:space="preserve"> </w:t>
          </w:r>
        </w:p>
      </w:tc>
      <w:bookmarkStart w:id="6" w:name="Email"/>
      <w:bookmarkEnd w:id="6"/>
    </w:tr>
  </w:tbl>
  <w:p w14:paraId="40A321D0" w14:textId="6D34CA46" w:rsidR="00721657" w:rsidRPr="004146FD" w:rsidRDefault="00721657" w:rsidP="005A1B9D">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18158" w14:textId="77777777" w:rsidR="00E30BB7" w:rsidRDefault="00E30BB7">
      <w:r>
        <w:t>____________________</w:t>
      </w:r>
    </w:p>
  </w:footnote>
  <w:footnote w:type="continuationSeparator" w:id="0">
    <w:p w14:paraId="41C447BC" w14:textId="77777777" w:rsidR="00E30BB7" w:rsidRDefault="00E30BB7">
      <w:r>
        <w:continuationSeparator/>
      </w:r>
    </w:p>
  </w:footnote>
  <w:footnote w:type="continuationNotice" w:id="1">
    <w:p w14:paraId="11A97CD1" w14:textId="77777777" w:rsidR="00E30BB7" w:rsidRDefault="00E30B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449FDD91" w:rsidR="00721657" w:rsidRPr="00C12D61"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w:t>
    </w:r>
    <w:r w:rsidR="009D5962">
      <w:rPr>
        <w:sz w:val="22"/>
        <w:szCs w:val="22"/>
        <w:lang w:val="de-CH"/>
      </w:rPr>
      <w:t>SR</w:t>
    </w:r>
    <w:r w:rsidRPr="006D4EA0">
      <w:rPr>
        <w:sz w:val="22"/>
        <w:szCs w:val="22"/>
        <w:lang w:val="de-CH"/>
      </w:rPr>
      <w:t>/</w:t>
    </w:r>
    <w:r w:rsidR="00326C3E">
      <w:rPr>
        <w:sz w:val="22"/>
        <w:szCs w:val="22"/>
        <w:lang w:val="de-CH"/>
      </w:rPr>
      <w:t>14</w:t>
    </w:r>
    <w:r w:rsidR="007D7161" w:rsidRPr="007D7161">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F68"/>
    <w:multiLevelType w:val="hybridMultilevel"/>
    <w:tmpl w:val="C0F635E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52E27F5"/>
    <w:multiLevelType w:val="hybridMultilevel"/>
    <w:tmpl w:val="61DEE9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4691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81D36"/>
    <w:multiLevelType w:val="hybridMultilevel"/>
    <w:tmpl w:val="B314A934"/>
    <w:lvl w:ilvl="0" w:tplc="FFFFFFFF">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3305B9"/>
    <w:multiLevelType w:val="hybridMultilevel"/>
    <w:tmpl w:val="59AEDC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472649"/>
    <w:multiLevelType w:val="hybridMultilevel"/>
    <w:tmpl w:val="61DEE9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2175A19"/>
    <w:multiLevelType w:val="hybridMultilevel"/>
    <w:tmpl w:val="61DEE9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FD2013"/>
    <w:multiLevelType w:val="hybridMultilevel"/>
    <w:tmpl w:val="3F365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321E4"/>
    <w:multiLevelType w:val="hybridMultilevel"/>
    <w:tmpl w:val="FBFEFBE8"/>
    <w:lvl w:ilvl="0" w:tplc="506CB37A">
      <w:start w:val="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534651">
    <w:abstractNumId w:val="9"/>
  </w:num>
  <w:num w:numId="2" w16cid:durableId="466436652">
    <w:abstractNumId w:val="6"/>
  </w:num>
  <w:num w:numId="3" w16cid:durableId="632633534">
    <w:abstractNumId w:val="0"/>
  </w:num>
  <w:num w:numId="4" w16cid:durableId="326254461">
    <w:abstractNumId w:val="12"/>
  </w:num>
  <w:num w:numId="5" w16cid:durableId="1574701577">
    <w:abstractNumId w:val="7"/>
  </w:num>
  <w:num w:numId="6" w16cid:durableId="1775860427">
    <w:abstractNumId w:val="5"/>
  </w:num>
  <w:num w:numId="7" w16cid:durableId="2054885110">
    <w:abstractNumId w:val="2"/>
  </w:num>
  <w:num w:numId="8" w16cid:durableId="336805759">
    <w:abstractNumId w:val="13"/>
  </w:num>
  <w:num w:numId="9" w16cid:durableId="520553412">
    <w:abstractNumId w:val="4"/>
  </w:num>
  <w:num w:numId="10" w16cid:durableId="878858891">
    <w:abstractNumId w:val="10"/>
  </w:num>
  <w:num w:numId="11" w16cid:durableId="1967812070">
    <w:abstractNumId w:val="11"/>
  </w:num>
  <w:num w:numId="12" w16cid:durableId="145586694">
    <w:abstractNumId w:val="8"/>
  </w:num>
  <w:num w:numId="13" w16cid:durableId="349336703">
    <w:abstractNumId w:val="1"/>
  </w:num>
  <w:num w:numId="14" w16cid:durableId="171797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4C3"/>
    <w:rsid w:val="00010827"/>
    <w:rsid w:val="00015089"/>
    <w:rsid w:val="00021196"/>
    <w:rsid w:val="0002520B"/>
    <w:rsid w:val="00026AE2"/>
    <w:rsid w:val="00027489"/>
    <w:rsid w:val="00030397"/>
    <w:rsid w:val="00030F44"/>
    <w:rsid w:val="00037A9E"/>
    <w:rsid w:val="00037F91"/>
    <w:rsid w:val="000539F1"/>
    <w:rsid w:val="00054747"/>
    <w:rsid w:val="00055A2A"/>
    <w:rsid w:val="000615C1"/>
    <w:rsid w:val="00061675"/>
    <w:rsid w:val="00065521"/>
    <w:rsid w:val="000743AA"/>
    <w:rsid w:val="000806EC"/>
    <w:rsid w:val="0009076F"/>
    <w:rsid w:val="0009225C"/>
    <w:rsid w:val="00094A51"/>
    <w:rsid w:val="00095734"/>
    <w:rsid w:val="00095B5E"/>
    <w:rsid w:val="00097E3A"/>
    <w:rsid w:val="000A17C4"/>
    <w:rsid w:val="000A36A4"/>
    <w:rsid w:val="000B2352"/>
    <w:rsid w:val="000B6548"/>
    <w:rsid w:val="000C6BEE"/>
    <w:rsid w:val="000C7B84"/>
    <w:rsid w:val="000D261B"/>
    <w:rsid w:val="000D3C31"/>
    <w:rsid w:val="000D58A3"/>
    <w:rsid w:val="000E23CE"/>
    <w:rsid w:val="000E3ED4"/>
    <w:rsid w:val="000E3F9C"/>
    <w:rsid w:val="000E47CF"/>
    <w:rsid w:val="000F1550"/>
    <w:rsid w:val="000F251B"/>
    <w:rsid w:val="000F3211"/>
    <w:rsid w:val="000F540E"/>
    <w:rsid w:val="000F5FE8"/>
    <w:rsid w:val="000F6644"/>
    <w:rsid w:val="000F6F05"/>
    <w:rsid w:val="00100833"/>
    <w:rsid w:val="00102F72"/>
    <w:rsid w:val="00107E85"/>
    <w:rsid w:val="0011159C"/>
    <w:rsid w:val="00113EE8"/>
    <w:rsid w:val="0011455A"/>
    <w:rsid w:val="00114A65"/>
    <w:rsid w:val="00133061"/>
    <w:rsid w:val="0013591E"/>
    <w:rsid w:val="00141699"/>
    <w:rsid w:val="00147000"/>
    <w:rsid w:val="0015624D"/>
    <w:rsid w:val="001601D3"/>
    <w:rsid w:val="001604FE"/>
    <w:rsid w:val="0016102F"/>
    <w:rsid w:val="00162E0D"/>
    <w:rsid w:val="00163091"/>
    <w:rsid w:val="001635EC"/>
    <w:rsid w:val="001645CB"/>
    <w:rsid w:val="00166305"/>
    <w:rsid w:val="00167545"/>
    <w:rsid w:val="001703C6"/>
    <w:rsid w:val="00173781"/>
    <w:rsid w:val="00175ADF"/>
    <w:rsid w:val="00175CAE"/>
    <w:rsid w:val="001828DB"/>
    <w:rsid w:val="001850FE"/>
    <w:rsid w:val="00185135"/>
    <w:rsid w:val="00186D9B"/>
    <w:rsid w:val="0019037C"/>
    <w:rsid w:val="001905A9"/>
    <w:rsid w:val="00191273"/>
    <w:rsid w:val="001942A7"/>
    <w:rsid w:val="0019587B"/>
    <w:rsid w:val="001A163D"/>
    <w:rsid w:val="001A441E"/>
    <w:rsid w:val="001A6733"/>
    <w:rsid w:val="001B357F"/>
    <w:rsid w:val="001B433F"/>
    <w:rsid w:val="001C2B9D"/>
    <w:rsid w:val="001C3444"/>
    <w:rsid w:val="001C3702"/>
    <w:rsid w:val="001C4656"/>
    <w:rsid w:val="001C46BC"/>
    <w:rsid w:val="001D1E06"/>
    <w:rsid w:val="001E50E7"/>
    <w:rsid w:val="001E5DF1"/>
    <w:rsid w:val="001F23E6"/>
    <w:rsid w:val="001F4238"/>
    <w:rsid w:val="002002FA"/>
    <w:rsid w:val="00200A38"/>
    <w:rsid w:val="00200A46"/>
    <w:rsid w:val="00211A29"/>
    <w:rsid w:val="00211B6F"/>
    <w:rsid w:val="00215227"/>
    <w:rsid w:val="002173DE"/>
    <w:rsid w:val="00217CC3"/>
    <w:rsid w:val="00220AB6"/>
    <w:rsid w:val="0022120F"/>
    <w:rsid w:val="0022754A"/>
    <w:rsid w:val="002316BB"/>
    <w:rsid w:val="00236560"/>
    <w:rsid w:val="0023662E"/>
    <w:rsid w:val="00245D0F"/>
    <w:rsid w:val="00252036"/>
    <w:rsid w:val="002548C3"/>
    <w:rsid w:val="00257ACD"/>
    <w:rsid w:val="00262908"/>
    <w:rsid w:val="002650F4"/>
    <w:rsid w:val="002715FD"/>
    <w:rsid w:val="00272A8A"/>
    <w:rsid w:val="002751E7"/>
    <w:rsid w:val="002770B1"/>
    <w:rsid w:val="00282991"/>
    <w:rsid w:val="00285B33"/>
    <w:rsid w:val="00287A3C"/>
    <w:rsid w:val="00294D3A"/>
    <w:rsid w:val="002A2FC6"/>
    <w:rsid w:val="002B7110"/>
    <w:rsid w:val="002C112B"/>
    <w:rsid w:val="002C1EC7"/>
    <w:rsid w:val="002C3015"/>
    <w:rsid w:val="002C4342"/>
    <w:rsid w:val="002C7355"/>
    <w:rsid w:val="002C7EA3"/>
    <w:rsid w:val="002D20AE"/>
    <w:rsid w:val="002D6C61"/>
    <w:rsid w:val="002E2104"/>
    <w:rsid w:val="002E2DAC"/>
    <w:rsid w:val="002E59D8"/>
    <w:rsid w:val="002E6963"/>
    <w:rsid w:val="002E6E8B"/>
    <w:rsid w:val="002E6F8F"/>
    <w:rsid w:val="002F05D8"/>
    <w:rsid w:val="002F2DE0"/>
    <w:rsid w:val="002F5E25"/>
    <w:rsid w:val="003014E2"/>
    <w:rsid w:val="0030353C"/>
    <w:rsid w:val="003047C5"/>
    <w:rsid w:val="00307769"/>
    <w:rsid w:val="00310592"/>
    <w:rsid w:val="003125C3"/>
    <w:rsid w:val="00312AE6"/>
    <w:rsid w:val="00317D1A"/>
    <w:rsid w:val="003211FF"/>
    <w:rsid w:val="003242AB"/>
    <w:rsid w:val="00326C3E"/>
    <w:rsid w:val="00327247"/>
    <w:rsid w:val="00327A9D"/>
    <w:rsid w:val="0033130E"/>
    <w:rsid w:val="0033269C"/>
    <w:rsid w:val="00351C79"/>
    <w:rsid w:val="0035516C"/>
    <w:rsid w:val="00355A4C"/>
    <w:rsid w:val="003604FB"/>
    <w:rsid w:val="00360B73"/>
    <w:rsid w:val="00380B71"/>
    <w:rsid w:val="00382506"/>
    <w:rsid w:val="0038365A"/>
    <w:rsid w:val="00385691"/>
    <w:rsid w:val="00386A89"/>
    <w:rsid w:val="00390D70"/>
    <w:rsid w:val="0039586C"/>
    <w:rsid w:val="0039648E"/>
    <w:rsid w:val="003A5AFE"/>
    <w:rsid w:val="003A5D5F"/>
    <w:rsid w:val="003A7649"/>
    <w:rsid w:val="003A7FFE"/>
    <w:rsid w:val="003B0A63"/>
    <w:rsid w:val="003B50E1"/>
    <w:rsid w:val="003C1746"/>
    <w:rsid w:val="003C2AA9"/>
    <w:rsid w:val="003C58BF"/>
    <w:rsid w:val="003D1976"/>
    <w:rsid w:val="003D451D"/>
    <w:rsid w:val="003D782A"/>
    <w:rsid w:val="003E6435"/>
    <w:rsid w:val="003F22B9"/>
    <w:rsid w:val="003F2DD8"/>
    <w:rsid w:val="003F3F2D"/>
    <w:rsid w:val="003F50B2"/>
    <w:rsid w:val="00400CCF"/>
    <w:rsid w:val="00401BFF"/>
    <w:rsid w:val="00404424"/>
    <w:rsid w:val="0041156B"/>
    <w:rsid w:val="004122C5"/>
    <w:rsid w:val="00413B78"/>
    <w:rsid w:val="004146FD"/>
    <w:rsid w:val="00416DDE"/>
    <w:rsid w:val="00417A85"/>
    <w:rsid w:val="0043492A"/>
    <w:rsid w:val="00443120"/>
    <w:rsid w:val="0044411E"/>
    <w:rsid w:val="00453435"/>
    <w:rsid w:val="004557B2"/>
    <w:rsid w:val="00460089"/>
    <w:rsid w:val="00463F5F"/>
    <w:rsid w:val="00466398"/>
    <w:rsid w:val="004712A4"/>
    <w:rsid w:val="00473062"/>
    <w:rsid w:val="0047306D"/>
    <w:rsid w:val="00473791"/>
    <w:rsid w:val="00476E48"/>
    <w:rsid w:val="00480CDD"/>
    <w:rsid w:val="00481DE9"/>
    <w:rsid w:val="0049128B"/>
    <w:rsid w:val="00493315"/>
    <w:rsid w:val="00493557"/>
    <w:rsid w:val="00493B49"/>
    <w:rsid w:val="00495501"/>
    <w:rsid w:val="004A070A"/>
    <w:rsid w:val="004A320E"/>
    <w:rsid w:val="004A4E9C"/>
    <w:rsid w:val="004B1A3C"/>
    <w:rsid w:val="004C5BD5"/>
    <w:rsid w:val="004D2CC3"/>
    <w:rsid w:val="004D35CB"/>
    <w:rsid w:val="004D6E29"/>
    <w:rsid w:val="004D7DAB"/>
    <w:rsid w:val="004E20E5"/>
    <w:rsid w:val="004E64EA"/>
    <w:rsid w:val="004E7828"/>
    <w:rsid w:val="004F46AA"/>
    <w:rsid w:val="004F6A70"/>
    <w:rsid w:val="00500AD7"/>
    <w:rsid w:val="00502ABF"/>
    <w:rsid w:val="00504DB0"/>
    <w:rsid w:val="00505F4A"/>
    <w:rsid w:val="005078A4"/>
    <w:rsid w:val="00507C35"/>
    <w:rsid w:val="00510735"/>
    <w:rsid w:val="00512B2E"/>
    <w:rsid w:val="00514D2F"/>
    <w:rsid w:val="0052029C"/>
    <w:rsid w:val="0052524A"/>
    <w:rsid w:val="00525A1A"/>
    <w:rsid w:val="005306AC"/>
    <w:rsid w:val="00535401"/>
    <w:rsid w:val="005422DA"/>
    <w:rsid w:val="0054420E"/>
    <w:rsid w:val="00544D1B"/>
    <w:rsid w:val="00545DC0"/>
    <w:rsid w:val="00545F6C"/>
    <w:rsid w:val="00546EE0"/>
    <w:rsid w:val="005477D9"/>
    <w:rsid w:val="00547C19"/>
    <w:rsid w:val="005547BB"/>
    <w:rsid w:val="0055720C"/>
    <w:rsid w:val="00561796"/>
    <w:rsid w:val="005632DD"/>
    <w:rsid w:val="00563F4A"/>
    <w:rsid w:val="0056423B"/>
    <w:rsid w:val="00564F28"/>
    <w:rsid w:val="00566BDC"/>
    <w:rsid w:val="00573424"/>
    <w:rsid w:val="0057402F"/>
    <w:rsid w:val="00581653"/>
    <w:rsid w:val="005849D6"/>
    <w:rsid w:val="00585367"/>
    <w:rsid w:val="005871A1"/>
    <w:rsid w:val="0058737E"/>
    <w:rsid w:val="0059001D"/>
    <w:rsid w:val="00592518"/>
    <w:rsid w:val="00592E87"/>
    <w:rsid w:val="0059420B"/>
    <w:rsid w:val="00594C4D"/>
    <w:rsid w:val="005A1B9D"/>
    <w:rsid w:val="005A31E8"/>
    <w:rsid w:val="005A33B0"/>
    <w:rsid w:val="005A406D"/>
    <w:rsid w:val="005A4AB8"/>
    <w:rsid w:val="005C2DC2"/>
    <w:rsid w:val="005C304A"/>
    <w:rsid w:val="005C3D69"/>
    <w:rsid w:val="005C7C98"/>
    <w:rsid w:val="005D0BBE"/>
    <w:rsid w:val="005D2C3A"/>
    <w:rsid w:val="005D55A4"/>
    <w:rsid w:val="005D57C8"/>
    <w:rsid w:val="005D7761"/>
    <w:rsid w:val="005E0278"/>
    <w:rsid w:val="005E090D"/>
    <w:rsid w:val="005E1EF5"/>
    <w:rsid w:val="005E3CA0"/>
    <w:rsid w:val="005E44B1"/>
    <w:rsid w:val="005E67B0"/>
    <w:rsid w:val="005E6FC9"/>
    <w:rsid w:val="005E7047"/>
    <w:rsid w:val="005E777F"/>
    <w:rsid w:val="005F1CA7"/>
    <w:rsid w:val="005F43DD"/>
    <w:rsid w:val="005F51A9"/>
    <w:rsid w:val="005F6BE1"/>
    <w:rsid w:val="005F7416"/>
    <w:rsid w:val="00600580"/>
    <w:rsid w:val="00600C11"/>
    <w:rsid w:val="00606B89"/>
    <w:rsid w:val="00611EAF"/>
    <w:rsid w:val="00613F81"/>
    <w:rsid w:val="006141B2"/>
    <w:rsid w:val="00623F30"/>
    <w:rsid w:val="00625FB8"/>
    <w:rsid w:val="006261BD"/>
    <w:rsid w:val="00633FBB"/>
    <w:rsid w:val="00635EDB"/>
    <w:rsid w:val="00641F1F"/>
    <w:rsid w:val="00642C3C"/>
    <w:rsid w:val="006454D2"/>
    <w:rsid w:val="0064734E"/>
    <w:rsid w:val="00650137"/>
    <w:rsid w:val="006509D7"/>
    <w:rsid w:val="00650EEA"/>
    <w:rsid w:val="00651CE8"/>
    <w:rsid w:val="00654443"/>
    <w:rsid w:val="0065521B"/>
    <w:rsid w:val="0066628A"/>
    <w:rsid w:val="00670F78"/>
    <w:rsid w:val="00671EF6"/>
    <w:rsid w:val="0067205B"/>
    <w:rsid w:val="006748F8"/>
    <w:rsid w:val="00680489"/>
    <w:rsid w:val="00682548"/>
    <w:rsid w:val="00683C32"/>
    <w:rsid w:val="00690BB2"/>
    <w:rsid w:val="00693D09"/>
    <w:rsid w:val="00693FB9"/>
    <w:rsid w:val="006944BD"/>
    <w:rsid w:val="0069535F"/>
    <w:rsid w:val="00696240"/>
    <w:rsid w:val="006A6549"/>
    <w:rsid w:val="006A7710"/>
    <w:rsid w:val="006A7A61"/>
    <w:rsid w:val="006B1E59"/>
    <w:rsid w:val="006B2FFB"/>
    <w:rsid w:val="006C075B"/>
    <w:rsid w:val="006C10A2"/>
    <w:rsid w:val="006C1F18"/>
    <w:rsid w:val="006D35CA"/>
    <w:rsid w:val="006D40D5"/>
    <w:rsid w:val="006D4EA0"/>
    <w:rsid w:val="006F009A"/>
    <w:rsid w:val="006F24AF"/>
    <w:rsid w:val="006F3D93"/>
    <w:rsid w:val="006F629F"/>
    <w:rsid w:val="007019B1"/>
    <w:rsid w:val="00702BD9"/>
    <w:rsid w:val="0071703D"/>
    <w:rsid w:val="007207A9"/>
    <w:rsid w:val="00721657"/>
    <w:rsid w:val="007279A8"/>
    <w:rsid w:val="00727B1A"/>
    <w:rsid w:val="00741337"/>
    <w:rsid w:val="00744D21"/>
    <w:rsid w:val="00751F17"/>
    <w:rsid w:val="00752258"/>
    <w:rsid w:val="007529E1"/>
    <w:rsid w:val="0076272A"/>
    <w:rsid w:val="00762880"/>
    <w:rsid w:val="00762AD6"/>
    <w:rsid w:val="00762E02"/>
    <w:rsid w:val="007634E8"/>
    <w:rsid w:val="00767324"/>
    <w:rsid w:val="00772290"/>
    <w:rsid w:val="00777265"/>
    <w:rsid w:val="007805E7"/>
    <w:rsid w:val="0078222A"/>
    <w:rsid w:val="00787D48"/>
    <w:rsid w:val="00794F4A"/>
    <w:rsid w:val="00795294"/>
    <w:rsid w:val="00795ED2"/>
    <w:rsid w:val="00797B26"/>
    <w:rsid w:val="007A4E50"/>
    <w:rsid w:val="007A514A"/>
    <w:rsid w:val="007B18A7"/>
    <w:rsid w:val="007B250E"/>
    <w:rsid w:val="007C06C0"/>
    <w:rsid w:val="007C27FC"/>
    <w:rsid w:val="007C51FF"/>
    <w:rsid w:val="007D50E4"/>
    <w:rsid w:val="007D7161"/>
    <w:rsid w:val="007E2DC5"/>
    <w:rsid w:val="007E3313"/>
    <w:rsid w:val="007F1CC7"/>
    <w:rsid w:val="007F6E51"/>
    <w:rsid w:val="008021A0"/>
    <w:rsid w:val="008027AC"/>
    <w:rsid w:val="008028CE"/>
    <w:rsid w:val="0080332E"/>
    <w:rsid w:val="00805951"/>
    <w:rsid w:val="00811456"/>
    <w:rsid w:val="008141E0"/>
    <w:rsid w:val="00816EE1"/>
    <w:rsid w:val="00816F88"/>
    <w:rsid w:val="00821996"/>
    <w:rsid w:val="00822323"/>
    <w:rsid w:val="00826A3E"/>
    <w:rsid w:val="00827BC6"/>
    <w:rsid w:val="008300AD"/>
    <w:rsid w:val="00833024"/>
    <w:rsid w:val="008419B1"/>
    <w:rsid w:val="00842B3D"/>
    <w:rsid w:val="00844A56"/>
    <w:rsid w:val="00845B11"/>
    <w:rsid w:val="00847E6A"/>
    <w:rsid w:val="00852081"/>
    <w:rsid w:val="008534B9"/>
    <w:rsid w:val="0085523A"/>
    <w:rsid w:val="00862ABB"/>
    <w:rsid w:val="00872B6E"/>
    <w:rsid w:val="008735AC"/>
    <w:rsid w:val="00874B4D"/>
    <w:rsid w:val="00874DFD"/>
    <w:rsid w:val="008802F9"/>
    <w:rsid w:val="00883086"/>
    <w:rsid w:val="008879FD"/>
    <w:rsid w:val="00894C37"/>
    <w:rsid w:val="00897BCD"/>
    <w:rsid w:val="008A00EA"/>
    <w:rsid w:val="008A04FD"/>
    <w:rsid w:val="008A3899"/>
    <w:rsid w:val="008A3F93"/>
    <w:rsid w:val="008A5E9C"/>
    <w:rsid w:val="008A6236"/>
    <w:rsid w:val="008A6E1C"/>
    <w:rsid w:val="008A72FD"/>
    <w:rsid w:val="008B0884"/>
    <w:rsid w:val="008B152A"/>
    <w:rsid w:val="008B2EDF"/>
    <w:rsid w:val="008B47C7"/>
    <w:rsid w:val="008B54CB"/>
    <w:rsid w:val="008B5A3D"/>
    <w:rsid w:val="008B7376"/>
    <w:rsid w:val="008C4010"/>
    <w:rsid w:val="008C4FDF"/>
    <w:rsid w:val="008C6B1F"/>
    <w:rsid w:val="008D5E4F"/>
    <w:rsid w:val="008E27FB"/>
    <w:rsid w:val="008E34F0"/>
    <w:rsid w:val="008E43E7"/>
    <w:rsid w:val="008E5BF6"/>
    <w:rsid w:val="008F06F7"/>
    <w:rsid w:val="008F14F5"/>
    <w:rsid w:val="008F71C1"/>
    <w:rsid w:val="00902D41"/>
    <w:rsid w:val="00902F49"/>
    <w:rsid w:val="00904230"/>
    <w:rsid w:val="00914004"/>
    <w:rsid w:val="009178A8"/>
    <w:rsid w:val="00922EC1"/>
    <w:rsid w:val="00923CF1"/>
    <w:rsid w:val="009301F1"/>
    <w:rsid w:val="009307DF"/>
    <w:rsid w:val="009359B8"/>
    <w:rsid w:val="00935FF0"/>
    <w:rsid w:val="009431F8"/>
    <w:rsid w:val="00947A35"/>
    <w:rsid w:val="00952667"/>
    <w:rsid w:val="00953813"/>
    <w:rsid w:val="0096201B"/>
    <w:rsid w:val="00962081"/>
    <w:rsid w:val="009645C3"/>
    <w:rsid w:val="00966CB5"/>
    <w:rsid w:val="00972531"/>
    <w:rsid w:val="00972C8F"/>
    <w:rsid w:val="00975786"/>
    <w:rsid w:val="00981CB7"/>
    <w:rsid w:val="00983E1F"/>
    <w:rsid w:val="009842AD"/>
    <w:rsid w:val="00993F46"/>
    <w:rsid w:val="00997358"/>
    <w:rsid w:val="009A452B"/>
    <w:rsid w:val="009B050C"/>
    <w:rsid w:val="009B087F"/>
    <w:rsid w:val="009B208B"/>
    <w:rsid w:val="009B2AF4"/>
    <w:rsid w:val="009B6C2E"/>
    <w:rsid w:val="009C110B"/>
    <w:rsid w:val="009C20E9"/>
    <w:rsid w:val="009C5441"/>
    <w:rsid w:val="009D0E39"/>
    <w:rsid w:val="009D119F"/>
    <w:rsid w:val="009D49A2"/>
    <w:rsid w:val="009D5962"/>
    <w:rsid w:val="009E63A5"/>
    <w:rsid w:val="009E6F3C"/>
    <w:rsid w:val="009F3385"/>
    <w:rsid w:val="009F3940"/>
    <w:rsid w:val="009F3EB2"/>
    <w:rsid w:val="009F60C1"/>
    <w:rsid w:val="009F6EB1"/>
    <w:rsid w:val="00A11D05"/>
    <w:rsid w:val="00A13162"/>
    <w:rsid w:val="00A1430E"/>
    <w:rsid w:val="00A20267"/>
    <w:rsid w:val="00A25314"/>
    <w:rsid w:val="00A254AA"/>
    <w:rsid w:val="00A3158C"/>
    <w:rsid w:val="00A32DF3"/>
    <w:rsid w:val="00A33E32"/>
    <w:rsid w:val="00A35E20"/>
    <w:rsid w:val="00A36F6D"/>
    <w:rsid w:val="00A42C89"/>
    <w:rsid w:val="00A50CA0"/>
    <w:rsid w:val="00A5139E"/>
    <w:rsid w:val="00A525CC"/>
    <w:rsid w:val="00A53E7C"/>
    <w:rsid w:val="00A60087"/>
    <w:rsid w:val="00A62553"/>
    <w:rsid w:val="00A702B0"/>
    <w:rsid w:val="00A705E8"/>
    <w:rsid w:val="00A721F4"/>
    <w:rsid w:val="00A85A80"/>
    <w:rsid w:val="00A87393"/>
    <w:rsid w:val="00A9392C"/>
    <w:rsid w:val="00A9462B"/>
    <w:rsid w:val="00A97D59"/>
    <w:rsid w:val="00AA3E09"/>
    <w:rsid w:val="00AA4BEF"/>
    <w:rsid w:val="00AB1659"/>
    <w:rsid w:val="00AB4962"/>
    <w:rsid w:val="00AB734E"/>
    <w:rsid w:val="00AB740F"/>
    <w:rsid w:val="00AC4750"/>
    <w:rsid w:val="00AC6F14"/>
    <w:rsid w:val="00AC7221"/>
    <w:rsid w:val="00AD3E63"/>
    <w:rsid w:val="00AD4677"/>
    <w:rsid w:val="00AE068B"/>
    <w:rsid w:val="00AE275F"/>
    <w:rsid w:val="00AE3C7A"/>
    <w:rsid w:val="00AE5961"/>
    <w:rsid w:val="00AE5AD0"/>
    <w:rsid w:val="00AF0745"/>
    <w:rsid w:val="00AF4971"/>
    <w:rsid w:val="00AF5276"/>
    <w:rsid w:val="00AF7C86"/>
    <w:rsid w:val="00B01046"/>
    <w:rsid w:val="00B03101"/>
    <w:rsid w:val="00B145DD"/>
    <w:rsid w:val="00B17865"/>
    <w:rsid w:val="00B3107C"/>
    <w:rsid w:val="00B310F9"/>
    <w:rsid w:val="00B37866"/>
    <w:rsid w:val="00B412FB"/>
    <w:rsid w:val="00B445C9"/>
    <w:rsid w:val="00B4576B"/>
    <w:rsid w:val="00B46350"/>
    <w:rsid w:val="00B46DF3"/>
    <w:rsid w:val="00B5794F"/>
    <w:rsid w:val="00B63775"/>
    <w:rsid w:val="00B648C7"/>
    <w:rsid w:val="00B66E8F"/>
    <w:rsid w:val="00B7077A"/>
    <w:rsid w:val="00B70DD5"/>
    <w:rsid w:val="00B80157"/>
    <w:rsid w:val="00B83D5E"/>
    <w:rsid w:val="00B8460A"/>
    <w:rsid w:val="00B8650D"/>
    <w:rsid w:val="00B879B4"/>
    <w:rsid w:val="00B90F07"/>
    <w:rsid w:val="00B92D3C"/>
    <w:rsid w:val="00B97BB9"/>
    <w:rsid w:val="00BA0009"/>
    <w:rsid w:val="00BB0289"/>
    <w:rsid w:val="00BB02B5"/>
    <w:rsid w:val="00BB1863"/>
    <w:rsid w:val="00BB25EE"/>
    <w:rsid w:val="00BB363A"/>
    <w:rsid w:val="00BB5972"/>
    <w:rsid w:val="00BC10A0"/>
    <w:rsid w:val="00BC3ED7"/>
    <w:rsid w:val="00BC7BA2"/>
    <w:rsid w:val="00BD426B"/>
    <w:rsid w:val="00BD79F0"/>
    <w:rsid w:val="00BE2B4D"/>
    <w:rsid w:val="00BF0D48"/>
    <w:rsid w:val="00C015F8"/>
    <w:rsid w:val="00C02C2A"/>
    <w:rsid w:val="00C07E26"/>
    <w:rsid w:val="00C1011C"/>
    <w:rsid w:val="00C12D61"/>
    <w:rsid w:val="00C12F94"/>
    <w:rsid w:val="00C16641"/>
    <w:rsid w:val="00C177C5"/>
    <w:rsid w:val="00C30721"/>
    <w:rsid w:val="00C34EC3"/>
    <w:rsid w:val="00C4038C"/>
    <w:rsid w:val="00C416B1"/>
    <w:rsid w:val="00C42BA2"/>
    <w:rsid w:val="00C44066"/>
    <w:rsid w:val="00C44E13"/>
    <w:rsid w:val="00C47615"/>
    <w:rsid w:val="00C47946"/>
    <w:rsid w:val="00C533D5"/>
    <w:rsid w:val="00C53BAE"/>
    <w:rsid w:val="00C54C92"/>
    <w:rsid w:val="00C60A41"/>
    <w:rsid w:val="00C62DE8"/>
    <w:rsid w:val="00C62DFB"/>
    <w:rsid w:val="00C630E6"/>
    <w:rsid w:val="00C63812"/>
    <w:rsid w:val="00C64AF3"/>
    <w:rsid w:val="00C66F4D"/>
    <w:rsid w:val="00C67BB5"/>
    <w:rsid w:val="00C67EAE"/>
    <w:rsid w:val="00C72713"/>
    <w:rsid w:val="00C84312"/>
    <w:rsid w:val="00C848EF"/>
    <w:rsid w:val="00C86600"/>
    <w:rsid w:val="00C87556"/>
    <w:rsid w:val="00C87BCA"/>
    <w:rsid w:val="00C87EED"/>
    <w:rsid w:val="00C9307E"/>
    <w:rsid w:val="00C94506"/>
    <w:rsid w:val="00C954BC"/>
    <w:rsid w:val="00CA02FA"/>
    <w:rsid w:val="00CA1F0B"/>
    <w:rsid w:val="00CA289E"/>
    <w:rsid w:val="00CB110F"/>
    <w:rsid w:val="00CB2A2E"/>
    <w:rsid w:val="00CB338A"/>
    <w:rsid w:val="00CB79C5"/>
    <w:rsid w:val="00CC312D"/>
    <w:rsid w:val="00CC411F"/>
    <w:rsid w:val="00CC4B75"/>
    <w:rsid w:val="00CC732E"/>
    <w:rsid w:val="00CC74C4"/>
    <w:rsid w:val="00CD2FCD"/>
    <w:rsid w:val="00CD7207"/>
    <w:rsid w:val="00CE0422"/>
    <w:rsid w:val="00CE0DBE"/>
    <w:rsid w:val="00CE3A8B"/>
    <w:rsid w:val="00CE5E4D"/>
    <w:rsid w:val="00CF02C4"/>
    <w:rsid w:val="00CF167F"/>
    <w:rsid w:val="00CF3109"/>
    <w:rsid w:val="00CF696E"/>
    <w:rsid w:val="00CF72E5"/>
    <w:rsid w:val="00D013EE"/>
    <w:rsid w:val="00D01F54"/>
    <w:rsid w:val="00D040F7"/>
    <w:rsid w:val="00D04A76"/>
    <w:rsid w:val="00D10FC7"/>
    <w:rsid w:val="00D113A2"/>
    <w:rsid w:val="00D11C49"/>
    <w:rsid w:val="00D1313C"/>
    <w:rsid w:val="00D14FDC"/>
    <w:rsid w:val="00D1519F"/>
    <w:rsid w:val="00D1703C"/>
    <w:rsid w:val="00D20E99"/>
    <w:rsid w:val="00D21C83"/>
    <w:rsid w:val="00D228DA"/>
    <w:rsid w:val="00D23C2A"/>
    <w:rsid w:val="00D26908"/>
    <w:rsid w:val="00D35BDD"/>
    <w:rsid w:val="00D360EF"/>
    <w:rsid w:val="00D43110"/>
    <w:rsid w:val="00D63006"/>
    <w:rsid w:val="00D70616"/>
    <w:rsid w:val="00D72301"/>
    <w:rsid w:val="00D73343"/>
    <w:rsid w:val="00D74F63"/>
    <w:rsid w:val="00D911DE"/>
    <w:rsid w:val="00D91B97"/>
    <w:rsid w:val="00D93ACC"/>
    <w:rsid w:val="00D93C08"/>
    <w:rsid w:val="00D93C0D"/>
    <w:rsid w:val="00D95DAC"/>
    <w:rsid w:val="00DA0B53"/>
    <w:rsid w:val="00DA5547"/>
    <w:rsid w:val="00DB1171"/>
    <w:rsid w:val="00DB1519"/>
    <w:rsid w:val="00DB2840"/>
    <w:rsid w:val="00DC07C3"/>
    <w:rsid w:val="00DC1BD3"/>
    <w:rsid w:val="00DC2C1A"/>
    <w:rsid w:val="00DD4239"/>
    <w:rsid w:val="00DD66B4"/>
    <w:rsid w:val="00DE1972"/>
    <w:rsid w:val="00DE27AB"/>
    <w:rsid w:val="00DF1757"/>
    <w:rsid w:val="00DF2AB3"/>
    <w:rsid w:val="00DF7250"/>
    <w:rsid w:val="00E00CAA"/>
    <w:rsid w:val="00E03EBF"/>
    <w:rsid w:val="00E05209"/>
    <w:rsid w:val="00E05AC1"/>
    <w:rsid w:val="00E07CD3"/>
    <w:rsid w:val="00E11BCF"/>
    <w:rsid w:val="00E2258E"/>
    <w:rsid w:val="00E2513A"/>
    <w:rsid w:val="00E260C2"/>
    <w:rsid w:val="00E30BB7"/>
    <w:rsid w:val="00E31AE9"/>
    <w:rsid w:val="00E32596"/>
    <w:rsid w:val="00E368F7"/>
    <w:rsid w:val="00E36EB8"/>
    <w:rsid w:val="00E37468"/>
    <w:rsid w:val="00E37FB8"/>
    <w:rsid w:val="00E40B07"/>
    <w:rsid w:val="00E42326"/>
    <w:rsid w:val="00E43544"/>
    <w:rsid w:val="00E445D3"/>
    <w:rsid w:val="00E44980"/>
    <w:rsid w:val="00E44D89"/>
    <w:rsid w:val="00E477EA"/>
    <w:rsid w:val="00E54CBD"/>
    <w:rsid w:val="00E55807"/>
    <w:rsid w:val="00E62D28"/>
    <w:rsid w:val="00E63B14"/>
    <w:rsid w:val="00E65CA0"/>
    <w:rsid w:val="00E675CA"/>
    <w:rsid w:val="00E70D9F"/>
    <w:rsid w:val="00E76B78"/>
    <w:rsid w:val="00E83810"/>
    <w:rsid w:val="00E86933"/>
    <w:rsid w:val="00E878E2"/>
    <w:rsid w:val="00E9605B"/>
    <w:rsid w:val="00E97298"/>
    <w:rsid w:val="00E97753"/>
    <w:rsid w:val="00EA0C51"/>
    <w:rsid w:val="00EA1D65"/>
    <w:rsid w:val="00EA7DE7"/>
    <w:rsid w:val="00EB7A8A"/>
    <w:rsid w:val="00EC6FED"/>
    <w:rsid w:val="00EC7F3B"/>
    <w:rsid w:val="00ED467A"/>
    <w:rsid w:val="00ED5299"/>
    <w:rsid w:val="00EE3A64"/>
    <w:rsid w:val="00EE50E5"/>
    <w:rsid w:val="00EE56EA"/>
    <w:rsid w:val="00EE61B8"/>
    <w:rsid w:val="00EF01CF"/>
    <w:rsid w:val="00EF166F"/>
    <w:rsid w:val="00F01369"/>
    <w:rsid w:val="00F03590"/>
    <w:rsid w:val="00F03622"/>
    <w:rsid w:val="00F04C48"/>
    <w:rsid w:val="00F05773"/>
    <w:rsid w:val="00F0673E"/>
    <w:rsid w:val="00F077FD"/>
    <w:rsid w:val="00F17B52"/>
    <w:rsid w:val="00F20032"/>
    <w:rsid w:val="00F204F3"/>
    <w:rsid w:val="00F218AB"/>
    <w:rsid w:val="00F238B3"/>
    <w:rsid w:val="00F24FED"/>
    <w:rsid w:val="00F25586"/>
    <w:rsid w:val="00F2634E"/>
    <w:rsid w:val="00F2651D"/>
    <w:rsid w:val="00F270D7"/>
    <w:rsid w:val="00F27362"/>
    <w:rsid w:val="00F31498"/>
    <w:rsid w:val="00F32FEF"/>
    <w:rsid w:val="00F34AB6"/>
    <w:rsid w:val="00F41B1C"/>
    <w:rsid w:val="00F42A95"/>
    <w:rsid w:val="00F42E13"/>
    <w:rsid w:val="00F42F1C"/>
    <w:rsid w:val="00F43B44"/>
    <w:rsid w:val="00F440E5"/>
    <w:rsid w:val="00F448F6"/>
    <w:rsid w:val="00F52741"/>
    <w:rsid w:val="00F53D8A"/>
    <w:rsid w:val="00F579A9"/>
    <w:rsid w:val="00F626F7"/>
    <w:rsid w:val="00F6322A"/>
    <w:rsid w:val="00F63560"/>
    <w:rsid w:val="00F6614E"/>
    <w:rsid w:val="00F664C1"/>
    <w:rsid w:val="00F736F9"/>
    <w:rsid w:val="00F73833"/>
    <w:rsid w:val="00F74B6C"/>
    <w:rsid w:val="00F751C3"/>
    <w:rsid w:val="00F76727"/>
    <w:rsid w:val="00F76C58"/>
    <w:rsid w:val="00F9211C"/>
    <w:rsid w:val="00FA095D"/>
    <w:rsid w:val="00FA6C8B"/>
    <w:rsid w:val="00FA6CDA"/>
    <w:rsid w:val="00FA7C89"/>
    <w:rsid w:val="00FB4139"/>
    <w:rsid w:val="00FB476E"/>
    <w:rsid w:val="00FB4C81"/>
    <w:rsid w:val="00FC0D90"/>
    <w:rsid w:val="00FC7D8C"/>
    <w:rsid w:val="00FD2280"/>
    <w:rsid w:val="00FD3980"/>
    <w:rsid w:val="00FD431E"/>
    <w:rsid w:val="00FD5A2C"/>
    <w:rsid w:val="00FE0D47"/>
    <w:rsid w:val="00FE1D5C"/>
    <w:rsid w:val="00FE2F8B"/>
    <w:rsid w:val="00FE3669"/>
    <w:rsid w:val="00FE5204"/>
    <w:rsid w:val="00FE691E"/>
    <w:rsid w:val="00FF287F"/>
    <w:rsid w:val="00FF6B09"/>
    <w:rsid w:val="00FF74A8"/>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超链接1,超?级链?,Style?,S,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Normal0">
    <w:name w:val="Normal 0"/>
    <w:rsid w:val="00A25314"/>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5D0BBE"/>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14:ligatures w14:val="standardContextual"/>
    </w:rPr>
  </w:style>
  <w:style w:type="paragraph" w:customStyle="1" w:styleId="Colloquy1">
    <w:name w:val="Colloquy 1"/>
    <w:basedOn w:val="Normal0"/>
    <w:next w:val="Normal"/>
    <w:uiPriority w:val="99"/>
    <w:rsid w:val="008B7376"/>
    <w:pPr>
      <w:tabs>
        <w:tab w:val="left" w:pos="2160"/>
        <w:tab w:val="left" w:pos="2880"/>
        <w:tab w:val="left" w:pos="3600"/>
        <w:tab w:val="left" w:pos="4320"/>
        <w:tab w:val="left" w:pos="5040"/>
        <w:tab w:val="left" w:pos="5760"/>
        <w:tab w:val="left" w:pos="6480"/>
        <w:tab w:val="left" w:pos="7200"/>
        <w:tab w:val="left" w:pos="7920"/>
        <w:tab w:val="left" w:pos="8640"/>
      </w:tabs>
      <w:ind w:firstLine="720"/>
    </w:pPr>
    <w:rPr>
      <w14:ligatures w14:val="standardContextual"/>
    </w:rPr>
  </w:style>
  <w:style w:type="paragraph" w:customStyle="1" w:styleId="gmail-msolistparagraph">
    <w:name w:val="gmail-msolistparagraph"/>
    <w:basedOn w:val="Normal"/>
    <w:rsid w:val="005E6F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1604FE"/>
    <w:rPr>
      <w:rFonts w:asciiTheme="minorHAnsi" w:hAnsiTheme="minorHAnsi"/>
      <w:sz w:val="24"/>
      <w:lang w:val="en-GB" w:eastAsia="en-US"/>
    </w:rPr>
  </w:style>
  <w:style w:type="character" w:customStyle="1" w:styleId="normaltextrun">
    <w:name w:val="normaltextrun"/>
    <w:basedOn w:val="DefaultParagraphFont"/>
    <w:rsid w:val="002751E7"/>
  </w:style>
  <w:style w:type="character" w:customStyle="1" w:styleId="scxw250204886">
    <w:name w:val="scxw250204886"/>
    <w:basedOn w:val="DefaultParagraphFont"/>
    <w:rsid w:val="002751E7"/>
  </w:style>
  <w:style w:type="character" w:customStyle="1" w:styleId="eop">
    <w:name w:val="eop"/>
    <w:basedOn w:val="DefaultParagraphFont"/>
    <w:rsid w:val="0027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89853">
      <w:bodyDiv w:val="1"/>
      <w:marLeft w:val="0"/>
      <w:marRight w:val="0"/>
      <w:marTop w:val="0"/>
      <w:marBottom w:val="0"/>
      <w:divBdr>
        <w:top w:val="none" w:sz="0" w:space="0" w:color="auto"/>
        <w:left w:val="none" w:sz="0" w:space="0" w:color="auto"/>
        <w:bottom w:val="none" w:sz="0" w:space="0" w:color="auto"/>
        <w:right w:val="none" w:sz="0" w:space="0" w:color="auto"/>
      </w:divBdr>
      <w:divsChild>
        <w:div w:id="215168100">
          <w:marLeft w:val="547"/>
          <w:marRight w:val="0"/>
          <w:marTop w:val="0"/>
          <w:marBottom w:val="0"/>
          <w:divBdr>
            <w:top w:val="none" w:sz="0" w:space="0" w:color="auto"/>
            <w:left w:val="none" w:sz="0" w:space="0" w:color="auto"/>
            <w:bottom w:val="none" w:sz="0" w:space="0" w:color="auto"/>
            <w:right w:val="none" w:sz="0" w:space="0" w:color="auto"/>
          </w:divBdr>
        </w:div>
        <w:div w:id="2088459014">
          <w:marLeft w:val="547"/>
          <w:marRight w:val="0"/>
          <w:marTop w:val="0"/>
          <w:marBottom w:val="0"/>
          <w:divBdr>
            <w:top w:val="none" w:sz="0" w:space="0" w:color="auto"/>
            <w:left w:val="none" w:sz="0" w:space="0" w:color="auto"/>
            <w:bottom w:val="none" w:sz="0" w:space="0" w:color="auto"/>
            <w:right w:val="none" w:sz="0" w:space="0" w:color="auto"/>
          </w:divBdr>
        </w:div>
        <w:div w:id="1446734988">
          <w:marLeft w:val="547"/>
          <w:marRight w:val="0"/>
          <w:marTop w:val="0"/>
          <w:marBottom w:val="0"/>
          <w:divBdr>
            <w:top w:val="none" w:sz="0" w:space="0" w:color="auto"/>
            <w:left w:val="none" w:sz="0" w:space="0" w:color="auto"/>
            <w:bottom w:val="none" w:sz="0" w:space="0" w:color="auto"/>
            <w:right w:val="none" w:sz="0" w:space="0" w:color="auto"/>
          </w:divBdr>
        </w:div>
        <w:div w:id="540870240">
          <w:marLeft w:val="547"/>
          <w:marRight w:val="0"/>
          <w:marTop w:val="0"/>
          <w:marBottom w:val="0"/>
          <w:divBdr>
            <w:top w:val="none" w:sz="0" w:space="0" w:color="auto"/>
            <w:left w:val="none" w:sz="0" w:space="0" w:color="auto"/>
            <w:bottom w:val="none" w:sz="0" w:space="0" w:color="auto"/>
            <w:right w:val="none" w:sz="0" w:space="0" w:color="auto"/>
          </w:divBdr>
        </w:div>
        <w:div w:id="701058681">
          <w:marLeft w:val="547"/>
          <w:marRight w:val="0"/>
          <w:marTop w:val="0"/>
          <w:marBottom w:val="0"/>
          <w:divBdr>
            <w:top w:val="none" w:sz="0" w:space="0" w:color="auto"/>
            <w:left w:val="none" w:sz="0" w:space="0" w:color="auto"/>
            <w:bottom w:val="none" w:sz="0" w:space="0" w:color="auto"/>
            <w:right w:val="none" w:sz="0" w:space="0" w:color="auto"/>
          </w:divBdr>
        </w:div>
        <w:div w:id="133453755">
          <w:marLeft w:val="547"/>
          <w:marRight w:val="0"/>
          <w:marTop w:val="0"/>
          <w:marBottom w:val="0"/>
          <w:divBdr>
            <w:top w:val="none" w:sz="0" w:space="0" w:color="auto"/>
            <w:left w:val="none" w:sz="0" w:space="0" w:color="auto"/>
            <w:bottom w:val="none" w:sz="0" w:space="0" w:color="auto"/>
            <w:right w:val="none" w:sz="0" w:space="0" w:color="auto"/>
          </w:divBdr>
        </w:div>
        <w:div w:id="2027369845">
          <w:marLeft w:val="547"/>
          <w:marRight w:val="0"/>
          <w:marTop w:val="0"/>
          <w:marBottom w:val="0"/>
          <w:divBdr>
            <w:top w:val="none" w:sz="0" w:space="0" w:color="auto"/>
            <w:left w:val="none" w:sz="0" w:space="0" w:color="auto"/>
            <w:bottom w:val="none" w:sz="0" w:space="0" w:color="auto"/>
            <w:right w:val="none" w:sz="0" w:space="0" w:color="auto"/>
          </w:divBdr>
        </w:div>
        <w:div w:id="792677295">
          <w:marLeft w:val="547"/>
          <w:marRight w:val="0"/>
          <w:marTop w:val="0"/>
          <w:marBottom w:val="0"/>
          <w:divBdr>
            <w:top w:val="none" w:sz="0" w:space="0" w:color="auto"/>
            <w:left w:val="none" w:sz="0" w:space="0" w:color="auto"/>
            <w:bottom w:val="none" w:sz="0" w:space="0" w:color="auto"/>
            <w:right w:val="none" w:sz="0" w:space="0" w:color="auto"/>
          </w:divBdr>
        </w:div>
        <w:div w:id="253517902">
          <w:marLeft w:val="547"/>
          <w:marRight w:val="0"/>
          <w:marTop w:val="0"/>
          <w:marBottom w:val="0"/>
          <w:divBdr>
            <w:top w:val="none" w:sz="0" w:space="0" w:color="auto"/>
            <w:left w:val="none" w:sz="0" w:space="0" w:color="auto"/>
            <w:bottom w:val="none" w:sz="0" w:space="0" w:color="auto"/>
            <w:right w:val="none" w:sz="0" w:space="0" w:color="auto"/>
          </w:divBdr>
        </w:div>
        <w:div w:id="30082187">
          <w:marLeft w:val="547"/>
          <w:marRight w:val="0"/>
          <w:marTop w:val="0"/>
          <w:marBottom w:val="0"/>
          <w:divBdr>
            <w:top w:val="none" w:sz="0" w:space="0" w:color="auto"/>
            <w:left w:val="none" w:sz="0" w:space="0" w:color="auto"/>
            <w:bottom w:val="none" w:sz="0" w:space="0" w:color="auto"/>
            <w:right w:val="none" w:sz="0" w:space="0" w:color="auto"/>
          </w:divBdr>
        </w:div>
      </w:divsChild>
    </w:div>
    <w:div w:id="588539570">
      <w:bodyDiv w:val="1"/>
      <w:marLeft w:val="0"/>
      <w:marRight w:val="0"/>
      <w:marTop w:val="0"/>
      <w:marBottom w:val="0"/>
      <w:divBdr>
        <w:top w:val="none" w:sz="0" w:space="0" w:color="auto"/>
        <w:left w:val="none" w:sz="0" w:space="0" w:color="auto"/>
        <w:bottom w:val="none" w:sz="0" w:space="0" w:color="auto"/>
        <w:right w:val="none" w:sz="0" w:space="0" w:color="auto"/>
      </w:divBdr>
      <w:divsChild>
        <w:div w:id="1535774370">
          <w:marLeft w:val="547"/>
          <w:marRight w:val="0"/>
          <w:marTop w:val="0"/>
          <w:marBottom w:val="0"/>
          <w:divBdr>
            <w:top w:val="none" w:sz="0" w:space="0" w:color="auto"/>
            <w:left w:val="none" w:sz="0" w:space="0" w:color="auto"/>
            <w:bottom w:val="none" w:sz="0" w:space="0" w:color="auto"/>
            <w:right w:val="none" w:sz="0" w:space="0" w:color="auto"/>
          </w:divBdr>
        </w:div>
        <w:div w:id="1992557988">
          <w:marLeft w:val="547"/>
          <w:marRight w:val="0"/>
          <w:marTop w:val="0"/>
          <w:marBottom w:val="0"/>
          <w:divBdr>
            <w:top w:val="none" w:sz="0" w:space="0" w:color="auto"/>
            <w:left w:val="none" w:sz="0" w:space="0" w:color="auto"/>
            <w:bottom w:val="none" w:sz="0" w:space="0" w:color="auto"/>
            <w:right w:val="none" w:sz="0" w:space="0" w:color="auto"/>
          </w:divBdr>
        </w:div>
        <w:div w:id="1077484854">
          <w:marLeft w:val="547"/>
          <w:marRight w:val="0"/>
          <w:marTop w:val="0"/>
          <w:marBottom w:val="0"/>
          <w:divBdr>
            <w:top w:val="none" w:sz="0" w:space="0" w:color="auto"/>
            <w:left w:val="none" w:sz="0" w:space="0" w:color="auto"/>
            <w:bottom w:val="none" w:sz="0" w:space="0" w:color="auto"/>
            <w:right w:val="none" w:sz="0" w:space="0" w:color="auto"/>
          </w:divBdr>
        </w:div>
        <w:div w:id="689724288">
          <w:marLeft w:val="547"/>
          <w:marRight w:val="0"/>
          <w:marTop w:val="0"/>
          <w:marBottom w:val="0"/>
          <w:divBdr>
            <w:top w:val="none" w:sz="0" w:space="0" w:color="auto"/>
            <w:left w:val="none" w:sz="0" w:space="0" w:color="auto"/>
            <w:bottom w:val="none" w:sz="0" w:space="0" w:color="auto"/>
            <w:right w:val="none" w:sz="0" w:space="0" w:color="auto"/>
          </w:divBdr>
        </w:div>
        <w:div w:id="953050898">
          <w:marLeft w:val="547"/>
          <w:marRight w:val="0"/>
          <w:marTop w:val="0"/>
          <w:marBottom w:val="0"/>
          <w:divBdr>
            <w:top w:val="none" w:sz="0" w:space="0" w:color="auto"/>
            <w:left w:val="none" w:sz="0" w:space="0" w:color="auto"/>
            <w:bottom w:val="none" w:sz="0" w:space="0" w:color="auto"/>
            <w:right w:val="none" w:sz="0" w:space="0" w:color="auto"/>
          </w:divBdr>
        </w:div>
        <w:div w:id="1839810669">
          <w:marLeft w:val="547"/>
          <w:marRight w:val="0"/>
          <w:marTop w:val="0"/>
          <w:marBottom w:val="0"/>
          <w:divBdr>
            <w:top w:val="none" w:sz="0" w:space="0" w:color="auto"/>
            <w:left w:val="none" w:sz="0" w:space="0" w:color="auto"/>
            <w:bottom w:val="none" w:sz="0" w:space="0" w:color="auto"/>
            <w:right w:val="none" w:sz="0" w:space="0" w:color="auto"/>
          </w:divBdr>
        </w:div>
        <w:div w:id="1006979533">
          <w:marLeft w:val="547"/>
          <w:marRight w:val="0"/>
          <w:marTop w:val="0"/>
          <w:marBottom w:val="0"/>
          <w:divBdr>
            <w:top w:val="none" w:sz="0" w:space="0" w:color="auto"/>
            <w:left w:val="none" w:sz="0" w:space="0" w:color="auto"/>
            <w:bottom w:val="none" w:sz="0" w:space="0" w:color="auto"/>
            <w:right w:val="none" w:sz="0" w:space="0" w:color="auto"/>
          </w:divBdr>
        </w:div>
        <w:div w:id="961109592">
          <w:marLeft w:val="547"/>
          <w:marRight w:val="0"/>
          <w:marTop w:val="0"/>
          <w:marBottom w:val="0"/>
          <w:divBdr>
            <w:top w:val="none" w:sz="0" w:space="0" w:color="auto"/>
            <w:left w:val="none" w:sz="0" w:space="0" w:color="auto"/>
            <w:bottom w:val="none" w:sz="0" w:space="0" w:color="auto"/>
            <w:right w:val="none" w:sz="0" w:space="0" w:color="auto"/>
          </w:divBdr>
        </w:div>
        <w:div w:id="917054075">
          <w:marLeft w:val="547"/>
          <w:marRight w:val="0"/>
          <w:marTop w:val="0"/>
          <w:marBottom w:val="0"/>
          <w:divBdr>
            <w:top w:val="none" w:sz="0" w:space="0" w:color="auto"/>
            <w:left w:val="none" w:sz="0" w:space="0" w:color="auto"/>
            <w:bottom w:val="none" w:sz="0" w:space="0" w:color="auto"/>
            <w:right w:val="none" w:sz="0" w:space="0" w:color="auto"/>
          </w:divBdr>
        </w:div>
        <w:div w:id="1529373611">
          <w:marLeft w:val="547"/>
          <w:marRight w:val="0"/>
          <w:marTop w:val="0"/>
          <w:marBottom w:val="0"/>
          <w:divBdr>
            <w:top w:val="none" w:sz="0" w:space="0" w:color="auto"/>
            <w:left w:val="none" w:sz="0" w:space="0" w:color="auto"/>
            <w:bottom w:val="none" w:sz="0" w:space="0" w:color="auto"/>
            <w:right w:val="none" w:sz="0" w:space="0" w:color="auto"/>
          </w:divBdr>
        </w:div>
      </w:divsChild>
    </w:div>
    <w:div w:id="1001927334">
      <w:bodyDiv w:val="1"/>
      <w:marLeft w:val="0"/>
      <w:marRight w:val="0"/>
      <w:marTop w:val="0"/>
      <w:marBottom w:val="0"/>
      <w:divBdr>
        <w:top w:val="none" w:sz="0" w:space="0" w:color="auto"/>
        <w:left w:val="none" w:sz="0" w:space="0" w:color="auto"/>
        <w:bottom w:val="none" w:sz="0" w:space="0" w:color="auto"/>
        <w:right w:val="none" w:sz="0" w:space="0" w:color="auto"/>
      </w:divBdr>
      <w:divsChild>
        <w:div w:id="68426924">
          <w:marLeft w:val="547"/>
          <w:marRight w:val="0"/>
          <w:marTop w:val="0"/>
          <w:marBottom w:val="0"/>
          <w:divBdr>
            <w:top w:val="none" w:sz="0" w:space="0" w:color="auto"/>
            <w:left w:val="none" w:sz="0" w:space="0" w:color="auto"/>
            <w:bottom w:val="none" w:sz="0" w:space="0" w:color="auto"/>
            <w:right w:val="none" w:sz="0" w:space="0" w:color="auto"/>
          </w:divBdr>
        </w:div>
        <w:div w:id="432743896">
          <w:marLeft w:val="547"/>
          <w:marRight w:val="0"/>
          <w:marTop w:val="0"/>
          <w:marBottom w:val="0"/>
          <w:divBdr>
            <w:top w:val="none" w:sz="0" w:space="0" w:color="auto"/>
            <w:left w:val="none" w:sz="0" w:space="0" w:color="auto"/>
            <w:bottom w:val="none" w:sz="0" w:space="0" w:color="auto"/>
            <w:right w:val="none" w:sz="0" w:space="0" w:color="auto"/>
          </w:divBdr>
        </w:div>
        <w:div w:id="1144929651">
          <w:marLeft w:val="547"/>
          <w:marRight w:val="0"/>
          <w:marTop w:val="0"/>
          <w:marBottom w:val="0"/>
          <w:divBdr>
            <w:top w:val="none" w:sz="0" w:space="0" w:color="auto"/>
            <w:left w:val="none" w:sz="0" w:space="0" w:color="auto"/>
            <w:bottom w:val="none" w:sz="0" w:space="0" w:color="auto"/>
            <w:right w:val="none" w:sz="0" w:space="0" w:color="auto"/>
          </w:divBdr>
        </w:div>
      </w:divsChild>
    </w:div>
    <w:div w:id="1468932831">
      <w:bodyDiv w:val="1"/>
      <w:marLeft w:val="0"/>
      <w:marRight w:val="0"/>
      <w:marTop w:val="0"/>
      <w:marBottom w:val="0"/>
      <w:divBdr>
        <w:top w:val="none" w:sz="0" w:space="0" w:color="auto"/>
        <w:left w:val="none" w:sz="0" w:space="0" w:color="auto"/>
        <w:bottom w:val="none" w:sz="0" w:space="0" w:color="auto"/>
        <w:right w:val="none" w:sz="0" w:space="0" w:color="auto"/>
      </w:divBdr>
      <w:divsChild>
        <w:div w:id="980426720">
          <w:marLeft w:val="547"/>
          <w:marRight w:val="0"/>
          <w:marTop w:val="0"/>
          <w:marBottom w:val="0"/>
          <w:divBdr>
            <w:top w:val="none" w:sz="0" w:space="0" w:color="auto"/>
            <w:left w:val="none" w:sz="0" w:space="0" w:color="auto"/>
            <w:bottom w:val="none" w:sz="0" w:space="0" w:color="auto"/>
            <w:right w:val="none" w:sz="0" w:space="0" w:color="auto"/>
          </w:divBdr>
        </w:div>
        <w:div w:id="988242370">
          <w:marLeft w:val="547"/>
          <w:marRight w:val="0"/>
          <w:marTop w:val="0"/>
          <w:marBottom w:val="0"/>
          <w:divBdr>
            <w:top w:val="none" w:sz="0" w:space="0" w:color="auto"/>
            <w:left w:val="none" w:sz="0" w:space="0" w:color="auto"/>
            <w:bottom w:val="none" w:sz="0" w:space="0" w:color="auto"/>
            <w:right w:val="none" w:sz="0" w:space="0" w:color="auto"/>
          </w:divBdr>
        </w:div>
        <w:div w:id="1085146134">
          <w:marLeft w:val="547"/>
          <w:marRight w:val="0"/>
          <w:marTop w:val="0"/>
          <w:marBottom w:val="0"/>
          <w:divBdr>
            <w:top w:val="none" w:sz="0" w:space="0" w:color="auto"/>
            <w:left w:val="none" w:sz="0" w:space="0" w:color="auto"/>
            <w:bottom w:val="none" w:sz="0" w:space="0" w:color="auto"/>
            <w:right w:val="none" w:sz="0" w:space="0" w:color="auto"/>
          </w:divBdr>
        </w:div>
      </w:divsChild>
    </w:div>
    <w:div w:id="2050059062">
      <w:bodyDiv w:val="1"/>
      <w:marLeft w:val="0"/>
      <w:marRight w:val="0"/>
      <w:marTop w:val="0"/>
      <w:marBottom w:val="0"/>
      <w:divBdr>
        <w:top w:val="none" w:sz="0" w:space="0" w:color="auto"/>
        <w:left w:val="none" w:sz="0" w:space="0" w:color="auto"/>
        <w:bottom w:val="none" w:sz="0" w:space="0" w:color="auto"/>
        <w:right w:val="none" w:sz="0" w:space="0" w:color="auto"/>
      </w:divBdr>
      <w:divsChild>
        <w:div w:id="229460139">
          <w:marLeft w:val="547"/>
          <w:marRight w:val="0"/>
          <w:marTop w:val="0"/>
          <w:marBottom w:val="0"/>
          <w:divBdr>
            <w:top w:val="none" w:sz="0" w:space="0" w:color="auto"/>
            <w:left w:val="none" w:sz="0" w:space="0" w:color="auto"/>
            <w:bottom w:val="none" w:sz="0" w:space="0" w:color="auto"/>
            <w:right w:val="none" w:sz="0" w:space="0" w:color="auto"/>
          </w:divBdr>
        </w:div>
        <w:div w:id="1557625980">
          <w:marLeft w:val="547"/>
          <w:marRight w:val="0"/>
          <w:marTop w:val="0"/>
          <w:marBottom w:val="0"/>
          <w:divBdr>
            <w:top w:val="none" w:sz="0" w:space="0" w:color="auto"/>
            <w:left w:val="none" w:sz="0" w:space="0" w:color="auto"/>
            <w:bottom w:val="none" w:sz="0" w:space="0" w:color="auto"/>
            <w:right w:val="none" w:sz="0" w:space="0" w:color="auto"/>
          </w:divBdr>
        </w:div>
        <w:div w:id="15497982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SR-C-0012/" TargetMode="External"/><Relationship Id="rId18" Type="http://schemas.openxmlformats.org/officeDocument/2006/relationships/hyperlink" Target="https://www.itu.int/md/D22-TDAG31-240520-TD-0003/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7" Type="http://schemas.openxmlformats.org/officeDocument/2006/relationships/settings" Target="settings.xml"/><Relationship Id="rId12" Type="http://schemas.openxmlformats.org/officeDocument/2006/relationships/hyperlink" Target="https://www.itu.int/md/D22-TDAG.WG.SR-C-0011/en" TargetMode="External"/><Relationship Id="rId17" Type="http://schemas.openxmlformats.org/officeDocument/2006/relationships/hyperlink" Target="https://www.itu.int/md/D22-TDAG.WG.SR-C-0013/" TargetMode="External"/><Relationship Id="rId25" Type="http://schemas.openxmlformats.org/officeDocument/2006/relationships/hyperlink" Target="https://www.itu.int/en/general-secretariat/ties/ISCGDocumentLibrary/Liaisons%20Statements%20on%20Inter-Sectoral%20Coordination%20Activities/Mapping-of-Resolutions-Updated%20Apr2024.pdf" TargetMode="External"/><Relationship Id="rId2" Type="http://schemas.openxmlformats.org/officeDocument/2006/relationships/customXml" Target="../customXml/item2.xml"/><Relationship Id="rId16" Type="http://schemas.openxmlformats.org/officeDocument/2006/relationships/hyperlink" Target="https://www.itu.int/md/D22-TDAG30-C-0031/en" TargetMode="External"/><Relationship Id="rId20" Type="http://schemas.openxmlformats.org/officeDocument/2006/relationships/hyperlink" Target="https://www.itu.int/md/D22-TDAG31-240520-TD-000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5" Type="http://schemas.openxmlformats.org/officeDocument/2006/relationships/numbering" Target="numbering.xml"/><Relationship Id="rId15" Type="http://schemas.openxmlformats.org/officeDocument/2006/relationships/hyperlink" Target="https://www.itu.int/md/D22-TDAG.WG.SR-C-0013/" TargetMode="External"/><Relationship Id="rId23" Type="http://schemas.openxmlformats.org/officeDocument/2006/relationships/hyperlink" Target="mailto:tdag-wg-streamres@lists.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general-secretariat/ties/ISCGDocumentLibrary/Liaisons%20Statements%20on%20Inter-Sectoral%20Coordination%20Activities/Mapping-of-Resolutions-Updated%20Apr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R-C-0010/" TargetMode="External"/><Relationship Id="rId22" Type="http://schemas.openxmlformats.org/officeDocument/2006/relationships/hyperlink" Target="mailto:tdag-wg-streamres@lists.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41DB4-E328-4699-86DC-228D791D01FD}">
  <ds:schemaRefs>
    <ds:schemaRef ds:uri="http://schemas.openxmlformats.org/officeDocument/2006/bibliography"/>
  </ds:schemaRefs>
</ds:datastoreItem>
</file>

<file path=customXml/itemProps4.xml><?xml version="1.0" encoding="utf-8"?>
<ds:datastoreItem xmlns:ds="http://schemas.openxmlformats.org/officeDocument/2006/customXml" ds:itemID="{88AB53BD-161D-4228-8340-2662748DDB3C}">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2336</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13</cp:revision>
  <cp:lastPrinted>2014-11-04T09:22:00Z</cp:lastPrinted>
  <dcterms:created xsi:type="dcterms:W3CDTF">2024-11-26T09:42:00Z</dcterms:created>
  <dcterms:modified xsi:type="dcterms:W3CDTF">2024-11-26T09:50:00Z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