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5812"/>
        <w:gridCol w:w="567"/>
        <w:gridCol w:w="3509"/>
      </w:tblGrid>
      <w:tr w:rsidR="00307769" w:rsidRPr="006D4EA0" w14:paraId="3F0E9EC4" w14:textId="77777777" w:rsidTr="00952667">
        <w:trPr>
          <w:cantSplit/>
          <w:trHeight w:val="1134"/>
        </w:trPr>
        <w:tc>
          <w:tcPr>
            <w:tcW w:w="6379" w:type="dxa"/>
            <w:gridSpan w:val="2"/>
          </w:tcPr>
          <w:p w14:paraId="68FE8375" w14:textId="1CC5F26C" w:rsidR="00307769" w:rsidRPr="006D4EA0" w:rsidRDefault="00826A3E" w:rsidP="00307769">
            <w:pPr>
              <w:tabs>
                <w:tab w:val="clear" w:pos="1191"/>
                <w:tab w:val="clear" w:pos="1588"/>
                <w:tab w:val="clear" w:pos="1985"/>
              </w:tabs>
              <w:ind w:left="34"/>
              <w:rPr>
                <w:b/>
                <w:bCs/>
                <w:sz w:val="32"/>
                <w:szCs w:val="32"/>
              </w:rPr>
            </w:pPr>
            <w:r w:rsidRPr="006D4EA0">
              <w:rPr>
                <w:b/>
                <w:bCs/>
                <w:sz w:val="32"/>
                <w:szCs w:val="32"/>
              </w:rPr>
              <w:t>TDAG</w:t>
            </w:r>
            <w:r w:rsidR="00307769" w:rsidRPr="006D4EA0">
              <w:rPr>
                <w:b/>
                <w:bCs/>
                <w:sz w:val="32"/>
                <w:szCs w:val="32"/>
              </w:rPr>
              <w:t xml:space="preserve"> </w:t>
            </w:r>
            <w:r w:rsidR="00566BDC" w:rsidRPr="006D4EA0">
              <w:rPr>
                <w:b/>
                <w:bCs/>
                <w:sz w:val="32"/>
                <w:szCs w:val="32"/>
              </w:rPr>
              <w:t xml:space="preserve">Working Group </w:t>
            </w:r>
            <w:r w:rsidRPr="006D4EA0">
              <w:rPr>
                <w:b/>
                <w:bCs/>
                <w:sz w:val="32"/>
                <w:szCs w:val="32"/>
              </w:rPr>
              <w:br/>
            </w:r>
            <w:r w:rsidR="00566BDC" w:rsidRPr="006D4EA0">
              <w:rPr>
                <w:b/>
                <w:bCs/>
                <w:sz w:val="32"/>
                <w:szCs w:val="32"/>
              </w:rPr>
              <w:t xml:space="preserve">on </w:t>
            </w:r>
            <w:r w:rsidR="0076272A" w:rsidRPr="0071703D">
              <w:rPr>
                <w:b/>
                <w:bCs/>
                <w:sz w:val="32"/>
                <w:szCs w:val="32"/>
              </w:rPr>
              <w:t>the</w:t>
            </w:r>
            <w:r w:rsidR="0076272A" w:rsidRPr="006D4EA0">
              <w:rPr>
                <w:b/>
                <w:bCs/>
                <w:sz w:val="32"/>
                <w:szCs w:val="32"/>
              </w:rPr>
              <w:t xml:space="preserve"> f</w:t>
            </w:r>
            <w:r w:rsidR="00566BDC" w:rsidRPr="006D4EA0">
              <w:rPr>
                <w:b/>
                <w:bCs/>
                <w:sz w:val="32"/>
                <w:szCs w:val="32"/>
              </w:rPr>
              <w:t xml:space="preserve">uture </w:t>
            </w:r>
            <w:r w:rsidR="0076272A" w:rsidRPr="006D4EA0">
              <w:rPr>
                <w:b/>
                <w:bCs/>
                <w:sz w:val="32"/>
                <w:szCs w:val="32"/>
              </w:rPr>
              <w:t xml:space="preserve">of </w:t>
            </w:r>
            <w:r w:rsidR="00566BDC" w:rsidRPr="006D4EA0">
              <w:rPr>
                <w:b/>
                <w:bCs/>
                <w:sz w:val="32"/>
                <w:szCs w:val="32"/>
              </w:rPr>
              <w:t>S</w:t>
            </w:r>
            <w:r w:rsidR="005A406D" w:rsidRPr="006D4EA0">
              <w:rPr>
                <w:b/>
                <w:bCs/>
                <w:sz w:val="32"/>
                <w:szCs w:val="32"/>
              </w:rPr>
              <w:t xml:space="preserve">tudy </w:t>
            </w:r>
            <w:r w:rsidR="00566BDC" w:rsidRPr="006D4EA0">
              <w:rPr>
                <w:b/>
                <w:bCs/>
                <w:sz w:val="32"/>
                <w:szCs w:val="32"/>
              </w:rPr>
              <w:t>G</w:t>
            </w:r>
            <w:r w:rsidR="005A406D" w:rsidRPr="006D4EA0">
              <w:rPr>
                <w:b/>
                <w:bCs/>
                <w:sz w:val="32"/>
                <w:szCs w:val="32"/>
              </w:rPr>
              <w:t>roup</w:t>
            </w:r>
            <w:r w:rsidR="0076272A" w:rsidRPr="006D4EA0">
              <w:rPr>
                <w:b/>
                <w:bCs/>
                <w:sz w:val="32"/>
                <w:szCs w:val="32"/>
              </w:rPr>
              <w:t xml:space="preserve"> </w:t>
            </w:r>
            <w:r w:rsidR="00566BDC" w:rsidRPr="006D4EA0">
              <w:rPr>
                <w:b/>
                <w:bCs/>
                <w:sz w:val="32"/>
                <w:szCs w:val="32"/>
              </w:rPr>
              <w:t>Q</w:t>
            </w:r>
            <w:r w:rsidR="0076272A" w:rsidRPr="006D4EA0">
              <w:rPr>
                <w:b/>
                <w:bCs/>
                <w:sz w:val="32"/>
                <w:szCs w:val="32"/>
              </w:rPr>
              <w:t>uestions</w:t>
            </w:r>
            <w:r w:rsidR="0076272A" w:rsidRPr="006D4EA0">
              <w:rPr>
                <w:b/>
                <w:bCs/>
                <w:sz w:val="32"/>
                <w:szCs w:val="32"/>
              </w:rPr>
              <w:br/>
            </w:r>
            <w:r w:rsidR="00566BDC" w:rsidRPr="006D4EA0">
              <w:rPr>
                <w:b/>
                <w:bCs/>
                <w:sz w:val="32"/>
                <w:szCs w:val="32"/>
              </w:rPr>
              <w:t>(TDAG-WG-futureSGQ)</w:t>
            </w:r>
          </w:p>
          <w:p w14:paraId="5F5F590A" w14:textId="56E93B31" w:rsidR="00307769" w:rsidRPr="006D4EA0" w:rsidRDefault="00CE3A8B" w:rsidP="00307769">
            <w:pPr>
              <w:tabs>
                <w:tab w:val="clear" w:pos="1191"/>
                <w:tab w:val="clear" w:pos="1588"/>
                <w:tab w:val="clear" w:pos="1985"/>
              </w:tabs>
              <w:spacing w:after="120"/>
              <w:ind w:left="34"/>
              <w:rPr>
                <w:rFonts w:ascii="Verdana" w:hAnsi="Verdana"/>
                <w:sz w:val="28"/>
                <w:szCs w:val="28"/>
              </w:rPr>
            </w:pPr>
            <w:r>
              <w:rPr>
                <w:b/>
                <w:bCs/>
                <w:sz w:val="26"/>
                <w:szCs w:val="26"/>
              </w:rPr>
              <w:t>1st Meeting,</w:t>
            </w:r>
            <w:r w:rsidRPr="006D4EA0">
              <w:rPr>
                <w:b/>
                <w:bCs/>
                <w:sz w:val="26"/>
                <w:szCs w:val="26"/>
              </w:rPr>
              <w:t xml:space="preserve"> </w:t>
            </w:r>
            <w:r w:rsidR="00021196" w:rsidRPr="006D4EA0">
              <w:rPr>
                <w:b/>
                <w:bCs/>
                <w:sz w:val="26"/>
                <w:szCs w:val="26"/>
              </w:rPr>
              <w:t>V</w:t>
            </w:r>
            <w:r w:rsidR="006C075B" w:rsidRPr="006D4EA0">
              <w:rPr>
                <w:b/>
                <w:bCs/>
                <w:sz w:val="26"/>
                <w:szCs w:val="26"/>
              </w:rPr>
              <w:t>irtual</w:t>
            </w:r>
            <w:r w:rsidR="00307769" w:rsidRPr="006D4EA0">
              <w:rPr>
                <w:b/>
                <w:bCs/>
                <w:sz w:val="26"/>
                <w:szCs w:val="26"/>
              </w:rPr>
              <w:t xml:space="preserve">, </w:t>
            </w:r>
            <w:r w:rsidR="00566BDC" w:rsidRPr="006D4EA0">
              <w:rPr>
                <w:b/>
                <w:bCs/>
                <w:sz w:val="26"/>
                <w:szCs w:val="26"/>
              </w:rPr>
              <w:t>4</w:t>
            </w:r>
            <w:r w:rsidR="006F24AF" w:rsidRPr="006D4EA0">
              <w:rPr>
                <w:b/>
                <w:bCs/>
                <w:sz w:val="26"/>
                <w:szCs w:val="26"/>
              </w:rPr>
              <w:t xml:space="preserve"> </w:t>
            </w:r>
            <w:r w:rsidR="00566BDC" w:rsidRPr="006D4EA0">
              <w:rPr>
                <w:b/>
                <w:bCs/>
                <w:sz w:val="26"/>
                <w:szCs w:val="26"/>
              </w:rPr>
              <w:t>Mars</w:t>
            </w:r>
            <w:r w:rsidR="006F24AF" w:rsidRPr="006D4EA0">
              <w:rPr>
                <w:b/>
                <w:bCs/>
                <w:sz w:val="26"/>
                <w:szCs w:val="26"/>
              </w:rPr>
              <w:t xml:space="preserve"> 2024</w:t>
            </w:r>
          </w:p>
        </w:tc>
        <w:tc>
          <w:tcPr>
            <w:tcW w:w="3509" w:type="dxa"/>
          </w:tcPr>
          <w:p w14:paraId="67E7B4C4" w14:textId="0F52E4CC" w:rsidR="00307769" w:rsidRPr="006D4EA0" w:rsidRDefault="00307769"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566BDC">
        <w:trPr>
          <w:cantSplit/>
        </w:trPr>
        <w:tc>
          <w:tcPr>
            <w:tcW w:w="5812" w:type="dxa"/>
            <w:tcBorders>
              <w:top w:val="single" w:sz="12" w:space="0" w:color="auto"/>
            </w:tcBorders>
          </w:tcPr>
          <w:p w14:paraId="2EED9DB2" w14:textId="77777777" w:rsidR="00683C32" w:rsidRPr="006D4EA0" w:rsidRDefault="00683C32" w:rsidP="00107E85">
            <w:pPr>
              <w:spacing w:before="0"/>
              <w:rPr>
                <w:rFonts w:cs="Arial"/>
                <w:b/>
                <w:bCs/>
                <w:sz w:val="20"/>
              </w:rPr>
            </w:pPr>
          </w:p>
        </w:tc>
        <w:tc>
          <w:tcPr>
            <w:tcW w:w="4076" w:type="dxa"/>
            <w:gridSpan w:val="2"/>
            <w:tcBorders>
              <w:top w:val="single" w:sz="12" w:space="0" w:color="auto"/>
            </w:tcBorders>
          </w:tcPr>
          <w:p w14:paraId="6CC77CFE" w14:textId="77777777" w:rsidR="00683C32" w:rsidRPr="006D4EA0" w:rsidRDefault="00683C32" w:rsidP="00107E85">
            <w:pPr>
              <w:spacing w:before="0"/>
              <w:rPr>
                <w:b/>
                <w:bCs/>
                <w:sz w:val="20"/>
              </w:rPr>
            </w:pPr>
          </w:p>
        </w:tc>
      </w:tr>
      <w:tr w:rsidR="00683C32" w:rsidRPr="00C2764E" w14:paraId="0BB3FBC4" w14:textId="77777777" w:rsidTr="00566BDC">
        <w:trPr>
          <w:cantSplit/>
        </w:trPr>
        <w:tc>
          <w:tcPr>
            <w:tcW w:w="5812" w:type="dxa"/>
          </w:tcPr>
          <w:p w14:paraId="43C54B3D" w14:textId="77777777" w:rsidR="00683C32" w:rsidRPr="006D4EA0" w:rsidRDefault="00683C32" w:rsidP="00400CCF">
            <w:pPr>
              <w:pStyle w:val="Committee"/>
              <w:spacing w:before="0"/>
              <w:rPr>
                <w:b w:val="0"/>
                <w:szCs w:val="24"/>
              </w:rPr>
            </w:pPr>
          </w:p>
        </w:tc>
        <w:tc>
          <w:tcPr>
            <w:tcW w:w="4076" w:type="dxa"/>
            <w:gridSpan w:val="2"/>
          </w:tcPr>
          <w:p w14:paraId="02E44EE9" w14:textId="6502E5DD" w:rsidR="00683C32" w:rsidRPr="006D4EA0" w:rsidRDefault="0096201B" w:rsidP="00B648C7">
            <w:pPr>
              <w:spacing w:before="0"/>
              <w:jc w:val="both"/>
              <w:rPr>
                <w:bCs/>
                <w:szCs w:val="24"/>
                <w:lang w:val="fr-FR"/>
              </w:rPr>
            </w:pPr>
            <w:r w:rsidRPr="006D4EA0">
              <w:rPr>
                <w:b/>
                <w:bCs/>
                <w:lang w:val="fr-FR"/>
              </w:rPr>
              <w:t xml:space="preserve">Document </w:t>
            </w:r>
            <w:bookmarkStart w:id="0" w:name="DocRef1"/>
            <w:bookmarkEnd w:id="0"/>
            <w:r w:rsidR="00566BDC" w:rsidRPr="006D4EA0">
              <w:rPr>
                <w:b/>
                <w:bCs/>
                <w:lang w:val="fr-FR"/>
              </w:rPr>
              <w:t>TDAG-WG-futureSGQ/</w:t>
            </w:r>
            <w:r w:rsidR="00394907">
              <w:rPr>
                <w:b/>
                <w:bCs/>
                <w:lang w:val="fr-FR"/>
              </w:rPr>
              <w:t>4</w:t>
            </w:r>
            <w:r w:rsidRPr="006D4EA0">
              <w:rPr>
                <w:b/>
                <w:bCs/>
                <w:lang w:val="fr-FR"/>
              </w:rPr>
              <w:t>-E</w:t>
            </w:r>
          </w:p>
        </w:tc>
      </w:tr>
      <w:tr w:rsidR="00683C32" w:rsidRPr="006D4EA0" w14:paraId="24D04936" w14:textId="77777777" w:rsidTr="00566BDC">
        <w:trPr>
          <w:cantSplit/>
        </w:trPr>
        <w:tc>
          <w:tcPr>
            <w:tcW w:w="5812" w:type="dxa"/>
          </w:tcPr>
          <w:p w14:paraId="12CE4DBF" w14:textId="77777777" w:rsidR="00683C32" w:rsidRPr="006D4EA0" w:rsidRDefault="00683C32" w:rsidP="00400CCF">
            <w:pPr>
              <w:spacing w:before="0"/>
              <w:rPr>
                <w:b/>
                <w:bCs/>
                <w:smallCaps/>
                <w:szCs w:val="24"/>
                <w:lang w:val="fr-FR"/>
              </w:rPr>
            </w:pPr>
          </w:p>
        </w:tc>
        <w:tc>
          <w:tcPr>
            <w:tcW w:w="4076" w:type="dxa"/>
            <w:gridSpan w:val="2"/>
          </w:tcPr>
          <w:p w14:paraId="0F89640F" w14:textId="396CCEE9" w:rsidR="00683C32" w:rsidRPr="006D4EA0" w:rsidRDefault="00AE3AE3" w:rsidP="00B648C7">
            <w:pPr>
              <w:spacing w:before="0"/>
              <w:rPr>
                <w:b/>
                <w:szCs w:val="24"/>
              </w:rPr>
            </w:pPr>
            <w:bookmarkStart w:id="1" w:name="CreationDate"/>
            <w:bookmarkEnd w:id="1"/>
            <w:r>
              <w:rPr>
                <w:b/>
                <w:bCs/>
                <w:szCs w:val="28"/>
              </w:rPr>
              <w:t>1</w:t>
            </w:r>
            <w:r w:rsidR="00CE0422" w:rsidRPr="006D4EA0">
              <w:rPr>
                <w:b/>
                <w:bCs/>
                <w:szCs w:val="28"/>
              </w:rPr>
              <w:t xml:space="preserve"> </w:t>
            </w:r>
            <w:r>
              <w:rPr>
                <w:b/>
                <w:bCs/>
                <w:szCs w:val="28"/>
              </w:rPr>
              <w:t>March</w:t>
            </w:r>
            <w:r w:rsidR="00CE0422" w:rsidRPr="006D4EA0">
              <w:rPr>
                <w:b/>
                <w:bCs/>
                <w:szCs w:val="28"/>
              </w:rPr>
              <w:t xml:space="preserve"> 20</w:t>
            </w:r>
            <w:r w:rsidR="00B648C7" w:rsidRPr="006D4EA0">
              <w:rPr>
                <w:b/>
                <w:bCs/>
                <w:szCs w:val="28"/>
              </w:rPr>
              <w:t>2</w:t>
            </w:r>
            <w:r w:rsidR="00D1703C" w:rsidRPr="006D4EA0">
              <w:rPr>
                <w:b/>
                <w:bCs/>
                <w:szCs w:val="28"/>
              </w:rPr>
              <w:t>4</w:t>
            </w:r>
          </w:p>
        </w:tc>
      </w:tr>
      <w:tr w:rsidR="00683C32" w:rsidRPr="006D4EA0" w14:paraId="7B96545F" w14:textId="77777777" w:rsidTr="00566BDC">
        <w:trPr>
          <w:cantSplit/>
        </w:trPr>
        <w:tc>
          <w:tcPr>
            <w:tcW w:w="5812" w:type="dxa"/>
          </w:tcPr>
          <w:p w14:paraId="65956FD3" w14:textId="77777777" w:rsidR="00683C32" w:rsidRPr="006D4EA0" w:rsidRDefault="00683C32" w:rsidP="00400CCF">
            <w:pPr>
              <w:spacing w:before="0"/>
              <w:rPr>
                <w:b/>
                <w:bCs/>
                <w:smallCaps/>
                <w:szCs w:val="24"/>
              </w:rPr>
            </w:pPr>
          </w:p>
        </w:tc>
        <w:tc>
          <w:tcPr>
            <w:tcW w:w="4076" w:type="dxa"/>
            <w:gridSpan w:val="2"/>
          </w:tcPr>
          <w:p w14:paraId="30EFD39F" w14:textId="30763F1D" w:rsidR="00514D2F" w:rsidRPr="006D4EA0" w:rsidRDefault="00AD4677" w:rsidP="00C2764E">
            <w:pPr>
              <w:spacing w:before="0" w:after="240"/>
              <w:rPr>
                <w:szCs w:val="24"/>
              </w:rPr>
            </w:pPr>
            <w:bookmarkStart w:id="2" w:name="Original"/>
            <w:bookmarkEnd w:id="2"/>
            <w:r w:rsidRPr="006D4EA0">
              <w:rPr>
                <w:b/>
              </w:rPr>
              <w:t>English</w:t>
            </w:r>
            <w:r w:rsidR="00566BDC" w:rsidRPr="006D4EA0">
              <w:rPr>
                <w:b/>
              </w:rPr>
              <w:t xml:space="preserve"> only</w:t>
            </w:r>
          </w:p>
        </w:tc>
      </w:tr>
      <w:tr w:rsidR="00A13162" w:rsidRPr="006D4EA0" w14:paraId="31656E31" w14:textId="77777777" w:rsidTr="00107E85">
        <w:trPr>
          <w:cantSplit/>
          <w:trHeight w:val="852"/>
        </w:trPr>
        <w:tc>
          <w:tcPr>
            <w:tcW w:w="9888" w:type="dxa"/>
            <w:gridSpan w:val="3"/>
          </w:tcPr>
          <w:p w14:paraId="512FCA01" w14:textId="706DED22" w:rsidR="00A13162" w:rsidRPr="006D4EA0" w:rsidRDefault="00232C71" w:rsidP="0030353C">
            <w:pPr>
              <w:pStyle w:val="Source"/>
            </w:pPr>
            <w:bookmarkStart w:id="3" w:name="Source"/>
            <w:bookmarkEnd w:id="3"/>
            <w:r>
              <w:t>Chair, TDAG-WG-futureSGQ</w:t>
            </w:r>
          </w:p>
        </w:tc>
      </w:tr>
      <w:tr w:rsidR="00AC6F14" w:rsidRPr="006D4EA0" w14:paraId="2CBD3A36" w14:textId="77777777" w:rsidTr="00107E85">
        <w:trPr>
          <w:cantSplit/>
        </w:trPr>
        <w:tc>
          <w:tcPr>
            <w:tcW w:w="9888" w:type="dxa"/>
            <w:gridSpan w:val="3"/>
          </w:tcPr>
          <w:p w14:paraId="1B4121DF" w14:textId="2C9C0528" w:rsidR="00AC6F14" w:rsidRPr="006D4EA0" w:rsidRDefault="00394907" w:rsidP="0030353C">
            <w:pPr>
              <w:pStyle w:val="Title1"/>
              <w:rPr>
                <w:rFonts w:cs="Times New Roman"/>
                <w:bCs/>
              </w:rPr>
            </w:pPr>
            <w:bookmarkStart w:id="4" w:name="Title"/>
            <w:bookmarkEnd w:id="4"/>
            <w:r>
              <w:rPr>
                <w:rFonts w:cs="Times New Roman"/>
                <w:bCs/>
              </w:rPr>
              <w:t>Background paper</w:t>
            </w:r>
          </w:p>
        </w:tc>
      </w:tr>
      <w:tr w:rsidR="00A721F4" w:rsidRPr="006D4EA0" w14:paraId="23A30231" w14:textId="77777777" w:rsidTr="00A721F4">
        <w:trPr>
          <w:cantSplit/>
        </w:trPr>
        <w:tc>
          <w:tcPr>
            <w:tcW w:w="9888" w:type="dxa"/>
            <w:gridSpan w:val="3"/>
            <w:tcBorders>
              <w:bottom w:val="single" w:sz="4" w:space="0" w:color="auto"/>
            </w:tcBorders>
          </w:tcPr>
          <w:p w14:paraId="726EE70E" w14:textId="77777777" w:rsidR="00A721F4" w:rsidRPr="006D4EA0" w:rsidRDefault="00A721F4" w:rsidP="0030353C"/>
        </w:tc>
      </w:tr>
      <w:tr w:rsidR="00A721F4" w:rsidRPr="006D4EA0" w14:paraId="590033C8" w14:textId="77777777"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14:paraId="3F97E040" w14:textId="77777777" w:rsidR="00A721F4" w:rsidRDefault="00A721F4" w:rsidP="00C2764E">
            <w:pPr>
              <w:spacing w:after="120"/>
              <w:rPr>
                <w:b/>
                <w:bCs/>
                <w:szCs w:val="24"/>
              </w:rPr>
            </w:pPr>
            <w:r w:rsidRPr="006D4EA0">
              <w:rPr>
                <w:b/>
                <w:bCs/>
                <w:szCs w:val="24"/>
              </w:rPr>
              <w:t>Summary:</w:t>
            </w:r>
          </w:p>
          <w:p w14:paraId="5CE50F87" w14:textId="5EC246D1" w:rsidR="00696630" w:rsidRDefault="00696630" w:rsidP="00C2764E">
            <w:pPr>
              <w:spacing w:after="120"/>
              <w:rPr>
                <w:szCs w:val="24"/>
              </w:rPr>
            </w:pPr>
            <w:r w:rsidRPr="00696630">
              <w:rPr>
                <w:szCs w:val="24"/>
              </w:rPr>
              <w:t>This background paper invites members to consider various factors when developing future study Questions. It suggests reassessing current topics in view of the rapidly evolving technology landscape, directing efforts toward more concrete and actionable objectives, fostering closer alignment with other ITU Sectors on emerging topics, and maintaining a focus on efficiency and resource optimization.</w:t>
            </w:r>
          </w:p>
          <w:p w14:paraId="76A1C541" w14:textId="5EE00FEC" w:rsidR="00A721F4" w:rsidRPr="006D4EA0" w:rsidRDefault="00A721F4" w:rsidP="00C2764E">
            <w:pPr>
              <w:spacing w:after="120"/>
              <w:rPr>
                <w:b/>
                <w:bCs/>
                <w:szCs w:val="24"/>
              </w:rPr>
            </w:pPr>
            <w:r w:rsidRPr="006D4EA0">
              <w:rPr>
                <w:b/>
                <w:bCs/>
              </w:rPr>
              <w:t>Action required:</w:t>
            </w:r>
          </w:p>
          <w:p w14:paraId="371956FC" w14:textId="716A1E7E" w:rsidR="00A721F4" w:rsidRPr="006D4EA0" w:rsidRDefault="00232C71" w:rsidP="00C2764E">
            <w:pPr>
              <w:spacing w:after="120"/>
              <w:rPr>
                <w:szCs w:val="24"/>
              </w:rPr>
            </w:pPr>
            <w:r>
              <w:t>TDAG-WG-futureSGQ</w:t>
            </w:r>
            <w:r w:rsidRPr="00F61B12">
              <w:t xml:space="preserve"> is invited to </w:t>
            </w:r>
            <w:r>
              <w:t>review</w:t>
            </w:r>
            <w:r w:rsidRPr="00F61B12">
              <w:t xml:space="preserve"> this document and provide guidance as deemed appropriate</w:t>
            </w:r>
            <w:r>
              <w:t>.</w:t>
            </w:r>
          </w:p>
          <w:p w14:paraId="622ACB80" w14:textId="77777777" w:rsidR="00A721F4" w:rsidRPr="006D4EA0" w:rsidRDefault="00A721F4" w:rsidP="00C2764E">
            <w:pPr>
              <w:spacing w:after="120"/>
              <w:rPr>
                <w:b/>
                <w:bCs/>
                <w:szCs w:val="24"/>
              </w:rPr>
            </w:pPr>
            <w:r w:rsidRPr="006D4EA0">
              <w:rPr>
                <w:b/>
                <w:bCs/>
                <w:szCs w:val="24"/>
              </w:rPr>
              <w:t>References:</w:t>
            </w:r>
          </w:p>
          <w:p w14:paraId="1ECDD20E" w14:textId="3E2385DC" w:rsidR="00A721F4" w:rsidRPr="006D4EA0" w:rsidRDefault="00232C71" w:rsidP="00C2764E">
            <w:pPr>
              <w:spacing w:after="120"/>
            </w:pPr>
            <w:r w:rsidRPr="00F61B12">
              <w:t>WTDC Resolution 2 (Rev. Kigali, 2022)</w:t>
            </w:r>
          </w:p>
        </w:tc>
      </w:tr>
    </w:tbl>
    <w:p w14:paraId="72F5CF96" w14:textId="77777777" w:rsidR="00923CF1" w:rsidRPr="006D4EA0" w:rsidRDefault="00923CF1" w:rsidP="00935FF0"/>
    <w:p w14:paraId="5B29B2A3" w14:textId="77777777" w:rsidR="00923CF1" w:rsidRPr="006D4EA0" w:rsidRDefault="00923CF1">
      <w:pPr>
        <w:tabs>
          <w:tab w:val="clear" w:pos="794"/>
          <w:tab w:val="clear" w:pos="1191"/>
          <w:tab w:val="clear" w:pos="1588"/>
          <w:tab w:val="clear" w:pos="1985"/>
        </w:tabs>
        <w:overflowPunct/>
        <w:autoSpaceDE/>
        <w:autoSpaceDN/>
        <w:adjustRightInd/>
        <w:spacing w:before="0"/>
        <w:textAlignment w:val="auto"/>
      </w:pPr>
      <w:r w:rsidRPr="006D4EA0">
        <w:br w:type="page"/>
      </w:r>
    </w:p>
    <w:p w14:paraId="2A25A271" w14:textId="79CFA15B" w:rsidR="00394907" w:rsidRPr="00394907" w:rsidRDefault="00394907" w:rsidP="00C2764E">
      <w:pPr>
        <w:shd w:val="clear" w:color="auto" w:fill="FFFFFF"/>
        <w:spacing w:after="120"/>
        <w:rPr>
          <w:rFonts w:cstheme="minorHAnsi"/>
          <w:b/>
          <w:bCs/>
          <w:szCs w:val="24"/>
        </w:rPr>
      </w:pPr>
      <w:bookmarkStart w:id="5" w:name="Proposal"/>
      <w:bookmarkEnd w:id="5"/>
      <w:r w:rsidRPr="00394907">
        <w:rPr>
          <w:rFonts w:cstheme="minorHAnsi"/>
          <w:b/>
          <w:bCs/>
          <w:szCs w:val="24"/>
        </w:rPr>
        <w:lastRenderedPageBreak/>
        <w:t>Background</w:t>
      </w:r>
    </w:p>
    <w:p w14:paraId="00D5A511" w14:textId="28334A68" w:rsidR="00394907" w:rsidRPr="00394907" w:rsidRDefault="00394907" w:rsidP="00C2764E">
      <w:pPr>
        <w:spacing w:after="120"/>
        <w:rPr>
          <w:rFonts w:cstheme="minorHAnsi"/>
          <w:szCs w:val="24"/>
        </w:rPr>
      </w:pPr>
      <w:r w:rsidRPr="00394907">
        <w:rPr>
          <w:rFonts w:cstheme="minorHAnsi"/>
          <w:szCs w:val="24"/>
        </w:rPr>
        <w:t xml:space="preserve">Study </w:t>
      </w:r>
      <w:r>
        <w:rPr>
          <w:rFonts w:cstheme="minorHAnsi"/>
          <w:szCs w:val="24"/>
        </w:rPr>
        <w:t>g</w:t>
      </w:r>
      <w:r w:rsidRPr="00394907">
        <w:rPr>
          <w:rFonts w:cstheme="minorHAnsi"/>
          <w:szCs w:val="24"/>
        </w:rPr>
        <w:t xml:space="preserve">roups are instrumental in providing ITU-D members with timely information, practical guidelines, useful recommendations, and best practices on issues that are critical for the development of telecommunications/ICTs. The accelerated pace of innovations relevant to emerging digital technologies makes it very desirable for the </w:t>
      </w:r>
      <w:r>
        <w:rPr>
          <w:rFonts w:cstheme="minorHAnsi"/>
          <w:szCs w:val="24"/>
        </w:rPr>
        <w:t>s</w:t>
      </w:r>
      <w:r w:rsidRPr="00394907">
        <w:rPr>
          <w:rFonts w:cstheme="minorHAnsi"/>
          <w:szCs w:val="24"/>
        </w:rPr>
        <w:t xml:space="preserve">tudy </w:t>
      </w:r>
      <w:r>
        <w:rPr>
          <w:rFonts w:cstheme="minorHAnsi"/>
          <w:szCs w:val="24"/>
        </w:rPr>
        <w:t>g</w:t>
      </w:r>
      <w:r w:rsidRPr="00394907">
        <w:rPr>
          <w:rFonts w:cstheme="minorHAnsi"/>
          <w:szCs w:val="24"/>
        </w:rPr>
        <w:t>roups to focus on topics that are up-to-date and well-timed to address novel developments that shape the future. The following concerns have already been voiced by some ITU-D members</w:t>
      </w:r>
      <w:r>
        <w:rPr>
          <w:rFonts w:cstheme="minorHAnsi"/>
          <w:szCs w:val="24"/>
        </w:rPr>
        <w:t>.</w:t>
      </w:r>
    </w:p>
    <w:p w14:paraId="1F2A32C0" w14:textId="77777777" w:rsidR="00394907" w:rsidRPr="00690BD1" w:rsidRDefault="00394907" w:rsidP="00C2764E">
      <w:pPr>
        <w:pStyle w:val="ListParagraph"/>
        <w:numPr>
          <w:ilvl w:val="0"/>
          <w:numId w:val="10"/>
        </w:numPr>
        <w:spacing w:after="120"/>
        <w:contextualSpacing w:val="0"/>
        <w:rPr>
          <w:rFonts w:eastAsia="Times New Roman" w:cstheme="minorHAnsi"/>
          <w:color w:val="323130"/>
          <w:szCs w:val="24"/>
        </w:rPr>
      </w:pPr>
      <w:r w:rsidRPr="00690BD1">
        <w:rPr>
          <w:rFonts w:eastAsia="Times New Roman" w:cstheme="minorHAnsi"/>
          <w:b/>
          <w:bCs/>
          <w:color w:val="323130"/>
          <w:szCs w:val="24"/>
        </w:rPr>
        <w:t>Static topics over extended study periods</w:t>
      </w:r>
    </w:p>
    <w:p w14:paraId="30E9C4B9" w14:textId="77777777" w:rsidR="00394907" w:rsidRPr="00394907" w:rsidRDefault="00394907" w:rsidP="00C2764E">
      <w:pPr>
        <w:spacing w:after="120"/>
        <w:rPr>
          <w:rFonts w:eastAsia="Times New Roman" w:cstheme="minorHAnsi"/>
          <w:color w:val="500050"/>
          <w:szCs w:val="24"/>
          <w:shd w:val="clear" w:color="auto" w:fill="FFFFFF"/>
        </w:rPr>
      </w:pPr>
      <w:r w:rsidRPr="00394907">
        <w:rPr>
          <w:rFonts w:eastAsia="Times New Roman" w:cstheme="minorHAnsi"/>
          <w:color w:val="323130"/>
          <w:szCs w:val="24"/>
          <w:shd w:val="clear" w:color="auto" w:fill="FFFFFF"/>
        </w:rPr>
        <w:t>While it is acknowledged that many topics are of critical importance, some of them have been studied for several study periods. Also, among the 14 study Questions, most topics in this study period are continuations from the previous one, with only 1 new study Question.</w:t>
      </w:r>
    </w:p>
    <w:p w14:paraId="132CAB70" w14:textId="77777777" w:rsidR="00394907" w:rsidRPr="00394907" w:rsidRDefault="00394907" w:rsidP="00C2764E">
      <w:pPr>
        <w:spacing w:after="120"/>
        <w:rPr>
          <w:rFonts w:cstheme="minorHAnsi"/>
          <w:color w:val="500050"/>
          <w:szCs w:val="24"/>
          <w:shd w:val="clear" w:color="auto" w:fill="FFFFFF"/>
        </w:rPr>
      </w:pPr>
      <w:r w:rsidRPr="00394907">
        <w:rPr>
          <w:rFonts w:cstheme="minorHAnsi"/>
          <w:szCs w:val="24"/>
          <w:shd w:val="clear" w:color="auto" w:fill="FFFFFF"/>
        </w:rPr>
        <w:t>The significant transformation of the ICT environment, the emergence of new technologies and the increasing importance of ICT in other sectors beyond telecommunication, call for a fresh look that anticipates future needs and prioritizes new challenges.</w:t>
      </w:r>
    </w:p>
    <w:p w14:paraId="33B9A8B0" w14:textId="77777777" w:rsidR="00394907" w:rsidRPr="00394907" w:rsidRDefault="00394907" w:rsidP="00C2764E">
      <w:pPr>
        <w:spacing w:after="120"/>
        <w:rPr>
          <w:rFonts w:cstheme="minorHAnsi"/>
          <w:color w:val="500050"/>
          <w:szCs w:val="24"/>
          <w:shd w:val="clear" w:color="auto" w:fill="FFFFFF"/>
        </w:rPr>
      </w:pPr>
      <w:r w:rsidRPr="00394907">
        <w:rPr>
          <w:rFonts w:cstheme="minorHAnsi"/>
          <w:szCs w:val="24"/>
          <w:shd w:val="clear" w:color="auto" w:fill="FFFFFF"/>
        </w:rPr>
        <w:t>It may therefore be time to consider phasing out certain longstanding topics that have already been thoroughly explored and for which substantial resources have been devoted. Instead, the priority could shift to new topics that are increasingly relevant but insufficiently studied. This transition will necessitate careful consideration of the balance between maintaining a repository of valuable past work and fostering innovation in new areas.</w:t>
      </w:r>
    </w:p>
    <w:p w14:paraId="74894495" w14:textId="77777777" w:rsidR="00394907" w:rsidRPr="00690BD1" w:rsidRDefault="00394907" w:rsidP="00C2764E">
      <w:pPr>
        <w:pStyle w:val="ListParagraph"/>
        <w:numPr>
          <w:ilvl w:val="0"/>
          <w:numId w:val="10"/>
        </w:numPr>
        <w:spacing w:after="120"/>
        <w:contextualSpacing w:val="0"/>
        <w:rPr>
          <w:rFonts w:cstheme="minorHAnsi"/>
          <w:szCs w:val="24"/>
        </w:rPr>
      </w:pPr>
      <w:r w:rsidRPr="00690BD1">
        <w:rPr>
          <w:rFonts w:cstheme="minorHAnsi"/>
          <w:b/>
          <w:bCs/>
          <w:szCs w:val="24"/>
        </w:rPr>
        <w:t>Study Questions with too broad or open-ended scope</w:t>
      </w:r>
    </w:p>
    <w:p w14:paraId="51190C1D" w14:textId="77777777" w:rsidR="00394907" w:rsidRPr="00394907" w:rsidRDefault="00394907" w:rsidP="00C2764E">
      <w:pPr>
        <w:spacing w:after="120"/>
        <w:rPr>
          <w:rFonts w:cstheme="minorHAnsi"/>
          <w:color w:val="500050"/>
          <w:szCs w:val="24"/>
          <w:shd w:val="clear" w:color="auto" w:fill="FFFFFF"/>
        </w:rPr>
      </w:pPr>
      <w:r w:rsidRPr="00394907">
        <w:rPr>
          <w:rFonts w:cstheme="minorHAnsi"/>
          <w:szCs w:val="24"/>
          <w:shd w:val="clear" w:color="auto" w:fill="FFFFFF"/>
        </w:rPr>
        <w:t>The terms of reference for some study Questions have changed very little compared to the previous study period. This may be an indication that their scope is too broad or open-ended, making it difficult to evaluate which mandates of a Question have been completed at the end of a study period.</w:t>
      </w:r>
    </w:p>
    <w:p w14:paraId="48F2A00F" w14:textId="77777777" w:rsidR="00394907" w:rsidRPr="00394907" w:rsidRDefault="00394907" w:rsidP="00C2764E">
      <w:pPr>
        <w:spacing w:after="120"/>
        <w:rPr>
          <w:rFonts w:cstheme="minorHAnsi"/>
          <w:color w:val="500050"/>
          <w:szCs w:val="24"/>
          <w:shd w:val="clear" w:color="auto" w:fill="FFFFFF"/>
        </w:rPr>
      </w:pPr>
      <w:r w:rsidRPr="00394907">
        <w:rPr>
          <w:rFonts w:cstheme="minorHAnsi"/>
          <w:szCs w:val="24"/>
          <w:shd w:val="clear" w:color="auto" w:fill="FFFFFF"/>
        </w:rPr>
        <w:t>The </w:t>
      </w:r>
      <w:hyperlink r:id="rId11" w:tgtFrame="_blank" w:history="1">
        <w:r w:rsidRPr="00394907">
          <w:rPr>
            <w:rFonts w:cstheme="minorHAnsi"/>
            <w:color w:val="1155CC"/>
            <w:szCs w:val="24"/>
            <w:u w:val="single"/>
            <w:shd w:val="clear" w:color="auto" w:fill="FFFFFF"/>
          </w:rPr>
          <w:t>ITU strategic goals</w:t>
        </w:r>
      </w:hyperlink>
      <w:r w:rsidRPr="00394907">
        <w:rPr>
          <w:rFonts w:cstheme="minorHAnsi"/>
          <w:szCs w:val="24"/>
          <w:shd w:val="clear" w:color="auto" w:fill="FFFFFF"/>
        </w:rPr>
        <w:t> (“Universal Connectivity” and “Sustainable Digital Transformation”) and discussions on future ITU-D priorities should be the guiding principles for defining the future of ITU-D study Questions, and a clear and explicit linkage between each study Question and the ITU’s strategic goals is very desirable. These goals should not be mere rhetoric; they should be translated into concrete, actionable items reflected within the study Questions.</w:t>
      </w:r>
    </w:p>
    <w:p w14:paraId="1EF32C07" w14:textId="77777777" w:rsidR="00394907" w:rsidRPr="00690BD1" w:rsidRDefault="00394907" w:rsidP="00C2764E">
      <w:pPr>
        <w:pStyle w:val="ListParagraph"/>
        <w:numPr>
          <w:ilvl w:val="0"/>
          <w:numId w:val="10"/>
        </w:numPr>
        <w:spacing w:after="120"/>
        <w:contextualSpacing w:val="0"/>
        <w:rPr>
          <w:rFonts w:cstheme="minorHAnsi"/>
          <w:szCs w:val="24"/>
        </w:rPr>
      </w:pPr>
      <w:r w:rsidRPr="00690BD1">
        <w:rPr>
          <w:rFonts w:cstheme="minorHAnsi"/>
          <w:b/>
          <w:bCs/>
          <w:szCs w:val="24"/>
        </w:rPr>
        <w:t>Need to study new topics in tandem with other ITU Sectors</w:t>
      </w:r>
    </w:p>
    <w:p w14:paraId="71ECD471" w14:textId="77777777" w:rsidR="00394907" w:rsidRPr="00394907" w:rsidRDefault="00394907" w:rsidP="00C2764E">
      <w:pPr>
        <w:spacing w:after="120"/>
        <w:rPr>
          <w:rFonts w:cstheme="minorHAnsi"/>
          <w:color w:val="500050"/>
          <w:szCs w:val="24"/>
          <w:shd w:val="clear" w:color="auto" w:fill="FFFFFF"/>
        </w:rPr>
      </w:pPr>
      <w:r w:rsidRPr="00394907">
        <w:rPr>
          <w:rFonts w:cstheme="minorHAnsi"/>
          <w:szCs w:val="24"/>
          <w:shd w:val="clear" w:color="auto" w:fill="FFFFFF"/>
        </w:rPr>
        <w:t>Other ITU Sectors continuously study new topics as part of their activities in standardization and radio-frequency spectrum management. This represents an opportunity for the ITU-D Sector to closely reflect and build upon such new topics studied by ITU-T and ITU-R, by developing case studies and practical guidelines with respect to these topics.</w:t>
      </w:r>
    </w:p>
    <w:p w14:paraId="259EF354" w14:textId="77777777" w:rsidR="00394907" w:rsidRPr="00394907" w:rsidRDefault="00394907" w:rsidP="00C2764E">
      <w:pPr>
        <w:spacing w:after="120"/>
        <w:rPr>
          <w:rFonts w:cstheme="minorHAnsi"/>
          <w:color w:val="500050"/>
          <w:szCs w:val="24"/>
          <w:shd w:val="clear" w:color="auto" w:fill="FFFFFF"/>
        </w:rPr>
      </w:pPr>
      <w:r w:rsidRPr="00394907">
        <w:rPr>
          <w:rFonts w:cstheme="minorHAnsi"/>
          <w:szCs w:val="24"/>
          <w:shd w:val="clear" w:color="auto" w:fill="FFFFFF"/>
        </w:rPr>
        <w:t>Thus far, in order to enhance coordination activities between the ITU Sectors, an inter-sectoral collaboration framework was established, which resulted in inter-sectoral </w:t>
      </w:r>
      <w:hyperlink r:id="rId12" w:tgtFrame="_blank" w:history="1">
        <w:r w:rsidRPr="00394907">
          <w:rPr>
            <w:rFonts w:cstheme="minorHAnsi"/>
            <w:color w:val="1155CC"/>
            <w:szCs w:val="24"/>
            <w:u w:val="single"/>
            <w:shd w:val="clear" w:color="auto" w:fill="FFFFFF"/>
          </w:rPr>
          <w:t>mapping tables</w:t>
        </w:r>
      </w:hyperlink>
      <w:r w:rsidRPr="00394907">
        <w:rPr>
          <w:rFonts w:cstheme="minorHAnsi"/>
          <w:szCs w:val="24"/>
          <w:shd w:val="clear" w:color="auto" w:fill="FFFFFF"/>
        </w:rPr>
        <w:t> that map activities of the ITU-D study groups with the activities of other ITU Sectors.</w:t>
      </w:r>
    </w:p>
    <w:p w14:paraId="5DE9B627" w14:textId="77777777" w:rsidR="00394907" w:rsidRPr="00394907" w:rsidRDefault="00394907" w:rsidP="00C2764E">
      <w:pPr>
        <w:spacing w:after="120"/>
        <w:rPr>
          <w:rFonts w:cstheme="minorHAnsi"/>
          <w:color w:val="500050"/>
          <w:szCs w:val="24"/>
          <w:shd w:val="clear" w:color="auto" w:fill="FFFFFF"/>
        </w:rPr>
      </w:pPr>
      <w:r w:rsidRPr="00394907">
        <w:rPr>
          <w:rFonts w:cstheme="minorHAnsi"/>
          <w:szCs w:val="24"/>
          <w:shd w:val="clear" w:color="auto" w:fill="FFFFFF"/>
        </w:rPr>
        <w:t>While such mapping tables greatly facilitate collaboration between the Sectors on current study Questions, more focus should be given also to identifying potential new topics that would also benefit the development sector.</w:t>
      </w:r>
    </w:p>
    <w:p w14:paraId="69FDF1CC" w14:textId="77777777" w:rsidR="00394907" w:rsidRPr="00690BD1" w:rsidRDefault="00394907" w:rsidP="00C2764E">
      <w:pPr>
        <w:pStyle w:val="ListParagraph"/>
        <w:keepNext/>
        <w:numPr>
          <w:ilvl w:val="0"/>
          <w:numId w:val="10"/>
        </w:numPr>
        <w:spacing w:after="120"/>
        <w:contextualSpacing w:val="0"/>
        <w:rPr>
          <w:rFonts w:cstheme="minorHAnsi"/>
          <w:b/>
          <w:bCs/>
          <w:szCs w:val="24"/>
        </w:rPr>
      </w:pPr>
      <w:r w:rsidRPr="00690BD1">
        <w:rPr>
          <w:rFonts w:cstheme="minorHAnsi"/>
          <w:b/>
          <w:bCs/>
          <w:szCs w:val="24"/>
        </w:rPr>
        <w:lastRenderedPageBreak/>
        <w:t>Need to improve efficiency and optimize resource management</w:t>
      </w:r>
    </w:p>
    <w:p w14:paraId="4E321412" w14:textId="34279F4D" w:rsidR="00394907" w:rsidRPr="0024114D" w:rsidRDefault="00394907" w:rsidP="00C2764E">
      <w:pPr>
        <w:spacing w:after="120"/>
        <w:rPr>
          <w:rFonts w:cstheme="minorHAnsi"/>
          <w:szCs w:val="24"/>
        </w:rPr>
      </w:pPr>
      <w:r w:rsidRPr="00394907">
        <w:rPr>
          <w:rFonts w:cstheme="minorHAnsi"/>
          <w:szCs w:val="24"/>
        </w:rPr>
        <w:t xml:space="preserve">In order to improve efficiency and optimize resource management, particularly in scheduling meetings and allocating resources (including BDT experts and </w:t>
      </w:r>
      <w:r>
        <w:rPr>
          <w:rFonts w:cstheme="minorHAnsi"/>
          <w:szCs w:val="24"/>
        </w:rPr>
        <w:t>advisors</w:t>
      </w:r>
      <w:r w:rsidRPr="00394907">
        <w:rPr>
          <w:rFonts w:cstheme="minorHAnsi"/>
          <w:szCs w:val="24"/>
        </w:rPr>
        <w:t>), there is a need to carefully consider if the current number of study Questions is still</w:t>
      </w:r>
      <w:r w:rsidRPr="0024114D">
        <w:rPr>
          <w:rFonts w:cstheme="minorHAnsi"/>
          <w:szCs w:val="24"/>
        </w:rPr>
        <w:t xml:space="preserve"> appropriate. </w:t>
      </w:r>
    </w:p>
    <w:p w14:paraId="7759C759" w14:textId="73D8E3F7" w:rsidR="00821996" w:rsidRDefault="003C58BF" w:rsidP="005A4AB8">
      <w:pPr>
        <w:tabs>
          <w:tab w:val="clear" w:pos="794"/>
          <w:tab w:val="clear" w:pos="1191"/>
          <w:tab w:val="clear" w:pos="1588"/>
          <w:tab w:val="clear" w:pos="1985"/>
        </w:tabs>
        <w:spacing w:after="120"/>
        <w:jc w:val="center"/>
      </w:pPr>
      <w:bookmarkStart w:id="6" w:name="_GoBack"/>
      <w:bookmarkEnd w:id="6"/>
      <w:r w:rsidRPr="006D4EA0">
        <w:t>_____________</w:t>
      </w:r>
      <w:r w:rsidR="004122C5" w:rsidRPr="006D4EA0">
        <w:t>_</w:t>
      </w:r>
      <w:r w:rsidR="00922EC1" w:rsidRPr="006D4EA0">
        <w:t>_</w:t>
      </w:r>
    </w:p>
    <w:sectPr w:rsidR="00821996" w:rsidSect="0022468D">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226BC" w14:textId="77777777" w:rsidR="0022468D" w:rsidRDefault="0022468D">
      <w:r>
        <w:separator/>
      </w:r>
    </w:p>
  </w:endnote>
  <w:endnote w:type="continuationSeparator" w:id="0">
    <w:p w14:paraId="7286FB71" w14:textId="77777777" w:rsidR="0022468D" w:rsidRDefault="00224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C2764E" w:rsidRPr="004D495C" w14:paraId="695D1810" w14:textId="77777777" w:rsidTr="00C2764E">
      <w:tc>
        <w:tcPr>
          <w:tcW w:w="1526" w:type="dxa"/>
          <w:tcBorders>
            <w:top w:val="single" w:sz="4" w:space="0" w:color="000000"/>
          </w:tcBorders>
          <w:shd w:val="clear" w:color="auto" w:fill="auto"/>
        </w:tcPr>
        <w:p w14:paraId="746E5A61" w14:textId="77777777" w:rsidR="00C2764E" w:rsidRPr="004D495C" w:rsidRDefault="00C2764E" w:rsidP="00232C7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C2764E" w:rsidRPr="004D495C" w:rsidRDefault="00C2764E" w:rsidP="00232C71">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4A9400BD" w14:textId="62CD52C3" w:rsidR="00C2764E" w:rsidRPr="00AF7A97" w:rsidRDefault="00C2764E" w:rsidP="00232C71">
          <w:pPr>
            <w:pStyle w:val="FirstFooter"/>
            <w:tabs>
              <w:tab w:val="left" w:pos="2302"/>
            </w:tabs>
            <w:rPr>
              <w:sz w:val="18"/>
              <w:szCs w:val="18"/>
              <w:lang w:val="en-US"/>
            </w:rPr>
          </w:pPr>
          <w:r>
            <w:rPr>
              <w:sz w:val="18"/>
              <w:szCs w:val="18"/>
              <w:lang w:val="en-GB"/>
            </w:rPr>
            <w:t>Mr Ahmad Reza Sharafat, Chair, TDAG Working Group on the future of Study Group Questions</w:t>
          </w:r>
        </w:p>
      </w:tc>
      <w:bookmarkStart w:id="7" w:name="OrgName"/>
      <w:bookmarkEnd w:id="7"/>
    </w:tr>
    <w:tr w:rsidR="00C2764E" w:rsidRPr="004D495C" w14:paraId="61167678" w14:textId="77777777" w:rsidTr="00C2764E">
      <w:tc>
        <w:tcPr>
          <w:tcW w:w="1526" w:type="dxa"/>
          <w:shd w:val="clear" w:color="auto" w:fill="auto"/>
        </w:tcPr>
        <w:p w14:paraId="33710823" w14:textId="77777777" w:rsidR="00C2764E" w:rsidRPr="004D495C" w:rsidRDefault="00C2764E" w:rsidP="00232C71">
          <w:pPr>
            <w:pStyle w:val="FirstFooter"/>
            <w:tabs>
              <w:tab w:val="left" w:pos="1559"/>
              <w:tab w:val="left" w:pos="3828"/>
            </w:tabs>
            <w:rPr>
              <w:sz w:val="20"/>
              <w:lang w:val="en-US"/>
            </w:rPr>
          </w:pPr>
        </w:p>
      </w:tc>
      <w:tc>
        <w:tcPr>
          <w:tcW w:w="2410" w:type="dxa"/>
          <w:shd w:val="clear" w:color="auto" w:fill="auto"/>
        </w:tcPr>
        <w:p w14:paraId="1251F6E4" w14:textId="77777777" w:rsidR="00C2764E" w:rsidRPr="004D495C" w:rsidRDefault="00C2764E" w:rsidP="00232C71">
          <w:pPr>
            <w:pStyle w:val="FirstFooter"/>
            <w:tabs>
              <w:tab w:val="left" w:pos="2302"/>
            </w:tabs>
            <w:rPr>
              <w:sz w:val="18"/>
              <w:szCs w:val="18"/>
              <w:lang w:val="en-US"/>
            </w:rPr>
          </w:pPr>
          <w:r w:rsidRPr="004D495C">
            <w:rPr>
              <w:sz w:val="18"/>
              <w:szCs w:val="18"/>
              <w:lang w:val="en-US"/>
            </w:rPr>
            <w:t>Phone number:</w:t>
          </w:r>
        </w:p>
      </w:tc>
      <w:tc>
        <w:tcPr>
          <w:tcW w:w="5987" w:type="dxa"/>
        </w:tcPr>
        <w:p w14:paraId="6669AC56" w14:textId="5C2A55B9" w:rsidR="00C2764E" w:rsidRPr="00AF7A97" w:rsidRDefault="00C2764E" w:rsidP="00232C71">
          <w:pPr>
            <w:pStyle w:val="FirstFooter"/>
            <w:tabs>
              <w:tab w:val="left" w:pos="2302"/>
            </w:tabs>
            <w:rPr>
              <w:sz w:val="18"/>
              <w:szCs w:val="18"/>
              <w:lang w:val="en-US"/>
            </w:rPr>
          </w:pPr>
          <w:r>
            <w:rPr>
              <w:sz w:val="18"/>
              <w:szCs w:val="18"/>
            </w:rPr>
            <w:t>+98 912 106 1716 (Iran); +41 76 622 7447 (</w:t>
          </w:r>
          <w:r w:rsidRPr="00731888">
            <w:rPr>
              <w:sz w:val="18"/>
              <w:szCs w:val="18"/>
              <w:lang w:val="en-GB"/>
            </w:rPr>
            <w:t>Switzerland</w:t>
          </w:r>
          <w:r>
            <w:rPr>
              <w:sz w:val="18"/>
              <w:szCs w:val="18"/>
            </w:rPr>
            <w:t>)</w:t>
          </w:r>
        </w:p>
      </w:tc>
      <w:bookmarkStart w:id="8" w:name="PhoneNo"/>
      <w:bookmarkEnd w:id="8"/>
    </w:tr>
    <w:tr w:rsidR="00C2764E" w:rsidRPr="004D495C" w14:paraId="0299A231" w14:textId="77777777" w:rsidTr="00C2764E">
      <w:tc>
        <w:tcPr>
          <w:tcW w:w="1526" w:type="dxa"/>
          <w:shd w:val="clear" w:color="auto" w:fill="auto"/>
        </w:tcPr>
        <w:p w14:paraId="35CBC438" w14:textId="77777777" w:rsidR="00C2764E" w:rsidRPr="004D495C" w:rsidRDefault="00C2764E" w:rsidP="00232C71">
          <w:pPr>
            <w:pStyle w:val="FirstFooter"/>
            <w:tabs>
              <w:tab w:val="left" w:pos="1559"/>
              <w:tab w:val="left" w:pos="3828"/>
            </w:tabs>
            <w:rPr>
              <w:sz w:val="20"/>
              <w:lang w:val="en-US"/>
            </w:rPr>
          </w:pPr>
        </w:p>
      </w:tc>
      <w:tc>
        <w:tcPr>
          <w:tcW w:w="2410" w:type="dxa"/>
          <w:shd w:val="clear" w:color="auto" w:fill="auto"/>
        </w:tcPr>
        <w:p w14:paraId="65335E06" w14:textId="77777777" w:rsidR="00C2764E" w:rsidRPr="004D495C" w:rsidRDefault="00C2764E" w:rsidP="00232C71">
          <w:pPr>
            <w:pStyle w:val="FirstFooter"/>
            <w:tabs>
              <w:tab w:val="left" w:pos="2302"/>
            </w:tabs>
            <w:rPr>
              <w:sz w:val="18"/>
              <w:szCs w:val="18"/>
              <w:lang w:val="en-US"/>
            </w:rPr>
          </w:pPr>
          <w:r w:rsidRPr="004D495C">
            <w:rPr>
              <w:sz w:val="18"/>
              <w:szCs w:val="18"/>
              <w:lang w:val="en-US"/>
            </w:rPr>
            <w:t>E-mail:</w:t>
          </w:r>
        </w:p>
      </w:tc>
      <w:tc>
        <w:tcPr>
          <w:tcW w:w="5987" w:type="dxa"/>
        </w:tcPr>
        <w:p w14:paraId="08CFF0C2" w14:textId="5F277A1D" w:rsidR="00C2764E" w:rsidRPr="00AF7A97" w:rsidRDefault="00C2764E" w:rsidP="00232C71">
          <w:pPr>
            <w:pStyle w:val="FirstFooter"/>
            <w:tabs>
              <w:tab w:val="left" w:pos="2302"/>
            </w:tabs>
            <w:rPr>
              <w:sz w:val="18"/>
              <w:szCs w:val="18"/>
              <w:lang w:val="en-US"/>
            </w:rPr>
          </w:pPr>
          <w:hyperlink r:id="rId1" w:history="1">
            <w:r>
              <w:rPr>
                <w:rStyle w:val="Hyperlink"/>
                <w:sz w:val="18"/>
                <w:szCs w:val="18"/>
              </w:rPr>
              <w:t>ahmad.sharafat@gmail.com</w:t>
            </w:r>
          </w:hyperlink>
        </w:p>
      </w:tc>
      <w:bookmarkStart w:id="9" w:name="Email"/>
      <w:bookmarkEnd w:id="9"/>
    </w:tr>
  </w:tbl>
  <w:p w14:paraId="40A321D0" w14:textId="09E2471A" w:rsidR="00721657" w:rsidRPr="004146FD" w:rsidRDefault="00C2764E" w:rsidP="00105F4C">
    <w:pPr>
      <w:tabs>
        <w:tab w:val="clear" w:pos="794"/>
        <w:tab w:val="clear" w:pos="1191"/>
        <w:tab w:val="clear" w:pos="1588"/>
        <w:tab w:val="clear" w:pos="1985"/>
        <w:tab w:val="center" w:pos="4820"/>
        <w:tab w:val="right" w:pos="9639"/>
      </w:tabs>
      <w:ind w:right="1"/>
      <w:jc w:val="center"/>
      <w:rPr>
        <w:sz w:val="18"/>
        <w:szCs w:val="18"/>
      </w:rPr>
    </w:pPr>
    <w:hyperlink r:id="rId2" w:history="1">
      <w:r w:rsidR="00731888" w:rsidRPr="00BE53BF">
        <w:rPr>
          <w:rStyle w:val="Hyperlink"/>
          <w:sz w:val="18"/>
          <w:szCs w:val="18"/>
        </w:rPr>
        <w:t>TDAG-WG-</w:t>
      </w:r>
      <w:r w:rsidR="00731888">
        <w:rPr>
          <w:rStyle w:val="Hyperlink"/>
          <w:sz w:val="18"/>
          <w:szCs w:val="18"/>
        </w:rPr>
        <w:t>futureSGQ</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06F03" w14:textId="77777777" w:rsidR="0022468D" w:rsidRDefault="0022468D">
      <w:r>
        <w:t>____________________</w:t>
      </w:r>
    </w:p>
  </w:footnote>
  <w:footnote w:type="continuationSeparator" w:id="0">
    <w:p w14:paraId="177EC0A2" w14:textId="77777777" w:rsidR="0022468D" w:rsidRDefault="00224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11ED2ADB" w:rsidR="00721657" w:rsidRPr="00566BDC"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566BDC" w:rsidRPr="006D4EA0">
      <w:rPr>
        <w:sz w:val="22"/>
        <w:szCs w:val="22"/>
        <w:lang w:val="de-CH"/>
      </w:rPr>
      <w:t>TDAG-WG-futureSGQ</w:t>
    </w:r>
    <w:r w:rsidRPr="006D4EA0">
      <w:rPr>
        <w:sz w:val="22"/>
        <w:szCs w:val="22"/>
        <w:lang w:val="de-CH"/>
      </w:rPr>
      <w:t>/</w:t>
    </w:r>
    <w:r w:rsidR="00394907">
      <w:rPr>
        <w:sz w:val="22"/>
        <w:szCs w:val="22"/>
        <w:lang w:val="de-CH"/>
      </w:rPr>
      <w:t>4</w:t>
    </w:r>
    <w:r w:rsidRPr="006D4EA0">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004D7DAB" w:rsidRPr="006D4EA0">
      <w:rPr>
        <w:noProof/>
        <w:sz w:val="22"/>
        <w:szCs w:val="22"/>
        <w:lang w:val="de-CH"/>
      </w:rPr>
      <w:t>2</w:t>
    </w:r>
    <w:r w:rsidRPr="006D4EA0">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62AAD"/>
    <w:multiLevelType w:val="hybridMultilevel"/>
    <w:tmpl w:val="DCC88B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24744"/>
    <w:multiLevelType w:val="hybridMultilevel"/>
    <w:tmpl w:val="45B81F42"/>
    <w:lvl w:ilvl="0" w:tplc="9A9CEF3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5151B2"/>
    <w:multiLevelType w:val="multilevel"/>
    <w:tmpl w:val="BCAA80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331906"/>
    <w:multiLevelType w:val="multilevel"/>
    <w:tmpl w:val="926CADE8"/>
    <w:lvl w:ilvl="0">
      <w:start w:val="1"/>
      <w:numFmt w:val="decimal"/>
      <w:lvlText w:val="%1."/>
      <w:lvlJc w:val="left"/>
      <w:pPr>
        <w:tabs>
          <w:tab w:val="num" w:pos="720"/>
        </w:tabs>
        <w:ind w:left="720" w:hanging="360"/>
      </w:pPr>
    </w:lvl>
    <w:lvl w:ilvl="1">
      <w:start w:val="1"/>
      <w:numFmt w:val="lowerLetter"/>
      <w:lvlText w:val="%2."/>
      <w:lvlJc w:val="left"/>
      <w:pPr>
        <w:ind w:left="107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F5464C"/>
    <w:multiLevelType w:val="multilevel"/>
    <w:tmpl w:val="C79AE618"/>
    <w:lvl w:ilvl="0">
      <w:start w:val="1"/>
      <w:numFmt w:val="lowerLetter"/>
      <w:lvlText w:val="%1."/>
      <w:lvlJc w:val="left"/>
      <w:pPr>
        <w:tabs>
          <w:tab w:val="num" w:pos="1074"/>
        </w:tabs>
        <w:ind w:left="1074" w:hanging="360"/>
      </w:pPr>
    </w:lvl>
    <w:lvl w:ilvl="1">
      <w:start w:val="1"/>
      <w:numFmt w:val="lowerLetter"/>
      <w:lvlText w:val="%2."/>
      <w:lvlJc w:val="left"/>
      <w:pPr>
        <w:ind w:left="1424" w:hanging="360"/>
      </w:pPr>
    </w:lvl>
    <w:lvl w:ilvl="2" w:tentative="1">
      <w:start w:val="1"/>
      <w:numFmt w:val="decimal"/>
      <w:lvlText w:val="%3."/>
      <w:lvlJc w:val="left"/>
      <w:pPr>
        <w:tabs>
          <w:tab w:val="num" w:pos="2514"/>
        </w:tabs>
        <w:ind w:left="2514" w:hanging="360"/>
      </w:pPr>
    </w:lvl>
    <w:lvl w:ilvl="3" w:tentative="1">
      <w:start w:val="1"/>
      <w:numFmt w:val="decimal"/>
      <w:lvlText w:val="%4."/>
      <w:lvlJc w:val="left"/>
      <w:pPr>
        <w:tabs>
          <w:tab w:val="num" w:pos="3234"/>
        </w:tabs>
        <w:ind w:left="3234" w:hanging="360"/>
      </w:pPr>
    </w:lvl>
    <w:lvl w:ilvl="4" w:tentative="1">
      <w:start w:val="1"/>
      <w:numFmt w:val="decimal"/>
      <w:lvlText w:val="%5."/>
      <w:lvlJc w:val="left"/>
      <w:pPr>
        <w:tabs>
          <w:tab w:val="num" w:pos="3954"/>
        </w:tabs>
        <w:ind w:left="3954" w:hanging="360"/>
      </w:pPr>
    </w:lvl>
    <w:lvl w:ilvl="5" w:tentative="1">
      <w:start w:val="1"/>
      <w:numFmt w:val="decimal"/>
      <w:lvlText w:val="%6."/>
      <w:lvlJc w:val="left"/>
      <w:pPr>
        <w:tabs>
          <w:tab w:val="num" w:pos="4674"/>
        </w:tabs>
        <w:ind w:left="4674" w:hanging="360"/>
      </w:pPr>
    </w:lvl>
    <w:lvl w:ilvl="6" w:tentative="1">
      <w:start w:val="1"/>
      <w:numFmt w:val="decimal"/>
      <w:lvlText w:val="%7."/>
      <w:lvlJc w:val="left"/>
      <w:pPr>
        <w:tabs>
          <w:tab w:val="num" w:pos="5394"/>
        </w:tabs>
        <w:ind w:left="5394" w:hanging="360"/>
      </w:pPr>
    </w:lvl>
    <w:lvl w:ilvl="7" w:tentative="1">
      <w:start w:val="1"/>
      <w:numFmt w:val="decimal"/>
      <w:lvlText w:val="%8."/>
      <w:lvlJc w:val="left"/>
      <w:pPr>
        <w:tabs>
          <w:tab w:val="num" w:pos="6114"/>
        </w:tabs>
        <w:ind w:left="6114" w:hanging="360"/>
      </w:pPr>
    </w:lvl>
    <w:lvl w:ilvl="8" w:tentative="1">
      <w:start w:val="1"/>
      <w:numFmt w:val="decimal"/>
      <w:lvlText w:val="%9."/>
      <w:lvlJc w:val="left"/>
      <w:pPr>
        <w:tabs>
          <w:tab w:val="num" w:pos="6834"/>
        </w:tabs>
        <w:ind w:left="6834" w:hanging="360"/>
      </w:pPr>
    </w:lvl>
  </w:abstractNum>
  <w:abstractNum w:abstractNumId="5" w15:restartNumberingAfterBreak="0">
    <w:nsid w:val="27F21E6A"/>
    <w:multiLevelType w:val="multilevel"/>
    <w:tmpl w:val="1532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68BA023D"/>
    <w:multiLevelType w:val="multilevel"/>
    <w:tmpl w:val="508A316E"/>
    <w:lvl w:ilvl="0">
      <w:start w:val="1"/>
      <w:numFmt w:val="decimal"/>
      <w:lvlText w:val="%1."/>
      <w:lvlJc w:val="left"/>
      <w:pPr>
        <w:tabs>
          <w:tab w:val="num" w:pos="720"/>
        </w:tabs>
        <w:ind w:left="720" w:hanging="360"/>
      </w:pPr>
    </w:lvl>
    <w:lvl w:ilvl="1">
      <w:start w:val="1"/>
      <w:numFmt w:val="lowerLetter"/>
      <w:lvlText w:val="%2."/>
      <w:lvlJc w:val="left"/>
      <w:pPr>
        <w:ind w:left="107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4A0ED5"/>
    <w:multiLevelType w:val="hybridMultilevel"/>
    <w:tmpl w:val="0A32785A"/>
    <w:lvl w:ilvl="0" w:tplc="B122EFC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DAE5F0B"/>
    <w:multiLevelType w:val="hybridMultilevel"/>
    <w:tmpl w:val="DFC63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
  </w:num>
  <w:num w:numId="3">
    <w:abstractNumId w:val="7"/>
  </w:num>
  <w:num w:numId="4">
    <w:abstractNumId w:val="0"/>
  </w:num>
  <w:num w:numId="5">
    <w:abstractNumId w:val="4"/>
  </w:num>
  <w:num w:numId="6">
    <w:abstractNumId w:val="9"/>
  </w:num>
  <w:num w:numId="7">
    <w:abstractNumId w:val="8"/>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4C6C"/>
    <w:rsid w:val="00005791"/>
    <w:rsid w:val="00010827"/>
    <w:rsid w:val="00015089"/>
    <w:rsid w:val="00021196"/>
    <w:rsid w:val="0002520B"/>
    <w:rsid w:val="00030397"/>
    <w:rsid w:val="00037A9E"/>
    <w:rsid w:val="00037F91"/>
    <w:rsid w:val="000539F1"/>
    <w:rsid w:val="00054747"/>
    <w:rsid w:val="00055A2A"/>
    <w:rsid w:val="000615C1"/>
    <w:rsid w:val="00061675"/>
    <w:rsid w:val="000743AA"/>
    <w:rsid w:val="0009076F"/>
    <w:rsid w:val="0009225C"/>
    <w:rsid w:val="000A17C4"/>
    <w:rsid w:val="000A36A4"/>
    <w:rsid w:val="000B2352"/>
    <w:rsid w:val="000C6BEE"/>
    <w:rsid w:val="000C7B84"/>
    <w:rsid w:val="000D261B"/>
    <w:rsid w:val="000D58A3"/>
    <w:rsid w:val="000E3ED4"/>
    <w:rsid w:val="000E3F9C"/>
    <w:rsid w:val="000F1550"/>
    <w:rsid w:val="000F251B"/>
    <w:rsid w:val="000F5FE8"/>
    <w:rsid w:val="000F6644"/>
    <w:rsid w:val="00100833"/>
    <w:rsid w:val="00102F72"/>
    <w:rsid w:val="00105E07"/>
    <w:rsid w:val="00105F4C"/>
    <w:rsid w:val="00107E85"/>
    <w:rsid w:val="00113EE8"/>
    <w:rsid w:val="0011455A"/>
    <w:rsid w:val="00114A65"/>
    <w:rsid w:val="00133061"/>
    <w:rsid w:val="0013591E"/>
    <w:rsid w:val="00140984"/>
    <w:rsid w:val="00141699"/>
    <w:rsid w:val="001466FA"/>
    <w:rsid w:val="00147000"/>
    <w:rsid w:val="00163091"/>
    <w:rsid w:val="001645CB"/>
    <w:rsid w:val="00166305"/>
    <w:rsid w:val="00167545"/>
    <w:rsid w:val="001703C6"/>
    <w:rsid w:val="00173781"/>
    <w:rsid w:val="00175ADF"/>
    <w:rsid w:val="00175CAE"/>
    <w:rsid w:val="00180899"/>
    <w:rsid w:val="001828DB"/>
    <w:rsid w:val="001850FE"/>
    <w:rsid w:val="00185135"/>
    <w:rsid w:val="0019037C"/>
    <w:rsid w:val="001905A9"/>
    <w:rsid w:val="00191273"/>
    <w:rsid w:val="001942A7"/>
    <w:rsid w:val="0019587B"/>
    <w:rsid w:val="001A163D"/>
    <w:rsid w:val="001A441E"/>
    <w:rsid w:val="001A6733"/>
    <w:rsid w:val="001A70F5"/>
    <w:rsid w:val="001B357F"/>
    <w:rsid w:val="001B3FD0"/>
    <w:rsid w:val="001C3444"/>
    <w:rsid w:val="001C3702"/>
    <w:rsid w:val="001C4656"/>
    <w:rsid w:val="001C46BC"/>
    <w:rsid w:val="001D0D3B"/>
    <w:rsid w:val="001D1E06"/>
    <w:rsid w:val="001F1761"/>
    <w:rsid w:val="001F23E6"/>
    <w:rsid w:val="001F4238"/>
    <w:rsid w:val="00200A38"/>
    <w:rsid w:val="00200A46"/>
    <w:rsid w:val="00211B6F"/>
    <w:rsid w:val="00217CC3"/>
    <w:rsid w:val="00220AB6"/>
    <w:rsid w:val="0022120F"/>
    <w:rsid w:val="0022468D"/>
    <w:rsid w:val="00224960"/>
    <w:rsid w:val="0022754A"/>
    <w:rsid w:val="00232C71"/>
    <w:rsid w:val="00234E7A"/>
    <w:rsid w:val="00236560"/>
    <w:rsid w:val="0023662E"/>
    <w:rsid w:val="0024114D"/>
    <w:rsid w:val="00245D0F"/>
    <w:rsid w:val="0025408D"/>
    <w:rsid w:val="002548C3"/>
    <w:rsid w:val="00257ACD"/>
    <w:rsid w:val="00262908"/>
    <w:rsid w:val="002650F4"/>
    <w:rsid w:val="002715FD"/>
    <w:rsid w:val="002770B1"/>
    <w:rsid w:val="0028412E"/>
    <w:rsid w:val="00285B33"/>
    <w:rsid w:val="00287A3C"/>
    <w:rsid w:val="0029508F"/>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47E"/>
    <w:rsid w:val="003125C3"/>
    <w:rsid w:val="00312AE6"/>
    <w:rsid w:val="00317D1A"/>
    <w:rsid w:val="003211FF"/>
    <w:rsid w:val="003242AB"/>
    <w:rsid w:val="00325109"/>
    <w:rsid w:val="00327247"/>
    <w:rsid w:val="00327A9D"/>
    <w:rsid w:val="0033130E"/>
    <w:rsid w:val="0033269C"/>
    <w:rsid w:val="00351C79"/>
    <w:rsid w:val="0035516C"/>
    <w:rsid w:val="00355A4C"/>
    <w:rsid w:val="003604FB"/>
    <w:rsid w:val="00360B73"/>
    <w:rsid w:val="00380B71"/>
    <w:rsid w:val="0038365A"/>
    <w:rsid w:val="00386A89"/>
    <w:rsid w:val="0038760B"/>
    <w:rsid w:val="00394907"/>
    <w:rsid w:val="0039648E"/>
    <w:rsid w:val="003A5AFE"/>
    <w:rsid w:val="003A5D5F"/>
    <w:rsid w:val="003A7FFE"/>
    <w:rsid w:val="003B0A63"/>
    <w:rsid w:val="003B50E1"/>
    <w:rsid w:val="003C163F"/>
    <w:rsid w:val="003C1746"/>
    <w:rsid w:val="003C2AA9"/>
    <w:rsid w:val="003C58BF"/>
    <w:rsid w:val="003D451D"/>
    <w:rsid w:val="003F2D9D"/>
    <w:rsid w:val="003F2DD8"/>
    <w:rsid w:val="003F3F2D"/>
    <w:rsid w:val="003F50B2"/>
    <w:rsid w:val="00400CCF"/>
    <w:rsid w:val="004019D9"/>
    <w:rsid w:val="00401BFF"/>
    <w:rsid w:val="00404424"/>
    <w:rsid w:val="0041156B"/>
    <w:rsid w:val="004122C5"/>
    <w:rsid w:val="00413B78"/>
    <w:rsid w:val="004146E2"/>
    <w:rsid w:val="004146FD"/>
    <w:rsid w:val="00416DDE"/>
    <w:rsid w:val="0044411E"/>
    <w:rsid w:val="00453435"/>
    <w:rsid w:val="00460089"/>
    <w:rsid w:val="00466398"/>
    <w:rsid w:val="004712A4"/>
    <w:rsid w:val="0047306D"/>
    <w:rsid w:val="00473791"/>
    <w:rsid w:val="00476E48"/>
    <w:rsid w:val="00481DE9"/>
    <w:rsid w:val="004822BD"/>
    <w:rsid w:val="0048490D"/>
    <w:rsid w:val="0049128B"/>
    <w:rsid w:val="00493B49"/>
    <w:rsid w:val="00495501"/>
    <w:rsid w:val="004A070A"/>
    <w:rsid w:val="004A320E"/>
    <w:rsid w:val="004A4E9C"/>
    <w:rsid w:val="004B1A3C"/>
    <w:rsid w:val="004C5C07"/>
    <w:rsid w:val="004D2CC3"/>
    <w:rsid w:val="004D35CB"/>
    <w:rsid w:val="004D6672"/>
    <w:rsid w:val="004D7DAB"/>
    <w:rsid w:val="004E20E5"/>
    <w:rsid w:val="004E64EA"/>
    <w:rsid w:val="004E7828"/>
    <w:rsid w:val="004F46AA"/>
    <w:rsid w:val="004F6A70"/>
    <w:rsid w:val="00500279"/>
    <w:rsid w:val="00500AD7"/>
    <w:rsid w:val="00502ABF"/>
    <w:rsid w:val="00504DB0"/>
    <w:rsid w:val="005078A4"/>
    <w:rsid w:val="00507C35"/>
    <w:rsid w:val="00510735"/>
    <w:rsid w:val="00514D2F"/>
    <w:rsid w:val="0054420E"/>
    <w:rsid w:val="00544D1B"/>
    <w:rsid w:val="00545DC0"/>
    <w:rsid w:val="00545F6C"/>
    <w:rsid w:val="005465FA"/>
    <w:rsid w:val="005477D9"/>
    <w:rsid w:val="0055720C"/>
    <w:rsid w:val="00561796"/>
    <w:rsid w:val="00562DA1"/>
    <w:rsid w:val="005632DD"/>
    <w:rsid w:val="00563F4A"/>
    <w:rsid w:val="0056423B"/>
    <w:rsid w:val="00566BDC"/>
    <w:rsid w:val="00573424"/>
    <w:rsid w:val="0057402F"/>
    <w:rsid w:val="00581653"/>
    <w:rsid w:val="005849D6"/>
    <w:rsid w:val="00585367"/>
    <w:rsid w:val="005871A1"/>
    <w:rsid w:val="0058737E"/>
    <w:rsid w:val="00592518"/>
    <w:rsid w:val="00592E87"/>
    <w:rsid w:val="0059420B"/>
    <w:rsid w:val="00594C4D"/>
    <w:rsid w:val="00596F06"/>
    <w:rsid w:val="005A33B0"/>
    <w:rsid w:val="005A406D"/>
    <w:rsid w:val="005A4AB8"/>
    <w:rsid w:val="005C2DC2"/>
    <w:rsid w:val="005C304A"/>
    <w:rsid w:val="005C3D69"/>
    <w:rsid w:val="005C7C98"/>
    <w:rsid w:val="005D2C3A"/>
    <w:rsid w:val="005D55A4"/>
    <w:rsid w:val="005D57C8"/>
    <w:rsid w:val="005D7761"/>
    <w:rsid w:val="005E0278"/>
    <w:rsid w:val="005E090D"/>
    <w:rsid w:val="005E3CA0"/>
    <w:rsid w:val="005E44B1"/>
    <w:rsid w:val="005E4A69"/>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2C3C"/>
    <w:rsid w:val="0064405D"/>
    <w:rsid w:val="0064734E"/>
    <w:rsid w:val="00650137"/>
    <w:rsid w:val="006509D7"/>
    <w:rsid w:val="00651CE8"/>
    <w:rsid w:val="0065521B"/>
    <w:rsid w:val="00671EF6"/>
    <w:rsid w:val="0067205B"/>
    <w:rsid w:val="006748F8"/>
    <w:rsid w:val="00680489"/>
    <w:rsid w:val="00683C32"/>
    <w:rsid w:val="00690BB2"/>
    <w:rsid w:val="00690BD1"/>
    <w:rsid w:val="00693D09"/>
    <w:rsid w:val="00696630"/>
    <w:rsid w:val="006A6549"/>
    <w:rsid w:val="006A7710"/>
    <w:rsid w:val="006A7A61"/>
    <w:rsid w:val="006B1E59"/>
    <w:rsid w:val="006B2FFB"/>
    <w:rsid w:val="006C075B"/>
    <w:rsid w:val="006C10A2"/>
    <w:rsid w:val="006C1F18"/>
    <w:rsid w:val="006D40D5"/>
    <w:rsid w:val="006D4EA0"/>
    <w:rsid w:val="006F009A"/>
    <w:rsid w:val="006F24AF"/>
    <w:rsid w:val="006F3D93"/>
    <w:rsid w:val="007019B1"/>
    <w:rsid w:val="0071703D"/>
    <w:rsid w:val="00721657"/>
    <w:rsid w:val="007279A8"/>
    <w:rsid w:val="00727B1A"/>
    <w:rsid w:val="00731888"/>
    <w:rsid w:val="00741337"/>
    <w:rsid w:val="00752258"/>
    <w:rsid w:val="007529E1"/>
    <w:rsid w:val="0076272A"/>
    <w:rsid w:val="00762880"/>
    <w:rsid w:val="00762AD6"/>
    <w:rsid w:val="00762E02"/>
    <w:rsid w:val="00772290"/>
    <w:rsid w:val="00777265"/>
    <w:rsid w:val="007805E7"/>
    <w:rsid w:val="0078222A"/>
    <w:rsid w:val="00787D48"/>
    <w:rsid w:val="00795294"/>
    <w:rsid w:val="00797477"/>
    <w:rsid w:val="007A4E50"/>
    <w:rsid w:val="007B0C9A"/>
    <w:rsid w:val="007B18A7"/>
    <w:rsid w:val="007B250E"/>
    <w:rsid w:val="007B3688"/>
    <w:rsid w:val="007C27FC"/>
    <w:rsid w:val="007C51FF"/>
    <w:rsid w:val="007D0C98"/>
    <w:rsid w:val="007D50E4"/>
    <w:rsid w:val="007E2DC5"/>
    <w:rsid w:val="007F1CC7"/>
    <w:rsid w:val="008027AC"/>
    <w:rsid w:val="008028CE"/>
    <w:rsid w:val="0080332E"/>
    <w:rsid w:val="008141E0"/>
    <w:rsid w:val="00816EE1"/>
    <w:rsid w:val="00816EF9"/>
    <w:rsid w:val="00816F88"/>
    <w:rsid w:val="00821996"/>
    <w:rsid w:val="00822323"/>
    <w:rsid w:val="00826A3E"/>
    <w:rsid w:val="00827BC6"/>
    <w:rsid w:val="008300AD"/>
    <w:rsid w:val="00833024"/>
    <w:rsid w:val="00835580"/>
    <w:rsid w:val="008419B1"/>
    <w:rsid w:val="00844A56"/>
    <w:rsid w:val="00845B11"/>
    <w:rsid w:val="00846AAE"/>
    <w:rsid w:val="00851F7D"/>
    <w:rsid w:val="00852081"/>
    <w:rsid w:val="00871FA2"/>
    <w:rsid w:val="00872B6E"/>
    <w:rsid w:val="008744CB"/>
    <w:rsid w:val="00874DFD"/>
    <w:rsid w:val="008802F9"/>
    <w:rsid w:val="00883086"/>
    <w:rsid w:val="008879FD"/>
    <w:rsid w:val="00894C37"/>
    <w:rsid w:val="008A00EA"/>
    <w:rsid w:val="008A2413"/>
    <w:rsid w:val="008A3F93"/>
    <w:rsid w:val="008A6236"/>
    <w:rsid w:val="008A6E1C"/>
    <w:rsid w:val="008A72FD"/>
    <w:rsid w:val="008B2EDF"/>
    <w:rsid w:val="008B47C7"/>
    <w:rsid w:val="008B54CB"/>
    <w:rsid w:val="008B5A3D"/>
    <w:rsid w:val="008C0C2C"/>
    <w:rsid w:val="008C4010"/>
    <w:rsid w:val="008C4FDF"/>
    <w:rsid w:val="008C6B1F"/>
    <w:rsid w:val="008D5E4F"/>
    <w:rsid w:val="008E34F0"/>
    <w:rsid w:val="008E4077"/>
    <w:rsid w:val="008E4957"/>
    <w:rsid w:val="008F14F5"/>
    <w:rsid w:val="008F71C1"/>
    <w:rsid w:val="00902D41"/>
    <w:rsid w:val="00902F49"/>
    <w:rsid w:val="00904230"/>
    <w:rsid w:val="00906AF2"/>
    <w:rsid w:val="00914004"/>
    <w:rsid w:val="00922EC1"/>
    <w:rsid w:val="00923CF1"/>
    <w:rsid w:val="009259E2"/>
    <w:rsid w:val="009301F1"/>
    <w:rsid w:val="009307DF"/>
    <w:rsid w:val="009359B8"/>
    <w:rsid w:val="00935FF0"/>
    <w:rsid w:val="009431F8"/>
    <w:rsid w:val="00947A35"/>
    <w:rsid w:val="00952667"/>
    <w:rsid w:val="0096201B"/>
    <w:rsid w:val="00962081"/>
    <w:rsid w:val="00966CB5"/>
    <w:rsid w:val="00975786"/>
    <w:rsid w:val="00981CB7"/>
    <w:rsid w:val="00983E1F"/>
    <w:rsid w:val="009842AD"/>
    <w:rsid w:val="00993F46"/>
    <w:rsid w:val="00997358"/>
    <w:rsid w:val="009A2AEA"/>
    <w:rsid w:val="009A452B"/>
    <w:rsid w:val="009A5093"/>
    <w:rsid w:val="009B050C"/>
    <w:rsid w:val="009B087F"/>
    <w:rsid w:val="009B2AF4"/>
    <w:rsid w:val="009C110B"/>
    <w:rsid w:val="009C5441"/>
    <w:rsid w:val="009C5F20"/>
    <w:rsid w:val="009D119F"/>
    <w:rsid w:val="009D49A2"/>
    <w:rsid w:val="009F176C"/>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2B0"/>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0607"/>
    <w:rsid w:val="00AE3AE3"/>
    <w:rsid w:val="00AE5961"/>
    <w:rsid w:val="00AF0745"/>
    <w:rsid w:val="00AF3824"/>
    <w:rsid w:val="00AF4971"/>
    <w:rsid w:val="00AF5276"/>
    <w:rsid w:val="00AF7C86"/>
    <w:rsid w:val="00B01046"/>
    <w:rsid w:val="00B0366E"/>
    <w:rsid w:val="00B310F9"/>
    <w:rsid w:val="00B37866"/>
    <w:rsid w:val="00B412FB"/>
    <w:rsid w:val="00B4576B"/>
    <w:rsid w:val="00B46350"/>
    <w:rsid w:val="00B46DF3"/>
    <w:rsid w:val="00B5794F"/>
    <w:rsid w:val="00B648C7"/>
    <w:rsid w:val="00B66E8F"/>
    <w:rsid w:val="00B80157"/>
    <w:rsid w:val="00B83D5E"/>
    <w:rsid w:val="00B8460A"/>
    <w:rsid w:val="00B8650D"/>
    <w:rsid w:val="00B879B4"/>
    <w:rsid w:val="00B90F07"/>
    <w:rsid w:val="00B95DA5"/>
    <w:rsid w:val="00B97BB9"/>
    <w:rsid w:val="00BA0009"/>
    <w:rsid w:val="00BA7A8E"/>
    <w:rsid w:val="00BA7DCC"/>
    <w:rsid w:val="00BB02B5"/>
    <w:rsid w:val="00BB1863"/>
    <w:rsid w:val="00BB25EE"/>
    <w:rsid w:val="00BB363A"/>
    <w:rsid w:val="00BC10A0"/>
    <w:rsid w:val="00BC7BA2"/>
    <w:rsid w:val="00BD426B"/>
    <w:rsid w:val="00BD79F0"/>
    <w:rsid w:val="00BE2B4D"/>
    <w:rsid w:val="00BE47C6"/>
    <w:rsid w:val="00C015F8"/>
    <w:rsid w:val="00C02C2A"/>
    <w:rsid w:val="00C07E26"/>
    <w:rsid w:val="00C1011C"/>
    <w:rsid w:val="00C12F94"/>
    <w:rsid w:val="00C177C5"/>
    <w:rsid w:val="00C2764E"/>
    <w:rsid w:val="00C34EC3"/>
    <w:rsid w:val="00C357D6"/>
    <w:rsid w:val="00C4038C"/>
    <w:rsid w:val="00C42BA2"/>
    <w:rsid w:val="00C44066"/>
    <w:rsid w:val="00C44E13"/>
    <w:rsid w:val="00C60A41"/>
    <w:rsid w:val="00C62DE8"/>
    <w:rsid w:val="00C62DFB"/>
    <w:rsid w:val="00C630E6"/>
    <w:rsid w:val="00C63812"/>
    <w:rsid w:val="00C64AF3"/>
    <w:rsid w:val="00C66F4D"/>
    <w:rsid w:val="00C67BB5"/>
    <w:rsid w:val="00C72713"/>
    <w:rsid w:val="00C760C8"/>
    <w:rsid w:val="00C848EF"/>
    <w:rsid w:val="00C86600"/>
    <w:rsid w:val="00C87BCA"/>
    <w:rsid w:val="00C87EED"/>
    <w:rsid w:val="00C94506"/>
    <w:rsid w:val="00C954BC"/>
    <w:rsid w:val="00CA1F0B"/>
    <w:rsid w:val="00CA7F8B"/>
    <w:rsid w:val="00CB110F"/>
    <w:rsid w:val="00CB2A2E"/>
    <w:rsid w:val="00CB338A"/>
    <w:rsid w:val="00CB79C5"/>
    <w:rsid w:val="00CC411F"/>
    <w:rsid w:val="00CC4B75"/>
    <w:rsid w:val="00CC732E"/>
    <w:rsid w:val="00CD2FCD"/>
    <w:rsid w:val="00CD7207"/>
    <w:rsid w:val="00CE0422"/>
    <w:rsid w:val="00CE0DBE"/>
    <w:rsid w:val="00CE3A8B"/>
    <w:rsid w:val="00CE5E4D"/>
    <w:rsid w:val="00CF02C4"/>
    <w:rsid w:val="00CF167F"/>
    <w:rsid w:val="00CF72E5"/>
    <w:rsid w:val="00D013EE"/>
    <w:rsid w:val="00D01F54"/>
    <w:rsid w:val="00D040F7"/>
    <w:rsid w:val="00D04A76"/>
    <w:rsid w:val="00D10FC7"/>
    <w:rsid w:val="00D121CD"/>
    <w:rsid w:val="00D1519F"/>
    <w:rsid w:val="00D1703C"/>
    <w:rsid w:val="00D20E99"/>
    <w:rsid w:val="00D21C83"/>
    <w:rsid w:val="00D35BDD"/>
    <w:rsid w:val="00D43215"/>
    <w:rsid w:val="00D63006"/>
    <w:rsid w:val="00D72301"/>
    <w:rsid w:val="00D911DE"/>
    <w:rsid w:val="00D91B97"/>
    <w:rsid w:val="00D93ACC"/>
    <w:rsid w:val="00D93C08"/>
    <w:rsid w:val="00D94D26"/>
    <w:rsid w:val="00D95DAC"/>
    <w:rsid w:val="00DA0B53"/>
    <w:rsid w:val="00DB1171"/>
    <w:rsid w:val="00DB1519"/>
    <w:rsid w:val="00DB2840"/>
    <w:rsid w:val="00DC1BD3"/>
    <w:rsid w:val="00DC2C1A"/>
    <w:rsid w:val="00DD66B4"/>
    <w:rsid w:val="00DE1972"/>
    <w:rsid w:val="00DE27AB"/>
    <w:rsid w:val="00DF2AB3"/>
    <w:rsid w:val="00DF7250"/>
    <w:rsid w:val="00E00CAA"/>
    <w:rsid w:val="00E03D51"/>
    <w:rsid w:val="00E03EBF"/>
    <w:rsid w:val="00E05209"/>
    <w:rsid w:val="00E05AC1"/>
    <w:rsid w:val="00E07C03"/>
    <w:rsid w:val="00E11BCF"/>
    <w:rsid w:val="00E2258E"/>
    <w:rsid w:val="00E260C2"/>
    <w:rsid w:val="00E3142B"/>
    <w:rsid w:val="00E32596"/>
    <w:rsid w:val="00E368F7"/>
    <w:rsid w:val="00E36EB8"/>
    <w:rsid w:val="00E3785B"/>
    <w:rsid w:val="00E37FB8"/>
    <w:rsid w:val="00E40B07"/>
    <w:rsid w:val="00E42326"/>
    <w:rsid w:val="00E43544"/>
    <w:rsid w:val="00E44D89"/>
    <w:rsid w:val="00E477EA"/>
    <w:rsid w:val="00E53DAC"/>
    <w:rsid w:val="00E55807"/>
    <w:rsid w:val="00E63B14"/>
    <w:rsid w:val="00E65CA0"/>
    <w:rsid w:val="00E70D9F"/>
    <w:rsid w:val="00E83810"/>
    <w:rsid w:val="00E8596D"/>
    <w:rsid w:val="00E86933"/>
    <w:rsid w:val="00E9605B"/>
    <w:rsid w:val="00E97298"/>
    <w:rsid w:val="00E97753"/>
    <w:rsid w:val="00EA0C51"/>
    <w:rsid w:val="00EA7DE7"/>
    <w:rsid w:val="00EB7A8A"/>
    <w:rsid w:val="00EC6FED"/>
    <w:rsid w:val="00EC7F3B"/>
    <w:rsid w:val="00ED5299"/>
    <w:rsid w:val="00EE3A64"/>
    <w:rsid w:val="00EE50E5"/>
    <w:rsid w:val="00EF01CF"/>
    <w:rsid w:val="00F0344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56368"/>
    <w:rsid w:val="00F626F7"/>
    <w:rsid w:val="00F736F9"/>
    <w:rsid w:val="00F73833"/>
    <w:rsid w:val="00F918A1"/>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styleId="NormalWeb">
    <w:name w:val="Normal (Web)"/>
    <w:basedOn w:val="Normal"/>
    <w:uiPriority w:val="99"/>
    <w:semiHidden/>
    <w:unhideWhenUsed/>
    <w:rsid w:val="00232C7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ko-KR"/>
    </w:rPr>
  </w:style>
  <w:style w:type="character" w:styleId="UnresolvedMention">
    <w:name w:val="Unresolved Mention"/>
    <w:basedOn w:val="DefaultParagraphFont"/>
    <w:uiPriority w:val="99"/>
    <w:semiHidden/>
    <w:unhideWhenUsed/>
    <w:rsid w:val="00846AAE"/>
    <w:rPr>
      <w:color w:val="605E5C"/>
      <w:shd w:val="clear" w:color="auto" w:fill="E1DFDD"/>
    </w:rPr>
  </w:style>
  <w:style w:type="paragraph" w:styleId="Revision">
    <w:name w:val="Revision"/>
    <w:hidden/>
    <w:uiPriority w:val="99"/>
    <w:semiHidden/>
    <w:rsid w:val="0079747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25816">
      <w:bodyDiv w:val="1"/>
      <w:marLeft w:val="0"/>
      <w:marRight w:val="0"/>
      <w:marTop w:val="0"/>
      <w:marBottom w:val="0"/>
      <w:divBdr>
        <w:top w:val="none" w:sz="0" w:space="0" w:color="auto"/>
        <w:left w:val="none" w:sz="0" w:space="0" w:color="auto"/>
        <w:bottom w:val="none" w:sz="0" w:space="0" w:color="auto"/>
        <w:right w:val="none" w:sz="0" w:space="0" w:color="auto"/>
      </w:divBdr>
      <w:divsChild>
        <w:div w:id="1950506319">
          <w:marLeft w:val="0"/>
          <w:marRight w:val="0"/>
          <w:marTop w:val="0"/>
          <w:marBottom w:val="0"/>
          <w:divBdr>
            <w:top w:val="none" w:sz="0" w:space="0" w:color="auto"/>
            <w:left w:val="none" w:sz="0" w:space="0" w:color="auto"/>
            <w:bottom w:val="none" w:sz="0" w:space="0" w:color="auto"/>
            <w:right w:val="none" w:sz="0" w:space="0" w:color="auto"/>
          </w:divBdr>
          <w:divsChild>
            <w:div w:id="1661152475">
              <w:marLeft w:val="0"/>
              <w:marRight w:val="0"/>
              <w:marTop w:val="0"/>
              <w:marBottom w:val="0"/>
              <w:divBdr>
                <w:top w:val="none" w:sz="0" w:space="0" w:color="auto"/>
                <w:left w:val="none" w:sz="0" w:space="0" w:color="auto"/>
                <w:bottom w:val="none" w:sz="0" w:space="0" w:color="auto"/>
                <w:right w:val="none" w:sz="0" w:space="0" w:color="auto"/>
              </w:divBdr>
              <w:divsChild>
                <w:div w:id="1839223179">
                  <w:marLeft w:val="0"/>
                  <w:marRight w:val="0"/>
                  <w:marTop w:val="0"/>
                  <w:marBottom w:val="120"/>
                  <w:divBdr>
                    <w:top w:val="none" w:sz="0" w:space="0" w:color="auto"/>
                    <w:left w:val="none" w:sz="0" w:space="0" w:color="auto"/>
                    <w:bottom w:val="none" w:sz="0" w:space="0" w:color="auto"/>
                    <w:right w:val="none" w:sz="0" w:space="0" w:color="auto"/>
                  </w:divBdr>
                  <w:divsChild>
                    <w:div w:id="1406686924">
                      <w:marLeft w:val="0"/>
                      <w:marRight w:val="0"/>
                      <w:marTop w:val="0"/>
                      <w:marBottom w:val="0"/>
                      <w:divBdr>
                        <w:top w:val="none" w:sz="0" w:space="0" w:color="auto"/>
                        <w:left w:val="none" w:sz="0" w:space="0" w:color="auto"/>
                        <w:bottom w:val="none" w:sz="0" w:space="0" w:color="auto"/>
                        <w:right w:val="none" w:sz="0" w:space="0" w:color="auto"/>
                      </w:divBdr>
                      <w:divsChild>
                        <w:div w:id="1269049943">
                          <w:marLeft w:val="0"/>
                          <w:marRight w:val="0"/>
                          <w:marTop w:val="0"/>
                          <w:marBottom w:val="0"/>
                          <w:divBdr>
                            <w:top w:val="none" w:sz="0" w:space="0" w:color="auto"/>
                            <w:left w:val="none" w:sz="0" w:space="0" w:color="auto"/>
                            <w:bottom w:val="none" w:sz="0" w:space="0" w:color="auto"/>
                            <w:right w:val="none" w:sz="0" w:space="0" w:color="auto"/>
                          </w:divBdr>
                          <w:divsChild>
                            <w:div w:id="1433863494">
                              <w:marLeft w:val="0"/>
                              <w:marRight w:val="0"/>
                              <w:marTop w:val="0"/>
                              <w:marBottom w:val="0"/>
                              <w:divBdr>
                                <w:top w:val="none" w:sz="0" w:space="0" w:color="auto"/>
                                <w:left w:val="none" w:sz="0" w:space="0" w:color="auto"/>
                                <w:bottom w:val="none" w:sz="0" w:space="0" w:color="auto"/>
                                <w:right w:val="none" w:sz="0" w:space="0" w:color="auto"/>
                              </w:divBdr>
                              <w:divsChild>
                                <w:div w:id="20360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893360">
          <w:marLeft w:val="0"/>
          <w:marRight w:val="0"/>
          <w:marTop w:val="0"/>
          <w:marBottom w:val="0"/>
          <w:divBdr>
            <w:top w:val="none" w:sz="0" w:space="0" w:color="auto"/>
            <w:left w:val="none" w:sz="0" w:space="0" w:color="auto"/>
            <w:bottom w:val="none" w:sz="0" w:space="0" w:color="auto"/>
            <w:right w:val="none" w:sz="0" w:space="0" w:color="auto"/>
          </w:divBdr>
          <w:divsChild>
            <w:div w:id="1197277260">
              <w:marLeft w:val="0"/>
              <w:marRight w:val="0"/>
              <w:marTop w:val="0"/>
              <w:marBottom w:val="0"/>
              <w:divBdr>
                <w:top w:val="none" w:sz="0" w:space="0" w:color="auto"/>
                <w:left w:val="none" w:sz="0" w:space="0" w:color="auto"/>
                <w:bottom w:val="none" w:sz="0" w:space="0" w:color="auto"/>
                <w:right w:val="none" w:sz="0" w:space="0" w:color="auto"/>
              </w:divBdr>
              <w:divsChild>
                <w:div w:id="984896573">
                  <w:marLeft w:val="0"/>
                  <w:marRight w:val="0"/>
                  <w:marTop w:val="0"/>
                  <w:marBottom w:val="120"/>
                  <w:divBdr>
                    <w:top w:val="none" w:sz="0" w:space="0" w:color="auto"/>
                    <w:left w:val="none" w:sz="0" w:space="0" w:color="auto"/>
                    <w:bottom w:val="none" w:sz="0" w:space="0" w:color="auto"/>
                    <w:right w:val="none" w:sz="0" w:space="0" w:color="auto"/>
                  </w:divBdr>
                  <w:divsChild>
                    <w:div w:id="577253918">
                      <w:marLeft w:val="0"/>
                      <w:marRight w:val="0"/>
                      <w:marTop w:val="0"/>
                      <w:marBottom w:val="0"/>
                      <w:divBdr>
                        <w:top w:val="none" w:sz="0" w:space="0" w:color="auto"/>
                        <w:left w:val="none" w:sz="0" w:space="0" w:color="auto"/>
                        <w:bottom w:val="none" w:sz="0" w:space="0" w:color="auto"/>
                        <w:right w:val="none" w:sz="0" w:space="0" w:color="auto"/>
                      </w:divBdr>
                      <w:divsChild>
                        <w:div w:id="102068376">
                          <w:marLeft w:val="0"/>
                          <w:marRight w:val="0"/>
                          <w:marTop w:val="0"/>
                          <w:marBottom w:val="0"/>
                          <w:divBdr>
                            <w:top w:val="none" w:sz="0" w:space="0" w:color="auto"/>
                            <w:left w:val="none" w:sz="0" w:space="0" w:color="auto"/>
                            <w:bottom w:val="none" w:sz="0" w:space="0" w:color="auto"/>
                            <w:right w:val="none" w:sz="0" w:space="0" w:color="auto"/>
                          </w:divBdr>
                          <w:divsChild>
                            <w:div w:id="8715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06894">
          <w:marLeft w:val="0"/>
          <w:marRight w:val="0"/>
          <w:marTop w:val="0"/>
          <w:marBottom w:val="0"/>
          <w:divBdr>
            <w:top w:val="none" w:sz="0" w:space="0" w:color="auto"/>
            <w:left w:val="none" w:sz="0" w:space="0" w:color="auto"/>
            <w:bottom w:val="none" w:sz="0" w:space="0" w:color="auto"/>
            <w:right w:val="none" w:sz="0" w:space="0" w:color="auto"/>
          </w:divBdr>
          <w:divsChild>
            <w:div w:id="1225067352">
              <w:marLeft w:val="0"/>
              <w:marRight w:val="0"/>
              <w:marTop w:val="0"/>
              <w:marBottom w:val="0"/>
              <w:divBdr>
                <w:top w:val="none" w:sz="0" w:space="0" w:color="auto"/>
                <w:left w:val="none" w:sz="0" w:space="0" w:color="auto"/>
                <w:bottom w:val="none" w:sz="0" w:space="0" w:color="auto"/>
                <w:right w:val="none" w:sz="0" w:space="0" w:color="auto"/>
              </w:divBdr>
              <w:divsChild>
                <w:div w:id="37778562">
                  <w:marLeft w:val="0"/>
                  <w:marRight w:val="0"/>
                  <w:marTop w:val="0"/>
                  <w:marBottom w:val="120"/>
                  <w:divBdr>
                    <w:top w:val="none" w:sz="0" w:space="0" w:color="auto"/>
                    <w:left w:val="none" w:sz="0" w:space="0" w:color="auto"/>
                    <w:bottom w:val="none" w:sz="0" w:space="0" w:color="auto"/>
                    <w:right w:val="none" w:sz="0" w:space="0" w:color="auto"/>
                  </w:divBdr>
                  <w:divsChild>
                    <w:div w:id="876549188">
                      <w:marLeft w:val="0"/>
                      <w:marRight w:val="0"/>
                      <w:marTop w:val="0"/>
                      <w:marBottom w:val="0"/>
                      <w:divBdr>
                        <w:top w:val="none" w:sz="0" w:space="0" w:color="auto"/>
                        <w:left w:val="none" w:sz="0" w:space="0" w:color="auto"/>
                        <w:bottom w:val="none" w:sz="0" w:space="0" w:color="auto"/>
                        <w:right w:val="none" w:sz="0" w:space="0" w:color="auto"/>
                      </w:divBdr>
                      <w:divsChild>
                        <w:div w:id="1374650118">
                          <w:marLeft w:val="0"/>
                          <w:marRight w:val="0"/>
                          <w:marTop w:val="0"/>
                          <w:marBottom w:val="0"/>
                          <w:divBdr>
                            <w:top w:val="none" w:sz="0" w:space="0" w:color="auto"/>
                            <w:left w:val="none" w:sz="0" w:space="0" w:color="auto"/>
                            <w:bottom w:val="none" w:sz="0" w:space="0" w:color="auto"/>
                            <w:right w:val="none" w:sz="0" w:space="0" w:color="auto"/>
                          </w:divBdr>
                          <w:divsChild>
                            <w:div w:id="1919245601">
                              <w:marLeft w:val="0"/>
                              <w:marRight w:val="0"/>
                              <w:marTop w:val="0"/>
                              <w:marBottom w:val="0"/>
                              <w:divBdr>
                                <w:top w:val="none" w:sz="0" w:space="0" w:color="auto"/>
                                <w:left w:val="none" w:sz="0" w:space="0" w:color="auto"/>
                                <w:bottom w:val="none" w:sz="0" w:space="0" w:color="auto"/>
                                <w:right w:val="none" w:sz="0" w:space="0" w:color="auto"/>
                              </w:divBdr>
                              <w:divsChild>
                                <w:div w:id="13962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298782">
      <w:bodyDiv w:val="1"/>
      <w:marLeft w:val="0"/>
      <w:marRight w:val="0"/>
      <w:marTop w:val="0"/>
      <w:marBottom w:val="0"/>
      <w:divBdr>
        <w:top w:val="none" w:sz="0" w:space="0" w:color="auto"/>
        <w:left w:val="none" w:sz="0" w:space="0" w:color="auto"/>
        <w:bottom w:val="none" w:sz="0" w:space="0" w:color="auto"/>
        <w:right w:val="none" w:sz="0" w:space="0" w:color="auto"/>
      </w:divBdr>
    </w:div>
    <w:div w:id="443423675">
      <w:bodyDiv w:val="1"/>
      <w:marLeft w:val="0"/>
      <w:marRight w:val="0"/>
      <w:marTop w:val="0"/>
      <w:marBottom w:val="0"/>
      <w:divBdr>
        <w:top w:val="none" w:sz="0" w:space="0" w:color="auto"/>
        <w:left w:val="none" w:sz="0" w:space="0" w:color="auto"/>
        <w:bottom w:val="none" w:sz="0" w:space="0" w:color="auto"/>
        <w:right w:val="none" w:sz="0" w:space="0" w:color="auto"/>
      </w:divBdr>
      <w:divsChild>
        <w:div w:id="414597842">
          <w:marLeft w:val="0"/>
          <w:marRight w:val="0"/>
          <w:marTop w:val="0"/>
          <w:marBottom w:val="0"/>
          <w:divBdr>
            <w:top w:val="none" w:sz="0" w:space="0" w:color="auto"/>
            <w:left w:val="none" w:sz="0" w:space="0" w:color="auto"/>
            <w:bottom w:val="none" w:sz="0" w:space="0" w:color="auto"/>
            <w:right w:val="none" w:sz="0" w:space="0" w:color="auto"/>
          </w:divBdr>
          <w:divsChild>
            <w:div w:id="911042217">
              <w:marLeft w:val="0"/>
              <w:marRight w:val="0"/>
              <w:marTop w:val="0"/>
              <w:marBottom w:val="0"/>
              <w:divBdr>
                <w:top w:val="none" w:sz="0" w:space="0" w:color="auto"/>
                <w:left w:val="none" w:sz="0" w:space="0" w:color="auto"/>
                <w:bottom w:val="none" w:sz="0" w:space="0" w:color="auto"/>
                <w:right w:val="none" w:sz="0" w:space="0" w:color="auto"/>
              </w:divBdr>
              <w:divsChild>
                <w:div w:id="1213037588">
                  <w:marLeft w:val="0"/>
                  <w:marRight w:val="0"/>
                  <w:marTop w:val="0"/>
                  <w:marBottom w:val="120"/>
                  <w:divBdr>
                    <w:top w:val="none" w:sz="0" w:space="0" w:color="auto"/>
                    <w:left w:val="none" w:sz="0" w:space="0" w:color="auto"/>
                    <w:bottom w:val="none" w:sz="0" w:space="0" w:color="auto"/>
                    <w:right w:val="none" w:sz="0" w:space="0" w:color="auto"/>
                  </w:divBdr>
                  <w:divsChild>
                    <w:div w:id="5715043">
                      <w:marLeft w:val="0"/>
                      <w:marRight w:val="0"/>
                      <w:marTop w:val="0"/>
                      <w:marBottom w:val="0"/>
                      <w:divBdr>
                        <w:top w:val="none" w:sz="0" w:space="0" w:color="auto"/>
                        <w:left w:val="none" w:sz="0" w:space="0" w:color="auto"/>
                        <w:bottom w:val="none" w:sz="0" w:space="0" w:color="auto"/>
                        <w:right w:val="none" w:sz="0" w:space="0" w:color="auto"/>
                      </w:divBdr>
                      <w:divsChild>
                        <w:div w:id="1602567983">
                          <w:marLeft w:val="0"/>
                          <w:marRight w:val="0"/>
                          <w:marTop w:val="0"/>
                          <w:marBottom w:val="0"/>
                          <w:divBdr>
                            <w:top w:val="none" w:sz="0" w:space="0" w:color="auto"/>
                            <w:left w:val="none" w:sz="0" w:space="0" w:color="auto"/>
                            <w:bottom w:val="none" w:sz="0" w:space="0" w:color="auto"/>
                            <w:right w:val="none" w:sz="0" w:space="0" w:color="auto"/>
                          </w:divBdr>
                          <w:divsChild>
                            <w:div w:id="557211330">
                              <w:marLeft w:val="0"/>
                              <w:marRight w:val="0"/>
                              <w:marTop w:val="0"/>
                              <w:marBottom w:val="0"/>
                              <w:divBdr>
                                <w:top w:val="none" w:sz="0" w:space="0" w:color="auto"/>
                                <w:left w:val="none" w:sz="0" w:space="0" w:color="auto"/>
                                <w:bottom w:val="none" w:sz="0" w:space="0" w:color="auto"/>
                                <w:right w:val="none" w:sz="0" w:space="0" w:color="auto"/>
                              </w:divBdr>
                              <w:divsChild>
                                <w:div w:id="9507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369907">
          <w:marLeft w:val="0"/>
          <w:marRight w:val="0"/>
          <w:marTop w:val="0"/>
          <w:marBottom w:val="0"/>
          <w:divBdr>
            <w:top w:val="none" w:sz="0" w:space="0" w:color="auto"/>
            <w:left w:val="none" w:sz="0" w:space="0" w:color="auto"/>
            <w:bottom w:val="none" w:sz="0" w:space="0" w:color="auto"/>
            <w:right w:val="none" w:sz="0" w:space="0" w:color="auto"/>
          </w:divBdr>
          <w:divsChild>
            <w:div w:id="584336730">
              <w:marLeft w:val="0"/>
              <w:marRight w:val="0"/>
              <w:marTop w:val="0"/>
              <w:marBottom w:val="0"/>
              <w:divBdr>
                <w:top w:val="none" w:sz="0" w:space="0" w:color="auto"/>
                <w:left w:val="none" w:sz="0" w:space="0" w:color="auto"/>
                <w:bottom w:val="none" w:sz="0" w:space="0" w:color="auto"/>
                <w:right w:val="none" w:sz="0" w:space="0" w:color="auto"/>
              </w:divBdr>
              <w:divsChild>
                <w:div w:id="415438243">
                  <w:marLeft w:val="0"/>
                  <w:marRight w:val="0"/>
                  <w:marTop w:val="0"/>
                  <w:marBottom w:val="120"/>
                  <w:divBdr>
                    <w:top w:val="none" w:sz="0" w:space="0" w:color="auto"/>
                    <w:left w:val="none" w:sz="0" w:space="0" w:color="auto"/>
                    <w:bottom w:val="none" w:sz="0" w:space="0" w:color="auto"/>
                    <w:right w:val="none" w:sz="0" w:space="0" w:color="auto"/>
                  </w:divBdr>
                  <w:divsChild>
                    <w:div w:id="1778596165">
                      <w:marLeft w:val="0"/>
                      <w:marRight w:val="0"/>
                      <w:marTop w:val="0"/>
                      <w:marBottom w:val="0"/>
                      <w:divBdr>
                        <w:top w:val="none" w:sz="0" w:space="0" w:color="auto"/>
                        <w:left w:val="none" w:sz="0" w:space="0" w:color="auto"/>
                        <w:bottom w:val="none" w:sz="0" w:space="0" w:color="auto"/>
                        <w:right w:val="none" w:sz="0" w:space="0" w:color="auto"/>
                      </w:divBdr>
                      <w:divsChild>
                        <w:div w:id="921331135">
                          <w:marLeft w:val="0"/>
                          <w:marRight w:val="0"/>
                          <w:marTop w:val="0"/>
                          <w:marBottom w:val="0"/>
                          <w:divBdr>
                            <w:top w:val="none" w:sz="0" w:space="0" w:color="auto"/>
                            <w:left w:val="none" w:sz="0" w:space="0" w:color="auto"/>
                            <w:bottom w:val="none" w:sz="0" w:space="0" w:color="auto"/>
                            <w:right w:val="none" w:sz="0" w:space="0" w:color="auto"/>
                          </w:divBdr>
                          <w:divsChild>
                            <w:div w:id="2635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061679">
          <w:marLeft w:val="0"/>
          <w:marRight w:val="0"/>
          <w:marTop w:val="0"/>
          <w:marBottom w:val="0"/>
          <w:divBdr>
            <w:top w:val="none" w:sz="0" w:space="0" w:color="auto"/>
            <w:left w:val="none" w:sz="0" w:space="0" w:color="auto"/>
            <w:bottom w:val="none" w:sz="0" w:space="0" w:color="auto"/>
            <w:right w:val="none" w:sz="0" w:space="0" w:color="auto"/>
          </w:divBdr>
          <w:divsChild>
            <w:div w:id="828835774">
              <w:marLeft w:val="0"/>
              <w:marRight w:val="0"/>
              <w:marTop w:val="0"/>
              <w:marBottom w:val="0"/>
              <w:divBdr>
                <w:top w:val="none" w:sz="0" w:space="0" w:color="auto"/>
                <w:left w:val="none" w:sz="0" w:space="0" w:color="auto"/>
                <w:bottom w:val="none" w:sz="0" w:space="0" w:color="auto"/>
                <w:right w:val="none" w:sz="0" w:space="0" w:color="auto"/>
              </w:divBdr>
              <w:divsChild>
                <w:div w:id="937642327">
                  <w:marLeft w:val="0"/>
                  <w:marRight w:val="0"/>
                  <w:marTop w:val="0"/>
                  <w:marBottom w:val="120"/>
                  <w:divBdr>
                    <w:top w:val="none" w:sz="0" w:space="0" w:color="auto"/>
                    <w:left w:val="none" w:sz="0" w:space="0" w:color="auto"/>
                    <w:bottom w:val="none" w:sz="0" w:space="0" w:color="auto"/>
                    <w:right w:val="none" w:sz="0" w:space="0" w:color="auto"/>
                  </w:divBdr>
                  <w:divsChild>
                    <w:div w:id="637102062">
                      <w:marLeft w:val="0"/>
                      <w:marRight w:val="0"/>
                      <w:marTop w:val="0"/>
                      <w:marBottom w:val="0"/>
                      <w:divBdr>
                        <w:top w:val="none" w:sz="0" w:space="0" w:color="auto"/>
                        <w:left w:val="none" w:sz="0" w:space="0" w:color="auto"/>
                        <w:bottom w:val="none" w:sz="0" w:space="0" w:color="auto"/>
                        <w:right w:val="none" w:sz="0" w:space="0" w:color="auto"/>
                      </w:divBdr>
                      <w:divsChild>
                        <w:div w:id="282731140">
                          <w:marLeft w:val="0"/>
                          <w:marRight w:val="0"/>
                          <w:marTop w:val="0"/>
                          <w:marBottom w:val="0"/>
                          <w:divBdr>
                            <w:top w:val="none" w:sz="0" w:space="0" w:color="auto"/>
                            <w:left w:val="none" w:sz="0" w:space="0" w:color="auto"/>
                            <w:bottom w:val="none" w:sz="0" w:space="0" w:color="auto"/>
                            <w:right w:val="none" w:sz="0" w:space="0" w:color="auto"/>
                          </w:divBdr>
                          <w:divsChild>
                            <w:div w:id="780417282">
                              <w:marLeft w:val="0"/>
                              <w:marRight w:val="0"/>
                              <w:marTop w:val="0"/>
                              <w:marBottom w:val="0"/>
                              <w:divBdr>
                                <w:top w:val="none" w:sz="0" w:space="0" w:color="auto"/>
                                <w:left w:val="none" w:sz="0" w:space="0" w:color="auto"/>
                                <w:bottom w:val="none" w:sz="0" w:space="0" w:color="auto"/>
                                <w:right w:val="none" w:sz="0" w:space="0" w:color="auto"/>
                              </w:divBdr>
                              <w:divsChild>
                                <w:div w:id="14267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789245">
      <w:bodyDiv w:val="1"/>
      <w:marLeft w:val="0"/>
      <w:marRight w:val="0"/>
      <w:marTop w:val="0"/>
      <w:marBottom w:val="0"/>
      <w:divBdr>
        <w:top w:val="none" w:sz="0" w:space="0" w:color="auto"/>
        <w:left w:val="none" w:sz="0" w:space="0" w:color="auto"/>
        <w:bottom w:val="none" w:sz="0" w:space="0" w:color="auto"/>
        <w:right w:val="none" w:sz="0" w:space="0" w:color="auto"/>
      </w:divBdr>
      <w:divsChild>
        <w:div w:id="1612011191">
          <w:marLeft w:val="0"/>
          <w:marRight w:val="0"/>
          <w:marTop w:val="0"/>
          <w:marBottom w:val="0"/>
          <w:divBdr>
            <w:top w:val="none" w:sz="0" w:space="0" w:color="auto"/>
            <w:left w:val="none" w:sz="0" w:space="0" w:color="auto"/>
            <w:bottom w:val="none" w:sz="0" w:space="0" w:color="auto"/>
            <w:right w:val="none" w:sz="0" w:space="0" w:color="auto"/>
          </w:divBdr>
          <w:divsChild>
            <w:div w:id="281157493">
              <w:marLeft w:val="0"/>
              <w:marRight w:val="0"/>
              <w:marTop w:val="0"/>
              <w:marBottom w:val="0"/>
              <w:divBdr>
                <w:top w:val="none" w:sz="0" w:space="0" w:color="auto"/>
                <w:left w:val="none" w:sz="0" w:space="0" w:color="auto"/>
                <w:bottom w:val="none" w:sz="0" w:space="0" w:color="auto"/>
                <w:right w:val="none" w:sz="0" w:space="0" w:color="auto"/>
              </w:divBdr>
              <w:divsChild>
                <w:div w:id="1677998181">
                  <w:marLeft w:val="0"/>
                  <w:marRight w:val="0"/>
                  <w:marTop w:val="0"/>
                  <w:marBottom w:val="0"/>
                  <w:divBdr>
                    <w:top w:val="none" w:sz="0" w:space="0" w:color="auto"/>
                    <w:left w:val="none" w:sz="0" w:space="0" w:color="auto"/>
                    <w:bottom w:val="none" w:sz="0" w:space="0" w:color="auto"/>
                    <w:right w:val="none" w:sz="0" w:space="0" w:color="auto"/>
                  </w:divBdr>
                  <w:divsChild>
                    <w:div w:id="1658731683">
                      <w:marLeft w:val="0"/>
                      <w:marRight w:val="0"/>
                      <w:marTop w:val="0"/>
                      <w:marBottom w:val="0"/>
                      <w:divBdr>
                        <w:top w:val="none" w:sz="0" w:space="0" w:color="auto"/>
                        <w:left w:val="none" w:sz="0" w:space="0" w:color="auto"/>
                        <w:bottom w:val="none" w:sz="0" w:space="0" w:color="auto"/>
                        <w:right w:val="none" w:sz="0" w:space="0" w:color="auto"/>
                      </w:divBdr>
                      <w:divsChild>
                        <w:div w:id="2111926846">
                          <w:marLeft w:val="0"/>
                          <w:marRight w:val="0"/>
                          <w:marTop w:val="0"/>
                          <w:marBottom w:val="0"/>
                          <w:divBdr>
                            <w:top w:val="none" w:sz="0" w:space="0" w:color="auto"/>
                            <w:left w:val="none" w:sz="0" w:space="0" w:color="auto"/>
                            <w:bottom w:val="none" w:sz="0" w:space="0" w:color="auto"/>
                            <w:right w:val="none" w:sz="0" w:space="0" w:color="auto"/>
                          </w:divBdr>
                          <w:divsChild>
                            <w:div w:id="1986006607">
                              <w:marLeft w:val="0"/>
                              <w:marRight w:val="0"/>
                              <w:marTop w:val="0"/>
                              <w:marBottom w:val="120"/>
                              <w:divBdr>
                                <w:top w:val="none" w:sz="0" w:space="0" w:color="auto"/>
                                <w:left w:val="none" w:sz="0" w:space="0" w:color="auto"/>
                                <w:bottom w:val="none" w:sz="0" w:space="0" w:color="auto"/>
                                <w:right w:val="none" w:sz="0" w:space="0" w:color="auto"/>
                              </w:divBdr>
                              <w:divsChild>
                                <w:div w:id="241649729">
                                  <w:marLeft w:val="0"/>
                                  <w:marRight w:val="0"/>
                                  <w:marTop w:val="0"/>
                                  <w:marBottom w:val="0"/>
                                  <w:divBdr>
                                    <w:top w:val="none" w:sz="0" w:space="0" w:color="auto"/>
                                    <w:left w:val="none" w:sz="0" w:space="0" w:color="auto"/>
                                    <w:bottom w:val="none" w:sz="0" w:space="0" w:color="auto"/>
                                    <w:right w:val="none" w:sz="0" w:space="0" w:color="auto"/>
                                  </w:divBdr>
                                  <w:divsChild>
                                    <w:div w:id="986737749">
                                      <w:marLeft w:val="0"/>
                                      <w:marRight w:val="0"/>
                                      <w:marTop w:val="0"/>
                                      <w:marBottom w:val="0"/>
                                      <w:divBdr>
                                        <w:top w:val="none" w:sz="0" w:space="0" w:color="auto"/>
                                        <w:left w:val="none" w:sz="0" w:space="0" w:color="auto"/>
                                        <w:bottom w:val="none" w:sz="0" w:space="0" w:color="auto"/>
                                        <w:right w:val="none" w:sz="0" w:space="0" w:color="auto"/>
                                      </w:divBdr>
                                      <w:divsChild>
                                        <w:div w:id="176387278">
                                          <w:marLeft w:val="0"/>
                                          <w:marRight w:val="0"/>
                                          <w:marTop w:val="0"/>
                                          <w:marBottom w:val="0"/>
                                          <w:divBdr>
                                            <w:top w:val="none" w:sz="0" w:space="0" w:color="auto"/>
                                            <w:left w:val="none" w:sz="0" w:space="0" w:color="auto"/>
                                            <w:bottom w:val="none" w:sz="0" w:space="0" w:color="auto"/>
                                            <w:right w:val="none" w:sz="0" w:space="0" w:color="auto"/>
                                          </w:divBdr>
                                          <w:divsChild>
                                            <w:div w:id="16709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325092">
      <w:bodyDiv w:val="1"/>
      <w:marLeft w:val="0"/>
      <w:marRight w:val="0"/>
      <w:marTop w:val="0"/>
      <w:marBottom w:val="0"/>
      <w:divBdr>
        <w:top w:val="none" w:sz="0" w:space="0" w:color="auto"/>
        <w:left w:val="none" w:sz="0" w:space="0" w:color="auto"/>
        <w:bottom w:val="none" w:sz="0" w:space="0" w:color="auto"/>
        <w:right w:val="none" w:sz="0" w:space="0" w:color="auto"/>
      </w:divBdr>
    </w:div>
    <w:div w:id="175539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general-secretariat/Pages/ISCG/ISCT_Documents-Mapping_Table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council/planning/Pages/default.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itu.int/en/ITU-D/Conferences/TDAG/Pages/2024/TDAG_WG_futureSGQ.aspx" TargetMode="External"/><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A480FAA0-2DFC-451C-85D7-CC5A0D26E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642</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16</cp:revision>
  <cp:lastPrinted>2014-11-04T09:22:00Z</cp:lastPrinted>
  <dcterms:created xsi:type="dcterms:W3CDTF">2024-02-28T11:04:00Z</dcterms:created>
  <dcterms:modified xsi:type="dcterms:W3CDTF">2024-03-01T13:44:00Z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