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410"/>
        <w:gridCol w:w="1666"/>
      </w:tblGrid>
      <w:tr w:rsidR="00AC7BE3" w:rsidRPr="004573D4" w14:paraId="3F0E9EC4" w14:textId="77777777" w:rsidTr="00B60013">
        <w:trPr>
          <w:cantSplit/>
          <w:trHeight w:val="1134"/>
        </w:trPr>
        <w:tc>
          <w:tcPr>
            <w:tcW w:w="1985" w:type="dxa"/>
          </w:tcPr>
          <w:p w14:paraId="2D95D0DC" w14:textId="65A1BC6B" w:rsidR="00AC7BE3" w:rsidRPr="006D4EA0" w:rsidRDefault="000A57B0" w:rsidP="00B60013">
            <w:pPr>
              <w:tabs>
                <w:tab w:val="clear" w:pos="1191"/>
                <w:tab w:val="clear" w:pos="1588"/>
                <w:tab w:val="clear" w:pos="1985"/>
              </w:tabs>
              <w:spacing w:after="40"/>
              <w:ind w:left="34"/>
              <w:rPr>
                <w:b/>
                <w:bCs/>
                <w:sz w:val="32"/>
                <w:szCs w:val="32"/>
              </w:rPr>
            </w:pPr>
            <w:r>
              <w:rPr>
                <w:noProof/>
                <w:sz w:val="32"/>
                <w:szCs w:val="32"/>
              </w:rPr>
              <w:drawing>
                <wp:inline distT="0" distB="0" distL="0" distR="0" wp14:anchorId="08C62F50" wp14:editId="22E362EE">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6D53EA57" w14:textId="77777777" w:rsidR="003C59E7" w:rsidRDefault="00AC7BE3" w:rsidP="003C59E7">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1C2DD2">
              <w:rPr>
                <w:b/>
                <w:bCs/>
                <w:sz w:val="32"/>
                <w:szCs w:val="32"/>
              </w:rPr>
              <w:t>on ITU-D Prioritie</w:t>
            </w:r>
            <w:r>
              <w:rPr>
                <w:b/>
                <w:bCs/>
                <w:sz w:val="32"/>
                <w:szCs w:val="32"/>
              </w:rPr>
              <w:t xml:space="preserve">s </w:t>
            </w:r>
            <w:r w:rsidRPr="006D4EA0">
              <w:rPr>
                <w:b/>
                <w:bCs/>
                <w:sz w:val="32"/>
                <w:szCs w:val="32"/>
              </w:rPr>
              <w:t>(TDAG-WG-</w:t>
            </w:r>
            <w:r>
              <w:rPr>
                <w:b/>
                <w:bCs/>
                <w:sz w:val="32"/>
                <w:szCs w:val="32"/>
              </w:rPr>
              <w:t>ITUDP</w:t>
            </w:r>
            <w:r w:rsidRPr="006D4EA0">
              <w:rPr>
                <w:b/>
                <w:bCs/>
                <w:sz w:val="32"/>
                <w:szCs w:val="32"/>
              </w:rPr>
              <w:t>)</w:t>
            </w:r>
          </w:p>
          <w:p w14:paraId="5F5F590A" w14:textId="33981B16" w:rsidR="00AC7BE3" w:rsidRPr="004573D4" w:rsidRDefault="00AC7BE3" w:rsidP="003C59E7">
            <w:pPr>
              <w:tabs>
                <w:tab w:val="clear" w:pos="1191"/>
                <w:tab w:val="clear" w:pos="1588"/>
                <w:tab w:val="clear" w:pos="1985"/>
              </w:tabs>
              <w:spacing w:before="240" w:after="120"/>
              <w:ind w:left="34"/>
              <w:rPr>
                <w:rFonts w:ascii="Verdana" w:hAnsi="Verdana"/>
                <w:sz w:val="28"/>
                <w:szCs w:val="28"/>
                <w:lang w:val="en-US"/>
              </w:rPr>
            </w:pPr>
            <w:r>
              <w:rPr>
                <w:b/>
                <w:bCs/>
                <w:sz w:val="26"/>
                <w:szCs w:val="26"/>
              </w:rPr>
              <w:t xml:space="preserve">3rd Meeting, </w:t>
            </w:r>
            <w:r w:rsidRPr="006D4EA0">
              <w:rPr>
                <w:b/>
                <w:bCs/>
                <w:sz w:val="26"/>
                <w:szCs w:val="26"/>
              </w:rPr>
              <w:t xml:space="preserve">Virtual, </w:t>
            </w:r>
            <w:r>
              <w:rPr>
                <w:b/>
                <w:bCs/>
                <w:sz w:val="26"/>
                <w:szCs w:val="26"/>
              </w:rPr>
              <w:t xml:space="preserve">26 March </w:t>
            </w:r>
            <w:r w:rsidRPr="006D4EA0">
              <w:rPr>
                <w:b/>
                <w:bCs/>
                <w:sz w:val="26"/>
                <w:szCs w:val="26"/>
              </w:rPr>
              <w:t>202</w:t>
            </w:r>
            <w:r>
              <w:rPr>
                <w:b/>
                <w:bCs/>
                <w:sz w:val="26"/>
                <w:szCs w:val="26"/>
              </w:rPr>
              <w:t>5</w:t>
            </w:r>
          </w:p>
        </w:tc>
        <w:tc>
          <w:tcPr>
            <w:tcW w:w="1666" w:type="dxa"/>
          </w:tcPr>
          <w:p w14:paraId="67E7B4C4" w14:textId="0F52E4CC" w:rsidR="00AC7BE3" w:rsidRPr="004573D4" w:rsidRDefault="00AC7BE3" w:rsidP="00C67A55">
            <w:pPr>
              <w:spacing w:before="200" w:after="120"/>
              <w:ind w:right="142"/>
              <w:jc w:val="right"/>
              <w:rPr>
                <w:lang w:val="en-US"/>
              </w:rPr>
            </w:pPr>
            <w:r w:rsidRPr="004573D4">
              <w:rPr>
                <w:noProof/>
                <w:lang w:val="en-US"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573D4" w14:paraId="3C13197B" w14:textId="77777777" w:rsidTr="00566BDC">
        <w:trPr>
          <w:cantSplit/>
        </w:trPr>
        <w:tc>
          <w:tcPr>
            <w:tcW w:w="5812" w:type="dxa"/>
            <w:gridSpan w:val="2"/>
            <w:tcBorders>
              <w:top w:val="single" w:sz="12" w:space="0" w:color="auto"/>
            </w:tcBorders>
          </w:tcPr>
          <w:p w14:paraId="2EED9DB2" w14:textId="77777777" w:rsidR="00683C32" w:rsidRPr="004573D4" w:rsidRDefault="00683C32" w:rsidP="00107E85">
            <w:pPr>
              <w:spacing w:before="0"/>
              <w:rPr>
                <w:rFonts w:cs="Arial"/>
                <w:b/>
                <w:bCs/>
                <w:sz w:val="20"/>
                <w:lang w:val="en-US"/>
              </w:rPr>
            </w:pPr>
          </w:p>
        </w:tc>
        <w:tc>
          <w:tcPr>
            <w:tcW w:w="4076" w:type="dxa"/>
            <w:gridSpan w:val="2"/>
            <w:tcBorders>
              <w:top w:val="single" w:sz="12" w:space="0" w:color="auto"/>
            </w:tcBorders>
          </w:tcPr>
          <w:p w14:paraId="6CC77CFE" w14:textId="77777777" w:rsidR="00683C32" w:rsidRPr="004573D4" w:rsidRDefault="00683C32" w:rsidP="00107E85">
            <w:pPr>
              <w:spacing w:before="0"/>
              <w:rPr>
                <w:b/>
                <w:bCs/>
                <w:sz w:val="20"/>
                <w:lang w:val="en-US"/>
              </w:rPr>
            </w:pPr>
          </w:p>
        </w:tc>
      </w:tr>
      <w:tr w:rsidR="00683C32" w:rsidRPr="0043113F" w14:paraId="0BB3FBC4" w14:textId="77777777" w:rsidTr="00566BDC">
        <w:trPr>
          <w:cantSplit/>
        </w:trPr>
        <w:tc>
          <w:tcPr>
            <w:tcW w:w="5812" w:type="dxa"/>
            <w:gridSpan w:val="2"/>
          </w:tcPr>
          <w:p w14:paraId="43C54B3D" w14:textId="77777777" w:rsidR="00683C32" w:rsidRPr="004573D4" w:rsidRDefault="00683C32" w:rsidP="00400CCF">
            <w:pPr>
              <w:pStyle w:val="Committee"/>
              <w:spacing w:before="0"/>
              <w:rPr>
                <w:b w:val="0"/>
                <w:szCs w:val="24"/>
                <w:lang w:val="en-US"/>
              </w:rPr>
            </w:pPr>
          </w:p>
        </w:tc>
        <w:tc>
          <w:tcPr>
            <w:tcW w:w="4076" w:type="dxa"/>
            <w:gridSpan w:val="2"/>
          </w:tcPr>
          <w:p w14:paraId="02E44EE9" w14:textId="51C69B87" w:rsidR="00683C32" w:rsidRPr="00C67A55" w:rsidRDefault="0096201B" w:rsidP="00B648C7">
            <w:pPr>
              <w:spacing w:before="0"/>
              <w:jc w:val="both"/>
              <w:rPr>
                <w:bCs/>
                <w:szCs w:val="24"/>
                <w:lang w:val="fr-CH"/>
              </w:rPr>
            </w:pPr>
            <w:r w:rsidRPr="00C67A55">
              <w:rPr>
                <w:b/>
                <w:bCs/>
                <w:lang w:val="fr-CH"/>
              </w:rPr>
              <w:t xml:space="preserve">Document </w:t>
            </w:r>
            <w:bookmarkStart w:id="0" w:name="DocRef1"/>
            <w:bookmarkEnd w:id="0"/>
            <w:r w:rsidR="00566BDC" w:rsidRPr="00C67A55">
              <w:rPr>
                <w:b/>
                <w:bCs/>
                <w:lang w:val="fr-CH"/>
              </w:rPr>
              <w:t>TDAG-WG-</w:t>
            </w:r>
            <w:r w:rsidR="00C702C7" w:rsidRPr="00C67A55">
              <w:rPr>
                <w:b/>
                <w:bCs/>
                <w:lang w:val="fr-CH"/>
              </w:rPr>
              <w:t>ITUDP</w:t>
            </w:r>
            <w:r w:rsidR="00566BDC" w:rsidRPr="00C67A55">
              <w:rPr>
                <w:b/>
                <w:bCs/>
                <w:lang w:val="fr-CH"/>
              </w:rPr>
              <w:t>/</w:t>
            </w:r>
            <w:r w:rsidR="0043113F">
              <w:rPr>
                <w:b/>
                <w:bCs/>
                <w:lang w:val="fr-CH"/>
              </w:rPr>
              <w:t>8</w:t>
            </w:r>
            <w:r w:rsidRPr="00C67A55">
              <w:rPr>
                <w:b/>
                <w:bCs/>
                <w:lang w:val="fr-CH"/>
              </w:rPr>
              <w:t>-E</w:t>
            </w:r>
          </w:p>
        </w:tc>
      </w:tr>
      <w:tr w:rsidR="00683C32" w:rsidRPr="004573D4" w14:paraId="24D04936" w14:textId="77777777" w:rsidTr="00566BDC">
        <w:trPr>
          <w:cantSplit/>
        </w:trPr>
        <w:tc>
          <w:tcPr>
            <w:tcW w:w="5812" w:type="dxa"/>
            <w:gridSpan w:val="2"/>
          </w:tcPr>
          <w:p w14:paraId="12CE4DBF" w14:textId="77777777" w:rsidR="00683C32" w:rsidRPr="002E456B" w:rsidRDefault="00683C32" w:rsidP="00400CCF">
            <w:pPr>
              <w:spacing w:before="0"/>
              <w:rPr>
                <w:b/>
                <w:bCs/>
                <w:smallCaps/>
                <w:szCs w:val="24"/>
                <w:lang w:val="fr-CH"/>
              </w:rPr>
            </w:pPr>
          </w:p>
        </w:tc>
        <w:tc>
          <w:tcPr>
            <w:tcW w:w="4076" w:type="dxa"/>
            <w:gridSpan w:val="2"/>
          </w:tcPr>
          <w:p w14:paraId="0F89640F" w14:textId="0352175B" w:rsidR="00683C32" w:rsidRPr="00C67A55" w:rsidRDefault="0043113F" w:rsidP="00B648C7">
            <w:pPr>
              <w:spacing w:before="0"/>
              <w:rPr>
                <w:b/>
                <w:szCs w:val="24"/>
                <w:lang w:val="en-US"/>
              </w:rPr>
            </w:pPr>
            <w:bookmarkStart w:id="1" w:name="CreationDate"/>
            <w:bookmarkEnd w:id="1"/>
            <w:r>
              <w:rPr>
                <w:b/>
                <w:bCs/>
                <w:szCs w:val="28"/>
                <w:lang w:val="en-US"/>
              </w:rPr>
              <w:t>31</w:t>
            </w:r>
            <w:r w:rsidR="00C702C7" w:rsidRPr="00C67A55">
              <w:rPr>
                <w:b/>
                <w:bCs/>
                <w:szCs w:val="28"/>
                <w:lang w:val="en-US"/>
              </w:rPr>
              <w:t xml:space="preserve"> </w:t>
            </w:r>
            <w:r w:rsidR="00773A2A" w:rsidRPr="00C67A55">
              <w:rPr>
                <w:b/>
                <w:bCs/>
                <w:szCs w:val="28"/>
                <w:lang w:val="en-US"/>
              </w:rPr>
              <w:t>March</w:t>
            </w:r>
            <w:r w:rsidR="002E2AAB" w:rsidRPr="00C67A55">
              <w:rPr>
                <w:b/>
                <w:bCs/>
                <w:szCs w:val="28"/>
                <w:lang w:val="en-US"/>
              </w:rPr>
              <w:t xml:space="preserve"> </w:t>
            </w:r>
            <w:r w:rsidR="00CE0422" w:rsidRPr="00C67A55">
              <w:rPr>
                <w:b/>
                <w:bCs/>
                <w:szCs w:val="28"/>
                <w:lang w:val="en-US"/>
              </w:rPr>
              <w:t>20</w:t>
            </w:r>
            <w:r w:rsidR="00B648C7" w:rsidRPr="00C67A55">
              <w:rPr>
                <w:b/>
                <w:bCs/>
                <w:szCs w:val="28"/>
                <w:lang w:val="en-US"/>
              </w:rPr>
              <w:t>2</w:t>
            </w:r>
            <w:r w:rsidR="00773A2A" w:rsidRPr="00C67A55">
              <w:rPr>
                <w:b/>
                <w:bCs/>
                <w:szCs w:val="28"/>
                <w:lang w:val="en-US"/>
              </w:rPr>
              <w:t>5</w:t>
            </w:r>
          </w:p>
        </w:tc>
      </w:tr>
      <w:tr w:rsidR="00683C32" w:rsidRPr="004573D4" w14:paraId="7B96545F" w14:textId="77777777" w:rsidTr="00566BDC">
        <w:trPr>
          <w:cantSplit/>
        </w:trPr>
        <w:tc>
          <w:tcPr>
            <w:tcW w:w="5812" w:type="dxa"/>
            <w:gridSpan w:val="2"/>
          </w:tcPr>
          <w:p w14:paraId="65956FD3" w14:textId="77777777" w:rsidR="00683C32" w:rsidRPr="004573D4" w:rsidRDefault="00683C32" w:rsidP="00400CCF">
            <w:pPr>
              <w:spacing w:before="0"/>
              <w:rPr>
                <w:b/>
                <w:bCs/>
                <w:smallCaps/>
                <w:szCs w:val="24"/>
                <w:lang w:val="en-US"/>
              </w:rPr>
            </w:pPr>
          </w:p>
        </w:tc>
        <w:tc>
          <w:tcPr>
            <w:tcW w:w="4076" w:type="dxa"/>
            <w:gridSpan w:val="2"/>
          </w:tcPr>
          <w:p w14:paraId="30EFD39F" w14:textId="30763F1D" w:rsidR="00514D2F" w:rsidRPr="00C67A55" w:rsidRDefault="00AD4677" w:rsidP="00D73343">
            <w:pPr>
              <w:spacing w:before="0" w:after="240"/>
              <w:rPr>
                <w:szCs w:val="24"/>
                <w:lang w:val="en-US"/>
              </w:rPr>
            </w:pPr>
            <w:bookmarkStart w:id="2" w:name="Original"/>
            <w:bookmarkEnd w:id="2"/>
            <w:r w:rsidRPr="00C67A55">
              <w:rPr>
                <w:b/>
                <w:lang w:val="en-US"/>
              </w:rPr>
              <w:t>English</w:t>
            </w:r>
            <w:r w:rsidR="00566BDC" w:rsidRPr="00C67A55">
              <w:rPr>
                <w:b/>
                <w:lang w:val="en-US"/>
              </w:rPr>
              <w:t xml:space="preserve"> only</w:t>
            </w:r>
          </w:p>
        </w:tc>
      </w:tr>
      <w:tr w:rsidR="00A13162" w:rsidRPr="004573D4" w14:paraId="31656E31" w14:textId="77777777" w:rsidTr="00107E85">
        <w:trPr>
          <w:cantSplit/>
          <w:trHeight w:val="852"/>
        </w:trPr>
        <w:tc>
          <w:tcPr>
            <w:tcW w:w="9888" w:type="dxa"/>
            <w:gridSpan w:val="4"/>
          </w:tcPr>
          <w:p w14:paraId="512FCA01" w14:textId="7957A170" w:rsidR="00A13162" w:rsidRPr="004573D4" w:rsidRDefault="00795ED2" w:rsidP="00795ED2">
            <w:pPr>
              <w:pStyle w:val="Source"/>
              <w:rPr>
                <w:lang w:val="en-US"/>
              </w:rPr>
            </w:pPr>
            <w:bookmarkStart w:id="3" w:name="Source"/>
            <w:bookmarkEnd w:id="3"/>
            <w:r w:rsidRPr="004573D4">
              <w:rPr>
                <w:lang w:val="en-US"/>
              </w:rPr>
              <w:t>Chair, TDAG-WG-</w:t>
            </w:r>
            <w:r w:rsidR="00F54F77" w:rsidRPr="004573D4">
              <w:rPr>
                <w:lang w:val="en-US"/>
              </w:rPr>
              <w:t>ITUDP</w:t>
            </w:r>
          </w:p>
        </w:tc>
      </w:tr>
      <w:tr w:rsidR="00AC6F14" w:rsidRPr="004573D4" w14:paraId="2CBD3A36" w14:textId="77777777" w:rsidTr="00107E85">
        <w:trPr>
          <w:cantSplit/>
        </w:trPr>
        <w:tc>
          <w:tcPr>
            <w:tcW w:w="9888" w:type="dxa"/>
            <w:gridSpan w:val="4"/>
          </w:tcPr>
          <w:p w14:paraId="1B4121DF" w14:textId="0ADED255" w:rsidR="00AC6F14" w:rsidRPr="00601EAD" w:rsidRDefault="00282AEB" w:rsidP="0030353C">
            <w:pPr>
              <w:pStyle w:val="Title1"/>
              <w:rPr>
                <w:rFonts w:cs="Times New Roman"/>
                <w:bCs/>
                <w:lang w:val="lt-LT"/>
              </w:rPr>
            </w:pPr>
            <w:bookmarkStart w:id="4" w:name="Title"/>
            <w:bookmarkEnd w:id="4"/>
            <w:r w:rsidRPr="00282AEB">
              <w:rPr>
                <w:rFonts w:cs="Times New Roman"/>
                <w:bCs/>
                <w:lang w:val="en-US"/>
              </w:rPr>
              <w:t>Chair’s Note – 20 March 2025</w:t>
            </w:r>
          </w:p>
        </w:tc>
      </w:tr>
      <w:tr w:rsidR="00A721F4" w:rsidRPr="004573D4" w14:paraId="23A30231" w14:textId="77777777" w:rsidTr="00A721F4">
        <w:trPr>
          <w:cantSplit/>
        </w:trPr>
        <w:tc>
          <w:tcPr>
            <w:tcW w:w="9888" w:type="dxa"/>
            <w:gridSpan w:val="4"/>
            <w:tcBorders>
              <w:bottom w:val="single" w:sz="4" w:space="0" w:color="auto"/>
            </w:tcBorders>
          </w:tcPr>
          <w:p w14:paraId="726EE70E" w14:textId="77777777" w:rsidR="00A721F4" w:rsidRPr="004573D4" w:rsidRDefault="00A721F4" w:rsidP="0030353C">
            <w:pPr>
              <w:rPr>
                <w:lang w:val="en-US"/>
              </w:rPr>
            </w:pPr>
          </w:p>
        </w:tc>
      </w:tr>
    </w:tbl>
    <w:p w14:paraId="72F5CF96" w14:textId="36766E63" w:rsidR="00923CF1" w:rsidRDefault="00923CF1" w:rsidP="00935FF0">
      <w:pPr>
        <w:rPr>
          <w:lang w:val="en-US"/>
        </w:rPr>
      </w:pPr>
    </w:p>
    <w:p w14:paraId="0DDB0332" w14:textId="77777777" w:rsidR="002874E2" w:rsidRPr="002874E2" w:rsidRDefault="002874E2" w:rsidP="002874E2">
      <w:pPr>
        <w:spacing w:after="120"/>
        <w:rPr>
          <w:rFonts w:cstheme="minorHAnsi"/>
          <w:bCs/>
          <w:szCs w:val="24"/>
        </w:rPr>
      </w:pPr>
      <w:hyperlink r:id="rId13" w:history="1">
        <w:r w:rsidRPr="002874E2">
          <w:rPr>
            <w:rStyle w:val="Hyperlink"/>
            <w:rFonts w:cstheme="minorHAnsi"/>
            <w:bCs/>
            <w:szCs w:val="24"/>
          </w:rPr>
          <w:t>TDAG Working Group on ITU-D Priorities</w:t>
        </w:r>
      </w:hyperlink>
      <w:r w:rsidRPr="002874E2">
        <w:rPr>
          <w:rFonts w:cstheme="minorHAnsi"/>
          <w:bCs/>
          <w:szCs w:val="24"/>
        </w:rPr>
        <w:t xml:space="preserve"> is expected to organize its work basing on the Terms of Reference (</w:t>
      </w:r>
      <w:hyperlink r:id="rId14" w:history="1">
        <w:r w:rsidRPr="002874E2">
          <w:rPr>
            <w:rStyle w:val="Hyperlink"/>
            <w:rFonts w:cstheme="minorHAnsi"/>
            <w:b/>
            <w:bCs/>
            <w:szCs w:val="24"/>
          </w:rPr>
          <w:t>TDAG-24/DT/5</w:t>
        </w:r>
      </w:hyperlink>
      <w:r w:rsidRPr="002874E2">
        <w:rPr>
          <w:rFonts w:cstheme="minorHAnsi"/>
          <w:bCs/>
          <w:szCs w:val="24"/>
        </w:rPr>
        <w:t>)</w:t>
      </w:r>
      <w:r w:rsidRPr="002874E2">
        <w:rPr>
          <w:rFonts w:cstheme="minorHAnsi"/>
          <w:b/>
          <w:bCs/>
          <w:szCs w:val="24"/>
        </w:rPr>
        <w:t xml:space="preserve"> </w:t>
      </w:r>
      <w:r w:rsidRPr="002874E2">
        <w:rPr>
          <w:rFonts w:cstheme="minorHAnsi"/>
          <w:bCs/>
          <w:szCs w:val="24"/>
        </w:rPr>
        <w:t xml:space="preserve">and deliver outputs expected from this Working Group. </w:t>
      </w:r>
    </w:p>
    <w:p w14:paraId="26165E39" w14:textId="77777777" w:rsidR="002874E2" w:rsidRPr="002874E2" w:rsidRDefault="002874E2" w:rsidP="002874E2">
      <w:pPr>
        <w:spacing w:after="120"/>
        <w:rPr>
          <w:rFonts w:cstheme="minorHAnsi"/>
          <w:szCs w:val="24"/>
        </w:rPr>
      </w:pPr>
      <w:r w:rsidRPr="002874E2">
        <w:rPr>
          <w:rFonts w:cstheme="minorHAnsi"/>
          <w:szCs w:val="24"/>
        </w:rPr>
        <w:t xml:space="preserve">Proposal would be to have 2 more meetings (with option to have additional one during TDAG, if needed): </w:t>
      </w:r>
      <w:r w:rsidRPr="002874E2">
        <w:rPr>
          <w:rFonts w:cstheme="minorHAnsi"/>
          <w:b/>
          <w:bCs/>
          <w:szCs w:val="24"/>
        </w:rPr>
        <w:t>26 March</w:t>
      </w:r>
      <w:r w:rsidRPr="002874E2">
        <w:rPr>
          <w:rFonts w:cstheme="minorHAnsi"/>
          <w:szCs w:val="24"/>
        </w:rPr>
        <w:t xml:space="preserve"> and </w:t>
      </w:r>
      <w:r w:rsidRPr="002874E2">
        <w:rPr>
          <w:rFonts w:cstheme="minorHAnsi"/>
          <w:b/>
          <w:bCs/>
          <w:szCs w:val="24"/>
        </w:rPr>
        <w:t>2 May</w:t>
      </w:r>
      <w:r w:rsidRPr="002874E2">
        <w:rPr>
          <w:rFonts w:cstheme="minorHAnsi"/>
          <w:szCs w:val="24"/>
        </w:rPr>
        <w:t xml:space="preserve"> (side-to-side with the TDAG WG on Streamlining Resolutions, as an option) to cover all tasks for the Working Group, as per Terms of Reference.</w:t>
      </w:r>
    </w:p>
    <w:p w14:paraId="43296801" w14:textId="77777777" w:rsidR="002874E2" w:rsidRPr="002874E2" w:rsidRDefault="002874E2" w:rsidP="002874E2">
      <w:pPr>
        <w:pStyle w:val="ListParagraph"/>
        <w:numPr>
          <w:ilvl w:val="0"/>
          <w:numId w:val="5"/>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2874E2">
        <w:rPr>
          <w:rFonts w:cstheme="minorHAnsi"/>
          <w:b/>
          <w:bCs/>
          <w:szCs w:val="24"/>
        </w:rPr>
        <w:t>The Working Group on ITU-D Priorities should</w:t>
      </w:r>
      <w:r w:rsidRPr="002874E2">
        <w:rPr>
          <w:rFonts w:cstheme="minorHAnsi"/>
          <w:szCs w:val="24"/>
        </w:rPr>
        <w:t xml:space="preserve"> </w:t>
      </w:r>
      <w:r w:rsidRPr="002874E2">
        <w:rPr>
          <w:rFonts w:cstheme="minorHAnsi"/>
          <w:b/>
          <w:bCs/>
          <w:szCs w:val="24"/>
        </w:rPr>
        <w:t>review</w:t>
      </w:r>
      <w:r w:rsidRPr="002874E2">
        <w:rPr>
          <w:rFonts w:cstheme="minorHAnsi"/>
          <w:szCs w:val="24"/>
        </w:rPr>
        <w:t>:</w:t>
      </w:r>
    </w:p>
    <w:p w14:paraId="2687CA27"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Current ITU-D Priorities and related enablers set at WTDC-</w:t>
      </w:r>
      <w:proofErr w:type="gramStart"/>
      <w:r w:rsidRPr="002874E2">
        <w:rPr>
          <w:rFonts w:cstheme="minorHAnsi"/>
          <w:szCs w:val="24"/>
        </w:rPr>
        <w:t>22;</w:t>
      </w:r>
      <w:proofErr w:type="gramEnd"/>
    </w:p>
    <w:p w14:paraId="42630133"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 xml:space="preserve">Proposals to WTDC-25 including on regional initiatives, ITU-D study </w:t>
      </w:r>
      <w:proofErr w:type="gramStart"/>
      <w:r w:rsidRPr="002874E2">
        <w:rPr>
          <w:rFonts w:cstheme="minorHAnsi"/>
          <w:szCs w:val="24"/>
        </w:rPr>
        <w:t>Questions;</w:t>
      </w:r>
      <w:proofErr w:type="gramEnd"/>
    </w:p>
    <w:p w14:paraId="6B31E2DB"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Outcomes of the Regional Preparatory Meetings for WTDC-</w:t>
      </w:r>
      <w:proofErr w:type="gramStart"/>
      <w:r w:rsidRPr="002874E2">
        <w:rPr>
          <w:rFonts w:cstheme="minorHAnsi"/>
          <w:szCs w:val="24"/>
        </w:rPr>
        <w:t>25;</w:t>
      </w:r>
      <w:proofErr w:type="gramEnd"/>
    </w:p>
    <w:p w14:paraId="73D8E9E3"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 xml:space="preserve">2030 Sustainable Development Goals and the relevant WSIS Action Lines for which ITU has </w:t>
      </w:r>
      <w:proofErr w:type="gramStart"/>
      <w:r w:rsidRPr="002874E2">
        <w:rPr>
          <w:rFonts w:cstheme="minorHAnsi"/>
          <w:szCs w:val="24"/>
        </w:rPr>
        <w:t>lead</w:t>
      </w:r>
      <w:proofErr w:type="gramEnd"/>
      <w:r w:rsidRPr="002874E2">
        <w:rPr>
          <w:rFonts w:cstheme="minorHAnsi"/>
          <w:szCs w:val="24"/>
        </w:rPr>
        <w:t xml:space="preserve"> responsibility;</w:t>
      </w:r>
    </w:p>
    <w:p w14:paraId="63918CE5"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Status of implementation and impact of the ITU Strategic Plan 2024-2027 relating to ITU-</w:t>
      </w:r>
      <w:proofErr w:type="gramStart"/>
      <w:r w:rsidRPr="002874E2">
        <w:rPr>
          <w:rFonts w:cstheme="minorHAnsi"/>
          <w:szCs w:val="24"/>
        </w:rPr>
        <w:t>D;</w:t>
      </w:r>
      <w:proofErr w:type="gramEnd"/>
    </w:p>
    <w:p w14:paraId="61D70887"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 xml:space="preserve">Status of implementation and impact of the Kigali Action Plan (KAP) including its links with the Operational </w:t>
      </w:r>
      <w:proofErr w:type="gramStart"/>
      <w:r w:rsidRPr="002874E2">
        <w:rPr>
          <w:rFonts w:cstheme="minorHAnsi"/>
          <w:szCs w:val="24"/>
        </w:rPr>
        <w:t>Plan;</w:t>
      </w:r>
      <w:proofErr w:type="gramEnd"/>
    </w:p>
    <w:p w14:paraId="116F0CFF"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Status of implementation and impact of the four-year rolling Operational Plan, identify areas of improvement.</w:t>
      </w:r>
    </w:p>
    <w:p w14:paraId="2A6CE2D0" w14:textId="77777777" w:rsidR="002874E2" w:rsidRPr="002874E2" w:rsidRDefault="002874E2" w:rsidP="002A63E0">
      <w:pPr>
        <w:pStyle w:val="ListParagraph"/>
        <w:numPr>
          <w:ilvl w:val="0"/>
          <w:numId w:val="6"/>
        </w:numPr>
        <w:tabs>
          <w:tab w:val="clear" w:pos="1134"/>
          <w:tab w:val="clear" w:pos="1871"/>
          <w:tab w:val="clear" w:pos="2268"/>
        </w:tabs>
        <w:overflowPunct/>
        <w:autoSpaceDE/>
        <w:autoSpaceDN/>
        <w:adjustRightInd/>
        <w:spacing w:after="120"/>
        <w:ind w:left="431" w:hanging="431"/>
        <w:contextualSpacing w:val="0"/>
        <w:textAlignment w:val="auto"/>
        <w:rPr>
          <w:rFonts w:cstheme="minorHAnsi"/>
          <w:szCs w:val="24"/>
        </w:rPr>
      </w:pPr>
      <w:r w:rsidRPr="002874E2">
        <w:rPr>
          <w:rFonts w:cstheme="minorHAnsi"/>
          <w:b/>
          <w:bCs/>
          <w:szCs w:val="24"/>
        </w:rPr>
        <w:t>The Working Group on ITU-D Priorities should</w:t>
      </w:r>
      <w:r w:rsidRPr="002874E2">
        <w:rPr>
          <w:rFonts w:cstheme="minorHAnsi"/>
          <w:szCs w:val="24"/>
        </w:rPr>
        <w:t xml:space="preserve"> </w:t>
      </w:r>
      <w:r w:rsidRPr="002874E2">
        <w:rPr>
          <w:rFonts w:cstheme="minorHAnsi"/>
          <w:b/>
          <w:bCs/>
          <w:szCs w:val="24"/>
        </w:rPr>
        <w:t>develop these deliverables</w:t>
      </w:r>
      <w:r w:rsidRPr="002874E2">
        <w:rPr>
          <w:rFonts w:cstheme="minorHAnsi"/>
          <w:szCs w:val="24"/>
        </w:rPr>
        <w:t>:</w:t>
      </w:r>
    </w:p>
    <w:p w14:paraId="2E46179C"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 xml:space="preserve">Proposals for the new ITU-D </w:t>
      </w:r>
      <w:proofErr w:type="gramStart"/>
      <w:r w:rsidRPr="002874E2">
        <w:rPr>
          <w:rFonts w:cstheme="minorHAnsi"/>
          <w:szCs w:val="24"/>
        </w:rPr>
        <w:t>Priorities;</w:t>
      </w:r>
      <w:proofErr w:type="gramEnd"/>
    </w:p>
    <w:p w14:paraId="5204918A"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Prepare proposals for the draft new ITU-D contribution to the ITU Strategic Plan for the next period (2028-2031</w:t>
      </w:r>
      <w:proofErr w:type="gramStart"/>
      <w:r w:rsidRPr="002874E2">
        <w:rPr>
          <w:rFonts w:cstheme="minorHAnsi"/>
          <w:szCs w:val="24"/>
        </w:rPr>
        <w:t>);</w:t>
      </w:r>
      <w:proofErr w:type="gramEnd"/>
    </w:p>
    <w:p w14:paraId="14503B1E"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 xml:space="preserve">Proposals for the next WTDC Action </w:t>
      </w:r>
      <w:proofErr w:type="gramStart"/>
      <w:r w:rsidRPr="002874E2">
        <w:rPr>
          <w:rFonts w:cstheme="minorHAnsi"/>
          <w:szCs w:val="24"/>
        </w:rPr>
        <w:t>Plan;</w:t>
      </w:r>
      <w:proofErr w:type="gramEnd"/>
    </w:p>
    <w:p w14:paraId="64F8BB86"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 xml:space="preserve">Recommendations for the Draft Operational </w:t>
      </w:r>
      <w:proofErr w:type="gramStart"/>
      <w:r w:rsidRPr="002874E2">
        <w:rPr>
          <w:rFonts w:cstheme="minorHAnsi"/>
          <w:szCs w:val="24"/>
        </w:rPr>
        <w:t>Plan;</w:t>
      </w:r>
      <w:proofErr w:type="gramEnd"/>
    </w:p>
    <w:p w14:paraId="353EE46A" w14:textId="77777777" w:rsidR="002874E2" w:rsidRPr="002874E2" w:rsidRDefault="002874E2" w:rsidP="002874E2">
      <w:pPr>
        <w:pStyle w:val="ListParagraph"/>
        <w:numPr>
          <w:ilvl w:val="1"/>
          <w:numId w:val="6"/>
        </w:numPr>
        <w:tabs>
          <w:tab w:val="clear" w:pos="1134"/>
          <w:tab w:val="clear" w:pos="1871"/>
          <w:tab w:val="clear" w:pos="2268"/>
        </w:tabs>
        <w:overflowPunct/>
        <w:autoSpaceDE/>
        <w:autoSpaceDN/>
        <w:adjustRightInd/>
        <w:spacing w:before="60" w:after="60"/>
        <w:ind w:left="862" w:hanging="431"/>
        <w:contextualSpacing w:val="0"/>
        <w:textAlignment w:val="auto"/>
        <w:rPr>
          <w:rFonts w:cstheme="minorHAnsi"/>
          <w:szCs w:val="24"/>
        </w:rPr>
      </w:pPr>
      <w:r w:rsidRPr="002874E2">
        <w:rPr>
          <w:rFonts w:cstheme="minorHAnsi"/>
          <w:szCs w:val="24"/>
        </w:rPr>
        <w:t>Report to the TDAG-24.</w:t>
      </w:r>
    </w:p>
    <w:p w14:paraId="0E44B93E" w14:textId="77777777" w:rsidR="002874E2" w:rsidRPr="002874E2" w:rsidRDefault="002874E2" w:rsidP="002874E2">
      <w:pPr>
        <w:pStyle w:val="ListParagraph"/>
        <w:keepNext/>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4"/>
        </w:rPr>
      </w:pPr>
      <w:r w:rsidRPr="002874E2">
        <w:rPr>
          <w:rFonts w:cstheme="minorHAnsi"/>
          <w:b/>
          <w:bCs/>
          <w:szCs w:val="24"/>
        </w:rPr>
        <w:lastRenderedPageBreak/>
        <w:t>Proposed Approach</w:t>
      </w:r>
    </w:p>
    <w:p w14:paraId="7D8349D9" w14:textId="77777777" w:rsidR="002874E2" w:rsidRPr="002874E2" w:rsidRDefault="002874E2" w:rsidP="002874E2">
      <w:pPr>
        <w:spacing w:after="120"/>
        <w:rPr>
          <w:rFonts w:cstheme="minorHAnsi"/>
          <w:szCs w:val="24"/>
        </w:rPr>
      </w:pPr>
      <w:r w:rsidRPr="002874E2">
        <w:rPr>
          <w:rFonts w:cstheme="minorHAnsi"/>
          <w:szCs w:val="24"/>
        </w:rPr>
        <w:t>The TDAG-WG-ITUDP Chair proposes to put the review of 1.4-1.7 on the Agenda of the Working Group’s meeting on 26</w:t>
      </w:r>
      <w:r w:rsidRPr="002874E2">
        <w:rPr>
          <w:rFonts w:cstheme="minorHAnsi"/>
          <w:szCs w:val="24"/>
          <w:vertAlign w:val="superscript"/>
        </w:rPr>
        <w:t>th</w:t>
      </w:r>
      <w:r w:rsidRPr="002874E2">
        <w:rPr>
          <w:rFonts w:cstheme="minorHAnsi"/>
          <w:szCs w:val="24"/>
        </w:rPr>
        <w:t xml:space="preserve"> of March, believing that this information will be helpful for discussions on Current ITU-D Priorities and related enablers set at WTDC-22 (1.1).</w:t>
      </w:r>
    </w:p>
    <w:p w14:paraId="30B5113B" w14:textId="77777777" w:rsidR="002874E2" w:rsidRPr="002874E2" w:rsidRDefault="002874E2" w:rsidP="002874E2">
      <w:pPr>
        <w:spacing w:after="120"/>
        <w:rPr>
          <w:rFonts w:cstheme="minorHAnsi"/>
          <w:szCs w:val="24"/>
        </w:rPr>
      </w:pPr>
      <w:r w:rsidRPr="002874E2">
        <w:rPr>
          <w:rFonts w:cstheme="minorHAnsi"/>
          <w:szCs w:val="24"/>
        </w:rPr>
        <w:t xml:space="preserve">Review of proposed regional initiatives and ITU-D study Questions, as well as information on the outcomes of the Regional Preparatory Meetings for WTDC-25 (1.2-1.3) is more relevant during the next WG meeting in May (TBC) after all RPMs and the last meeting of Working Group on the Future of the Study Group Questions, scheduled for 16 April 2025. The results of TDAG WG on Declaration shall be </w:t>
      </w:r>
      <w:proofErr w:type="gramStart"/>
      <w:r w:rsidRPr="002874E2">
        <w:rPr>
          <w:rFonts w:cstheme="minorHAnsi"/>
          <w:szCs w:val="24"/>
        </w:rPr>
        <w:t>taken into account</w:t>
      </w:r>
      <w:proofErr w:type="gramEnd"/>
      <w:r w:rsidRPr="002874E2">
        <w:rPr>
          <w:rFonts w:cstheme="minorHAnsi"/>
          <w:szCs w:val="24"/>
        </w:rPr>
        <w:t xml:space="preserve"> as well.</w:t>
      </w:r>
    </w:p>
    <w:p w14:paraId="2D62C09A" w14:textId="77777777" w:rsidR="002874E2" w:rsidRPr="002874E2" w:rsidRDefault="002874E2" w:rsidP="002874E2">
      <w:pPr>
        <w:spacing w:after="120"/>
        <w:rPr>
          <w:rFonts w:cstheme="minorHAnsi"/>
          <w:szCs w:val="24"/>
        </w:rPr>
      </w:pPr>
      <w:r w:rsidRPr="002874E2">
        <w:rPr>
          <w:rFonts w:cstheme="minorHAnsi"/>
          <w:szCs w:val="24"/>
        </w:rPr>
        <w:t>In terms of TDAG-WG-ITUDP Deliverables (2.1-2.4), Chair proposes:</w:t>
      </w:r>
    </w:p>
    <w:p w14:paraId="4083A851" w14:textId="77777777" w:rsidR="002874E2" w:rsidRPr="002874E2" w:rsidRDefault="002874E2" w:rsidP="002A63E0">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874E2">
        <w:rPr>
          <w:rFonts w:cstheme="minorHAnsi"/>
          <w:szCs w:val="24"/>
        </w:rPr>
        <w:t xml:space="preserve">To start the discussion on the </w:t>
      </w:r>
      <w:r w:rsidRPr="002874E2">
        <w:rPr>
          <w:rFonts w:cstheme="minorHAnsi"/>
          <w:b/>
          <w:bCs/>
          <w:szCs w:val="24"/>
        </w:rPr>
        <w:t>new ITU-D Priorities</w:t>
      </w:r>
      <w:r w:rsidRPr="002874E2">
        <w:rPr>
          <w:rFonts w:cstheme="minorHAnsi"/>
          <w:szCs w:val="24"/>
        </w:rPr>
        <w:t xml:space="preserve"> after reflecting on the current 5 ITU-D Priorities, as agreed at WTDC-</w:t>
      </w:r>
      <w:proofErr w:type="gramStart"/>
      <w:r w:rsidRPr="002874E2">
        <w:rPr>
          <w:rFonts w:cstheme="minorHAnsi"/>
          <w:szCs w:val="24"/>
        </w:rPr>
        <w:t>22 ,</w:t>
      </w:r>
      <w:proofErr w:type="gramEnd"/>
      <w:r w:rsidRPr="002874E2">
        <w:rPr>
          <w:rFonts w:cstheme="minorHAnsi"/>
          <w:szCs w:val="24"/>
        </w:rPr>
        <w:t xml:space="preserve"> to see if/what improvements may be needed:</w:t>
      </w:r>
    </w:p>
    <w:p w14:paraId="586832AC" w14:textId="77777777" w:rsidR="002874E2" w:rsidRPr="002874E2" w:rsidRDefault="002874E2" w:rsidP="002A63E0">
      <w:pPr>
        <w:pStyle w:val="ListParagraph"/>
        <w:spacing w:before="60" w:after="60"/>
        <w:ind w:left="737"/>
        <w:contextualSpacing w:val="0"/>
        <w:rPr>
          <w:rFonts w:cstheme="minorHAnsi"/>
          <w:i/>
          <w:iCs/>
          <w:szCs w:val="24"/>
        </w:rPr>
      </w:pPr>
      <w:r w:rsidRPr="002874E2">
        <w:rPr>
          <w:rFonts w:cstheme="minorHAnsi"/>
          <w:i/>
          <w:iCs/>
          <w:szCs w:val="24"/>
        </w:rPr>
        <w:t xml:space="preserve">Affordable </w:t>
      </w:r>
      <w:proofErr w:type="gramStart"/>
      <w:r w:rsidRPr="002874E2">
        <w:rPr>
          <w:rFonts w:cstheme="minorHAnsi"/>
          <w:i/>
          <w:iCs/>
          <w:szCs w:val="24"/>
        </w:rPr>
        <w:t>Connectivity;</w:t>
      </w:r>
      <w:proofErr w:type="gramEnd"/>
    </w:p>
    <w:p w14:paraId="306CC9BA" w14:textId="77777777" w:rsidR="002874E2" w:rsidRPr="002874E2" w:rsidRDefault="002874E2" w:rsidP="002A63E0">
      <w:pPr>
        <w:pStyle w:val="ListParagraph"/>
        <w:spacing w:before="60" w:after="60"/>
        <w:ind w:left="737"/>
        <w:contextualSpacing w:val="0"/>
        <w:rPr>
          <w:rFonts w:cstheme="minorHAnsi"/>
          <w:i/>
          <w:iCs/>
          <w:szCs w:val="24"/>
        </w:rPr>
      </w:pPr>
      <w:r w:rsidRPr="002874E2">
        <w:rPr>
          <w:rFonts w:cstheme="minorHAnsi"/>
          <w:i/>
          <w:iCs/>
          <w:szCs w:val="24"/>
        </w:rPr>
        <w:t xml:space="preserve">Digital </w:t>
      </w:r>
      <w:proofErr w:type="gramStart"/>
      <w:r w:rsidRPr="002874E2">
        <w:rPr>
          <w:rFonts w:cstheme="minorHAnsi"/>
          <w:i/>
          <w:iCs/>
          <w:szCs w:val="24"/>
        </w:rPr>
        <w:t>Transformation;</w:t>
      </w:r>
      <w:proofErr w:type="gramEnd"/>
    </w:p>
    <w:p w14:paraId="5883A4DC" w14:textId="77777777" w:rsidR="002874E2" w:rsidRPr="002874E2" w:rsidRDefault="002874E2" w:rsidP="002A63E0">
      <w:pPr>
        <w:pStyle w:val="ListParagraph"/>
        <w:spacing w:before="60" w:after="60"/>
        <w:ind w:left="737"/>
        <w:contextualSpacing w:val="0"/>
        <w:rPr>
          <w:rFonts w:cstheme="minorHAnsi"/>
          <w:i/>
          <w:iCs/>
          <w:szCs w:val="24"/>
        </w:rPr>
      </w:pPr>
      <w:r w:rsidRPr="002874E2">
        <w:rPr>
          <w:rFonts w:cstheme="minorHAnsi"/>
          <w:i/>
          <w:iCs/>
          <w:szCs w:val="24"/>
        </w:rPr>
        <w:t xml:space="preserve">Enabling Policy and Regulatory </w:t>
      </w:r>
      <w:proofErr w:type="gramStart"/>
      <w:r w:rsidRPr="002874E2">
        <w:rPr>
          <w:rFonts w:cstheme="minorHAnsi"/>
          <w:i/>
          <w:iCs/>
          <w:szCs w:val="24"/>
        </w:rPr>
        <w:t>Environment;</w:t>
      </w:r>
      <w:proofErr w:type="gramEnd"/>
    </w:p>
    <w:p w14:paraId="4D585FEA" w14:textId="77777777" w:rsidR="002874E2" w:rsidRPr="002874E2" w:rsidRDefault="002874E2" w:rsidP="002A63E0">
      <w:pPr>
        <w:pStyle w:val="ListParagraph"/>
        <w:spacing w:before="60" w:after="60"/>
        <w:ind w:left="737"/>
        <w:contextualSpacing w:val="0"/>
        <w:rPr>
          <w:rFonts w:cstheme="minorHAnsi"/>
          <w:i/>
          <w:iCs/>
          <w:szCs w:val="24"/>
        </w:rPr>
      </w:pPr>
      <w:r w:rsidRPr="002874E2">
        <w:rPr>
          <w:rFonts w:cstheme="minorHAnsi"/>
          <w:i/>
          <w:iCs/>
          <w:szCs w:val="24"/>
        </w:rPr>
        <w:t xml:space="preserve">Resource Mobilization and International </w:t>
      </w:r>
      <w:proofErr w:type="gramStart"/>
      <w:r w:rsidRPr="002874E2">
        <w:rPr>
          <w:rFonts w:cstheme="minorHAnsi"/>
          <w:i/>
          <w:iCs/>
          <w:szCs w:val="24"/>
        </w:rPr>
        <w:t>Cooperation;</w:t>
      </w:r>
      <w:proofErr w:type="gramEnd"/>
    </w:p>
    <w:p w14:paraId="52648599" w14:textId="77777777" w:rsidR="002874E2" w:rsidRPr="002874E2" w:rsidRDefault="002874E2" w:rsidP="002A63E0">
      <w:pPr>
        <w:pStyle w:val="ListParagraph"/>
        <w:spacing w:before="60" w:after="60"/>
        <w:ind w:left="737"/>
        <w:contextualSpacing w:val="0"/>
        <w:rPr>
          <w:rFonts w:cstheme="minorHAnsi"/>
          <w:szCs w:val="24"/>
        </w:rPr>
      </w:pPr>
      <w:r w:rsidRPr="002874E2">
        <w:rPr>
          <w:rFonts w:cstheme="minorHAnsi"/>
          <w:i/>
          <w:iCs/>
          <w:szCs w:val="24"/>
        </w:rPr>
        <w:t>Inclusive and secure telecommunications/ICTs for sustainable</w:t>
      </w:r>
      <w:r w:rsidRPr="002874E2">
        <w:rPr>
          <w:rFonts w:cstheme="minorHAnsi"/>
          <w:szCs w:val="24"/>
        </w:rPr>
        <w:t xml:space="preserve"> development.</w:t>
      </w:r>
    </w:p>
    <w:p w14:paraId="6AE02097" w14:textId="6EE428A3" w:rsidR="002874E2" w:rsidRPr="002874E2" w:rsidRDefault="002874E2" w:rsidP="002A63E0">
      <w:pPr>
        <w:tabs>
          <w:tab w:val="clear" w:pos="794"/>
          <w:tab w:val="left" w:pos="426"/>
        </w:tabs>
        <w:spacing w:before="60" w:after="60"/>
        <w:ind w:left="714" w:hanging="357"/>
        <w:rPr>
          <w:rFonts w:cstheme="minorHAnsi"/>
          <w:szCs w:val="24"/>
        </w:rPr>
      </w:pPr>
      <w:r>
        <w:rPr>
          <w:rFonts w:cstheme="minorHAnsi"/>
          <w:szCs w:val="24"/>
        </w:rPr>
        <w:tab/>
      </w:r>
      <w:r>
        <w:rPr>
          <w:rFonts w:cstheme="minorHAnsi"/>
          <w:szCs w:val="24"/>
        </w:rPr>
        <w:tab/>
      </w:r>
      <w:r w:rsidRPr="002874E2">
        <w:rPr>
          <w:rFonts w:cstheme="minorHAnsi"/>
          <w:szCs w:val="24"/>
        </w:rPr>
        <w:t>The next step would be revision of current Outcomes, Outputs, Enablers for the same purpose of improvements and alignment with the agreed draft new ITU-D Priorities. After initial discussion on 26</w:t>
      </w:r>
      <w:r w:rsidRPr="002874E2">
        <w:rPr>
          <w:rFonts w:cstheme="minorHAnsi"/>
          <w:szCs w:val="24"/>
          <w:vertAlign w:val="superscript"/>
        </w:rPr>
        <w:t>th</w:t>
      </w:r>
      <w:r w:rsidRPr="002874E2">
        <w:rPr>
          <w:rFonts w:cstheme="minorHAnsi"/>
          <w:szCs w:val="24"/>
        </w:rPr>
        <w:t xml:space="preserve"> March, it will be expected to receive written contributions from the Members of this Working Group with specific proposals and views regarding new ITU-D Priorities.</w:t>
      </w:r>
    </w:p>
    <w:p w14:paraId="0154BBA6" w14:textId="77777777" w:rsidR="002874E2" w:rsidRPr="002874E2" w:rsidRDefault="002874E2" w:rsidP="002A63E0">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874E2">
        <w:rPr>
          <w:rFonts w:cstheme="minorHAnsi"/>
          <w:szCs w:val="24"/>
        </w:rPr>
        <w:t xml:space="preserve">Proposals for the draft </w:t>
      </w:r>
      <w:r w:rsidRPr="002874E2">
        <w:rPr>
          <w:rFonts w:cstheme="minorHAnsi"/>
          <w:b/>
          <w:bCs/>
          <w:szCs w:val="24"/>
        </w:rPr>
        <w:t>new ITU-D contribution to the ITU Strategic Plan for the next period (2028-2031)</w:t>
      </w:r>
      <w:r w:rsidRPr="002874E2">
        <w:rPr>
          <w:rFonts w:cstheme="minorHAnsi"/>
          <w:szCs w:val="24"/>
        </w:rPr>
        <w:t xml:space="preserve"> may be developed after Working Group agrees on the draft new ITU-D Priorities, </w:t>
      </w:r>
      <w:proofErr w:type="gramStart"/>
      <w:r w:rsidRPr="002874E2">
        <w:rPr>
          <w:rFonts w:cstheme="minorHAnsi"/>
          <w:szCs w:val="24"/>
        </w:rPr>
        <w:t>taking into account</w:t>
      </w:r>
      <w:proofErr w:type="gramEnd"/>
      <w:r w:rsidRPr="002874E2">
        <w:rPr>
          <w:rFonts w:cstheme="minorHAnsi"/>
          <w:szCs w:val="24"/>
        </w:rPr>
        <w:t xml:space="preserve"> the work of the Council Working Group for strategic and financial plans 2028-2031 (CWG-SFP) and other relevant updates.</w:t>
      </w:r>
    </w:p>
    <w:p w14:paraId="2C300DB3" w14:textId="77777777" w:rsidR="002874E2" w:rsidRPr="002874E2" w:rsidRDefault="002874E2" w:rsidP="002A63E0">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874E2">
        <w:rPr>
          <w:rFonts w:cstheme="minorHAnsi"/>
          <w:szCs w:val="24"/>
        </w:rPr>
        <w:t>To start work on the next WTDC Action Plan</w:t>
      </w:r>
      <w:r w:rsidRPr="002874E2">
        <w:rPr>
          <w:rStyle w:val="FootnoteReference"/>
          <w:rFonts w:cstheme="minorHAnsi"/>
          <w:sz w:val="24"/>
          <w:szCs w:val="24"/>
        </w:rPr>
        <w:footnoteReference w:id="1"/>
      </w:r>
      <w:r w:rsidRPr="002874E2">
        <w:rPr>
          <w:rFonts w:cstheme="minorHAnsi"/>
          <w:szCs w:val="24"/>
        </w:rPr>
        <w:t xml:space="preserve"> – </w:t>
      </w:r>
      <w:r w:rsidRPr="002874E2">
        <w:rPr>
          <w:rFonts w:cstheme="minorHAnsi"/>
          <w:b/>
          <w:bCs/>
          <w:szCs w:val="24"/>
        </w:rPr>
        <w:t>Baku Action Plan</w:t>
      </w:r>
      <w:r w:rsidRPr="002874E2">
        <w:rPr>
          <w:rFonts w:cstheme="minorHAnsi"/>
          <w:szCs w:val="24"/>
        </w:rPr>
        <w:t xml:space="preserve"> – from the structure. Members of the WG are invited to consider the Proposed Structure of Baku Action Plan as provided in the Annex 1 of this Chair’s Note.</w:t>
      </w:r>
    </w:p>
    <w:p w14:paraId="37831924" w14:textId="77777777" w:rsidR="002874E2" w:rsidRPr="002874E2" w:rsidRDefault="002874E2" w:rsidP="002A63E0">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874E2">
        <w:rPr>
          <w:rFonts w:cstheme="minorHAnsi"/>
          <w:szCs w:val="24"/>
        </w:rPr>
        <w:t xml:space="preserve">To propose </w:t>
      </w:r>
      <w:r w:rsidRPr="002874E2">
        <w:rPr>
          <w:rFonts w:cstheme="minorHAnsi"/>
          <w:b/>
          <w:bCs/>
          <w:szCs w:val="24"/>
        </w:rPr>
        <w:t>Recommendations for the Draft Operational Plan</w:t>
      </w:r>
      <w:r w:rsidRPr="002874E2">
        <w:rPr>
          <w:rFonts w:cstheme="minorHAnsi"/>
          <w:szCs w:val="24"/>
        </w:rPr>
        <w:t xml:space="preserve"> in written form for the next WG meeting. If there are any proposals during the meeting of 26</w:t>
      </w:r>
      <w:r w:rsidRPr="002874E2">
        <w:rPr>
          <w:rFonts w:cstheme="minorHAnsi"/>
          <w:szCs w:val="24"/>
          <w:vertAlign w:val="superscript"/>
        </w:rPr>
        <w:t>th</w:t>
      </w:r>
      <w:r w:rsidRPr="002874E2">
        <w:rPr>
          <w:rFonts w:cstheme="minorHAnsi"/>
          <w:szCs w:val="24"/>
        </w:rPr>
        <w:t xml:space="preserve"> March, they will be properly captured in the Report and included into final list of Recommendations. </w:t>
      </w:r>
    </w:p>
    <w:p w14:paraId="29FE2BDA" w14:textId="77777777" w:rsidR="002874E2" w:rsidRPr="002874E2" w:rsidRDefault="002874E2" w:rsidP="002A63E0">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874E2">
        <w:rPr>
          <w:rFonts w:cstheme="minorHAnsi"/>
          <w:b/>
          <w:bCs/>
          <w:szCs w:val="24"/>
        </w:rPr>
        <w:t>Report to the TDAG-24</w:t>
      </w:r>
      <w:r w:rsidRPr="002874E2">
        <w:rPr>
          <w:rFonts w:cstheme="minorHAnsi"/>
          <w:szCs w:val="24"/>
        </w:rPr>
        <w:t xml:space="preserve"> about results of this Working Group will be prepared and submitted after the last meeting of the WG.</w:t>
      </w:r>
    </w:p>
    <w:p w14:paraId="6A601B98" w14:textId="77777777" w:rsidR="002874E2" w:rsidRPr="002874E2" w:rsidRDefault="002874E2" w:rsidP="002874E2">
      <w:pPr>
        <w:spacing w:after="120"/>
        <w:rPr>
          <w:rFonts w:cstheme="minorHAnsi"/>
          <w:szCs w:val="24"/>
        </w:rPr>
      </w:pPr>
      <w:r w:rsidRPr="002874E2">
        <w:rPr>
          <w:rFonts w:cstheme="minorHAnsi"/>
          <w:szCs w:val="24"/>
        </w:rPr>
        <w:t>The Chair of TDAG-WG-ITUDP is open to any views regarding the proposals expressed in this document.</w:t>
      </w:r>
    </w:p>
    <w:p w14:paraId="7AFAD270" w14:textId="77777777" w:rsidR="002874E2" w:rsidRDefault="002874E2">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62A31C35" w14:textId="47A40905" w:rsidR="002874E2" w:rsidRPr="002874E2" w:rsidRDefault="002874E2" w:rsidP="002874E2">
      <w:pPr>
        <w:spacing w:after="120"/>
        <w:ind w:right="960"/>
        <w:rPr>
          <w:rFonts w:cstheme="minorHAnsi"/>
          <w:b/>
          <w:bCs/>
          <w:szCs w:val="24"/>
        </w:rPr>
      </w:pPr>
      <w:r w:rsidRPr="002874E2">
        <w:rPr>
          <w:rFonts w:cstheme="minorHAnsi"/>
          <w:b/>
          <w:bCs/>
          <w:szCs w:val="24"/>
        </w:rPr>
        <w:lastRenderedPageBreak/>
        <w:t>ANNEX 1</w:t>
      </w:r>
    </w:p>
    <w:p w14:paraId="4BDE89F9" w14:textId="77777777" w:rsidR="002874E2" w:rsidRPr="002874E2" w:rsidRDefault="002874E2" w:rsidP="002874E2">
      <w:pPr>
        <w:spacing w:after="120"/>
        <w:rPr>
          <w:rFonts w:cstheme="minorHAnsi"/>
          <w:b/>
          <w:bCs/>
          <w:szCs w:val="24"/>
        </w:rPr>
      </w:pPr>
      <w:r w:rsidRPr="002874E2">
        <w:rPr>
          <w:rFonts w:cstheme="minorHAnsi"/>
          <w:b/>
          <w:bCs/>
          <w:szCs w:val="24"/>
        </w:rPr>
        <w:t>Proposed structure of Baku Action Plan</w:t>
      </w:r>
    </w:p>
    <w:p w14:paraId="03A83A0F" w14:textId="5D0FB3F4" w:rsidR="002874E2"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2874E2">
        <w:rPr>
          <w:rFonts w:cstheme="minorHAnsi"/>
          <w:szCs w:val="24"/>
        </w:rPr>
        <w:t>Introduction</w:t>
      </w:r>
    </w:p>
    <w:p w14:paraId="67C80B84" w14:textId="0502F222" w:rsidR="002874E2"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2874E2">
        <w:rPr>
          <w:rFonts w:cstheme="minorHAnsi"/>
          <w:szCs w:val="24"/>
        </w:rPr>
        <w:t>Terminology</w:t>
      </w:r>
    </w:p>
    <w:p w14:paraId="006EBE65" w14:textId="3C4A2F3C" w:rsidR="002874E2"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2874E2">
        <w:rPr>
          <w:rFonts w:cstheme="minorHAnsi"/>
          <w:szCs w:val="24"/>
        </w:rPr>
        <w:t>ITU-D priorities, outcomes, outputs and enablers</w:t>
      </w:r>
    </w:p>
    <w:p w14:paraId="338ACA56" w14:textId="3E777AEC" w:rsidR="002874E2"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2874E2">
        <w:rPr>
          <w:rFonts w:cstheme="minorHAnsi"/>
          <w:szCs w:val="24"/>
        </w:rPr>
        <w:t>Regional initiatives</w:t>
      </w:r>
    </w:p>
    <w:p w14:paraId="6E810E12" w14:textId="08B37D10" w:rsidR="002874E2"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2874E2">
        <w:rPr>
          <w:rFonts w:cstheme="minorHAnsi"/>
          <w:szCs w:val="24"/>
        </w:rPr>
        <w:t>Resolutions</w:t>
      </w:r>
    </w:p>
    <w:p w14:paraId="6805C328" w14:textId="68D193AB" w:rsidR="002874E2"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2874E2">
        <w:rPr>
          <w:rFonts w:cstheme="minorHAnsi"/>
          <w:szCs w:val="24"/>
        </w:rPr>
        <w:t>Study groups</w:t>
      </w:r>
    </w:p>
    <w:p w14:paraId="1C7838FF" w14:textId="7B46D4F3" w:rsidR="00282AEB" w:rsidRPr="002874E2" w:rsidRDefault="002874E2" w:rsidP="002874E2">
      <w:pPr>
        <w:numPr>
          <w:ilvl w:val="0"/>
          <w:numId w:val="4"/>
        </w:num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2874E2">
        <w:rPr>
          <w:rFonts w:cstheme="minorHAnsi"/>
          <w:szCs w:val="24"/>
        </w:rPr>
        <w:t>Linkages and mapping</w:t>
      </w:r>
    </w:p>
    <w:p w14:paraId="7759C759" w14:textId="0FEA5014" w:rsidR="00821996" w:rsidRPr="004573D4" w:rsidRDefault="003C58BF" w:rsidP="005A4AB8">
      <w:pPr>
        <w:tabs>
          <w:tab w:val="clear" w:pos="794"/>
          <w:tab w:val="clear" w:pos="1191"/>
          <w:tab w:val="clear" w:pos="1588"/>
          <w:tab w:val="clear" w:pos="1985"/>
        </w:tabs>
        <w:spacing w:after="120"/>
        <w:jc w:val="center"/>
        <w:rPr>
          <w:lang w:val="en-US"/>
        </w:rPr>
      </w:pPr>
      <w:bookmarkStart w:id="5" w:name="Proposal"/>
      <w:bookmarkEnd w:id="5"/>
      <w:r w:rsidRPr="004573D4">
        <w:rPr>
          <w:lang w:val="en-US"/>
        </w:rPr>
        <w:t>_____________</w:t>
      </w:r>
      <w:r w:rsidR="004122C5" w:rsidRPr="004573D4">
        <w:rPr>
          <w:lang w:val="en-US"/>
        </w:rPr>
        <w:t>_</w:t>
      </w:r>
      <w:r w:rsidR="00922EC1" w:rsidRPr="004573D4">
        <w:rPr>
          <w:lang w:val="en-US"/>
        </w:rPr>
        <w:t>_</w:t>
      </w:r>
    </w:p>
    <w:sectPr w:rsidR="00821996" w:rsidRPr="004573D4" w:rsidSect="0016102F">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733B" w14:textId="77777777" w:rsidR="00722B8C" w:rsidRDefault="00722B8C">
      <w:r>
        <w:separator/>
      </w:r>
    </w:p>
  </w:endnote>
  <w:endnote w:type="continuationSeparator" w:id="0">
    <w:p w14:paraId="2DDF91FC" w14:textId="77777777" w:rsidR="00722B8C" w:rsidRDefault="0072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A61226" w:rsidRPr="004D495C" w14:paraId="695D1810" w14:textId="77777777" w:rsidTr="00A61226">
      <w:tc>
        <w:tcPr>
          <w:tcW w:w="1526" w:type="dxa"/>
          <w:tcBorders>
            <w:top w:val="single" w:sz="4" w:space="0" w:color="000000"/>
          </w:tcBorders>
          <w:shd w:val="clear" w:color="auto" w:fill="auto"/>
        </w:tcPr>
        <w:p w14:paraId="746E5A61" w14:textId="77777777" w:rsidR="00A61226" w:rsidRPr="004D495C" w:rsidRDefault="00A61226" w:rsidP="00A6122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A61226" w:rsidRPr="004D495C" w:rsidRDefault="00A61226" w:rsidP="00A6122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ADF83E8" w14:textId="1FCBEFE2" w:rsidR="00A61226" w:rsidRDefault="00A61226" w:rsidP="00A61226">
          <w:pPr>
            <w:pStyle w:val="FirstFooter"/>
            <w:tabs>
              <w:tab w:val="left" w:pos="2302"/>
            </w:tabs>
            <w:rPr>
              <w:sz w:val="18"/>
              <w:szCs w:val="18"/>
              <w:lang w:val="en-GB"/>
            </w:rPr>
          </w:pPr>
          <w:r w:rsidRPr="00993E45">
            <w:rPr>
              <w:sz w:val="18"/>
              <w:szCs w:val="18"/>
              <w:lang w:val="en-GB"/>
            </w:rPr>
            <w:t>M</w:t>
          </w:r>
          <w:r w:rsidR="00D574E2">
            <w:rPr>
              <w:sz w:val="18"/>
              <w:szCs w:val="18"/>
              <w:lang w:val="en-GB"/>
            </w:rPr>
            <w:t>s</w:t>
          </w:r>
          <w:r w:rsidRPr="00993E45">
            <w:rPr>
              <w:sz w:val="18"/>
              <w:szCs w:val="18"/>
              <w:lang w:val="en-GB"/>
            </w:rPr>
            <w:t xml:space="preserve"> </w:t>
          </w:r>
          <w:r w:rsidR="00D574E2">
            <w:rPr>
              <w:sz w:val="18"/>
              <w:szCs w:val="18"/>
              <w:lang w:val="en-GB"/>
            </w:rPr>
            <w:t>Inga Rimkevi</w:t>
          </w:r>
          <w:r w:rsidR="00D574E2">
            <w:rPr>
              <w:sz w:val="18"/>
              <w:szCs w:val="18"/>
              <w:lang w:val="lt-LT"/>
            </w:rPr>
            <w:t>čienė</w:t>
          </w:r>
          <w:r w:rsidRPr="006A1886">
            <w:rPr>
              <w:sz w:val="18"/>
              <w:szCs w:val="18"/>
              <w:lang w:val="en-GB"/>
            </w:rPr>
            <w:t xml:space="preserve">, </w:t>
          </w:r>
          <w:r w:rsidRPr="00E92A17">
            <w:rPr>
              <w:sz w:val="18"/>
              <w:szCs w:val="18"/>
              <w:lang w:val="en-GB"/>
            </w:rPr>
            <w:t xml:space="preserve">Communications </w:t>
          </w:r>
          <w:r w:rsidR="00D574E2">
            <w:rPr>
              <w:sz w:val="18"/>
              <w:szCs w:val="18"/>
              <w:lang w:val="en-GB"/>
            </w:rPr>
            <w:t xml:space="preserve">Regulatory </w:t>
          </w:r>
          <w:r w:rsidRPr="00E92A17">
            <w:rPr>
              <w:sz w:val="18"/>
              <w:szCs w:val="18"/>
              <w:lang w:val="en-GB"/>
            </w:rPr>
            <w:t>Authority (</w:t>
          </w:r>
          <w:r w:rsidR="00D574E2">
            <w:rPr>
              <w:sz w:val="18"/>
              <w:szCs w:val="18"/>
              <w:lang w:val="en-GB"/>
            </w:rPr>
            <w:t>RRT</w:t>
          </w:r>
          <w:r w:rsidRPr="00E92A17">
            <w:rPr>
              <w:sz w:val="18"/>
              <w:szCs w:val="18"/>
              <w:lang w:val="en-GB"/>
            </w:rPr>
            <w:t>)</w:t>
          </w:r>
          <w:r w:rsidR="00BE1DEA">
            <w:rPr>
              <w:sz w:val="18"/>
              <w:szCs w:val="18"/>
              <w:lang w:val="en-GB"/>
            </w:rPr>
            <w:t xml:space="preserve">, </w:t>
          </w:r>
          <w:r w:rsidR="00D574E2">
            <w:rPr>
              <w:sz w:val="18"/>
              <w:szCs w:val="18"/>
              <w:lang w:val="en-GB"/>
            </w:rPr>
            <w:t>Lithuania</w:t>
          </w:r>
          <w:r w:rsidRPr="00993E45">
            <w:rPr>
              <w:sz w:val="18"/>
              <w:szCs w:val="18"/>
              <w:lang w:val="en-GB"/>
            </w:rPr>
            <w:t xml:space="preserve"> </w:t>
          </w:r>
          <w:r>
            <w:rPr>
              <w:sz w:val="18"/>
              <w:szCs w:val="18"/>
              <w:lang w:val="en-GB"/>
            </w:rPr>
            <w:br/>
          </w:r>
          <w:r w:rsidRPr="00993E45">
            <w:rPr>
              <w:sz w:val="18"/>
              <w:szCs w:val="18"/>
              <w:lang w:val="en-GB"/>
            </w:rPr>
            <w:t xml:space="preserve">Chair, TDAG Working Group on </w:t>
          </w:r>
          <w:r>
            <w:rPr>
              <w:sz w:val="18"/>
              <w:szCs w:val="18"/>
              <w:lang w:val="en-GB"/>
            </w:rPr>
            <w:t>ITU-D Priorities</w:t>
          </w:r>
        </w:p>
      </w:tc>
      <w:bookmarkStart w:id="6" w:name="OrgName"/>
      <w:bookmarkEnd w:id="6"/>
    </w:tr>
    <w:tr w:rsidR="00A61226" w:rsidRPr="004D495C" w14:paraId="0299A231" w14:textId="77777777" w:rsidTr="00A61226">
      <w:tc>
        <w:tcPr>
          <w:tcW w:w="1526" w:type="dxa"/>
          <w:shd w:val="clear" w:color="auto" w:fill="auto"/>
        </w:tcPr>
        <w:p w14:paraId="35CBC438" w14:textId="77777777" w:rsidR="00A61226" w:rsidRPr="004D495C" w:rsidRDefault="00A61226" w:rsidP="00A61226">
          <w:pPr>
            <w:pStyle w:val="FirstFooter"/>
            <w:tabs>
              <w:tab w:val="left" w:pos="1559"/>
              <w:tab w:val="left" w:pos="3828"/>
            </w:tabs>
            <w:rPr>
              <w:sz w:val="20"/>
              <w:lang w:val="en-US"/>
            </w:rPr>
          </w:pPr>
        </w:p>
      </w:tc>
      <w:tc>
        <w:tcPr>
          <w:tcW w:w="2410" w:type="dxa"/>
          <w:shd w:val="clear" w:color="auto" w:fill="auto"/>
        </w:tcPr>
        <w:p w14:paraId="65335E06" w14:textId="77777777" w:rsidR="00A61226" w:rsidRPr="004D495C" w:rsidRDefault="00A61226" w:rsidP="00A61226">
          <w:pPr>
            <w:pStyle w:val="FirstFooter"/>
            <w:tabs>
              <w:tab w:val="left" w:pos="2302"/>
            </w:tabs>
            <w:rPr>
              <w:sz w:val="18"/>
              <w:szCs w:val="18"/>
              <w:lang w:val="en-US"/>
            </w:rPr>
          </w:pPr>
          <w:r w:rsidRPr="004D495C">
            <w:rPr>
              <w:sz w:val="18"/>
              <w:szCs w:val="18"/>
              <w:lang w:val="en-US"/>
            </w:rPr>
            <w:t>E-mail:</w:t>
          </w:r>
        </w:p>
      </w:tc>
      <w:tc>
        <w:tcPr>
          <w:tcW w:w="5987" w:type="dxa"/>
        </w:tcPr>
        <w:p w14:paraId="08E7E8DF" w14:textId="35FBB199" w:rsidR="00A61226" w:rsidRDefault="00755869" w:rsidP="00A61226">
          <w:pPr>
            <w:pStyle w:val="FirstFooter"/>
            <w:tabs>
              <w:tab w:val="left" w:pos="2302"/>
            </w:tabs>
          </w:pPr>
          <w:hyperlink r:id="rId1" w:history="1">
            <w:r w:rsidRPr="009F12B2">
              <w:rPr>
                <w:rStyle w:val="Hyperlink"/>
                <w:sz w:val="18"/>
                <w:szCs w:val="18"/>
              </w:rPr>
              <w:t>inga.rimkeviciene</w:t>
            </w:r>
            <w:r w:rsidRPr="009F12B2">
              <w:rPr>
                <w:rStyle w:val="Hyperlink"/>
                <w:sz w:val="18"/>
                <w:szCs w:val="18"/>
                <w:lang w:val="en-US"/>
              </w:rPr>
              <w:t>@rrt.lt</w:t>
            </w:r>
          </w:hyperlink>
          <w:r w:rsidR="002874E2">
            <w:rPr>
              <w:sz w:val="18"/>
              <w:szCs w:val="18"/>
              <w:lang w:val="en-US"/>
            </w:rPr>
            <w:t xml:space="preserve"> </w:t>
          </w:r>
        </w:p>
      </w:tc>
      <w:bookmarkStart w:id="7" w:name="Email"/>
      <w:bookmarkEnd w:id="7"/>
    </w:tr>
  </w:tbl>
  <w:p w14:paraId="40A321D0" w14:textId="19B70CC0" w:rsidR="00721657" w:rsidRPr="004146FD" w:rsidRDefault="00721657" w:rsidP="00A61226">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788D" w14:textId="77777777" w:rsidR="00722B8C" w:rsidRDefault="00722B8C">
      <w:r>
        <w:t>____________________</w:t>
      </w:r>
    </w:p>
  </w:footnote>
  <w:footnote w:type="continuationSeparator" w:id="0">
    <w:p w14:paraId="6657792E" w14:textId="77777777" w:rsidR="00722B8C" w:rsidRDefault="00722B8C">
      <w:r>
        <w:continuationSeparator/>
      </w:r>
    </w:p>
  </w:footnote>
  <w:footnote w:id="1">
    <w:p w14:paraId="2BDBEF02" w14:textId="77777777" w:rsidR="002874E2" w:rsidRPr="002874E2" w:rsidRDefault="002874E2" w:rsidP="002874E2">
      <w:pPr>
        <w:pStyle w:val="FootnoteText"/>
        <w:spacing w:before="0"/>
        <w:ind w:left="0" w:firstLine="0"/>
        <w:jc w:val="both"/>
        <w:rPr>
          <w:sz w:val="20"/>
        </w:rPr>
      </w:pPr>
      <w:r w:rsidRPr="002874E2">
        <w:rPr>
          <w:rStyle w:val="FootnoteReference"/>
          <w:sz w:val="20"/>
        </w:rPr>
        <w:footnoteRef/>
      </w:r>
      <w:r w:rsidRPr="002874E2">
        <w:rPr>
          <w:sz w:val="20"/>
        </w:rPr>
        <w:t xml:space="preserve"> The Kigali Action Plan describes the ITU-D priorities and scope of activities and asso</w:t>
      </w:r>
      <w:r w:rsidRPr="002874E2">
        <w:rPr>
          <w:sz w:val="20"/>
        </w:rPr>
        <w:softHyphen/>
        <w:t xml:space="preserve">ciated outcomes and outputs for the period 2023-2027 and includes KPIs. The ITU-D action plan may be updated or modified by TDAG to reflect the ITU strategic plan, changes in the telecommunication/ICT environment and/or </w:t>
      </w:r>
      <w:proofErr w:type="gramStart"/>
      <w:r w:rsidRPr="002874E2">
        <w:rPr>
          <w:sz w:val="20"/>
        </w:rPr>
        <w:t>as a result of</w:t>
      </w:r>
      <w:proofErr w:type="gramEnd"/>
      <w:r w:rsidRPr="002874E2">
        <w:rPr>
          <w:sz w:val="20"/>
        </w:rPr>
        <w:t xml:space="preserve"> the perfor</w:t>
      </w:r>
      <w:r w:rsidRPr="002874E2">
        <w:rPr>
          <w:sz w:val="20"/>
        </w:rPr>
        <w:softHyphen/>
        <w:t>mance evaluation to be conducted each year. (</w:t>
      </w:r>
      <w:r w:rsidRPr="002874E2">
        <w:rPr>
          <w:i/>
          <w:iCs/>
          <w:sz w:val="20"/>
        </w:rPr>
        <w:t>Kigali Action Plan, page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409D154"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w:t>
    </w:r>
    <w:r w:rsidR="002874E2">
      <w:rPr>
        <w:sz w:val="22"/>
        <w:szCs w:val="22"/>
        <w:lang w:val="de-CH"/>
      </w:rPr>
      <w:t>ITUDP</w:t>
    </w:r>
    <w:r w:rsidRPr="006D4EA0">
      <w:rPr>
        <w:sz w:val="22"/>
        <w:szCs w:val="22"/>
        <w:lang w:val="de-CH"/>
      </w:rPr>
      <w:t>/</w:t>
    </w:r>
    <w:r w:rsidR="002874E2">
      <w:rPr>
        <w:sz w:val="22"/>
        <w:szCs w:val="22"/>
        <w:lang w:val="de-CH"/>
      </w:rPr>
      <w:t>8</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4441"/>
    <w:multiLevelType w:val="hybridMultilevel"/>
    <w:tmpl w:val="B09835BE"/>
    <w:lvl w:ilvl="0" w:tplc="FFFFFFFF">
      <w:start w:val="1"/>
      <w:numFmt w:val="decimal"/>
      <w:lvlText w:val="%1."/>
      <w:lvlJc w:val="left"/>
      <w:pPr>
        <w:ind w:left="360" w:hanging="360"/>
      </w:pPr>
    </w:lvl>
    <w:lvl w:ilvl="1" w:tplc="93E6492E">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05F6B14"/>
    <w:multiLevelType w:val="multilevel"/>
    <w:tmpl w:val="7C647170"/>
    <w:lvl w:ilvl="0">
      <w:start w:val="1"/>
      <w:numFmt w:val="decimal"/>
      <w:lvlText w:val="%1."/>
      <w:lvlJc w:val="left"/>
      <w:pPr>
        <w:ind w:left="360" w:hanging="36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16174F6"/>
    <w:multiLevelType w:val="hybridMultilevel"/>
    <w:tmpl w:val="83DC1E10"/>
    <w:lvl w:ilvl="0" w:tplc="0409000F">
      <w:start w:val="1"/>
      <w:numFmt w:val="decimal"/>
      <w:lvlText w:val="%1."/>
      <w:lvlJc w:val="left"/>
      <w:pPr>
        <w:ind w:left="360" w:hanging="360"/>
      </w:pPr>
    </w:lvl>
    <w:lvl w:ilvl="1" w:tplc="93E6492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8513E1"/>
    <w:multiLevelType w:val="hybridMultilevel"/>
    <w:tmpl w:val="96E8B922"/>
    <w:lvl w:ilvl="0" w:tplc="06486774">
      <w:start w:val="1"/>
      <w:numFmt w:val="decimal"/>
      <w:lvlText w:val="%1."/>
      <w:lvlJc w:val="left"/>
      <w:pPr>
        <w:tabs>
          <w:tab w:val="num" w:pos="720"/>
        </w:tabs>
        <w:ind w:left="720" w:hanging="360"/>
      </w:pPr>
    </w:lvl>
    <w:lvl w:ilvl="1" w:tplc="54744E0C" w:tentative="1">
      <w:start w:val="1"/>
      <w:numFmt w:val="decimal"/>
      <w:lvlText w:val="%2."/>
      <w:lvlJc w:val="left"/>
      <w:pPr>
        <w:tabs>
          <w:tab w:val="num" w:pos="1440"/>
        </w:tabs>
        <w:ind w:left="1440" w:hanging="360"/>
      </w:pPr>
    </w:lvl>
    <w:lvl w:ilvl="2" w:tplc="9A82FC12" w:tentative="1">
      <w:start w:val="1"/>
      <w:numFmt w:val="decimal"/>
      <w:lvlText w:val="%3."/>
      <w:lvlJc w:val="left"/>
      <w:pPr>
        <w:tabs>
          <w:tab w:val="num" w:pos="2160"/>
        </w:tabs>
        <w:ind w:left="2160" w:hanging="360"/>
      </w:pPr>
    </w:lvl>
    <w:lvl w:ilvl="3" w:tplc="087A9C9C" w:tentative="1">
      <w:start w:val="1"/>
      <w:numFmt w:val="decimal"/>
      <w:lvlText w:val="%4."/>
      <w:lvlJc w:val="left"/>
      <w:pPr>
        <w:tabs>
          <w:tab w:val="num" w:pos="2880"/>
        </w:tabs>
        <w:ind w:left="2880" w:hanging="360"/>
      </w:pPr>
    </w:lvl>
    <w:lvl w:ilvl="4" w:tplc="9042AC88" w:tentative="1">
      <w:start w:val="1"/>
      <w:numFmt w:val="decimal"/>
      <w:lvlText w:val="%5."/>
      <w:lvlJc w:val="left"/>
      <w:pPr>
        <w:tabs>
          <w:tab w:val="num" w:pos="3600"/>
        </w:tabs>
        <w:ind w:left="3600" w:hanging="360"/>
      </w:pPr>
    </w:lvl>
    <w:lvl w:ilvl="5" w:tplc="52841EB0" w:tentative="1">
      <w:start w:val="1"/>
      <w:numFmt w:val="decimal"/>
      <w:lvlText w:val="%6."/>
      <w:lvlJc w:val="left"/>
      <w:pPr>
        <w:tabs>
          <w:tab w:val="num" w:pos="4320"/>
        </w:tabs>
        <w:ind w:left="4320" w:hanging="360"/>
      </w:pPr>
    </w:lvl>
    <w:lvl w:ilvl="6" w:tplc="99B42EA0" w:tentative="1">
      <w:start w:val="1"/>
      <w:numFmt w:val="decimal"/>
      <w:lvlText w:val="%7."/>
      <w:lvlJc w:val="left"/>
      <w:pPr>
        <w:tabs>
          <w:tab w:val="num" w:pos="5040"/>
        </w:tabs>
        <w:ind w:left="5040" w:hanging="360"/>
      </w:pPr>
    </w:lvl>
    <w:lvl w:ilvl="7" w:tplc="F91AF3A4" w:tentative="1">
      <w:start w:val="1"/>
      <w:numFmt w:val="decimal"/>
      <w:lvlText w:val="%8."/>
      <w:lvlJc w:val="left"/>
      <w:pPr>
        <w:tabs>
          <w:tab w:val="num" w:pos="5760"/>
        </w:tabs>
        <w:ind w:left="5760" w:hanging="360"/>
      </w:pPr>
    </w:lvl>
    <w:lvl w:ilvl="8" w:tplc="973A39FC" w:tentative="1">
      <w:start w:val="1"/>
      <w:numFmt w:val="decimal"/>
      <w:lvlText w:val="%9."/>
      <w:lvlJc w:val="left"/>
      <w:pPr>
        <w:tabs>
          <w:tab w:val="num" w:pos="6480"/>
        </w:tabs>
        <w:ind w:left="6480" w:hanging="360"/>
      </w:pPr>
    </w:lvl>
  </w:abstractNum>
  <w:num w:numId="1" w16cid:durableId="771588005">
    <w:abstractNumId w:val="4"/>
  </w:num>
  <w:num w:numId="2" w16cid:durableId="635572568">
    <w:abstractNumId w:val="2"/>
  </w:num>
  <w:num w:numId="3" w16cid:durableId="373234560">
    <w:abstractNumId w:val="1"/>
  </w:num>
  <w:num w:numId="4" w16cid:durableId="1996882467">
    <w:abstractNumId w:val="6"/>
  </w:num>
  <w:num w:numId="5" w16cid:durableId="1329554998">
    <w:abstractNumId w:val="5"/>
  </w:num>
  <w:num w:numId="6" w16cid:durableId="1877546763">
    <w:abstractNumId w:val="3"/>
  </w:num>
  <w:num w:numId="7" w16cid:durableId="78473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52"/>
    <w:rsid w:val="00015089"/>
    <w:rsid w:val="00021196"/>
    <w:rsid w:val="0002520B"/>
    <w:rsid w:val="00030397"/>
    <w:rsid w:val="00037A9E"/>
    <w:rsid w:val="00037F91"/>
    <w:rsid w:val="000403AB"/>
    <w:rsid w:val="000539F1"/>
    <w:rsid w:val="00054747"/>
    <w:rsid w:val="00055A2A"/>
    <w:rsid w:val="000615C1"/>
    <w:rsid w:val="00061675"/>
    <w:rsid w:val="000743AA"/>
    <w:rsid w:val="00080C61"/>
    <w:rsid w:val="0008109F"/>
    <w:rsid w:val="0009076F"/>
    <w:rsid w:val="0009225C"/>
    <w:rsid w:val="000A17C4"/>
    <w:rsid w:val="000A36A4"/>
    <w:rsid w:val="000A57B0"/>
    <w:rsid w:val="000B0A29"/>
    <w:rsid w:val="000B2352"/>
    <w:rsid w:val="000B2B73"/>
    <w:rsid w:val="000C6646"/>
    <w:rsid w:val="000C6BEE"/>
    <w:rsid w:val="000C7B84"/>
    <w:rsid w:val="000D261B"/>
    <w:rsid w:val="000D3C31"/>
    <w:rsid w:val="000D58A3"/>
    <w:rsid w:val="000E3577"/>
    <w:rsid w:val="000E3ED4"/>
    <w:rsid w:val="000E3F9C"/>
    <w:rsid w:val="000F1550"/>
    <w:rsid w:val="000F251B"/>
    <w:rsid w:val="000F5FE8"/>
    <w:rsid w:val="000F6644"/>
    <w:rsid w:val="00100833"/>
    <w:rsid w:val="00102F72"/>
    <w:rsid w:val="00105332"/>
    <w:rsid w:val="00107E85"/>
    <w:rsid w:val="00113EE8"/>
    <w:rsid w:val="0011455A"/>
    <w:rsid w:val="00114A65"/>
    <w:rsid w:val="00133061"/>
    <w:rsid w:val="0013591E"/>
    <w:rsid w:val="00141699"/>
    <w:rsid w:val="00147000"/>
    <w:rsid w:val="00153DE8"/>
    <w:rsid w:val="0016102F"/>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0AF"/>
    <w:rsid w:val="001A163D"/>
    <w:rsid w:val="001A441E"/>
    <w:rsid w:val="001A6733"/>
    <w:rsid w:val="001B357F"/>
    <w:rsid w:val="001C3444"/>
    <w:rsid w:val="001C3702"/>
    <w:rsid w:val="001C4656"/>
    <w:rsid w:val="001C46BC"/>
    <w:rsid w:val="001D1E06"/>
    <w:rsid w:val="001D48B0"/>
    <w:rsid w:val="001F23E6"/>
    <w:rsid w:val="001F4238"/>
    <w:rsid w:val="001F5EFA"/>
    <w:rsid w:val="00200A38"/>
    <w:rsid w:val="00200A46"/>
    <w:rsid w:val="00211B6F"/>
    <w:rsid w:val="002148C6"/>
    <w:rsid w:val="00217CC3"/>
    <w:rsid w:val="00220AB6"/>
    <w:rsid w:val="0022120F"/>
    <w:rsid w:val="0022754A"/>
    <w:rsid w:val="002316BB"/>
    <w:rsid w:val="00236560"/>
    <w:rsid w:val="0023662E"/>
    <w:rsid w:val="00245D0F"/>
    <w:rsid w:val="002548C3"/>
    <w:rsid w:val="00257ACD"/>
    <w:rsid w:val="00260CF1"/>
    <w:rsid w:val="00262908"/>
    <w:rsid w:val="00263360"/>
    <w:rsid w:val="002650F4"/>
    <w:rsid w:val="002715FD"/>
    <w:rsid w:val="002770B1"/>
    <w:rsid w:val="00282AEB"/>
    <w:rsid w:val="00285B33"/>
    <w:rsid w:val="002874E2"/>
    <w:rsid w:val="00287A3C"/>
    <w:rsid w:val="002A2FC6"/>
    <w:rsid w:val="002A63E0"/>
    <w:rsid w:val="002A6754"/>
    <w:rsid w:val="002B6069"/>
    <w:rsid w:val="002C1EC7"/>
    <w:rsid w:val="002C3015"/>
    <w:rsid w:val="002C4342"/>
    <w:rsid w:val="002C7EA3"/>
    <w:rsid w:val="002D0C2B"/>
    <w:rsid w:val="002D20AE"/>
    <w:rsid w:val="002D6C61"/>
    <w:rsid w:val="002E2104"/>
    <w:rsid w:val="002E2AAB"/>
    <w:rsid w:val="002E2DAC"/>
    <w:rsid w:val="002E456B"/>
    <w:rsid w:val="002E59D8"/>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3A7C"/>
    <w:rsid w:val="0035516C"/>
    <w:rsid w:val="00355A4C"/>
    <w:rsid w:val="003604FB"/>
    <w:rsid w:val="00360B73"/>
    <w:rsid w:val="0037201B"/>
    <w:rsid w:val="00380B71"/>
    <w:rsid w:val="0038365A"/>
    <w:rsid w:val="00383C3C"/>
    <w:rsid w:val="00386A89"/>
    <w:rsid w:val="0039155B"/>
    <w:rsid w:val="00391FF6"/>
    <w:rsid w:val="0039648E"/>
    <w:rsid w:val="003A5AFE"/>
    <w:rsid w:val="003A5D5F"/>
    <w:rsid w:val="003A7FFE"/>
    <w:rsid w:val="003B0A63"/>
    <w:rsid w:val="003B50E1"/>
    <w:rsid w:val="003C1746"/>
    <w:rsid w:val="003C2AA9"/>
    <w:rsid w:val="003C58BF"/>
    <w:rsid w:val="003C59E7"/>
    <w:rsid w:val="003D451D"/>
    <w:rsid w:val="003E6435"/>
    <w:rsid w:val="003F22B9"/>
    <w:rsid w:val="003F2DD8"/>
    <w:rsid w:val="003F3F2D"/>
    <w:rsid w:val="003F50B2"/>
    <w:rsid w:val="00400CCF"/>
    <w:rsid w:val="00401BFF"/>
    <w:rsid w:val="00404424"/>
    <w:rsid w:val="0041156B"/>
    <w:rsid w:val="004122C5"/>
    <w:rsid w:val="00412E07"/>
    <w:rsid w:val="00413B78"/>
    <w:rsid w:val="00414063"/>
    <w:rsid w:val="004146FD"/>
    <w:rsid w:val="00414B43"/>
    <w:rsid w:val="00416DDE"/>
    <w:rsid w:val="0043113F"/>
    <w:rsid w:val="0044411E"/>
    <w:rsid w:val="00453435"/>
    <w:rsid w:val="004573D4"/>
    <w:rsid w:val="00460089"/>
    <w:rsid w:val="00466398"/>
    <w:rsid w:val="004712A4"/>
    <w:rsid w:val="0047306D"/>
    <w:rsid w:val="00473791"/>
    <w:rsid w:val="00476E48"/>
    <w:rsid w:val="00481DE9"/>
    <w:rsid w:val="0049128B"/>
    <w:rsid w:val="00493B49"/>
    <w:rsid w:val="00495501"/>
    <w:rsid w:val="004A070A"/>
    <w:rsid w:val="004A320E"/>
    <w:rsid w:val="004A4C78"/>
    <w:rsid w:val="004A4E9C"/>
    <w:rsid w:val="004B1A3C"/>
    <w:rsid w:val="004D2CC3"/>
    <w:rsid w:val="004D35CB"/>
    <w:rsid w:val="004D7596"/>
    <w:rsid w:val="004D7DAB"/>
    <w:rsid w:val="004E20E5"/>
    <w:rsid w:val="004E64EA"/>
    <w:rsid w:val="004E7828"/>
    <w:rsid w:val="004F46AA"/>
    <w:rsid w:val="004F6A70"/>
    <w:rsid w:val="00500799"/>
    <w:rsid w:val="00500AD7"/>
    <w:rsid w:val="00502ABF"/>
    <w:rsid w:val="00504DB0"/>
    <w:rsid w:val="005078A4"/>
    <w:rsid w:val="00507C35"/>
    <w:rsid w:val="00510735"/>
    <w:rsid w:val="00514D2F"/>
    <w:rsid w:val="00525A1A"/>
    <w:rsid w:val="00533CDD"/>
    <w:rsid w:val="0054420E"/>
    <w:rsid w:val="00544D1B"/>
    <w:rsid w:val="0054579A"/>
    <w:rsid w:val="00545DC0"/>
    <w:rsid w:val="00545F6C"/>
    <w:rsid w:val="005477D9"/>
    <w:rsid w:val="0054784E"/>
    <w:rsid w:val="0055720C"/>
    <w:rsid w:val="00561796"/>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B47DD"/>
    <w:rsid w:val="005B78A0"/>
    <w:rsid w:val="005C2DC2"/>
    <w:rsid w:val="005C304A"/>
    <w:rsid w:val="005C3D69"/>
    <w:rsid w:val="005C7C98"/>
    <w:rsid w:val="005D2C3A"/>
    <w:rsid w:val="005D55A4"/>
    <w:rsid w:val="005D57C8"/>
    <w:rsid w:val="005D7761"/>
    <w:rsid w:val="005E0278"/>
    <w:rsid w:val="005E090D"/>
    <w:rsid w:val="005E35B5"/>
    <w:rsid w:val="005E3CA0"/>
    <w:rsid w:val="005E44B1"/>
    <w:rsid w:val="005E67B0"/>
    <w:rsid w:val="005E7047"/>
    <w:rsid w:val="005E777F"/>
    <w:rsid w:val="005F1CA7"/>
    <w:rsid w:val="005F43DD"/>
    <w:rsid w:val="005F51A9"/>
    <w:rsid w:val="005F6BE1"/>
    <w:rsid w:val="005F7416"/>
    <w:rsid w:val="00600C11"/>
    <w:rsid w:val="00601EAD"/>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564B"/>
    <w:rsid w:val="00690BB2"/>
    <w:rsid w:val="00693D09"/>
    <w:rsid w:val="006A3F79"/>
    <w:rsid w:val="006A6549"/>
    <w:rsid w:val="006A7710"/>
    <w:rsid w:val="006A7A61"/>
    <w:rsid w:val="006B1E59"/>
    <w:rsid w:val="006B2FFB"/>
    <w:rsid w:val="006C075B"/>
    <w:rsid w:val="006C10A2"/>
    <w:rsid w:val="006C1F18"/>
    <w:rsid w:val="006D35CA"/>
    <w:rsid w:val="006D40D5"/>
    <w:rsid w:val="006D4EA0"/>
    <w:rsid w:val="006E7F54"/>
    <w:rsid w:val="006F009A"/>
    <w:rsid w:val="006F24AF"/>
    <w:rsid w:val="006F3D93"/>
    <w:rsid w:val="007019B1"/>
    <w:rsid w:val="007056C4"/>
    <w:rsid w:val="0071703D"/>
    <w:rsid w:val="00721657"/>
    <w:rsid w:val="00722B8C"/>
    <w:rsid w:val="007279A8"/>
    <w:rsid w:val="00727B1A"/>
    <w:rsid w:val="00741337"/>
    <w:rsid w:val="0074377F"/>
    <w:rsid w:val="00752258"/>
    <w:rsid w:val="007529E1"/>
    <w:rsid w:val="00755869"/>
    <w:rsid w:val="0076272A"/>
    <w:rsid w:val="00762880"/>
    <w:rsid w:val="00762AD6"/>
    <w:rsid w:val="00762E02"/>
    <w:rsid w:val="00772290"/>
    <w:rsid w:val="00773A2A"/>
    <w:rsid w:val="00777265"/>
    <w:rsid w:val="007805E7"/>
    <w:rsid w:val="0078222A"/>
    <w:rsid w:val="00787D48"/>
    <w:rsid w:val="00795294"/>
    <w:rsid w:val="00795ED2"/>
    <w:rsid w:val="007A4E50"/>
    <w:rsid w:val="007B18A7"/>
    <w:rsid w:val="007B250E"/>
    <w:rsid w:val="007C27FC"/>
    <w:rsid w:val="007C51FF"/>
    <w:rsid w:val="007D04C9"/>
    <w:rsid w:val="007D3471"/>
    <w:rsid w:val="007D50E4"/>
    <w:rsid w:val="007E2DC5"/>
    <w:rsid w:val="007F1CC7"/>
    <w:rsid w:val="008027AC"/>
    <w:rsid w:val="008028CE"/>
    <w:rsid w:val="0080332E"/>
    <w:rsid w:val="008141E0"/>
    <w:rsid w:val="00816EE1"/>
    <w:rsid w:val="00816F88"/>
    <w:rsid w:val="00821996"/>
    <w:rsid w:val="00822323"/>
    <w:rsid w:val="00826A3E"/>
    <w:rsid w:val="00827BC6"/>
    <w:rsid w:val="00827CF1"/>
    <w:rsid w:val="008300AD"/>
    <w:rsid w:val="00833024"/>
    <w:rsid w:val="008419B1"/>
    <w:rsid w:val="00842B3D"/>
    <w:rsid w:val="00844A56"/>
    <w:rsid w:val="00845B11"/>
    <w:rsid w:val="00852081"/>
    <w:rsid w:val="00862ADE"/>
    <w:rsid w:val="00865DC3"/>
    <w:rsid w:val="00872B6E"/>
    <w:rsid w:val="00874DFD"/>
    <w:rsid w:val="00876D57"/>
    <w:rsid w:val="008802F9"/>
    <w:rsid w:val="00883086"/>
    <w:rsid w:val="008879FD"/>
    <w:rsid w:val="00894C37"/>
    <w:rsid w:val="008A00EA"/>
    <w:rsid w:val="008A0DC9"/>
    <w:rsid w:val="008A3F93"/>
    <w:rsid w:val="008A6236"/>
    <w:rsid w:val="008A6E1C"/>
    <w:rsid w:val="008A72FD"/>
    <w:rsid w:val="008B152A"/>
    <w:rsid w:val="008B2EDF"/>
    <w:rsid w:val="008B47C7"/>
    <w:rsid w:val="008B54CB"/>
    <w:rsid w:val="008B5A3D"/>
    <w:rsid w:val="008C4010"/>
    <w:rsid w:val="008C4FDF"/>
    <w:rsid w:val="008C6B1F"/>
    <w:rsid w:val="008D3D23"/>
    <w:rsid w:val="008D5E4F"/>
    <w:rsid w:val="008E34F0"/>
    <w:rsid w:val="008E43E7"/>
    <w:rsid w:val="008F14F5"/>
    <w:rsid w:val="008F71C1"/>
    <w:rsid w:val="00902D41"/>
    <w:rsid w:val="00902F49"/>
    <w:rsid w:val="00904230"/>
    <w:rsid w:val="00906981"/>
    <w:rsid w:val="00914004"/>
    <w:rsid w:val="00922EC1"/>
    <w:rsid w:val="00923CF1"/>
    <w:rsid w:val="009301F1"/>
    <w:rsid w:val="009307DF"/>
    <w:rsid w:val="009359B8"/>
    <w:rsid w:val="00935FF0"/>
    <w:rsid w:val="009431F8"/>
    <w:rsid w:val="00947A35"/>
    <w:rsid w:val="00952667"/>
    <w:rsid w:val="0096201B"/>
    <w:rsid w:val="00962081"/>
    <w:rsid w:val="00966CB5"/>
    <w:rsid w:val="00972531"/>
    <w:rsid w:val="00974A7B"/>
    <w:rsid w:val="00975786"/>
    <w:rsid w:val="00981CB7"/>
    <w:rsid w:val="00983E1F"/>
    <w:rsid w:val="009842AD"/>
    <w:rsid w:val="00984AB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6B71"/>
    <w:rsid w:val="00A60087"/>
    <w:rsid w:val="00A61226"/>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C7BE3"/>
    <w:rsid w:val="00AD4677"/>
    <w:rsid w:val="00AE5961"/>
    <w:rsid w:val="00AF0745"/>
    <w:rsid w:val="00AF4971"/>
    <w:rsid w:val="00AF5276"/>
    <w:rsid w:val="00AF7C86"/>
    <w:rsid w:val="00B01046"/>
    <w:rsid w:val="00B17865"/>
    <w:rsid w:val="00B27C65"/>
    <w:rsid w:val="00B310F9"/>
    <w:rsid w:val="00B37866"/>
    <w:rsid w:val="00B412FB"/>
    <w:rsid w:val="00B4576B"/>
    <w:rsid w:val="00B46350"/>
    <w:rsid w:val="00B46DF3"/>
    <w:rsid w:val="00B5794F"/>
    <w:rsid w:val="00B60013"/>
    <w:rsid w:val="00B648C7"/>
    <w:rsid w:val="00B66E8F"/>
    <w:rsid w:val="00B80157"/>
    <w:rsid w:val="00B83D5E"/>
    <w:rsid w:val="00B8460A"/>
    <w:rsid w:val="00B859D4"/>
    <w:rsid w:val="00B8650D"/>
    <w:rsid w:val="00B879B4"/>
    <w:rsid w:val="00B90F07"/>
    <w:rsid w:val="00B97BB9"/>
    <w:rsid w:val="00BA0009"/>
    <w:rsid w:val="00BA3D83"/>
    <w:rsid w:val="00BB02B5"/>
    <w:rsid w:val="00BB1863"/>
    <w:rsid w:val="00BB25EE"/>
    <w:rsid w:val="00BB363A"/>
    <w:rsid w:val="00BC10A0"/>
    <w:rsid w:val="00BC313E"/>
    <w:rsid w:val="00BC5007"/>
    <w:rsid w:val="00BC7BA2"/>
    <w:rsid w:val="00BD426B"/>
    <w:rsid w:val="00BD79F0"/>
    <w:rsid w:val="00BE1DEA"/>
    <w:rsid w:val="00BE2B4D"/>
    <w:rsid w:val="00C015F8"/>
    <w:rsid w:val="00C02C2A"/>
    <w:rsid w:val="00C062D2"/>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A55"/>
    <w:rsid w:val="00C67BB5"/>
    <w:rsid w:val="00C702C7"/>
    <w:rsid w:val="00C72713"/>
    <w:rsid w:val="00C848EF"/>
    <w:rsid w:val="00C86600"/>
    <w:rsid w:val="00C87BCA"/>
    <w:rsid w:val="00C87EED"/>
    <w:rsid w:val="00C94506"/>
    <w:rsid w:val="00C954BC"/>
    <w:rsid w:val="00CA1F0B"/>
    <w:rsid w:val="00CA5F78"/>
    <w:rsid w:val="00CB110F"/>
    <w:rsid w:val="00CB2A2E"/>
    <w:rsid w:val="00CB338A"/>
    <w:rsid w:val="00CB79C5"/>
    <w:rsid w:val="00CC411F"/>
    <w:rsid w:val="00CC4B75"/>
    <w:rsid w:val="00CC732E"/>
    <w:rsid w:val="00CC74C4"/>
    <w:rsid w:val="00CD2FCD"/>
    <w:rsid w:val="00CD7207"/>
    <w:rsid w:val="00CE0422"/>
    <w:rsid w:val="00CE0DBE"/>
    <w:rsid w:val="00CE3A8B"/>
    <w:rsid w:val="00CE5E4D"/>
    <w:rsid w:val="00CF02C4"/>
    <w:rsid w:val="00CF167F"/>
    <w:rsid w:val="00CF696E"/>
    <w:rsid w:val="00CF72E5"/>
    <w:rsid w:val="00D013EE"/>
    <w:rsid w:val="00D01F54"/>
    <w:rsid w:val="00D040F7"/>
    <w:rsid w:val="00D04A76"/>
    <w:rsid w:val="00D10FC7"/>
    <w:rsid w:val="00D14051"/>
    <w:rsid w:val="00D1519F"/>
    <w:rsid w:val="00D1703C"/>
    <w:rsid w:val="00D20E99"/>
    <w:rsid w:val="00D21C83"/>
    <w:rsid w:val="00D35BDD"/>
    <w:rsid w:val="00D43110"/>
    <w:rsid w:val="00D51620"/>
    <w:rsid w:val="00D559FA"/>
    <w:rsid w:val="00D574E2"/>
    <w:rsid w:val="00D63006"/>
    <w:rsid w:val="00D72301"/>
    <w:rsid w:val="00D73343"/>
    <w:rsid w:val="00D86B6F"/>
    <w:rsid w:val="00D911DE"/>
    <w:rsid w:val="00D91B97"/>
    <w:rsid w:val="00D92B37"/>
    <w:rsid w:val="00D93ACC"/>
    <w:rsid w:val="00D93C08"/>
    <w:rsid w:val="00D95DAC"/>
    <w:rsid w:val="00DA0B53"/>
    <w:rsid w:val="00DB1171"/>
    <w:rsid w:val="00DB1519"/>
    <w:rsid w:val="00DB2840"/>
    <w:rsid w:val="00DC1BD3"/>
    <w:rsid w:val="00DC2C1A"/>
    <w:rsid w:val="00DD66B4"/>
    <w:rsid w:val="00DD7335"/>
    <w:rsid w:val="00DE1972"/>
    <w:rsid w:val="00DE1C2B"/>
    <w:rsid w:val="00DE27AB"/>
    <w:rsid w:val="00DF02F7"/>
    <w:rsid w:val="00DF07E1"/>
    <w:rsid w:val="00DF2AB3"/>
    <w:rsid w:val="00DF7250"/>
    <w:rsid w:val="00E00CAA"/>
    <w:rsid w:val="00E03EBF"/>
    <w:rsid w:val="00E05209"/>
    <w:rsid w:val="00E05AC1"/>
    <w:rsid w:val="00E11BCF"/>
    <w:rsid w:val="00E17CEC"/>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1D65"/>
    <w:rsid w:val="00EA7DE7"/>
    <w:rsid w:val="00EB50B0"/>
    <w:rsid w:val="00EB7A8A"/>
    <w:rsid w:val="00EC6FED"/>
    <w:rsid w:val="00EC7C8C"/>
    <w:rsid w:val="00EC7F3B"/>
    <w:rsid w:val="00ED0870"/>
    <w:rsid w:val="00ED467A"/>
    <w:rsid w:val="00ED5299"/>
    <w:rsid w:val="00EE3A64"/>
    <w:rsid w:val="00EE5067"/>
    <w:rsid w:val="00EE50E5"/>
    <w:rsid w:val="00EF01CF"/>
    <w:rsid w:val="00EF0B0A"/>
    <w:rsid w:val="00EF5EEC"/>
    <w:rsid w:val="00F03590"/>
    <w:rsid w:val="00F03622"/>
    <w:rsid w:val="00F077FD"/>
    <w:rsid w:val="00F204F3"/>
    <w:rsid w:val="00F216A0"/>
    <w:rsid w:val="00F218AB"/>
    <w:rsid w:val="00F22ECE"/>
    <w:rsid w:val="00F235FC"/>
    <w:rsid w:val="00F238B3"/>
    <w:rsid w:val="00F2470C"/>
    <w:rsid w:val="00F24FED"/>
    <w:rsid w:val="00F25586"/>
    <w:rsid w:val="00F2651D"/>
    <w:rsid w:val="00F27362"/>
    <w:rsid w:val="00F31498"/>
    <w:rsid w:val="00F32FEF"/>
    <w:rsid w:val="00F41B1C"/>
    <w:rsid w:val="00F42E13"/>
    <w:rsid w:val="00F42F1C"/>
    <w:rsid w:val="00F43B44"/>
    <w:rsid w:val="00F440E5"/>
    <w:rsid w:val="00F448F6"/>
    <w:rsid w:val="00F469AA"/>
    <w:rsid w:val="00F52741"/>
    <w:rsid w:val="00F53D8A"/>
    <w:rsid w:val="00F54F77"/>
    <w:rsid w:val="00F626F7"/>
    <w:rsid w:val="00F672A4"/>
    <w:rsid w:val="00F736F9"/>
    <w:rsid w:val="00F73833"/>
    <w:rsid w:val="00F86D71"/>
    <w:rsid w:val="00F9211C"/>
    <w:rsid w:val="00FA095D"/>
    <w:rsid w:val="00FA1E5F"/>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character" w:customStyle="1" w:styleId="FootnoteTextChar">
    <w:name w:val="Footnote Text Char"/>
    <w:basedOn w:val="DefaultParagraphFont"/>
    <w:link w:val="FootnoteText"/>
    <w:uiPriority w:val="99"/>
    <w:rsid w:val="002874E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onferences/TDAG/Pages/2024/TDAG_WG_ITUDP.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240520-TD-000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6AB50-4140-4BD5-AF00-048CEFAEBE30}">
  <ds:schemaRefs>
    <ds:schemaRef ds:uri="http://schemas.openxmlformats.org/officeDocument/2006/bibliography"/>
  </ds:schemaRefs>
</ds:datastoreItem>
</file>

<file path=customXml/itemProps2.xml><?xml version="1.0" encoding="utf-8"?>
<ds:datastoreItem xmlns:ds="http://schemas.openxmlformats.org/officeDocument/2006/customXml" ds:itemID="{76FA4658-B3BF-44C6-8D5C-BA7CA2DA6E5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3.xml><?xml version="1.0" encoding="utf-8"?>
<ds:datastoreItem xmlns:ds="http://schemas.openxmlformats.org/officeDocument/2006/customXml" ds:itemID="{AEE3B866-C8F3-4410-A6D8-1E5CEDA7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703</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16</cp:revision>
  <cp:lastPrinted>2014-11-04T09:22:00Z</cp:lastPrinted>
  <dcterms:created xsi:type="dcterms:W3CDTF">2025-03-24T10:41:00Z</dcterms:created>
  <dcterms:modified xsi:type="dcterms:W3CDTF">2025-03-31T13:11:00Z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