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812"/>
        <w:gridCol w:w="567"/>
        <w:gridCol w:w="3509"/>
      </w:tblGrid>
      <w:tr w:rsidR="00307769" w:rsidRPr="004573D4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40276DAB" w14:textId="77777777" w:rsidR="00793AA8" w:rsidRPr="006D4EA0" w:rsidRDefault="00793AA8" w:rsidP="00793AA8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Pr="001C2DD2">
              <w:rPr>
                <w:b/>
                <w:bCs/>
                <w:sz w:val="32"/>
                <w:szCs w:val="32"/>
              </w:rPr>
              <w:t>on ITU-D Prioritie</w:t>
            </w:r>
            <w:r>
              <w:rPr>
                <w:b/>
                <w:bCs/>
                <w:sz w:val="32"/>
                <w:szCs w:val="32"/>
              </w:rPr>
              <w:t xml:space="preserve">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ITUDP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43A7149C" w:rsidR="00307769" w:rsidRPr="004573D4" w:rsidRDefault="00793AA8" w:rsidP="00793AA8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2nd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 xml:space="preserve">4 December </w:t>
            </w:r>
            <w:r w:rsidRPr="006D4EA0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3509" w:type="dxa"/>
          </w:tcPr>
          <w:p w14:paraId="67E7B4C4" w14:textId="0F52E4CC" w:rsidR="00307769" w:rsidRPr="004573D4" w:rsidRDefault="00307769" w:rsidP="00952667">
            <w:pPr>
              <w:spacing w:after="120"/>
              <w:ind w:right="142"/>
              <w:jc w:val="right"/>
              <w:rPr>
                <w:lang w:val="en-US"/>
              </w:rPr>
            </w:pPr>
            <w:r w:rsidRPr="004573D4">
              <w:rPr>
                <w:noProof/>
                <w:lang w:val="en-US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4573D4" w14:paraId="3C13197B" w14:textId="77777777" w:rsidTr="00566BDC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14:paraId="2EED9DB2" w14:textId="77777777" w:rsidR="00683C32" w:rsidRPr="004573D4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4573D4" w:rsidRDefault="00683C32" w:rsidP="00107E85">
            <w:pPr>
              <w:spacing w:before="0"/>
              <w:rPr>
                <w:b/>
                <w:bCs/>
                <w:sz w:val="20"/>
                <w:lang w:val="en-US"/>
              </w:rPr>
            </w:pPr>
          </w:p>
        </w:tc>
      </w:tr>
      <w:tr w:rsidR="00683C32" w:rsidRPr="001921F5" w14:paraId="0BB3FBC4" w14:textId="77777777" w:rsidTr="00566BDC">
        <w:trPr>
          <w:cantSplit/>
        </w:trPr>
        <w:tc>
          <w:tcPr>
            <w:tcW w:w="5812" w:type="dxa"/>
          </w:tcPr>
          <w:p w14:paraId="43C54B3D" w14:textId="77777777" w:rsidR="00683C32" w:rsidRPr="004573D4" w:rsidRDefault="00683C32" w:rsidP="00400CCF">
            <w:pPr>
              <w:pStyle w:val="Committee"/>
              <w:spacing w:before="0"/>
              <w:rPr>
                <w:b w:val="0"/>
                <w:szCs w:val="24"/>
                <w:lang w:val="en-US"/>
              </w:rPr>
            </w:pPr>
          </w:p>
        </w:tc>
        <w:tc>
          <w:tcPr>
            <w:tcW w:w="4076" w:type="dxa"/>
            <w:gridSpan w:val="2"/>
          </w:tcPr>
          <w:p w14:paraId="02E44EE9" w14:textId="6049881F" w:rsidR="00683C32" w:rsidRPr="00994056" w:rsidRDefault="0096201B" w:rsidP="00B648C7">
            <w:pPr>
              <w:spacing w:before="0"/>
              <w:jc w:val="both"/>
              <w:rPr>
                <w:bCs/>
                <w:szCs w:val="24"/>
                <w:lang w:val="pt-BR"/>
              </w:rPr>
            </w:pPr>
            <w:r w:rsidRPr="00994056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="00566BDC" w:rsidRPr="00994056">
              <w:rPr>
                <w:b/>
                <w:bCs/>
                <w:lang w:val="pt-BR"/>
              </w:rPr>
              <w:t>TDAG-WG-</w:t>
            </w:r>
            <w:r w:rsidR="00C702C7" w:rsidRPr="00994056">
              <w:rPr>
                <w:b/>
                <w:bCs/>
                <w:lang w:val="pt-BR"/>
              </w:rPr>
              <w:t>ITUDP</w:t>
            </w:r>
            <w:r w:rsidR="00566BDC" w:rsidRPr="00994056">
              <w:rPr>
                <w:b/>
                <w:bCs/>
                <w:lang w:val="pt-BR"/>
              </w:rPr>
              <w:t>/</w:t>
            </w:r>
            <w:r w:rsidR="0064550A">
              <w:rPr>
                <w:b/>
                <w:bCs/>
                <w:lang w:val="pt-BR"/>
              </w:rPr>
              <w:t>6-E</w:t>
            </w:r>
          </w:p>
        </w:tc>
      </w:tr>
      <w:tr w:rsidR="00683C32" w:rsidRPr="004573D4" w14:paraId="24D04936" w14:textId="77777777" w:rsidTr="00566BDC">
        <w:trPr>
          <w:cantSplit/>
        </w:trPr>
        <w:tc>
          <w:tcPr>
            <w:tcW w:w="5812" w:type="dxa"/>
          </w:tcPr>
          <w:p w14:paraId="12CE4DBF" w14:textId="77777777" w:rsidR="00683C32" w:rsidRPr="00994056" w:rsidRDefault="00683C32" w:rsidP="00400CCF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4076" w:type="dxa"/>
            <w:gridSpan w:val="2"/>
          </w:tcPr>
          <w:p w14:paraId="0F89640F" w14:textId="05B1CB6B" w:rsidR="00683C32" w:rsidRPr="004573D4" w:rsidRDefault="0064550A" w:rsidP="00B648C7">
            <w:pPr>
              <w:spacing w:before="0"/>
              <w:rPr>
                <w:b/>
                <w:szCs w:val="24"/>
                <w:highlight w:val="yellow"/>
                <w:lang w:val="en-US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val="en-US"/>
              </w:rPr>
              <w:t>19 December 2024</w:t>
            </w:r>
          </w:p>
        </w:tc>
      </w:tr>
      <w:tr w:rsidR="00683C32" w:rsidRPr="004573D4" w14:paraId="7B96545F" w14:textId="77777777" w:rsidTr="00566BDC">
        <w:trPr>
          <w:cantSplit/>
        </w:trPr>
        <w:tc>
          <w:tcPr>
            <w:tcW w:w="5812" w:type="dxa"/>
          </w:tcPr>
          <w:p w14:paraId="65956FD3" w14:textId="77777777" w:rsidR="00683C32" w:rsidRPr="004573D4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4076" w:type="dxa"/>
            <w:gridSpan w:val="2"/>
          </w:tcPr>
          <w:p w14:paraId="30EFD39F" w14:textId="30763F1D" w:rsidR="00514D2F" w:rsidRPr="004573D4" w:rsidRDefault="00AD4677" w:rsidP="00D73343">
            <w:pPr>
              <w:spacing w:before="0" w:after="240"/>
              <w:rPr>
                <w:szCs w:val="24"/>
                <w:lang w:val="en-US"/>
              </w:rPr>
            </w:pPr>
            <w:bookmarkStart w:id="2" w:name="Original"/>
            <w:bookmarkEnd w:id="2"/>
            <w:r w:rsidRPr="004573D4">
              <w:rPr>
                <w:b/>
                <w:lang w:val="en-US"/>
              </w:rPr>
              <w:t>English</w:t>
            </w:r>
            <w:r w:rsidR="00566BDC" w:rsidRPr="004573D4">
              <w:rPr>
                <w:b/>
                <w:lang w:val="en-US"/>
              </w:rPr>
              <w:t xml:space="preserve"> only</w:t>
            </w:r>
          </w:p>
        </w:tc>
      </w:tr>
      <w:tr w:rsidR="00A13162" w:rsidRPr="004573D4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7957A170" w:rsidR="00A13162" w:rsidRPr="004573D4" w:rsidRDefault="00795ED2" w:rsidP="00795ED2">
            <w:pPr>
              <w:pStyle w:val="Source"/>
              <w:rPr>
                <w:lang w:val="en-US"/>
              </w:rPr>
            </w:pPr>
            <w:bookmarkStart w:id="3" w:name="Source"/>
            <w:bookmarkEnd w:id="3"/>
            <w:r w:rsidRPr="004573D4">
              <w:rPr>
                <w:lang w:val="en-US"/>
              </w:rPr>
              <w:t>Chair, TDAG-WG-</w:t>
            </w:r>
            <w:r w:rsidR="00F54F77" w:rsidRPr="004573D4">
              <w:rPr>
                <w:lang w:val="en-US"/>
              </w:rPr>
              <w:t>ITUDP</w:t>
            </w:r>
          </w:p>
        </w:tc>
      </w:tr>
      <w:tr w:rsidR="00AC6F14" w:rsidRPr="004573D4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7F9D0C00" w:rsidR="00D56315" w:rsidRPr="00DD76BA" w:rsidRDefault="00D901B7" w:rsidP="00DD76BA">
            <w:pPr>
              <w:pStyle w:val="Title1"/>
              <w:rPr>
                <w:rFonts w:cs="Times New Roman"/>
                <w:bCs/>
                <w:lang w:val="en-US"/>
              </w:rPr>
            </w:pPr>
            <w:bookmarkStart w:id="4" w:name="Title"/>
            <w:bookmarkEnd w:id="4"/>
            <w:r w:rsidRPr="00D901B7">
              <w:rPr>
                <w:rFonts w:cs="Times New Roman"/>
                <w:bCs/>
                <w:lang w:val="en-US"/>
              </w:rPr>
              <w:t xml:space="preserve">Report of the </w:t>
            </w:r>
            <w:r w:rsidR="00F25DB8">
              <w:rPr>
                <w:rFonts w:cs="Times New Roman"/>
                <w:bCs/>
                <w:lang w:val="en-US"/>
              </w:rPr>
              <w:t>second</w:t>
            </w:r>
            <w:r w:rsidRPr="00D901B7">
              <w:rPr>
                <w:rFonts w:cs="Times New Roman"/>
                <w:bCs/>
                <w:lang w:val="en-US"/>
              </w:rPr>
              <w:t xml:space="preserve"> meeting of the TDAG Working Group on</w:t>
            </w:r>
            <w:r w:rsidR="003B3B7F">
              <w:rPr>
                <w:rFonts w:cs="Times New Roman"/>
                <w:bCs/>
                <w:lang w:val="en-US"/>
              </w:rPr>
              <w:t xml:space="preserve"> </w:t>
            </w:r>
            <w:r w:rsidR="003B3B7F" w:rsidRPr="003B3B7F">
              <w:rPr>
                <w:rFonts w:cs="Times New Roman"/>
                <w:bCs/>
                <w:lang w:val="en-US"/>
              </w:rPr>
              <w:t>the ITU-D Priorities (TDAG-WG-ITUDP)</w:t>
            </w:r>
          </w:p>
        </w:tc>
      </w:tr>
    </w:tbl>
    <w:p w14:paraId="72F5CF96" w14:textId="1DF24887" w:rsidR="00923CF1" w:rsidRPr="00007994" w:rsidRDefault="00923CF1" w:rsidP="00FB43FB">
      <w:pPr>
        <w:spacing w:after="120"/>
      </w:pPr>
      <w:bookmarkStart w:id="5" w:name="Proposal"/>
      <w:bookmarkEnd w:id="5"/>
    </w:p>
    <w:p w14:paraId="7DD80F9C" w14:textId="32C3CAC3" w:rsidR="00E258DF" w:rsidRPr="00FB43FB" w:rsidRDefault="00E258DF" w:rsidP="0064550A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b/>
          <w:bCs/>
          <w:lang w:val="en-US"/>
        </w:rPr>
      </w:pPr>
      <w:r w:rsidRPr="00FB43FB">
        <w:rPr>
          <w:b/>
          <w:bCs/>
          <w:lang w:val="en-US"/>
        </w:rPr>
        <w:t>Opening of the meeting and approval of agenda</w:t>
      </w:r>
    </w:p>
    <w:p w14:paraId="3D6952AE" w14:textId="46138FA6" w:rsidR="00892008" w:rsidRDefault="00E258DF" w:rsidP="006455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</w:pPr>
      <w:proofErr w:type="spellStart"/>
      <w:r w:rsidRPr="00E258DF">
        <w:rPr>
          <w:lang w:val="en-US"/>
        </w:rPr>
        <w:t>M</w:t>
      </w:r>
      <w:r w:rsidR="00487332">
        <w:rPr>
          <w:lang w:val="en-US"/>
        </w:rPr>
        <w:t>r</w:t>
      </w:r>
      <w:proofErr w:type="spellEnd"/>
      <w:r w:rsidRPr="00E258DF">
        <w:rPr>
          <w:lang w:val="en-US"/>
        </w:rPr>
        <w:t xml:space="preserve"> Christopher Kemei (Kenya), Chair of the TDAG Working Group on</w:t>
      </w:r>
      <w:r w:rsidR="00FB43FB">
        <w:rPr>
          <w:lang w:val="en-US"/>
        </w:rPr>
        <w:t xml:space="preserve"> </w:t>
      </w:r>
      <w:r w:rsidRPr="00E258DF">
        <w:rPr>
          <w:lang w:val="en-US"/>
        </w:rPr>
        <w:t xml:space="preserve">the ITU-D Priorities (TDAG-WG-ITUDP) welcomed all participants present to the meeting. The Chair </w:t>
      </w:r>
      <w:r w:rsidR="00F71120" w:rsidRPr="00410C65">
        <w:t>confirmed the agenda for the meeting and invited comments.</w:t>
      </w:r>
    </w:p>
    <w:p w14:paraId="3F50CD91" w14:textId="0C5A330E" w:rsidR="00F71120" w:rsidRDefault="00892008" w:rsidP="006455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lang w:val="en-US"/>
        </w:rPr>
      </w:pPr>
      <w:r>
        <w:t>The Chair</w:t>
      </w:r>
      <w:r w:rsidR="0064550A">
        <w:t xml:space="preserve"> </w:t>
      </w:r>
      <w:r w:rsidRPr="00410C65">
        <w:t xml:space="preserve">reiterated the </w:t>
      </w:r>
      <w:r>
        <w:t xml:space="preserve">focus of the meeting, which was </w:t>
      </w:r>
      <w:r w:rsidR="001C4592">
        <w:t>to present his proposal</w:t>
      </w:r>
      <w:r w:rsidR="0064550A">
        <w:t xml:space="preserve"> </w:t>
      </w:r>
      <w:r w:rsidR="001C4592" w:rsidRPr="00410C65">
        <w:t>regarding ITU</w:t>
      </w:r>
      <w:r w:rsidR="001C4592">
        <w:t>-</w:t>
      </w:r>
      <w:r w:rsidR="001C4592" w:rsidRPr="00410C65">
        <w:t>D priorities for the next cycle</w:t>
      </w:r>
      <w:r w:rsidR="001C4592" w:rsidRPr="00E258DF">
        <w:rPr>
          <w:lang w:val="en-US"/>
        </w:rPr>
        <w:t xml:space="preserve"> </w:t>
      </w:r>
      <w:r w:rsidR="00CB5267">
        <w:rPr>
          <w:lang w:val="en-US"/>
        </w:rPr>
        <w:t xml:space="preserve">and reiterated the importance </w:t>
      </w:r>
      <w:r w:rsidRPr="00410C65">
        <w:t xml:space="preserve">of contributions from the membership to provoke discussions </w:t>
      </w:r>
      <w:r w:rsidR="00CB5267">
        <w:t>and gather inputs to be discussed by the group, toward</w:t>
      </w:r>
      <w:r w:rsidR="0064550A">
        <w:t xml:space="preserve"> </w:t>
      </w:r>
      <w:r w:rsidR="00CB5267">
        <w:t>the finalization of a</w:t>
      </w:r>
      <w:r w:rsidR="00436B05">
        <w:t>n agreed proposal to be submitted at the TDAG in 2025</w:t>
      </w:r>
      <w:r w:rsidR="00B662F5">
        <w:t>.</w:t>
      </w:r>
    </w:p>
    <w:p w14:paraId="0D74183E" w14:textId="4BD0085F" w:rsidR="00E258DF" w:rsidRPr="00FB43FB" w:rsidRDefault="00E258DF" w:rsidP="0064550A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b/>
          <w:bCs/>
          <w:lang w:val="en-US"/>
        </w:rPr>
      </w:pPr>
      <w:r w:rsidRPr="00FB43FB">
        <w:rPr>
          <w:b/>
          <w:bCs/>
          <w:lang w:val="en-US"/>
        </w:rPr>
        <w:t>Approval of the agenda</w:t>
      </w:r>
    </w:p>
    <w:p w14:paraId="39D2BC98" w14:textId="254ED214" w:rsidR="00E258DF" w:rsidRPr="00E258DF" w:rsidRDefault="00E258DF" w:rsidP="006455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lang w:val="en-US"/>
        </w:rPr>
      </w:pPr>
      <w:r w:rsidRPr="00E258DF">
        <w:rPr>
          <w:lang w:val="en-US"/>
        </w:rPr>
        <w:t xml:space="preserve">The agenda as per document </w:t>
      </w:r>
      <w:hyperlink r:id="rId12" w:history="1">
        <w:r w:rsidRPr="00920BD9">
          <w:rPr>
            <w:rStyle w:val="Hyperlink"/>
            <w:lang w:val="en-US"/>
          </w:rPr>
          <w:t>TDAG-WG-ITUDP/</w:t>
        </w:r>
        <w:r w:rsidR="004B3DE1" w:rsidRPr="00920BD9">
          <w:rPr>
            <w:rStyle w:val="Hyperlink"/>
            <w:lang w:val="en-US"/>
          </w:rPr>
          <w:t>5</w:t>
        </w:r>
      </w:hyperlink>
      <w:r w:rsidRPr="00E258DF">
        <w:rPr>
          <w:lang w:val="en-US"/>
        </w:rPr>
        <w:t xml:space="preserve"> was presented by the Chair of the TDAG-WG-ITUDP and was approved.</w:t>
      </w:r>
    </w:p>
    <w:p w14:paraId="3A3D72C6" w14:textId="508A1BC9" w:rsidR="00E258DF" w:rsidRPr="00FB43FB" w:rsidRDefault="000D74D0" w:rsidP="0064550A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b/>
          <w:bCs/>
          <w:lang w:val="en-US"/>
        </w:rPr>
      </w:pPr>
      <w:r>
        <w:rPr>
          <w:b/>
          <w:bCs/>
          <w:lang w:val="en-US"/>
        </w:rPr>
        <w:t xml:space="preserve">Presentation of the chair’s proposal </w:t>
      </w:r>
    </w:p>
    <w:p w14:paraId="6268DBD6" w14:textId="7916DCA3" w:rsidR="00E258DF" w:rsidRDefault="00E258DF" w:rsidP="006455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lang w:val="en-US"/>
        </w:rPr>
      </w:pPr>
      <w:r w:rsidRPr="00E258DF">
        <w:rPr>
          <w:lang w:val="en-US"/>
        </w:rPr>
        <w:t xml:space="preserve">The chair invited the </w:t>
      </w:r>
      <w:r w:rsidR="009258AE">
        <w:rPr>
          <w:lang w:val="en-US"/>
        </w:rPr>
        <w:t>BDT S</w:t>
      </w:r>
      <w:r w:rsidRPr="00E258DF">
        <w:rPr>
          <w:lang w:val="en-US"/>
        </w:rPr>
        <w:t xml:space="preserve">ecretariat to present </w:t>
      </w:r>
      <w:r w:rsidR="000D74D0">
        <w:rPr>
          <w:lang w:val="en-US"/>
        </w:rPr>
        <w:t xml:space="preserve">his proposal of the </w:t>
      </w:r>
      <w:r w:rsidRPr="00E258DF">
        <w:rPr>
          <w:lang w:val="en-US"/>
        </w:rPr>
        <w:t>ITU-D Priorities</w:t>
      </w:r>
      <w:r w:rsidR="00767C9C">
        <w:rPr>
          <w:lang w:val="en-US"/>
        </w:rPr>
        <w:t xml:space="preserve"> for the next WTDC action plan</w:t>
      </w:r>
      <w:r w:rsidR="009258AE">
        <w:rPr>
          <w:lang w:val="en-US"/>
        </w:rPr>
        <w:t>.</w:t>
      </w:r>
    </w:p>
    <w:p w14:paraId="72AC6882" w14:textId="0AE5092C" w:rsidR="009258AE" w:rsidRPr="00410C65" w:rsidRDefault="009258AE" w:rsidP="0064550A">
      <w:pPr>
        <w:spacing w:after="120"/>
      </w:pPr>
      <w:r>
        <w:t xml:space="preserve">BDT </w:t>
      </w:r>
      <w:r w:rsidRPr="00410C65">
        <w:t>presented a</w:t>
      </w:r>
      <w:r>
        <w:t xml:space="preserve">n </w:t>
      </w:r>
      <w:r w:rsidRPr="00410C65">
        <w:t>overview of the proposed Baku Action Plan, highlighting the need to streamline priorities, outputs, and enablers. The presentation included a comparative analysis of the existing priorities and the proposed changes</w:t>
      </w:r>
    </w:p>
    <w:p w14:paraId="2225E385" w14:textId="77777777" w:rsidR="009B08E5" w:rsidRDefault="009258AE" w:rsidP="0064550A">
      <w:pPr>
        <w:spacing w:after="120"/>
      </w:pPr>
      <w:r>
        <w:t xml:space="preserve">Some of the </w:t>
      </w:r>
      <w:r w:rsidR="009B08E5">
        <w:t xml:space="preserve">key </w:t>
      </w:r>
      <w:r>
        <w:t xml:space="preserve">points </w:t>
      </w:r>
      <w:r w:rsidR="009B08E5">
        <w:t>highlighted include:</w:t>
      </w:r>
    </w:p>
    <w:p w14:paraId="7F22C19F" w14:textId="77777777" w:rsidR="009B08E5" w:rsidRDefault="009258AE" w:rsidP="00920BD9">
      <w:pPr>
        <w:pStyle w:val="ListParagraph"/>
        <w:numPr>
          <w:ilvl w:val="0"/>
          <w:numId w:val="28"/>
        </w:numPr>
        <w:spacing w:before="60" w:after="60"/>
        <w:ind w:left="357" w:hanging="357"/>
        <w:contextualSpacing w:val="0"/>
      </w:pPr>
      <w:r w:rsidRPr="009B08E5">
        <w:rPr>
          <w:b/>
          <w:bCs/>
        </w:rPr>
        <w:t>Four ITUD Priorities</w:t>
      </w:r>
      <w:r w:rsidRPr="009B08E5">
        <w:t>: The proposed plan includes four priorities: Connectivity and Digital Resilience, Sustainable Digital Transformation and Innovation, Enabling Environment, and Inclusive Digital Society</w:t>
      </w:r>
    </w:p>
    <w:p w14:paraId="348CB7B6" w14:textId="77777777" w:rsidR="00384660" w:rsidRDefault="009258AE" w:rsidP="00920BD9">
      <w:pPr>
        <w:pStyle w:val="ListParagraph"/>
        <w:numPr>
          <w:ilvl w:val="0"/>
          <w:numId w:val="28"/>
        </w:numPr>
        <w:spacing w:before="60" w:after="60"/>
        <w:ind w:left="357" w:hanging="357"/>
        <w:contextualSpacing w:val="0"/>
      </w:pPr>
      <w:r w:rsidRPr="009B08E5">
        <w:rPr>
          <w:b/>
          <w:bCs/>
        </w:rPr>
        <w:t>Outputs and Enablers</w:t>
      </w:r>
      <w:r w:rsidRPr="009B08E5">
        <w:t>: The plan aims to productize outputs and redefine enablers as internal elements to facilitate the work of the Bureau</w:t>
      </w:r>
    </w:p>
    <w:p w14:paraId="1B764450" w14:textId="34D036B5" w:rsidR="009258AE" w:rsidRPr="00456D7E" w:rsidRDefault="00384660" w:rsidP="00920BD9">
      <w:pPr>
        <w:pStyle w:val="ListParagraph"/>
        <w:numPr>
          <w:ilvl w:val="0"/>
          <w:numId w:val="28"/>
        </w:numPr>
        <w:spacing w:before="60" w:after="60"/>
        <w:ind w:left="357" w:hanging="357"/>
        <w:contextualSpacing w:val="0"/>
      </w:pPr>
      <w:r w:rsidRPr="00384660">
        <w:rPr>
          <w:b/>
          <w:bCs/>
        </w:rPr>
        <w:t>Operationalization</w:t>
      </w:r>
      <w:r w:rsidRPr="00384660">
        <w:t>: The plan outlines a clear operational framework for implementing the priorities and achieving the desired outcomes</w:t>
      </w:r>
    </w:p>
    <w:p w14:paraId="3B0E38A2" w14:textId="58247418" w:rsidR="00E258DF" w:rsidRPr="00FB43FB" w:rsidRDefault="00456D7E" w:rsidP="0064550A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Discussions</w:t>
      </w:r>
    </w:p>
    <w:p w14:paraId="7B6585D9" w14:textId="77777777" w:rsidR="00BD36CD" w:rsidRDefault="00BD36CD" w:rsidP="006455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lang w:val="en-US"/>
        </w:rPr>
      </w:pPr>
      <w:r w:rsidRPr="00BD36CD">
        <w:rPr>
          <w:lang w:val="en-US"/>
        </w:rPr>
        <w:t xml:space="preserve">Several inputs and </w:t>
      </w:r>
      <w:proofErr w:type="gramStart"/>
      <w:r w:rsidRPr="00BD36CD">
        <w:rPr>
          <w:lang w:val="en-US"/>
        </w:rPr>
        <w:t>feedbacks</w:t>
      </w:r>
      <w:proofErr w:type="gramEnd"/>
      <w:r w:rsidRPr="00BD36CD">
        <w:rPr>
          <w:lang w:val="en-US"/>
        </w:rPr>
        <w:t xml:space="preserve"> were provided by the group, including (but not limited to):</w:t>
      </w:r>
    </w:p>
    <w:p w14:paraId="01CBFCAF" w14:textId="77C53E2E" w:rsidR="00BD36CD" w:rsidRDefault="00BD36CD" w:rsidP="00920BD9">
      <w:pPr>
        <w:pStyle w:val="ListParagraph"/>
        <w:numPr>
          <w:ilvl w:val="0"/>
          <w:numId w:val="30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lang w:val="en-US"/>
        </w:rPr>
      </w:pPr>
      <w:r w:rsidRPr="00BD36CD">
        <w:rPr>
          <w:lang w:val="en-US"/>
        </w:rPr>
        <w:t>Ensuring</w:t>
      </w:r>
      <w:r w:rsidR="0064550A">
        <w:rPr>
          <w:lang w:val="en-US"/>
        </w:rPr>
        <w:t xml:space="preserve"> </w:t>
      </w:r>
      <w:r w:rsidRPr="00BD36CD">
        <w:rPr>
          <w:lang w:val="en-US"/>
        </w:rPr>
        <w:t>proper placement of certain topics within priorities</w:t>
      </w:r>
    </w:p>
    <w:p w14:paraId="4EADFDAC" w14:textId="77777777" w:rsidR="00BD36CD" w:rsidRDefault="00BD36CD" w:rsidP="00920BD9">
      <w:pPr>
        <w:pStyle w:val="ListParagraph"/>
        <w:numPr>
          <w:ilvl w:val="0"/>
          <w:numId w:val="30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lang w:val="en-US"/>
        </w:rPr>
      </w:pPr>
      <w:r w:rsidRPr="00BD36CD">
        <w:rPr>
          <w:lang w:val="en-US"/>
        </w:rPr>
        <w:t>Ensuring alignment with the strategic plan</w:t>
      </w:r>
    </w:p>
    <w:p w14:paraId="1386B50C" w14:textId="517D9264" w:rsidR="00BD36CD" w:rsidRDefault="00BD36CD" w:rsidP="00920BD9">
      <w:pPr>
        <w:pStyle w:val="ListParagraph"/>
        <w:numPr>
          <w:ilvl w:val="0"/>
          <w:numId w:val="30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lang w:val="en-US"/>
        </w:rPr>
      </w:pPr>
      <w:proofErr w:type="gramStart"/>
      <w:r w:rsidRPr="00BD36CD">
        <w:rPr>
          <w:lang w:val="en-US"/>
        </w:rPr>
        <w:t>Taking into account</w:t>
      </w:r>
      <w:proofErr w:type="gramEnd"/>
      <w:r w:rsidRPr="00BD36CD">
        <w:rPr>
          <w:lang w:val="en-US"/>
        </w:rPr>
        <w:t xml:space="preserve"> other relevant ITU and UN processes, such as</w:t>
      </w:r>
      <w:r w:rsidR="0064550A">
        <w:rPr>
          <w:lang w:val="en-US"/>
        </w:rPr>
        <w:t xml:space="preserve"> </w:t>
      </w:r>
      <w:r w:rsidRPr="00BD36CD">
        <w:rPr>
          <w:lang w:val="en-US"/>
        </w:rPr>
        <w:t>WSIS, GDP, SDGs among others</w:t>
      </w:r>
    </w:p>
    <w:p w14:paraId="71FF3B09" w14:textId="77777777" w:rsidR="00BD36CD" w:rsidRDefault="00BD36CD" w:rsidP="00920BD9">
      <w:pPr>
        <w:pStyle w:val="ListParagraph"/>
        <w:numPr>
          <w:ilvl w:val="0"/>
          <w:numId w:val="30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lang w:val="en-US"/>
        </w:rPr>
      </w:pPr>
      <w:r w:rsidRPr="00BD36CD">
        <w:rPr>
          <w:lang w:val="en-US"/>
        </w:rPr>
        <w:t>Clarification of terminology</w:t>
      </w:r>
    </w:p>
    <w:p w14:paraId="7945DD07" w14:textId="77777777" w:rsidR="00BD36CD" w:rsidRDefault="00BD36CD" w:rsidP="00920BD9">
      <w:pPr>
        <w:pStyle w:val="ListParagraph"/>
        <w:numPr>
          <w:ilvl w:val="0"/>
          <w:numId w:val="30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lang w:val="en-US"/>
        </w:rPr>
      </w:pPr>
      <w:r w:rsidRPr="00BD36CD">
        <w:rPr>
          <w:lang w:val="en-US"/>
        </w:rPr>
        <w:t>Ensuring the development of proper risk analysis and monitoring and evaluation for effective implementation on the plan</w:t>
      </w:r>
    </w:p>
    <w:p w14:paraId="7770A8EE" w14:textId="77777777" w:rsidR="00BD36CD" w:rsidRDefault="00BD36CD" w:rsidP="00920BD9">
      <w:pPr>
        <w:pStyle w:val="ListParagraph"/>
        <w:numPr>
          <w:ilvl w:val="0"/>
          <w:numId w:val="30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lang w:val="en-US"/>
        </w:rPr>
      </w:pPr>
      <w:r w:rsidRPr="00BD36CD">
        <w:rPr>
          <w:lang w:val="en-US"/>
        </w:rPr>
        <w:t>Ensuring continuity with the existing plan; building on it and streamlining it</w:t>
      </w:r>
    </w:p>
    <w:p w14:paraId="3536A357" w14:textId="0F7EAC42" w:rsidR="00456D7E" w:rsidRDefault="00BD36CD" w:rsidP="00920BD9">
      <w:pPr>
        <w:pStyle w:val="ListParagraph"/>
        <w:numPr>
          <w:ilvl w:val="0"/>
          <w:numId w:val="30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lang w:val="en-US"/>
        </w:rPr>
      </w:pPr>
      <w:r w:rsidRPr="00BD36CD">
        <w:rPr>
          <w:lang w:val="en-US"/>
        </w:rPr>
        <w:t>Ensuring clear rationale and holistic approach on the definition of the ITU-D priorities and enablers</w:t>
      </w:r>
    </w:p>
    <w:p w14:paraId="00AA9E7C" w14:textId="1543FA00" w:rsidR="00C156C8" w:rsidRPr="00C156C8" w:rsidRDefault="00D12E67" w:rsidP="0064550A">
      <w:pPr>
        <w:overflowPunct/>
        <w:autoSpaceDE/>
        <w:autoSpaceDN/>
        <w:adjustRightInd/>
        <w:spacing w:after="120"/>
        <w:textAlignment w:val="auto"/>
        <w:rPr>
          <w:lang w:val="en-US"/>
        </w:rPr>
      </w:pPr>
      <w:r w:rsidRPr="00D12E67">
        <w:rPr>
          <w:lang w:val="en-US"/>
        </w:rPr>
        <w:t>The BDT Director, Dr. Cosmas Zavazava, provides additional insights into the restructuring of the BDT, the importance of monitoring and evaluation, and the alignment of projects with donor expectations</w:t>
      </w:r>
      <w:r>
        <w:rPr>
          <w:lang w:val="en-US"/>
        </w:rPr>
        <w:t>.</w:t>
      </w:r>
    </w:p>
    <w:p w14:paraId="207B6940" w14:textId="6E1C1EC3" w:rsidR="00E258DF" w:rsidRPr="00E258DF" w:rsidRDefault="00E258DF" w:rsidP="006455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lang w:val="en-US"/>
        </w:rPr>
      </w:pPr>
      <w:r w:rsidRPr="00E258DF">
        <w:rPr>
          <w:lang w:val="en-US"/>
        </w:rPr>
        <w:t xml:space="preserve">The Chair reiterated that the work of the Group is contribution driven and </w:t>
      </w:r>
      <w:r w:rsidR="00BD36CD" w:rsidRPr="00E258DF">
        <w:rPr>
          <w:lang w:val="en-US"/>
        </w:rPr>
        <w:t>emphasized</w:t>
      </w:r>
      <w:r w:rsidRPr="00E258DF">
        <w:rPr>
          <w:lang w:val="en-US"/>
        </w:rPr>
        <w:t xml:space="preserve"> the importance of the work ahead which will contribute not only to the strategic direction of the Development Bureau but also to the strategic plan of ITU. </w:t>
      </w:r>
    </w:p>
    <w:p w14:paraId="14F2D2EE" w14:textId="69650393" w:rsidR="00E258DF" w:rsidRPr="00FB43FB" w:rsidRDefault="00E258DF" w:rsidP="0064550A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b/>
          <w:bCs/>
          <w:lang w:val="en-US"/>
        </w:rPr>
      </w:pPr>
      <w:r w:rsidRPr="00FB43FB">
        <w:rPr>
          <w:b/>
          <w:bCs/>
          <w:lang w:val="en-US"/>
        </w:rPr>
        <w:t>Conclusions and the way forward</w:t>
      </w:r>
    </w:p>
    <w:p w14:paraId="4292B13A" w14:textId="7BCA5E64" w:rsidR="00E258DF" w:rsidRPr="00E258DF" w:rsidRDefault="00E258DF" w:rsidP="006455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lang w:val="en-US"/>
        </w:rPr>
      </w:pPr>
      <w:r w:rsidRPr="00E258DF">
        <w:rPr>
          <w:lang w:val="en-US"/>
        </w:rPr>
        <w:t xml:space="preserve">The meeting agreed to </w:t>
      </w:r>
      <w:r w:rsidR="008D7F78">
        <w:rPr>
          <w:lang w:val="en-US"/>
        </w:rPr>
        <w:t xml:space="preserve">consider a revised proposal form the Chair taking into account all inputs and </w:t>
      </w:r>
      <w:proofErr w:type="gramStart"/>
      <w:r w:rsidR="008D7F78">
        <w:rPr>
          <w:lang w:val="en-US"/>
        </w:rPr>
        <w:t>feedbacks</w:t>
      </w:r>
      <w:proofErr w:type="gramEnd"/>
      <w:r w:rsidR="008D7F78">
        <w:rPr>
          <w:lang w:val="en-US"/>
        </w:rPr>
        <w:t xml:space="preserve"> received</w:t>
      </w:r>
      <w:r w:rsidR="00196531">
        <w:rPr>
          <w:lang w:val="en-US"/>
        </w:rPr>
        <w:t>, as well as encouraging contributions from Member States</w:t>
      </w:r>
      <w:r w:rsidR="00FA4F8A">
        <w:rPr>
          <w:lang w:val="en-US"/>
        </w:rPr>
        <w:t>, in order to develop a final proposal to be submitted at TDAG in 2025</w:t>
      </w:r>
      <w:r w:rsidR="00735D24">
        <w:rPr>
          <w:lang w:val="en-US"/>
        </w:rPr>
        <w:t>.</w:t>
      </w:r>
    </w:p>
    <w:p w14:paraId="48808D90" w14:textId="6E6158DF" w:rsidR="006D14D2" w:rsidRPr="00FB43FB" w:rsidRDefault="006D14D2" w:rsidP="0064550A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b/>
          <w:bCs/>
          <w:lang w:val="en-US"/>
        </w:rPr>
      </w:pPr>
      <w:r w:rsidRPr="00FB43FB">
        <w:rPr>
          <w:b/>
          <w:bCs/>
          <w:lang w:val="en-US"/>
        </w:rPr>
        <w:t xml:space="preserve">Next meeting </w:t>
      </w:r>
    </w:p>
    <w:p w14:paraId="06C3AA9A" w14:textId="78FA17A6" w:rsidR="006D14D2" w:rsidRDefault="006D14D2" w:rsidP="0064550A">
      <w:pPr>
        <w:pStyle w:val="ListParagraph"/>
        <w:numPr>
          <w:ilvl w:val="0"/>
          <w:numId w:val="21"/>
        </w:numPr>
        <w:spacing w:after="120"/>
        <w:ind w:left="714" w:hanging="357"/>
        <w:contextualSpacing w:val="0"/>
      </w:pPr>
      <w:r>
        <w:t xml:space="preserve">Next meeting is scheduled for </w:t>
      </w:r>
      <w:r w:rsidR="00FA4F8A">
        <w:t>6 March 2025</w:t>
      </w:r>
      <w:r>
        <w:t xml:space="preserve">. </w:t>
      </w:r>
    </w:p>
    <w:p w14:paraId="22B36173" w14:textId="335AA5C6" w:rsidR="00E258DF" w:rsidRDefault="006D14D2" w:rsidP="0064550A">
      <w:pPr>
        <w:pStyle w:val="ListParagraph"/>
        <w:numPr>
          <w:ilvl w:val="0"/>
          <w:numId w:val="21"/>
        </w:numPr>
        <w:spacing w:after="120"/>
        <w:ind w:left="714" w:hanging="357"/>
        <w:contextualSpacing w:val="0"/>
      </w:pPr>
      <w:r>
        <w:t>The meeting shall be held virtually.</w:t>
      </w:r>
      <w:r w:rsidR="00FB43FB">
        <w:t xml:space="preserve"> </w:t>
      </w:r>
    </w:p>
    <w:p w14:paraId="0937FFF0" w14:textId="04EE7394" w:rsidR="00B61CA5" w:rsidRPr="00FB43FB" w:rsidRDefault="00B61CA5" w:rsidP="0064550A">
      <w:pPr>
        <w:pStyle w:val="ListParagraph"/>
        <w:keepNext/>
        <w:numPr>
          <w:ilvl w:val="0"/>
          <w:numId w:val="19"/>
        </w:numPr>
        <w:overflowPunct/>
        <w:autoSpaceDE/>
        <w:autoSpaceDN/>
        <w:adjustRightInd/>
        <w:spacing w:after="120"/>
        <w:ind w:left="357" w:hanging="357"/>
        <w:contextualSpacing w:val="0"/>
        <w:textAlignment w:val="auto"/>
        <w:rPr>
          <w:b/>
          <w:bCs/>
          <w:lang w:val="en-US"/>
        </w:rPr>
      </w:pPr>
      <w:r w:rsidRPr="00FB43FB">
        <w:rPr>
          <w:b/>
          <w:bCs/>
          <w:lang w:val="en-US"/>
        </w:rPr>
        <w:t>Any other business</w:t>
      </w:r>
    </w:p>
    <w:p w14:paraId="78FA0532" w14:textId="422E6726" w:rsidR="008E0B7B" w:rsidRDefault="008E0B7B" w:rsidP="0064550A">
      <w:pPr>
        <w:spacing w:after="120"/>
      </w:pPr>
      <w:r>
        <w:t>There was no AOB.</w:t>
      </w:r>
    </w:p>
    <w:p w14:paraId="2D9247E5" w14:textId="1A9038E9" w:rsidR="00A85E81" w:rsidRPr="00FA4F8A" w:rsidRDefault="008E0B7B" w:rsidP="0064550A">
      <w:pPr>
        <w:spacing w:after="120"/>
      </w:pPr>
      <w:r>
        <w:t>The Chair as well as the Director of BDT thank all for their participation.</w:t>
      </w:r>
    </w:p>
    <w:p w14:paraId="69139BA1" w14:textId="337DF633" w:rsidR="00DF0C8C" w:rsidRPr="00DD76BA" w:rsidRDefault="00DF0C8C" w:rsidP="00DF0C8C">
      <w:pPr>
        <w:spacing w:after="120"/>
        <w:jc w:val="center"/>
      </w:pPr>
      <w:r>
        <w:t>________________</w:t>
      </w:r>
    </w:p>
    <w:sectPr w:rsidR="00DF0C8C" w:rsidRPr="00DD76BA" w:rsidSect="0016102F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951DB" w14:textId="77777777" w:rsidR="0020760C" w:rsidRDefault="0020760C">
      <w:r>
        <w:separator/>
      </w:r>
    </w:p>
  </w:endnote>
  <w:endnote w:type="continuationSeparator" w:id="0">
    <w:p w14:paraId="3E083321" w14:textId="77777777" w:rsidR="0020760C" w:rsidRDefault="0020760C">
      <w:r>
        <w:continuationSeparator/>
      </w:r>
    </w:p>
  </w:endnote>
  <w:endnote w:type="continuationNotice" w:id="1">
    <w:p w14:paraId="645DBADE" w14:textId="77777777" w:rsidR="0020760C" w:rsidRDefault="0020760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61226" w:rsidRPr="00920BD9" w14:paraId="695D1810" w14:textId="77777777" w:rsidTr="00920BD9">
      <w:tc>
        <w:tcPr>
          <w:tcW w:w="1526" w:type="dxa"/>
          <w:shd w:val="clear" w:color="auto" w:fill="auto"/>
        </w:tcPr>
        <w:p w14:paraId="746E5A61" w14:textId="77777777" w:rsidR="00A61226" w:rsidRPr="00920BD9" w:rsidRDefault="00A61226" w:rsidP="00A612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88E41E2" w14:textId="77777777" w:rsidR="00A61226" w:rsidRPr="00920BD9" w:rsidRDefault="00A61226" w:rsidP="00A6122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7ADF83E8" w14:textId="327BA916" w:rsidR="00A61226" w:rsidRPr="00920BD9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Mr Christopher Kemei</w:t>
          </w:r>
          <w:r w:rsidR="00DD7335" w:rsidRPr="00920BD9">
            <w:rPr>
              <w:sz w:val="18"/>
              <w:szCs w:val="18"/>
              <w:lang w:val="en-GB"/>
            </w:rPr>
            <w:t>,</w:t>
          </w:r>
          <w:r w:rsidRPr="00920BD9">
            <w:rPr>
              <w:sz w:val="18"/>
              <w:szCs w:val="18"/>
              <w:lang w:val="en-GB"/>
            </w:rPr>
            <w:t xml:space="preserve"> Director, Universal Service, Communications Authority (CA), Kenya</w:t>
          </w:r>
          <w:r w:rsidR="00920BD9" w:rsidRPr="00920BD9">
            <w:rPr>
              <w:sz w:val="18"/>
              <w:szCs w:val="18"/>
              <w:lang w:val="en-GB"/>
            </w:rPr>
            <w:t>,</w:t>
          </w:r>
          <w:r w:rsidRPr="00920BD9">
            <w:rPr>
              <w:sz w:val="18"/>
              <w:szCs w:val="18"/>
              <w:lang w:val="en-GB"/>
            </w:rPr>
            <w:t xml:space="preserve"> Chair, TDAG Working Group on ITU-D Priorities</w:t>
          </w:r>
        </w:p>
      </w:tc>
      <w:bookmarkStart w:id="6" w:name="OrgName"/>
      <w:bookmarkEnd w:id="6"/>
    </w:tr>
    <w:tr w:rsidR="00920BD9" w:rsidRPr="00920BD9" w14:paraId="55CBA70D" w14:textId="77777777" w:rsidTr="00920BD9">
      <w:trPr>
        <w:trHeight w:val="50"/>
      </w:trPr>
      <w:tc>
        <w:tcPr>
          <w:tcW w:w="1526" w:type="dxa"/>
          <w:shd w:val="clear" w:color="auto" w:fill="auto"/>
        </w:tcPr>
        <w:p w14:paraId="77A8B68A" w14:textId="77777777" w:rsidR="00920BD9" w:rsidRPr="00920BD9" w:rsidRDefault="00920BD9" w:rsidP="00A612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E6FD148" w14:textId="7833EAF8" w:rsidR="00920BD9" w:rsidRPr="00920BD9" w:rsidRDefault="00920BD9" w:rsidP="00A6122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42BC8874" w14:textId="5955250F" w:rsidR="00920BD9" w:rsidRPr="00920BD9" w:rsidRDefault="00920BD9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A61226" w:rsidRPr="00920BD9" w14:paraId="0299A231" w14:textId="77777777" w:rsidTr="00920BD9">
      <w:tc>
        <w:tcPr>
          <w:tcW w:w="1526" w:type="dxa"/>
          <w:shd w:val="clear" w:color="auto" w:fill="auto"/>
        </w:tcPr>
        <w:p w14:paraId="35CBC438" w14:textId="77777777" w:rsidR="00A61226" w:rsidRPr="00920BD9" w:rsidRDefault="00A61226" w:rsidP="00A612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A61226" w:rsidRPr="00920BD9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8E7E8DF" w14:textId="5E75F63C" w:rsidR="00A61226" w:rsidRPr="00920BD9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920BD9">
              <w:rPr>
                <w:rStyle w:val="Hyperlink"/>
                <w:sz w:val="18"/>
                <w:szCs w:val="18"/>
              </w:rPr>
              <w:t>kemei@ca.go.ke</w:t>
            </w:r>
          </w:hyperlink>
          <w:r w:rsidRPr="00920BD9">
            <w:rPr>
              <w:sz w:val="18"/>
              <w:szCs w:val="18"/>
            </w:rPr>
            <w:t xml:space="preserve"> </w:t>
          </w:r>
        </w:p>
      </w:tc>
      <w:bookmarkStart w:id="7" w:name="Email"/>
      <w:bookmarkEnd w:id="7"/>
    </w:tr>
  </w:tbl>
  <w:p w14:paraId="40A321D0" w14:textId="19B70CC0" w:rsidR="00721657" w:rsidRPr="00920BD9" w:rsidRDefault="00721657" w:rsidP="00A6122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858E" w14:textId="77777777" w:rsidR="0020760C" w:rsidRDefault="0020760C">
      <w:r>
        <w:t>____________________</w:t>
      </w:r>
    </w:p>
  </w:footnote>
  <w:footnote w:type="continuationSeparator" w:id="0">
    <w:p w14:paraId="553C5D9D" w14:textId="77777777" w:rsidR="0020760C" w:rsidRDefault="0020760C">
      <w:r>
        <w:continuationSeparator/>
      </w:r>
    </w:p>
  </w:footnote>
  <w:footnote w:type="continuationNotice" w:id="1">
    <w:p w14:paraId="3EDB5ABA" w14:textId="77777777" w:rsidR="0020760C" w:rsidRDefault="0020760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0003D22E" w:rsidR="00721657" w:rsidRPr="003334A3" w:rsidRDefault="003334A3" w:rsidP="003334A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Pr="006D4EA0">
      <w:rPr>
        <w:sz w:val="22"/>
        <w:szCs w:val="22"/>
        <w:lang w:val="de-CH"/>
      </w:rPr>
      <w:t>TDAG-WG-</w:t>
    </w:r>
    <w:r>
      <w:rPr>
        <w:sz w:val="22"/>
        <w:szCs w:val="22"/>
        <w:lang w:val="de-CH"/>
      </w:rPr>
      <w:t>ITUDP</w:t>
    </w:r>
    <w:r w:rsidRPr="006D4EA0">
      <w:rPr>
        <w:sz w:val="22"/>
        <w:szCs w:val="22"/>
        <w:lang w:val="de-CH"/>
      </w:rPr>
      <w:t>/</w:t>
    </w:r>
    <w:r w:rsidR="00B92541">
      <w:rPr>
        <w:sz w:val="22"/>
        <w:szCs w:val="22"/>
        <w:lang w:val="de-CH"/>
      </w:rPr>
      <w:t>6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Pr="003334A3">
      <w:rPr>
        <w:sz w:val="22"/>
        <w:szCs w:val="22"/>
        <w:lang w:val="fr-FR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2FA"/>
    <w:multiLevelType w:val="multilevel"/>
    <w:tmpl w:val="5FA46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B1E7B"/>
    <w:multiLevelType w:val="hybridMultilevel"/>
    <w:tmpl w:val="285CA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69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CD4EC3"/>
    <w:multiLevelType w:val="hybridMultilevel"/>
    <w:tmpl w:val="47CE078A"/>
    <w:lvl w:ilvl="0" w:tplc="3F0E7858">
      <w:start w:val="1"/>
      <w:numFmt w:val="lowerLetter"/>
      <w:lvlText w:val="%1.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50AB"/>
    <w:multiLevelType w:val="multilevel"/>
    <w:tmpl w:val="4BC4FC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BBB7DCC"/>
    <w:multiLevelType w:val="hybridMultilevel"/>
    <w:tmpl w:val="90B634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5DEB"/>
    <w:multiLevelType w:val="hybridMultilevel"/>
    <w:tmpl w:val="A972F7A2"/>
    <w:lvl w:ilvl="0" w:tplc="DAC2F5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4FD"/>
    <w:multiLevelType w:val="hybridMultilevel"/>
    <w:tmpl w:val="0C406B42"/>
    <w:lvl w:ilvl="0" w:tplc="67E09D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3626"/>
    <w:multiLevelType w:val="hybridMultilevel"/>
    <w:tmpl w:val="00A8A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1417F"/>
    <w:multiLevelType w:val="hybridMultilevel"/>
    <w:tmpl w:val="90B634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41741"/>
    <w:multiLevelType w:val="multilevel"/>
    <w:tmpl w:val="BA86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15E8E"/>
    <w:multiLevelType w:val="hybridMultilevel"/>
    <w:tmpl w:val="9D58B71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B303F2"/>
    <w:multiLevelType w:val="multilevel"/>
    <w:tmpl w:val="31864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3E0120"/>
    <w:multiLevelType w:val="hybridMultilevel"/>
    <w:tmpl w:val="61DEE9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25DA0"/>
    <w:multiLevelType w:val="multilevel"/>
    <w:tmpl w:val="FCCCC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279E1"/>
    <w:multiLevelType w:val="hybridMultilevel"/>
    <w:tmpl w:val="F4AE3C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1F1CE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5F492F3C"/>
    <w:multiLevelType w:val="multilevel"/>
    <w:tmpl w:val="85048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C64860"/>
    <w:multiLevelType w:val="hybridMultilevel"/>
    <w:tmpl w:val="C220DF5C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C481A"/>
    <w:multiLevelType w:val="hybridMultilevel"/>
    <w:tmpl w:val="B00EA6A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474A5C"/>
    <w:multiLevelType w:val="hybridMultilevel"/>
    <w:tmpl w:val="644C37A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E79FF"/>
    <w:multiLevelType w:val="hybridMultilevel"/>
    <w:tmpl w:val="FD60E7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5398"/>
    <w:multiLevelType w:val="multilevel"/>
    <w:tmpl w:val="6F72F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5F6E1E"/>
    <w:multiLevelType w:val="multilevel"/>
    <w:tmpl w:val="8898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588005">
    <w:abstractNumId w:val="19"/>
  </w:num>
  <w:num w:numId="2" w16cid:durableId="635572568">
    <w:abstractNumId w:val="10"/>
  </w:num>
  <w:num w:numId="3" w16cid:durableId="373234560">
    <w:abstractNumId w:val="2"/>
  </w:num>
  <w:num w:numId="4" w16cid:durableId="326254461">
    <w:abstractNumId w:val="24"/>
  </w:num>
  <w:num w:numId="5" w16cid:durableId="1574701577">
    <w:abstractNumId w:val="15"/>
  </w:num>
  <w:num w:numId="6" w16cid:durableId="1775860427">
    <w:abstractNumId w:val="7"/>
  </w:num>
  <w:num w:numId="7" w16cid:durableId="2054885110">
    <w:abstractNumId w:val="3"/>
  </w:num>
  <w:num w:numId="8" w16cid:durableId="1189174313">
    <w:abstractNumId w:val="21"/>
  </w:num>
  <w:num w:numId="9" w16cid:durableId="1735083853">
    <w:abstractNumId w:val="5"/>
  </w:num>
  <w:num w:numId="10" w16cid:durableId="2013603402">
    <w:abstractNumId w:val="6"/>
  </w:num>
  <w:num w:numId="11" w16cid:durableId="1988438910">
    <w:abstractNumId w:val="11"/>
  </w:num>
  <w:num w:numId="12" w16cid:durableId="1206137553">
    <w:abstractNumId w:val="26"/>
  </w:num>
  <w:num w:numId="13" w16cid:durableId="1475945596">
    <w:abstractNumId w:val="14"/>
  </w:num>
  <w:num w:numId="14" w16cid:durableId="1039861169">
    <w:abstractNumId w:val="20"/>
  </w:num>
  <w:num w:numId="15" w16cid:durableId="1340891625">
    <w:abstractNumId w:val="0"/>
  </w:num>
  <w:num w:numId="16" w16cid:durableId="93668518">
    <w:abstractNumId w:val="25"/>
  </w:num>
  <w:num w:numId="17" w16cid:durableId="1851987025">
    <w:abstractNumId w:val="9"/>
  </w:num>
  <w:num w:numId="18" w16cid:durableId="1883248448">
    <w:abstractNumId w:val="23"/>
  </w:num>
  <w:num w:numId="19" w16cid:durableId="134377408">
    <w:abstractNumId w:val="18"/>
  </w:num>
  <w:num w:numId="20" w16cid:durableId="2116512048">
    <w:abstractNumId w:val="8"/>
  </w:num>
  <w:num w:numId="21" w16cid:durableId="1465730209">
    <w:abstractNumId w:val="1"/>
  </w:num>
  <w:num w:numId="22" w16cid:durableId="1658876048">
    <w:abstractNumId w:val="4"/>
  </w:num>
  <w:num w:numId="23" w16cid:durableId="1110667855">
    <w:abstractNumId w:val="12"/>
  </w:num>
  <w:num w:numId="24" w16cid:durableId="1329745979">
    <w:abstractNumId w:val="16"/>
  </w:num>
  <w:num w:numId="25" w16cid:durableId="1707637703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448204371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2089426746">
    <w:abstractNumId w:val="16"/>
    <w:lvlOverride w:ilvl="1">
      <w:lvl w:ilvl="1">
        <w:numFmt w:val="bullet"/>
        <w:lvlText w:val=""/>
        <w:lvlJc w:val="left"/>
        <w:pPr>
          <w:tabs>
            <w:tab w:val="num" w:pos="1353"/>
          </w:tabs>
          <w:ind w:left="1353" w:hanging="360"/>
        </w:pPr>
        <w:rPr>
          <w:rFonts w:ascii="Symbol" w:hAnsi="Symbol" w:hint="default"/>
          <w:sz w:val="20"/>
        </w:rPr>
      </w:lvl>
    </w:lvlOverride>
  </w:num>
  <w:num w:numId="28" w16cid:durableId="945578996">
    <w:abstractNumId w:val="17"/>
  </w:num>
  <w:num w:numId="29" w16cid:durableId="532423487">
    <w:abstractNumId w:val="22"/>
  </w:num>
  <w:num w:numId="30" w16cid:durableId="10007003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70E"/>
    <w:rsid w:val="00003C43"/>
    <w:rsid w:val="00005791"/>
    <w:rsid w:val="00007994"/>
    <w:rsid w:val="00010827"/>
    <w:rsid w:val="00015089"/>
    <w:rsid w:val="00021196"/>
    <w:rsid w:val="0002520B"/>
    <w:rsid w:val="00030397"/>
    <w:rsid w:val="00035372"/>
    <w:rsid w:val="00037A9E"/>
    <w:rsid w:val="00037F91"/>
    <w:rsid w:val="00045254"/>
    <w:rsid w:val="000539F1"/>
    <w:rsid w:val="000542ED"/>
    <w:rsid w:val="00054747"/>
    <w:rsid w:val="00055A2A"/>
    <w:rsid w:val="000615C1"/>
    <w:rsid w:val="00061675"/>
    <w:rsid w:val="000743AA"/>
    <w:rsid w:val="00080C61"/>
    <w:rsid w:val="0009076F"/>
    <w:rsid w:val="0009225C"/>
    <w:rsid w:val="000A17C4"/>
    <w:rsid w:val="000A36A4"/>
    <w:rsid w:val="000B2352"/>
    <w:rsid w:val="000B2B73"/>
    <w:rsid w:val="000B79AF"/>
    <w:rsid w:val="000C5A64"/>
    <w:rsid w:val="000C6646"/>
    <w:rsid w:val="000C6BEE"/>
    <w:rsid w:val="000C7B84"/>
    <w:rsid w:val="000D261B"/>
    <w:rsid w:val="000D3C31"/>
    <w:rsid w:val="000D58A3"/>
    <w:rsid w:val="000D74D0"/>
    <w:rsid w:val="000E3ED4"/>
    <w:rsid w:val="000E3F9C"/>
    <w:rsid w:val="000F1550"/>
    <w:rsid w:val="000F251B"/>
    <w:rsid w:val="000F45CC"/>
    <w:rsid w:val="000F5FE8"/>
    <w:rsid w:val="000F6644"/>
    <w:rsid w:val="00100833"/>
    <w:rsid w:val="00102F72"/>
    <w:rsid w:val="00105332"/>
    <w:rsid w:val="00107E85"/>
    <w:rsid w:val="00111802"/>
    <w:rsid w:val="00113EE8"/>
    <w:rsid w:val="0011455A"/>
    <w:rsid w:val="00114A65"/>
    <w:rsid w:val="00133061"/>
    <w:rsid w:val="0013591E"/>
    <w:rsid w:val="00137BD8"/>
    <w:rsid w:val="00141699"/>
    <w:rsid w:val="00147000"/>
    <w:rsid w:val="0016102F"/>
    <w:rsid w:val="00163091"/>
    <w:rsid w:val="001645CB"/>
    <w:rsid w:val="00166305"/>
    <w:rsid w:val="00167545"/>
    <w:rsid w:val="001703C6"/>
    <w:rsid w:val="001727A0"/>
    <w:rsid w:val="00173781"/>
    <w:rsid w:val="00175ADF"/>
    <w:rsid w:val="00175CAE"/>
    <w:rsid w:val="001828DB"/>
    <w:rsid w:val="001847F0"/>
    <w:rsid w:val="001850FE"/>
    <w:rsid w:val="00185135"/>
    <w:rsid w:val="0019037C"/>
    <w:rsid w:val="001905A9"/>
    <w:rsid w:val="00191273"/>
    <w:rsid w:val="001921F5"/>
    <w:rsid w:val="001942A7"/>
    <w:rsid w:val="0019587B"/>
    <w:rsid w:val="00196531"/>
    <w:rsid w:val="001A163D"/>
    <w:rsid w:val="001A441E"/>
    <w:rsid w:val="001A6733"/>
    <w:rsid w:val="001B2550"/>
    <w:rsid w:val="001B357F"/>
    <w:rsid w:val="001C3444"/>
    <w:rsid w:val="001C3702"/>
    <w:rsid w:val="001C4592"/>
    <w:rsid w:val="001C4656"/>
    <w:rsid w:val="001C46BC"/>
    <w:rsid w:val="001D1E06"/>
    <w:rsid w:val="001E0F10"/>
    <w:rsid w:val="001F23E6"/>
    <w:rsid w:val="001F4238"/>
    <w:rsid w:val="00200A38"/>
    <w:rsid w:val="00200A46"/>
    <w:rsid w:val="0020760C"/>
    <w:rsid w:val="00211B6F"/>
    <w:rsid w:val="00217CC3"/>
    <w:rsid w:val="00220AB6"/>
    <w:rsid w:val="0022120F"/>
    <w:rsid w:val="00226E76"/>
    <w:rsid w:val="0022754A"/>
    <w:rsid w:val="0023126C"/>
    <w:rsid w:val="002316BB"/>
    <w:rsid w:val="00236560"/>
    <w:rsid w:val="0023662E"/>
    <w:rsid w:val="00245D0F"/>
    <w:rsid w:val="00251A1A"/>
    <w:rsid w:val="00252392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A726B"/>
    <w:rsid w:val="002B6069"/>
    <w:rsid w:val="002B7365"/>
    <w:rsid w:val="002C1EC7"/>
    <w:rsid w:val="002C3015"/>
    <w:rsid w:val="002C4342"/>
    <w:rsid w:val="002C7EA3"/>
    <w:rsid w:val="002D20AE"/>
    <w:rsid w:val="002D6C61"/>
    <w:rsid w:val="002E2104"/>
    <w:rsid w:val="002E2DAC"/>
    <w:rsid w:val="002E456B"/>
    <w:rsid w:val="002E4B91"/>
    <w:rsid w:val="002E59D8"/>
    <w:rsid w:val="002E6963"/>
    <w:rsid w:val="002E6F8F"/>
    <w:rsid w:val="002E712E"/>
    <w:rsid w:val="002F05D8"/>
    <w:rsid w:val="002F2DE0"/>
    <w:rsid w:val="002F5E25"/>
    <w:rsid w:val="0030353C"/>
    <w:rsid w:val="00307769"/>
    <w:rsid w:val="00311E50"/>
    <w:rsid w:val="003125C3"/>
    <w:rsid w:val="00312AE6"/>
    <w:rsid w:val="00317D1A"/>
    <w:rsid w:val="003211FF"/>
    <w:rsid w:val="003242AB"/>
    <w:rsid w:val="003264E6"/>
    <w:rsid w:val="00327247"/>
    <w:rsid w:val="00327A9D"/>
    <w:rsid w:val="0033130E"/>
    <w:rsid w:val="0033269C"/>
    <w:rsid w:val="00333422"/>
    <w:rsid w:val="003334A3"/>
    <w:rsid w:val="00351C79"/>
    <w:rsid w:val="0035516C"/>
    <w:rsid w:val="00355A4C"/>
    <w:rsid w:val="003604FB"/>
    <w:rsid w:val="00360B73"/>
    <w:rsid w:val="00372931"/>
    <w:rsid w:val="00380B71"/>
    <w:rsid w:val="0038365A"/>
    <w:rsid w:val="00384660"/>
    <w:rsid w:val="00386A89"/>
    <w:rsid w:val="0039648E"/>
    <w:rsid w:val="003A5AFE"/>
    <w:rsid w:val="003A5D5F"/>
    <w:rsid w:val="003A7FFE"/>
    <w:rsid w:val="003B0A63"/>
    <w:rsid w:val="003B163B"/>
    <w:rsid w:val="003B3B7F"/>
    <w:rsid w:val="003B50E1"/>
    <w:rsid w:val="003C1746"/>
    <w:rsid w:val="003C2AA9"/>
    <w:rsid w:val="003C58BF"/>
    <w:rsid w:val="003D3A70"/>
    <w:rsid w:val="003D451D"/>
    <w:rsid w:val="003E6435"/>
    <w:rsid w:val="003F22B9"/>
    <w:rsid w:val="003F2DD8"/>
    <w:rsid w:val="003F3F2D"/>
    <w:rsid w:val="003F50B2"/>
    <w:rsid w:val="00400CCF"/>
    <w:rsid w:val="00401BFF"/>
    <w:rsid w:val="00404424"/>
    <w:rsid w:val="004071E3"/>
    <w:rsid w:val="00410C65"/>
    <w:rsid w:val="0041156B"/>
    <w:rsid w:val="004122C5"/>
    <w:rsid w:val="00412E07"/>
    <w:rsid w:val="00413B78"/>
    <w:rsid w:val="004146FD"/>
    <w:rsid w:val="00416DDE"/>
    <w:rsid w:val="00427022"/>
    <w:rsid w:val="0043214D"/>
    <w:rsid w:val="00436B05"/>
    <w:rsid w:val="0044411E"/>
    <w:rsid w:val="00453435"/>
    <w:rsid w:val="00456D7E"/>
    <w:rsid w:val="004573D4"/>
    <w:rsid w:val="00460089"/>
    <w:rsid w:val="00465632"/>
    <w:rsid w:val="00466398"/>
    <w:rsid w:val="00467D4B"/>
    <w:rsid w:val="004712A4"/>
    <w:rsid w:val="0047306D"/>
    <w:rsid w:val="00473791"/>
    <w:rsid w:val="00476E48"/>
    <w:rsid w:val="00476EBE"/>
    <w:rsid w:val="00481DE9"/>
    <w:rsid w:val="00487332"/>
    <w:rsid w:val="0049128B"/>
    <w:rsid w:val="00493B49"/>
    <w:rsid w:val="00495501"/>
    <w:rsid w:val="00496D02"/>
    <w:rsid w:val="004A070A"/>
    <w:rsid w:val="004A196D"/>
    <w:rsid w:val="004A320E"/>
    <w:rsid w:val="004A4C78"/>
    <w:rsid w:val="004A4E85"/>
    <w:rsid w:val="004A4E9C"/>
    <w:rsid w:val="004A6625"/>
    <w:rsid w:val="004B1A3C"/>
    <w:rsid w:val="004B1FD6"/>
    <w:rsid w:val="004B3DE1"/>
    <w:rsid w:val="004B7575"/>
    <w:rsid w:val="004D2CC3"/>
    <w:rsid w:val="004D35CB"/>
    <w:rsid w:val="004D7596"/>
    <w:rsid w:val="004D7DAB"/>
    <w:rsid w:val="004E20E5"/>
    <w:rsid w:val="004E64EA"/>
    <w:rsid w:val="004E7828"/>
    <w:rsid w:val="004F1805"/>
    <w:rsid w:val="004F3CF9"/>
    <w:rsid w:val="004F46AA"/>
    <w:rsid w:val="004F6A70"/>
    <w:rsid w:val="004F7B4D"/>
    <w:rsid w:val="00500799"/>
    <w:rsid w:val="00500AD7"/>
    <w:rsid w:val="00502ABF"/>
    <w:rsid w:val="00504DB0"/>
    <w:rsid w:val="005078A4"/>
    <w:rsid w:val="00507C35"/>
    <w:rsid w:val="00510735"/>
    <w:rsid w:val="00514D2F"/>
    <w:rsid w:val="00525A1A"/>
    <w:rsid w:val="00533CDD"/>
    <w:rsid w:val="00543691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2362"/>
    <w:rsid w:val="00573424"/>
    <w:rsid w:val="0057402F"/>
    <w:rsid w:val="00581653"/>
    <w:rsid w:val="0058324A"/>
    <w:rsid w:val="005849D6"/>
    <w:rsid w:val="00585367"/>
    <w:rsid w:val="005871A1"/>
    <w:rsid w:val="0058737E"/>
    <w:rsid w:val="00591928"/>
    <w:rsid w:val="00592518"/>
    <w:rsid w:val="00592E87"/>
    <w:rsid w:val="0059420B"/>
    <w:rsid w:val="00594C4D"/>
    <w:rsid w:val="005A03B8"/>
    <w:rsid w:val="005A33B0"/>
    <w:rsid w:val="005A406D"/>
    <w:rsid w:val="005A4AB8"/>
    <w:rsid w:val="005A6D94"/>
    <w:rsid w:val="005C2DC2"/>
    <w:rsid w:val="005C304A"/>
    <w:rsid w:val="005C3D69"/>
    <w:rsid w:val="005C7C98"/>
    <w:rsid w:val="005D2C3A"/>
    <w:rsid w:val="005D55A4"/>
    <w:rsid w:val="005D57C8"/>
    <w:rsid w:val="005D66BF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07A69"/>
    <w:rsid w:val="00611EAF"/>
    <w:rsid w:val="00623F30"/>
    <w:rsid w:val="00625FB8"/>
    <w:rsid w:val="006261BD"/>
    <w:rsid w:val="00632552"/>
    <w:rsid w:val="006343E3"/>
    <w:rsid w:val="00635EDB"/>
    <w:rsid w:val="00642C3C"/>
    <w:rsid w:val="0064550A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965ED"/>
    <w:rsid w:val="006A6549"/>
    <w:rsid w:val="006A7710"/>
    <w:rsid w:val="006A7A61"/>
    <w:rsid w:val="006B08AC"/>
    <w:rsid w:val="006B189B"/>
    <w:rsid w:val="006B1E59"/>
    <w:rsid w:val="006B2FFB"/>
    <w:rsid w:val="006C075B"/>
    <w:rsid w:val="006C10A2"/>
    <w:rsid w:val="006C17FA"/>
    <w:rsid w:val="006C1F18"/>
    <w:rsid w:val="006D14D2"/>
    <w:rsid w:val="006D35CA"/>
    <w:rsid w:val="006D40D5"/>
    <w:rsid w:val="006D4EA0"/>
    <w:rsid w:val="006E7F54"/>
    <w:rsid w:val="006F009A"/>
    <w:rsid w:val="006F24AF"/>
    <w:rsid w:val="006F3D93"/>
    <w:rsid w:val="007019B1"/>
    <w:rsid w:val="007056C4"/>
    <w:rsid w:val="007119B5"/>
    <w:rsid w:val="0071703D"/>
    <w:rsid w:val="00721657"/>
    <w:rsid w:val="007279A8"/>
    <w:rsid w:val="00727B1A"/>
    <w:rsid w:val="00735D24"/>
    <w:rsid w:val="00741337"/>
    <w:rsid w:val="0074377F"/>
    <w:rsid w:val="00750792"/>
    <w:rsid w:val="00750956"/>
    <w:rsid w:val="00752258"/>
    <w:rsid w:val="007529E1"/>
    <w:rsid w:val="00752BD7"/>
    <w:rsid w:val="0076272A"/>
    <w:rsid w:val="00762880"/>
    <w:rsid w:val="00762AD6"/>
    <w:rsid w:val="00762E02"/>
    <w:rsid w:val="00767C9C"/>
    <w:rsid w:val="00772290"/>
    <w:rsid w:val="00775CD4"/>
    <w:rsid w:val="00777265"/>
    <w:rsid w:val="007805E7"/>
    <w:rsid w:val="0078222A"/>
    <w:rsid w:val="00787D48"/>
    <w:rsid w:val="00793AA8"/>
    <w:rsid w:val="00795294"/>
    <w:rsid w:val="00795ED2"/>
    <w:rsid w:val="007A4E50"/>
    <w:rsid w:val="007B18A7"/>
    <w:rsid w:val="007B250E"/>
    <w:rsid w:val="007C27FC"/>
    <w:rsid w:val="007C51FF"/>
    <w:rsid w:val="007D04C9"/>
    <w:rsid w:val="007D347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57158"/>
    <w:rsid w:val="00862ADE"/>
    <w:rsid w:val="00872B6E"/>
    <w:rsid w:val="00874DFD"/>
    <w:rsid w:val="00876D57"/>
    <w:rsid w:val="008802F9"/>
    <w:rsid w:val="00883086"/>
    <w:rsid w:val="008879FD"/>
    <w:rsid w:val="00892008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C4010"/>
    <w:rsid w:val="008C4FDF"/>
    <w:rsid w:val="008C6B1F"/>
    <w:rsid w:val="008C7B24"/>
    <w:rsid w:val="008D5E4F"/>
    <w:rsid w:val="008D7F78"/>
    <w:rsid w:val="008E0B7B"/>
    <w:rsid w:val="008E34F0"/>
    <w:rsid w:val="008E3DF2"/>
    <w:rsid w:val="008E43E7"/>
    <w:rsid w:val="008F14F5"/>
    <w:rsid w:val="008F71C1"/>
    <w:rsid w:val="00902D41"/>
    <w:rsid w:val="00902F49"/>
    <w:rsid w:val="00904230"/>
    <w:rsid w:val="00906981"/>
    <w:rsid w:val="00914004"/>
    <w:rsid w:val="00920BD9"/>
    <w:rsid w:val="00922EC1"/>
    <w:rsid w:val="00923CF1"/>
    <w:rsid w:val="009258AE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2531"/>
    <w:rsid w:val="0097441D"/>
    <w:rsid w:val="00975786"/>
    <w:rsid w:val="009817FE"/>
    <w:rsid w:val="00981CB7"/>
    <w:rsid w:val="00983E1F"/>
    <w:rsid w:val="009842AD"/>
    <w:rsid w:val="00993F46"/>
    <w:rsid w:val="00994056"/>
    <w:rsid w:val="009970E9"/>
    <w:rsid w:val="00997358"/>
    <w:rsid w:val="009A452B"/>
    <w:rsid w:val="009B050C"/>
    <w:rsid w:val="009B087F"/>
    <w:rsid w:val="009B08E5"/>
    <w:rsid w:val="009B2AF4"/>
    <w:rsid w:val="009C110B"/>
    <w:rsid w:val="009C3C2F"/>
    <w:rsid w:val="009C5441"/>
    <w:rsid w:val="009C5A87"/>
    <w:rsid w:val="009D119F"/>
    <w:rsid w:val="009D49A2"/>
    <w:rsid w:val="009D596A"/>
    <w:rsid w:val="009E118E"/>
    <w:rsid w:val="009F0B53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197D"/>
    <w:rsid w:val="00A525CC"/>
    <w:rsid w:val="00A53E7C"/>
    <w:rsid w:val="00A60087"/>
    <w:rsid w:val="00A61226"/>
    <w:rsid w:val="00A702B0"/>
    <w:rsid w:val="00A705E8"/>
    <w:rsid w:val="00A721F4"/>
    <w:rsid w:val="00A73680"/>
    <w:rsid w:val="00A85E81"/>
    <w:rsid w:val="00A9392C"/>
    <w:rsid w:val="00A9462B"/>
    <w:rsid w:val="00A97D59"/>
    <w:rsid w:val="00AA2104"/>
    <w:rsid w:val="00AA3E09"/>
    <w:rsid w:val="00AA4BEF"/>
    <w:rsid w:val="00AB1659"/>
    <w:rsid w:val="00AB4962"/>
    <w:rsid w:val="00AB6D81"/>
    <w:rsid w:val="00AB71C9"/>
    <w:rsid w:val="00AB734E"/>
    <w:rsid w:val="00AB740F"/>
    <w:rsid w:val="00AC6F14"/>
    <w:rsid w:val="00AC7221"/>
    <w:rsid w:val="00AD4677"/>
    <w:rsid w:val="00AE5961"/>
    <w:rsid w:val="00AF0745"/>
    <w:rsid w:val="00AF17BE"/>
    <w:rsid w:val="00AF4971"/>
    <w:rsid w:val="00AF5276"/>
    <w:rsid w:val="00AF742A"/>
    <w:rsid w:val="00AF7C86"/>
    <w:rsid w:val="00B01046"/>
    <w:rsid w:val="00B07E2E"/>
    <w:rsid w:val="00B17865"/>
    <w:rsid w:val="00B27C65"/>
    <w:rsid w:val="00B310F9"/>
    <w:rsid w:val="00B3435E"/>
    <w:rsid w:val="00B37866"/>
    <w:rsid w:val="00B37D12"/>
    <w:rsid w:val="00B412FB"/>
    <w:rsid w:val="00B43422"/>
    <w:rsid w:val="00B4576B"/>
    <w:rsid w:val="00B46350"/>
    <w:rsid w:val="00B46DF3"/>
    <w:rsid w:val="00B5794F"/>
    <w:rsid w:val="00B61CA5"/>
    <w:rsid w:val="00B64698"/>
    <w:rsid w:val="00B648C7"/>
    <w:rsid w:val="00B662F5"/>
    <w:rsid w:val="00B66E8F"/>
    <w:rsid w:val="00B80157"/>
    <w:rsid w:val="00B83D5E"/>
    <w:rsid w:val="00B8460A"/>
    <w:rsid w:val="00B8650D"/>
    <w:rsid w:val="00B879B4"/>
    <w:rsid w:val="00B90F07"/>
    <w:rsid w:val="00B92541"/>
    <w:rsid w:val="00B97BB9"/>
    <w:rsid w:val="00BA0009"/>
    <w:rsid w:val="00BA0CB2"/>
    <w:rsid w:val="00BB02B5"/>
    <w:rsid w:val="00BB1863"/>
    <w:rsid w:val="00BB25EE"/>
    <w:rsid w:val="00BB363A"/>
    <w:rsid w:val="00BC10A0"/>
    <w:rsid w:val="00BC5007"/>
    <w:rsid w:val="00BC7BA2"/>
    <w:rsid w:val="00BD36CD"/>
    <w:rsid w:val="00BD426B"/>
    <w:rsid w:val="00BD79F0"/>
    <w:rsid w:val="00BE2B4D"/>
    <w:rsid w:val="00C015F8"/>
    <w:rsid w:val="00C02C2A"/>
    <w:rsid w:val="00C062D2"/>
    <w:rsid w:val="00C07E26"/>
    <w:rsid w:val="00C1011C"/>
    <w:rsid w:val="00C12F94"/>
    <w:rsid w:val="00C156C8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591A"/>
    <w:rsid w:val="00C66F4D"/>
    <w:rsid w:val="00C67BB5"/>
    <w:rsid w:val="00C702C7"/>
    <w:rsid w:val="00C716D8"/>
    <w:rsid w:val="00C7172E"/>
    <w:rsid w:val="00C72713"/>
    <w:rsid w:val="00C848EF"/>
    <w:rsid w:val="00C86600"/>
    <w:rsid w:val="00C87BCA"/>
    <w:rsid w:val="00C87EED"/>
    <w:rsid w:val="00C94506"/>
    <w:rsid w:val="00C954BC"/>
    <w:rsid w:val="00CA1F0B"/>
    <w:rsid w:val="00CA5F78"/>
    <w:rsid w:val="00CB110F"/>
    <w:rsid w:val="00CB2A2E"/>
    <w:rsid w:val="00CB338A"/>
    <w:rsid w:val="00CB5267"/>
    <w:rsid w:val="00CB79C5"/>
    <w:rsid w:val="00CC0272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2E67"/>
    <w:rsid w:val="00D14051"/>
    <w:rsid w:val="00D1519F"/>
    <w:rsid w:val="00D1703C"/>
    <w:rsid w:val="00D20E99"/>
    <w:rsid w:val="00D21C83"/>
    <w:rsid w:val="00D35BDD"/>
    <w:rsid w:val="00D4250E"/>
    <w:rsid w:val="00D43110"/>
    <w:rsid w:val="00D46117"/>
    <w:rsid w:val="00D51620"/>
    <w:rsid w:val="00D56315"/>
    <w:rsid w:val="00D63006"/>
    <w:rsid w:val="00D72301"/>
    <w:rsid w:val="00D73343"/>
    <w:rsid w:val="00D901B7"/>
    <w:rsid w:val="00D911DE"/>
    <w:rsid w:val="00D91B97"/>
    <w:rsid w:val="00D92B37"/>
    <w:rsid w:val="00D93ACC"/>
    <w:rsid w:val="00D93C08"/>
    <w:rsid w:val="00D9522D"/>
    <w:rsid w:val="00D95DAC"/>
    <w:rsid w:val="00DA0B53"/>
    <w:rsid w:val="00DB1171"/>
    <w:rsid w:val="00DB1519"/>
    <w:rsid w:val="00DB2840"/>
    <w:rsid w:val="00DC1BD3"/>
    <w:rsid w:val="00DC2C1A"/>
    <w:rsid w:val="00DD66B4"/>
    <w:rsid w:val="00DD7335"/>
    <w:rsid w:val="00DD76BA"/>
    <w:rsid w:val="00DE1972"/>
    <w:rsid w:val="00DE1C2B"/>
    <w:rsid w:val="00DE27AB"/>
    <w:rsid w:val="00DF0C8C"/>
    <w:rsid w:val="00DF2AB3"/>
    <w:rsid w:val="00DF7250"/>
    <w:rsid w:val="00E00CAA"/>
    <w:rsid w:val="00E03EBF"/>
    <w:rsid w:val="00E05209"/>
    <w:rsid w:val="00E05AC1"/>
    <w:rsid w:val="00E11BCF"/>
    <w:rsid w:val="00E17CEC"/>
    <w:rsid w:val="00E2161C"/>
    <w:rsid w:val="00E2258E"/>
    <w:rsid w:val="00E258DF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67E01"/>
    <w:rsid w:val="00E70D9F"/>
    <w:rsid w:val="00E83810"/>
    <w:rsid w:val="00E86933"/>
    <w:rsid w:val="00E9605B"/>
    <w:rsid w:val="00E97298"/>
    <w:rsid w:val="00E97753"/>
    <w:rsid w:val="00EA0C51"/>
    <w:rsid w:val="00EA1D65"/>
    <w:rsid w:val="00EA269E"/>
    <w:rsid w:val="00EA7DE7"/>
    <w:rsid w:val="00EB7A8A"/>
    <w:rsid w:val="00EC3707"/>
    <w:rsid w:val="00EC6FED"/>
    <w:rsid w:val="00EC7C8C"/>
    <w:rsid w:val="00EC7F3B"/>
    <w:rsid w:val="00ED467A"/>
    <w:rsid w:val="00ED5299"/>
    <w:rsid w:val="00EE3A64"/>
    <w:rsid w:val="00EE5067"/>
    <w:rsid w:val="00EE50E5"/>
    <w:rsid w:val="00EF01CF"/>
    <w:rsid w:val="00F03590"/>
    <w:rsid w:val="00F03622"/>
    <w:rsid w:val="00F077FD"/>
    <w:rsid w:val="00F204F3"/>
    <w:rsid w:val="00F218AB"/>
    <w:rsid w:val="00F22ECE"/>
    <w:rsid w:val="00F235FC"/>
    <w:rsid w:val="00F238B3"/>
    <w:rsid w:val="00F2470C"/>
    <w:rsid w:val="00F24FED"/>
    <w:rsid w:val="00F25586"/>
    <w:rsid w:val="00F25DB8"/>
    <w:rsid w:val="00F2651D"/>
    <w:rsid w:val="00F27362"/>
    <w:rsid w:val="00F31498"/>
    <w:rsid w:val="00F32C44"/>
    <w:rsid w:val="00F32FEF"/>
    <w:rsid w:val="00F41B1C"/>
    <w:rsid w:val="00F42E13"/>
    <w:rsid w:val="00F42F1C"/>
    <w:rsid w:val="00F43B44"/>
    <w:rsid w:val="00F440E5"/>
    <w:rsid w:val="00F448F6"/>
    <w:rsid w:val="00F4637E"/>
    <w:rsid w:val="00F46B1D"/>
    <w:rsid w:val="00F51298"/>
    <w:rsid w:val="00F52741"/>
    <w:rsid w:val="00F53D8A"/>
    <w:rsid w:val="00F54F77"/>
    <w:rsid w:val="00F6071E"/>
    <w:rsid w:val="00F626F7"/>
    <w:rsid w:val="00F65139"/>
    <w:rsid w:val="00F67F99"/>
    <w:rsid w:val="00F71120"/>
    <w:rsid w:val="00F736F9"/>
    <w:rsid w:val="00F73833"/>
    <w:rsid w:val="00F91918"/>
    <w:rsid w:val="00F9211C"/>
    <w:rsid w:val="00FA095D"/>
    <w:rsid w:val="00FA3883"/>
    <w:rsid w:val="00FA4F8A"/>
    <w:rsid w:val="00FA558D"/>
    <w:rsid w:val="00FA6C8B"/>
    <w:rsid w:val="00FA6CDA"/>
    <w:rsid w:val="00FA7C89"/>
    <w:rsid w:val="00FB4139"/>
    <w:rsid w:val="00FB43FB"/>
    <w:rsid w:val="00FB476E"/>
    <w:rsid w:val="00FC0D90"/>
    <w:rsid w:val="00FC7BD7"/>
    <w:rsid w:val="00FC7D8C"/>
    <w:rsid w:val="00FD3980"/>
    <w:rsid w:val="00FD431E"/>
    <w:rsid w:val="00FD5A2C"/>
    <w:rsid w:val="00FD7033"/>
    <w:rsid w:val="00FE0D47"/>
    <w:rsid w:val="00FE1D5C"/>
    <w:rsid w:val="00FE2C80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467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2E71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paragraph" w:styleId="Revision">
    <w:name w:val="Revision"/>
    <w:hidden/>
    <w:uiPriority w:val="99"/>
    <w:semiHidden/>
    <w:rsid w:val="005D66BF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0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577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4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677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.WG.ITUDP-C-000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e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A4658-B3BF-44C6-8D5C-BA7CA2DA6E56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6AB50-4140-4BD5-AF00-048CEFAEB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FDBEF-FF12-4B71-B5C1-7BF38E6E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41</cp:revision>
  <cp:lastPrinted>2014-11-04T09:22:00Z</cp:lastPrinted>
  <dcterms:created xsi:type="dcterms:W3CDTF">2024-12-19T08:48:00Z</dcterms:created>
  <dcterms:modified xsi:type="dcterms:W3CDTF">2024-12-19T14:21:00Z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