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1985"/>
        <w:gridCol w:w="4394"/>
        <w:gridCol w:w="1985"/>
        <w:gridCol w:w="1524"/>
      </w:tblGrid>
      <w:tr w:rsidR="00336283" w:rsidRPr="006D4EA0" w14:paraId="12AE40BE" w14:textId="77777777" w:rsidTr="004510D6">
        <w:trPr>
          <w:cantSplit/>
          <w:trHeight w:val="1134"/>
        </w:trPr>
        <w:tc>
          <w:tcPr>
            <w:tcW w:w="1985" w:type="dxa"/>
          </w:tcPr>
          <w:p w14:paraId="283FB82D" w14:textId="77777777" w:rsidR="00336283" w:rsidRPr="006D4EA0" w:rsidRDefault="00336283" w:rsidP="004510D6">
            <w:pPr>
              <w:tabs>
                <w:tab w:val="clear" w:pos="1191"/>
                <w:tab w:val="clear" w:pos="1588"/>
                <w:tab w:val="clear" w:pos="1985"/>
              </w:tabs>
              <w:spacing w:after="40"/>
              <w:ind w:left="34"/>
              <w:rPr>
                <w:b/>
                <w:bCs/>
                <w:sz w:val="32"/>
                <w:szCs w:val="32"/>
              </w:rPr>
            </w:pPr>
            <w:r>
              <w:rPr>
                <w:noProof/>
                <w:sz w:val="32"/>
                <w:szCs w:val="32"/>
              </w:rPr>
              <w:drawing>
                <wp:inline distT="0" distB="0" distL="0" distR="0" wp14:anchorId="100446D6" wp14:editId="6AE09A76">
                  <wp:extent cx="1080000" cy="946800"/>
                  <wp:effectExtent l="0" t="0" r="6350" b="0"/>
                  <wp:docPr id="1133409409" name="Picture 3"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409409" name="Picture 3" descr="A logo with a black background&#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79" w:type="dxa"/>
            <w:gridSpan w:val="2"/>
          </w:tcPr>
          <w:p w14:paraId="2F896001" w14:textId="77777777" w:rsidR="00336283" w:rsidRDefault="00336283" w:rsidP="004510D6">
            <w:pPr>
              <w:tabs>
                <w:tab w:val="clear" w:pos="1191"/>
                <w:tab w:val="clear" w:pos="1588"/>
                <w:tab w:val="clear" w:pos="1985"/>
              </w:tabs>
              <w:spacing w:before="240" w:after="120"/>
              <w:ind w:left="34"/>
              <w:rPr>
                <w:b/>
                <w:bCs/>
                <w:sz w:val="32"/>
                <w:szCs w:val="32"/>
              </w:rPr>
            </w:pPr>
            <w:r w:rsidRPr="006D4EA0">
              <w:rPr>
                <w:b/>
                <w:bCs/>
                <w:sz w:val="32"/>
                <w:szCs w:val="32"/>
              </w:rPr>
              <w:t xml:space="preserve">TDAG Working Group </w:t>
            </w:r>
            <w:r w:rsidRPr="006D4EA0">
              <w:rPr>
                <w:b/>
                <w:bCs/>
                <w:sz w:val="32"/>
                <w:szCs w:val="32"/>
              </w:rPr>
              <w:br/>
            </w:r>
            <w:r w:rsidRPr="00B44BBE">
              <w:rPr>
                <w:b/>
                <w:bCs/>
                <w:sz w:val="32"/>
                <w:szCs w:val="32"/>
              </w:rPr>
              <w:t>on the Declaratio</w:t>
            </w:r>
            <w:r>
              <w:rPr>
                <w:b/>
                <w:bCs/>
                <w:sz w:val="32"/>
                <w:szCs w:val="32"/>
              </w:rPr>
              <w:t xml:space="preserve">n </w:t>
            </w:r>
            <w:r w:rsidRPr="006D4EA0">
              <w:rPr>
                <w:b/>
                <w:bCs/>
                <w:sz w:val="32"/>
                <w:szCs w:val="32"/>
              </w:rPr>
              <w:t>(TDAG-WG-</w:t>
            </w:r>
            <w:r>
              <w:rPr>
                <w:b/>
                <w:bCs/>
                <w:sz w:val="32"/>
                <w:szCs w:val="32"/>
              </w:rPr>
              <w:t>DEC</w:t>
            </w:r>
            <w:r w:rsidRPr="006D4EA0">
              <w:rPr>
                <w:b/>
                <w:bCs/>
                <w:sz w:val="32"/>
                <w:szCs w:val="32"/>
              </w:rPr>
              <w:t>)</w:t>
            </w:r>
          </w:p>
          <w:p w14:paraId="4434CF0B" w14:textId="25517754" w:rsidR="00336283" w:rsidRPr="006D4EA0" w:rsidRDefault="00E07A78" w:rsidP="004510D6">
            <w:pPr>
              <w:tabs>
                <w:tab w:val="clear" w:pos="1191"/>
                <w:tab w:val="clear" w:pos="1588"/>
                <w:tab w:val="clear" w:pos="1985"/>
              </w:tabs>
              <w:spacing w:before="240" w:after="120"/>
              <w:ind w:left="34"/>
              <w:rPr>
                <w:rFonts w:ascii="Verdana" w:hAnsi="Verdana"/>
                <w:sz w:val="28"/>
                <w:szCs w:val="28"/>
              </w:rPr>
            </w:pPr>
            <w:r>
              <w:rPr>
                <w:b/>
                <w:bCs/>
                <w:sz w:val="26"/>
                <w:szCs w:val="26"/>
              </w:rPr>
              <w:t>5</w:t>
            </w:r>
            <w:r w:rsidR="00336283">
              <w:rPr>
                <w:b/>
                <w:bCs/>
                <w:sz w:val="26"/>
                <w:szCs w:val="26"/>
              </w:rPr>
              <w:t xml:space="preserve">th Meeting, </w:t>
            </w:r>
            <w:r>
              <w:rPr>
                <w:b/>
                <w:bCs/>
                <w:sz w:val="26"/>
                <w:szCs w:val="26"/>
              </w:rPr>
              <w:t>Geneva, Switzerland</w:t>
            </w:r>
            <w:r w:rsidR="00336283" w:rsidRPr="006D4EA0">
              <w:rPr>
                <w:b/>
                <w:bCs/>
                <w:sz w:val="26"/>
                <w:szCs w:val="26"/>
              </w:rPr>
              <w:t xml:space="preserve">, </w:t>
            </w:r>
            <w:r w:rsidR="00336283">
              <w:rPr>
                <w:b/>
                <w:bCs/>
                <w:sz w:val="26"/>
                <w:szCs w:val="26"/>
              </w:rPr>
              <w:t>1</w:t>
            </w:r>
            <w:r>
              <w:rPr>
                <w:b/>
                <w:bCs/>
                <w:sz w:val="26"/>
                <w:szCs w:val="26"/>
              </w:rPr>
              <w:t>4</w:t>
            </w:r>
            <w:r w:rsidR="00336283">
              <w:rPr>
                <w:b/>
                <w:bCs/>
                <w:sz w:val="26"/>
                <w:szCs w:val="26"/>
              </w:rPr>
              <w:t xml:space="preserve"> </w:t>
            </w:r>
            <w:r>
              <w:rPr>
                <w:b/>
                <w:bCs/>
                <w:sz w:val="26"/>
                <w:szCs w:val="26"/>
              </w:rPr>
              <w:t>May</w:t>
            </w:r>
            <w:r w:rsidR="00336283">
              <w:rPr>
                <w:b/>
                <w:bCs/>
                <w:sz w:val="26"/>
                <w:szCs w:val="26"/>
              </w:rPr>
              <w:t xml:space="preserve"> 2025</w:t>
            </w:r>
          </w:p>
        </w:tc>
        <w:tc>
          <w:tcPr>
            <w:tcW w:w="1524" w:type="dxa"/>
          </w:tcPr>
          <w:p w14:paraId="38F7BA2E" w14:textId="77777777" w:rsidR="00336283" w:rsidRPr="006D4EA0" w:rsidRDefault="00336283" w:rsidP="004510D6">
            <w:pPr>
              <w:spacing w:before="200" w:after="120"/>
              <w:ind w:right="142"/>
              <w:jc w:val="right"/>
            </w:pPr>
            <w:r w:rsidRPr="006D4EA0">
              <w:rPr>
                <w:noProof/>
                <w:lang w:val="fr-FR" w:eastAsia="fr-FR"/>
              </w:rPr>
              <w:drawing>
                <wp:inline distT="0" distB="0" distL="0" distR="0" wp14:anchorId="14635FBC" wp14:editId="435C6C24">
                  <wp:extent cx="712470" cy="785495"/>
                  <wp:effectExtent l="0" t="0" r="0" b="0"/>
                  <wp:docPr id="710202609" name="Picture 710202609"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336283" w:rsidRPr="006D4EA0" w14:paraId="2AD3DB92" w14:textId="77777777" w:rsidTr="004510D6">
        <w:trPr>
          <w:cantSplit/>
        </w:trPr>
        <w:tc>
          <w:tcPr>
            <w:tcW w:w="6379" w:type="dxa"/>
            <w:gridSpan w:val="2"/>
            <w:tcBorders>
              <w:top w:val="single" w:sz="12" w:space="0" w:color="auto"/>
            </w:tcBorders>
          </w:tcPr>
          <w:p w14:paraId="41F67E2F" w14:textId="77777777" w:rsidR="00336283" w:rsidRPr="006D4EA0" w:rsidRDefault="00336283" w:rsidP="004510D6">
            <w:pPr>
              <w:spacing w:before="0"/>
              <w:rPr>
                <w:rFonts w:cs="Arial"/>
                <w:b/>
                <w:bCs/>
                <w:sz w:val="20"/>
              </w:rPr>
            </w:pPr>
          </w:p>
        </w:tc>
        <w:tc>
          <w:tcPr>
            <w:tcW w:w="3509" w:type="dxa"/>
            <w:gridSpan w:val="2"/>
            <w:tcBorders>
              <w:top w:val="single" w:sz="12" w:space="0" w:color="auto"/>
            </w:tcBorders>
          </w:tcPr>
          <w:p w14:paraId="28539DA7" w14:textId="77777777" w:rsidR="00336283" w:rsidRPr="006D4EA0" w:rsidRDefault="00336283" w:rsidP="004510D6">
            <w:pPr>
              <w:spacing w:before="0"/>
              <w:rPr>
                <w:b/>
                <w:bCs/>
                <w:sz w:val="20"/>
              </w:rPr>
            </w:pPr>
          </w:p>
        </w:tc>
      </w:tr>
      <w:tr w:rsidR="00336283" w:rsidRPr="00B64A9E" w14:paraId="6372156C" w14:textId="77777777" w:rsidTr="004510D6">
        <w:trPr>
          <w:cantSplit/>
        </w:trPr>
        <w:tc>
          <w:tcPr>
            <w:tcW w:w="6379" w:type="dxa"/>
            <w:gridSpan w:val="2"/>
          </w:tcPr>
          <w:p w14:paraId="1C9B49F5" w14:textId="77777777" w:rsidR="00336283" w:rsidRPr="006D4EA0" w:rsidRDefault="00336283" w:rsidP="004510D6">
            <w:pPr>
              <w:pStyle w:val="Committee"/>
              <w:spacing w:before="0"/>
              <w:rPr>
                <w:b w:val="0"/>
                <w:szCs w:val="24"/>
              </w:rPr>
            </w:pPr>
          </w:p>
        </w:tc>
        <w:tc>
          <w:tcPr>
            <w:tcW w:w="3509" w:type="dxa"/>
            <w:gridSpan w:val="2"/>
          </w:tcPr>
          <w:p w14:paraId="0C70EE49" w14:textId="36B241E1" w:rsidR="00336283" w:rsidRPr="00E07A78" w:rsidRDefault="00336283" w:rsidP="004510D6">
            <w:pPr>
              <w:spacing w:before="0"/>
              <w:jc w:val="both"/>
              <w:rPr>
                <w:bCs/>
                <w:szCs w:val="24"/>
                <w:lang w:val="pt-PT"/>
              </w:rPr>
            </w:pPr>
            <w:r w:rsidRPr="00E07A78">
              <w:rPr>
                <w:b/>
                <w:bCs/>
                <w:lang w:val="pt-PT"/>
              </w:rPr>
              <w:t xml:space="preserve">Document </w:t>
            </w:r>
            <w:bookmarkStart w:id="0" w:name="DocRef1"/>
            <w:bookmarkEnd w:id="0"/>
            <w:r w:rsidRPr="00E07A78">
              <w:rPr>
                <w:b/>
                <w:bCs/>
                <w:lang w:val="pt-PT"/>
              </w:rPr>
              <w:t>TDAG-WG-DEC/</w:t>
            </w:r>
            <w:r w:rsidR="00E07A78">
              <w:rPr>
                <w:b/>
                <w:bCs/>
                <w:lang w:val="pt-PT"/>
              </w:rPr>
              <w:t>2</w:t>
            </w:r>
            <w:r w:rsidR="00544FC8">
              <w:rPr>
                <w:b/>
                <w:bCs/>
                <w:lang w:val="pt-PT"/>
              </w:rPr>
              <w:t>3</w:t>
            </w:r>
            <w:r w:rsidRPr="00E07A78">
              <w:rPr>
                <w:b/>
                <w:bCs/>
                <w:lang w:val="pt-PT"/>
              </w:rPr>
              <w:t>-E</w:t>
            </w:r>
          </w:p>
        </w:tc>
      </w:tr>
      <w:tr w:rsidR="00336283" w:rsidRPr="006D4EA0" w14:paraId="03B4D937" w14:textId="77777777" w:rsidTr="004510D6">
        <w:trPr>
          <w:cantSplit/>
        </w:trPr>
        <w:tc>
          <w:tcPr>
            <w:tcW w:w="6379" w:type="dxa"/>
            <w:gridSpan w:val="2"/>
          </w:tcPr>
          <w:p w14:paraId="2AACC533" w14:textId="77777777" w:rsidR="00336283" w:rsidRPr="00E07A78" w:rsidRDefault="00336283" w:rsidP="004510D6">
            <w:pPr>
              <w:spacing w:before="0"/>
              <w:rPr>
                <w:b/>
                <w:bCs/>
                <w:smallCaps/>
                <w:szCs w:val="24"/>
                <w:lang w:val="pt-PT"/>
              </w:rPr>
            </w:pPr>
          </w:p>
        </w:tc>
        <w:tc>
          <w:tcPr>
            <w:tcW w:w="3509" w:type="dxa"/>
            <w:gridSpan w:val="2"/>
          </w:tcPr>
          <w:p w14:paraId="4115FDC2" w14:textId="03A5C6FD" w:rsidR="00336283" w:rsidRPr="006E799D" w:rsidRDefault="00E07A78" w:rsidP="004510D6">
            <w:pPr>
              <w:spacing w:before="0"/>
              <w:rPr>
                <w:b/>
                <w:szCs w:val="24"/>
              </w:rPr>
            </w:pPr>
            <w:r>
              <w:rPr>
                <w:b/>
                <w:bCs/>
                <w:szCs w:val="28"/>
              </w:rPr>
              <w:t xml:space="preserve">15 May </w:t>
            </w:r>
            <w:r w:rsidR="00336283" w:rsidRPr="006E799D">
              <w:rPr>
                <w:b/>
                <w:bCs/>
                <w:szCs w:val="28"/>
              </w:rPr>
              <w:t>2025</w:t>
            </w:r>
          </w:p>
        </w:tc>
      </w:tr>
      <w:tr w:rsidR="00336283" w:rsidRPr="006D4EA0" w14:paraId="789FF8B9" w14:textId="77777777" w:rsidTr="004510D6">
        <w:trPr>
          <w:cantSplit/>
        </w:trPr>
        <w:tc>
          <w:tcPr>
            <w:tcW w:w="6379" w:type="dxa"/>
            <w:gridSpan w:val="2"/>
          </w:tcPr>
          <w:p w14:paraId="4BFDCF5F" w14:textId="77777777" w:rsidR="00336283" w:rsidRPr="006D4EA0" w:rsidRDefault="00336283" w:rsidP="004510D6">
            <w:pPr>
              <w:spacing w:before="0"/>
              <w:rPr>
                <w:b/>
                <w:bCs/>
                <w:smallCaps/>
                <w:szCs w:val="24"/>
              </w:rPr>
            </w:pPr>
          </w:p>
        </w:tc>
        <w:tc>
          <w:tcPr>
            <w:tcW w:w="3509" w:type="dxa"/>
            <w:gridSpan w:val="2"/>
          </w:tcPr>
          <w:p w14:paraId="630958C9" w14:textId="77777777" w:rsidR="00336283" w:rsidRPr="006E799D" w:rsidRDefault="00336283" w:rsidP="004510D6">
            <w:pPr>
              <w:spacing w:before="0"/>
              <w:rPr>
                <w:szCs w:val="24"/>
              </w:rPr>
            </w:pPr>
            <w:r w:rsidRPr="006E799D">
              <w:rPr>
                <w:b/>
              </w:rPr>
              <w:t>English only</w:t>
            </w:r>
          </w:p>
        </w:tc>
      </w:tr>
      <w:tr w:rsidR="00FD7F71" w:rsidRPr="006D4EA0" w14:paraId="5B408434" w14:textId="77777777" w:rsidTr="004510D6">
        <w:trPr>
          <w:cantSplit/>
          <w:trHeight w:val="852"/>
        </w:trPr>
        <w:tc>
          <w:tcPr>
            <w:tcW w:w="9888" w:type="dxa"/>
            <w:gridSpan w:val="4"/>
          </w:tcPr>
          <w:p w14:paraId="2C15CC04" w14:textId="5A40DF4F" w:rsidR="00FD7F71" w:rsidRPr="006D4EA0" w:rsidRDefault="00FD7F71" w:rsidP="00FD7F71">
            <w:pPr>
              <w:pStyle w:val="Source"/>
            </w:pPr>
            <w:r w:rsidRPr="00A731DA">
              <w:rPr>
                <w:szCs w:val="28"/>
              </w:rPr>
              <w:t>Chair, TDAG-WG-DEC</w:t>
            </w:r>
          </w:p>
        </w:tc>
      </w:tr>
      <w:tr w:rsidR="00FD7F71" w:rsidRPr="006D4EA0" w14:paraId="448F35F1" w14:textId="77777777" w:rsidTr="004510D6">
        <w:trPr>
          <w:cantSplit/>
        </w:trPr>
        <w:tc>
          <w:tcPr>
            <w:tcW w:w="9888" w:type="dxa"/>
            <w:gridSpan w:val="4"/>
          </w:tcPr>
          <w:p w14:paraId="551C950F" w14:textId="509161F2" w:rsidR="00FD7F71" w:rsidRPr="006D4EA0" w:rsidRDefault="00FD7F71" w:rsidP="00FD7F71">
            <w:pPr>
              <w:pStyle w:val="Title1"/>
              <w:rPr>
                <w:rFonts w:cs="Times New Roman"/>
                <w:bCs/>
              </w:rPr>
            </w:pPr>
            <w:r w:rsidRPr="00A731DA">
              <w:rPr>
                <w:rFonts w:cs="Times New Roman"/>
                <w:bCs/>
                <w:szCs w:val="28"/>
              </w:rPr>
              <w:t xml:space="preserve">Report of the </w:t>
            </w:r>
            <w:r w:rsidR="00E07A78">
              <w:rPr>
                <w:rFonts w:cs="Times New Roman"/>
                <w:bCs/>
                <w:szCs w:val="28"/>
              </w:rPr>
              <w:t>fifth</w:t>
            </w:r>
            <w:r w:rsidRPr="00A731DA">
              <w:rPr>
                <w:rFonts w:cs="Times New Roman"/>
                <w:bCs/>
                <w:szCs w:val="28"/>
              </w:rPr>
              <w:t xml:space="preserve"> meeting of TDAG-WG-DEC</w:t>
            </w:r>
          </w:p>
        </w:tc>
      </w:tr>
      <w:tr w:rsidR="00336283" w:rsidRPr="006D4EA0" w14:paraId="5B93F551" w14:textId="77777777" w:rsidTr="004510D6">
        <w:trPr>
          <w:cantSplit/>
        </w:trPr>
        <w:tc>
          <w:tcPr>
            <w:tcW w:w="9888" w:type="dxa"/>
            <w:gridSpan w:val="4"/>
            <w:tcBorders>
              <w:bottom w:val="single" w:sz="4" w:space="0" w:color="auto"/>
            </w:tcBorders>
          </w:tcPr>
          <w:p w14:paraId="4515420E" w14:textId="77777777" w:rsidR="00336283" w:rsidRPr="006D4EA0" w:rsidRDefault="00336283" w:rsidP="004510D6"/>
        </w:tc>
      </w:tr>
      <w:tr w:rsidR="00336283" w:rsidRPr="006D4EA0" w14:paraId="458B673C" w14:textId="77777777" w:rsidTr="004510D6">
        <w:trPr>
          <w:cantSplit/>
        </w:trPr>
        <w:tc>
          <w:tcPr>
            <w:tcW w:w="9888" w:type="dxa"/>
            <w:gridSpan w:val="4"/>
            <w:tcBorders>
              <w:top w:val="single" w:sz="4" w:space="0" w:color="auto"/>
              <w:left w:val="single" w:sz="4" w:space="0" w:color="auto"/>
              <w:bottom w:val="single" w:sz="4" w:space="0" w:color="auto"/>
              <w:right w:val="single" w:sz="4" w:space="0" w:color="auto"/>
            </w:tcBorders>
          </w:tcPr>
          <w:p w14:paraId="4971BCA0" w14:textId="77777777" w:rsidR="00FD7F71" w:rsidRPr="006D4EA0" w:rsidRDefault="00FD7F71" w:rsidP="00FD7F71">
            <w:pPr>
              <w:spacing w:after="120"/>
              <w:rPr>
                <w:b/>
                <w:bCs/>
                <w:szCs w:val="24"/>
              </w:rPr>
            </w:pPr>
            <w:r w:rsidRPr="006D4EA0">
              <w:rPr>
                <w:b/>
                <w:bCs/>
                <w:szCs w:val="24"/>
              </w:rPr>
              <w:t>Summary:</w:t>
            </w:r>
          </w:p>
          <w:p w14:paraId="2B5E28E2" w14:textId="4B836B6F" w:rsidR="00FD7F71" w:rsidRPr="006D4EA0" w:rsidRDefault="00FD7F71" w:rsidP="00FD7F71">
            <w:pPr>
              <w:spacing w:after="120"/>
              <w:rPr>
                <w:szCs w:val="24"/>
              </w:rPr>
            </w:pPr>
            <w:r>
              <w:t xml:space="preserve">The document contains a summary of the discussions during the </w:t>
            </w:r>
            <w:r w:rsidR="00E07A78">
              <w:t>fifth</w:t>
            </w:r>
            <w:r>
              <w:t xml:space="preserve"> meeting of the group.</w:t>
            </w:r>
          </w:p>
          <w:p w14:paraId="56532903" w14:textId="77777777" w:rsidR="00FD7F71" w:rsidRPr="006D4EA0" w:rsidRDefault="00FD7F71" w:rsidP="00FD7F71">
            <w:pPr>
              <w:spacing w:after="120"/>
              <w:rPr>
                <w:b/>
                <w:bCs/>
                <w:szCs w:val="24"/>
              </w:rPr>
            </w:pPr>
            <w:r w:rsidRPr="006D4EA0">
              <w:rPr>
                <w:b/>
                <w:bCs/>
              </w:rPr>
              <w:t>Action required:</w:t>
            </w:r>
          </w:p>
          <w:p w14:paraId="4F5939CC" w14:textId="77777777" w:rsidR="00FD7F71" w:rsidRPr="006D4EA0" w:rsidRDefault="00FD7F71" w:rsidP="00FD7F71">
            <w:pPr>
              <w:spacing w:after="120"/>
              <w:rPr>
                <w:szCs w:val="24"/>
              </w:rPr>
            </w:pPr>
            <w:r>
              <w:t>For information</w:t>
            </w:r>
          </w:p>
          <w:p w14:paraId="2D0B1B8E" w14:textId="77777777" w:rsidR="00FD7F71" w:rsidRPr="006D4EA0" w:rsidRDefault="00FD7F71" w:rsidP="00FD7F71">
            <w:pPr>
              <w:spacing w:after="120"/>
              <w:rPr>
                <w:b/>
                <w:bCs/>
                <w:szCs w:val="24"/>
              </w:rPr>
            </w:pPr>
            <w:r w:rsidRPr="006D4EA0">
              <w:rPr>
                <w:b/>
                <w:bCs/>
                <w:szCs w:val="24"/>
              </w:rPr>
              <w:t>References:</w:t>
            </w:r>
          </w:p>
          <w:p w14:paraId="19FACCB1" w14:textId="55F41EFD" w:rsidR="00336283" w:rsidRPr="006D4EA0" w:rsidRDefault="00FD7F71" w:rsidP="00FD7F71">
            <w:pPr>
              <w:spacing w:after="120"/>
            </w:pPr>
            <w:r w:rsidRPr="00EE1822">
              <w:t>Terms of Reference of TDAG</w:t>
            </w:r>
            <w:r>
              <w:t>-</w:t>
            </w:r>
            <w:r w:rsidRPr="00EE1822">
              <w:t>WG-DEC</w:t>
            </w:r>
            <w:r>
              <w:t>:</w:t>
            </w:r>
            <w:r w:rsidRPr="00EE1822">
              <w:t xml:space="preserve"> </w:t>
            </w:r>
            <w:hyperlink r:id="rId13" w:history="1">
              <w:r w:rsidRPr="00EE1822">
                <w:rPr>
                  <w:rStyle w:val="Hyperlink"/>
                </w:rPr>
                <w:t>TDAG-24/DT/4</w:t>
              </w:r>
            </w:hyperlink>
          </w:p>
        </w:tc>
      </w:tr>
    </w:tbl>
    <w:p w14:paraId="24AD526C" w14:textId="77777777" w:rsidR="00336283" w:rsidRDefault="00336283"/>
    <w:p w14:paraId="0F75B4F4" w14:textId="31ABBE39" w:rsidR="00336283" w:rsidRDefault="00336283">
      <w:r>
        <w:br w:type="page"/>
      </w:r>
    </w:p>
    <w:p w14:paraId="695AAEB8" w14:textId="0C4BCDB8" w:rsidR="004B7DCB" w:rsidRPr="00B64A9E" w:rsidRDefault="00D93792" w:rsidP="00B64A9E">
      <w:pPr>
        <w:pStyle w:val="ListParagraph"/>
        <w:numPr>
          <w:ilvl w:val="0"/>
          <w:numId w:val="8"/>
        </w:numPr>
        <w:tabs>
          <w:tab w:val="left" w:pos="828"/>
          <w:tab w:val="left" w:pos="6532"/>
        </w:tabs>
        <w:spacing w:after="120"/>
        <w:ind w:left="357" w:hanging="357"/>
        <w:contextualSpacing w:val="0"/>
        <w:rPr>
          <w:rFonts w:cstheme="minorHAnsi"/>
          <w:b/>
          <w:bCs/>
        </w:rPr>
      </w:pPr>
      <w:r w:rsidRPr="00B64A9E">
        <w:rPr>
          <w:rFonts w:cstheme="minorHAnsi"/>
          <w:b/>
          <w:bCs/>
        </w:rPr>
        <w:lastRenderedPageBreak/>
        <w:t>Opening of the meeting</w:t>
      </w:r>
      <w:r w:rsidR="00423CFF" w:rsidRPr="00B64A9E">
        <w:rPr>
          <w:rFonts w:cstheme="minorHAnsi"/>
          <w:b/>
          <w:bCs/>
        </w:rPr>
        <w:t xml:space="preserve"> and welcoming remarks</w:t>
      </w:r>
    </w:p>
    <w:p w14:paraId="01A0538E" w14:textId="44F806D1" w:rsidR="008E61C1" w:rsidRPr="00B64A9E" w:rsidRDefault="007544F5" w:rsidP="00B64A9E">
      <w:pPr>
        <w:tabs>
          <w:tab w:val="clear" w:pos="794"/>
          <w:tab w:val="clear" w:pos="1191"/>
          <w:tab w:val="clear" w:pos="1588"/>
          <w:tab w:val="clear" w:pos="1985"/>
          <w:tab w:val="left" w:pos="828"/>
          <w:tab w:val="left" w:pos="6532"/>
        </w:tabs>
        <w:spacing w:after="120"/>
        <w:rPr>
          <w:rFonts w:cstheme="minorHAnsi"/>
        </w:rPr>
      </w:pPr>
      <w:r w:rsidRPr="00B64A9E">
        <w:rPr>
          <w:rFonts w:cstheme="minorHAnsi"/>
        </w:rPr>
        <w:t>The Chair of the TDAG Working Group on the World Telecommunication Development Conference (TDAG-WG-DEC), Dr. Abdulkarim Oloyede (Nigeria), opened the meeting by acknowledging the work undertaken by the group and the active contributions of ITU-D membership in shaping the draft Baku Declaration.</w:t>
      </w:r>
      <w:r w:rsidR="00ED263A" w:rsidRPr="00B64A9E">
        <w:rPr>
          <w:rFonts w:cstheme="minorHAnsi"/>
        </w:rPr>
        <w:t xml:space="preserve"> </w:t>
      </w:r>
    </w:p>
    <w:p w14:paraId="0423F620" w14:textId="728C6C8C" w:rsidR="00D93792" w:rsidRPr="00B64A9E" w:rsidRDefault="00D93792" w:rsidP="00B64A9E">
      <w:pPr>
        <w:pStyle w:val="ListParagraph"/>
        <w:numPr>
          <w:ilvl w:val="0"/>
          <w:numId w:val="8"/>
        </w:numPr>
        <w:tabs>
          <w:tab w:val="left" w:pos="828"/>
          <w:tab w:val="left" w:pos="6532"/>
        </w:tabs>
        <w:spacing w:after="120"/>
        <w:ind w:left="357" w:hanging="357"/>
        <w:contextualSpacing w:val="0"/>
        <w:rPr>
          <w:rFonts w:cstheme="minorHAnsi"/>
          <w:b/>
          <w:bCs/>
        </w:rPr>
      </w:pPr>
      <w:r w:rsidRPr="00B64A9E">
        <w:rPr>
          <w:rFonts w:cstheme="minorHAnsi"/>
          <w:b/>
          <w:bCs/>
        </w:rPr>
        <w:t>Approval of the agenda</w:t>
      </w:r>
    </w:p>
    <w:p w14:paraId="35EC1890" w14:textId="31226174" w:rsidR="000826D5" w:rsidRPr="00B64A9E" w:rsidRDefault="000826D5" w:rsidP="00B64A9E">
      <w:pPr>
        <w:spacing w:after="120"/>
        <w:rPr>
          <w:rFonts w:cstheme="minorHAnsi"/>
        </w:rPr>
      </w:pPr>
      <w:r w:rsidRPr="00B64A9E">
        <w:rPr>
          <w:rFonts w:cstheme="minorHAnsi"/>
        </w:rPr>
        <w:t xml:space="preserve">The draft agenda contained in Document </w:t>
      </w:r>
      <w:hyperlink r:id="rId14" w:history="1">
        <w:r w:rsidRPr="00B64A9E">
          <w:rPr>
            <w:rStyle w:val="Hyperlink"/>
            <w:rFonts w:cstheme="minorHAnsi"/>
          </w:rPr>
          <w:t>TDAG-WG-DEC/</w:t>
        </w:r>
        <w:r w:rsidR="00C139C4" w:rsidRPr="00B64A9E">
          <w:rPr>
            <w:rStyle w:val="Hyperlink"/>
            <w:rFonts w:cstheme="minorHAnsi"/>
          </w:rPr>
          <w:t>1</w:t>
        </w:r>
        <w:r w:rsidR="007757EF" w:rsidRPr="00B64A9E">
          <w:rPr>
            <w:rStyle w:val="Hyperlink"/>
            <w:rFonts w:cstheme="minorHAnsi"/>
          </w:rPr>
          <w:t>7</w:t>
        </w:r>
      </w:hyperlink>
      <w:r w:rsidRPr="00B64A9E">
        <w:rPr>
          <w:rFonts w:cstheme="minorHAnsi"/>
        </w:rPr>
        <w:t xml:space="preserve"> was approved </w:t>
      </w:r>
      <w:r w:rsidR="00C139C4" w:rsidRPr="00B64A9E">
        <w:rPr>
          <w:rFonts w:cstheme="minorHAnsi"/>
        </w:rPr>
        <w:t xml:space="preserve">with the addition of </w:t>
      </w:r>
      <w:r w:rsidR="007757EF" w:rsidRPr="00B64A9E">
        <w:rPr>
          <w:rFonts w:cstheme="minorHAnsi"/>
        </w:rPr>
        <w:t xml:space="preserve">an agenda item </w:t>
      </w:r>
      <w:r w:rsidR="00570CEE" w:rsidRPr="00B64A9E">
        <w:rPr>
          <w:rFonts w:cstheme="minorHAnsi"/>
        </w:rPr>
        <w:t>on the title of the Baku Declaration</w:t>
      </w:r>
      <w:r w:rsidRPr="00B64A9E">
        <w:rPr>
          <w:rFonts w:cstheme="minorHAnsi"/>
        </w:rPr>
        <w:t>.</w:t>
      </w:r>
    </w:p>
    <w:p w14:paraId="08CB54D8" w14:textId="56B330A1" w:rsidR="0006129B" w:rsidRPr="00B64A9E" w:rsidRDefault="0006129B" w:rsidP="00B64A9E">
      <w:pPr>
        <w:pStyle w:val="ListParagraph"/>
        <w:numPr>
          <w:ilvl w:val="0"/>
          <w:numId w:val="8"/>
        </w:numPr>
        <w:tabs>
          <w:tab w:val="left" w:pos="828"/>
          <w:tab w:val="left" w:pos="6532"/>
        </w:tabs>
        <w:spacing w:after="120"/>
        <w:ind w:left="357" w:hanging="357"/>
        <w:contextualSpacing w:val="0"/>
        <w:rPr>
          <w:rFonts w:cstheme="minorHAnsi"/>
          <w:b/>
          <w:bCs/>
        </w:rPr>
      </w:pPr>
      <w:r w:rsidRPr="00B64A9E">
        <w:rPr>
          <w:rFonts w:cstheme="minorHAnsi"/>
          <w:b/>
          <w:bCs/>
        </w:rPr>
        <w:t>Discussion on the title of the Baku Declaration</w:t>
      </w:r>
      <w:r w:rsidR="0025670E" w:rsidRPr="00B64A9E">
        <w:rPr>
          <w:rFonts w:cstheme="minorHAnsi"/>
          <w:b/>
          <w:bCs/>
        </w:rPr>
        <w:t xml:space="preserve"> </w:t>
      </w:r>
      <w:r w:rsidR="00D140B4" w:rsidRPr="00B64A9E">
        <w:rPr>
          <w:rFonts w:cstheme="minorHAnsi"/>
          <w:b/>
          <w:bCs/>
        </w:rPr>
        <w:t>and the WTDC-25 theme</w:t>
      </w:r>
    </w:p>
    <w:p w14:paraId="7C00119A" w14:textId="660A44E7" w:rsidR="00031CD7" w:rsidRPr="00B64A9E" w:rsidRDefault="0090420D" w:rsidP="00B64A9E">
      <w:pPr>
        <w:tabs>
          <w:tab w:val="left" w:pos="828"/>
          <w:tab w:val="left" w:pos="6532"/>
        </w:tabs>
        <w:spacing w:after="120"/>
        <w:rPr>
          <w:rFonts w:cstheme="minorHAnsi"/>
          <w:szCs w:val="24"/>
        </w:rPr>
      </w:pPr>
      <w:r w:rsidRPr="00B64A9E">
        <w:rPr>
          <w:rFonts w:cstheme="minorHAnsi"/>
          <w:szCs w:val="24"/>
        </w:rPr>
        <w:t>Following a brief discussion, the meeting agreed to retain the title of the Declaration without changes: ‘</w:t>
      </w:r>
      <w:r w:rsidRPr="00B64A9E">
        <w:rPr>
          <w:rFonts w:cstheme="minorHAnsi"/>
          <w:i/>
          <w:iCs/>
          <w:szCs w:val="24"/>
        </w:rPr>
        <w:t>Universal, meaningful and affordable connectivity for an inclusive and sustainable digital future’</w:t>
      </w:r>
      <w:r w:rsidRPr="00B64A9E">
        <w:rPr>
          <w:rFonts w:cstheme="minorHAnsi"/>
          <w:szCs w:val="24"/>
        </w:rPr>
        <w:t>.</w:t>
      </w:r>
      <w:r w:rsidR="0025670E" w:rsidRPr="00B64A9E">
        <w:rPr>
          <w:rFonts w:cstheme="minorHAnsi"/>
          <w:szCs w:val="24"/>
        </w:rPr>
        <w:t xml:space="preserve"> </w:t>
      </w:r>
      <w:r w:rsidR="007661A5" w:rsidRPr="00B64A9E">
        <w:rPr>
          <w:rFonts w:cstheme="minorHAnsi"/>
          <w:szCs w:val="24"/>
        </w:rPr>
        <w:t>In line with past practice, this title will also serve as the theme of the World Telecommunication Development Conference 2025 (WTDC-25).</w:t>
      </w:r>
    </w:p>
    <w:p w14:paraId="1C82D347" w14:textId="6095B545" w:rsidR="00BC103C" w:rsidRPr="00B64A9E" w:rsidRDefault="00CA1B88" w:rsidP="00B64A9E">
      <w:pPr>
        <w:pStyle w:val="ListParagraph"/>
        <w:numPr>
          <w:ilvl w:val="0"/>
          <w:numId w:val="8"/>
        </w:numPr>
        <w:tabs>
          <w:tab w:val="left" w:pos="828"/>
          <w:tab w:val="left" w:pos="6532"/>
        </w:tabs>
        <w:spacing w:after="120"/>
        <w:ind w:left="357" w:hanging="357"/>
        <w:contextualSpacing w:val="0"/>
        <w:rPr>
          <w:rFonts w:cstheme="minorHAnsi"/>
          <w:b/>
          <w:bCs/>
        </w:rPr>
      </w:pPr>
      <w:r w:rsidRPr="00B64A9E">
        <w:rPr>
          <w:rFonts w:cstheme="minorHAnsi"/>
          <w:b/>
          <w:bCs/>
        </w:rPr>
        <w:t>Discussion on</w:t>
      </w:r>
      <w:r w:rsidR="00B32B1F" w:rsidRPr="00B64A9E">
        <w:rPr>
          <w:rFonts w:cstheme="minorHAnsi"/>
          <w:b/>
          <w:bCs/>
        </w:rPr>
        <w:t xml:space="preserve"> </w:t>
      </w:r>
      <w:r w:rsidR="003E26E5" w:rsidRPr="00B64A9E">
        <w:rPr>
          <w:rFonts w:cstheme="minorHAnsi"/>
          <w:b/>
          <w:bCs/>
        </w:rPr>
        <w:t>the Baku Declaration 2025</w:t>
      </w:r>
    </w:p>
    <w:p w14:paraId="57662DFA" w14:textId="78BC3B2A" w:rsidR="005A52AF" w:rsidRPr="00B64A9E" w:rsidRDefault="00211D37" w:rsidP="00B64A9E">
      <w:pPr>
        <w:spacing w:after="120"/>
        <w:rPr>
          <w:rFonts w:cstheme="minorHAnsi"/>
        </w:rPr>
      </w:pPr>
      <w:r w:rsidRPr="00B64A9E">
        <w:rPr>
          <w:rFonts w:cstheme="minorHAnsi"/>
        </w:rPr>
        <w:t xml:space="preserve">The Chair presented his </w:t>
      </w:r>
      <w:r w:rsidR="00971132" w:rsidRPr="00B64A9E">
        <w:rPr>
          <w:rFonts w:cstheme="minorHAnsi"/>
        </w:rPr>
        <w:t xml:space="preserve">second </w:t>
      </w:r>
      <w:r w:rsidR="00C139C4" w:rsidRPr="00B64A9E">
        <w:rPr>
          <w:rFonts w:cstheme="minorHAnsi"/>
        </w:rPr>
        <w:t xml:space="preserve">revised </w:t>
      </w:r>
      <w:r w:rsidRPr="00B64A9E">
        <w:rPr>
          <w:rFonts w:cstheme="minorHAnsi"/>
        </w:rPr>
        <w:t xml:space="preserve">proposal for the </w:t>
      </w:r>
      <w:r w:rsidR="00AC1B0A" w:rsidRPr="00B64A9E">
        <w:rPr>
          <w:rFonts w:cstheme="minorHAnsi"/>
        </w:rPr>
        <w:t xml:space="preserve">draft </w:t>
      </w:r>
      <w:r w:rsidRPr="00B64A9E">
        <w:rPr>
          <w:rFonts w:cstheme="minorHAnsi"/>
        </w:rPr>
        <w:t>Baku Declaration, as outlined in</w:t>
      </w:r>
      <w:r w:rsidR="000835C5" w:rsidRPr="00B64A9E">
        <w:rPr>
          <w:rFonts w:cstheme="minorHAnsi"/>
        </w:rPr>
        <w:t xml:space="preserve"> Document </w:t>
      </w:r>
      <w:hyperlink r:id="rId15" w:history="1">
        <w:r w:rsidR="006D3419" w:rsidRPr="00B64A9E">
          <w:rPr>
            <w:rStyle w:val="Hyperlink"/>
            <w:rFonts w:cstheme="minorHAnsi"/>
            <w:szCs w:val="24"/>
          </w:rPr>
          <w:t>TDAG-WG-DEC/</w:t>
        </w:r>
        <w:r w:rsidR="00C139C4" w:rsidRPr="00B64A9E">
          <w:rPr>
            <w:rStyle w:val="Hyperlink"/>
            <w:rFonts w:cstheme="minorHAnsi"/>
          </w:rPr>
          <w:t>1</w:t>
        </w:r>
        <w:r w:rsidR="00AC1B0A" w:rsidRPr="00B64A9E">
          <w:rPr>
            <w:rStyle w:val="Hyperlink"/>
            <w:rFonts w:cstheme="minorHAnsi"/>
          </w:rPr>
          <w:t>4</w:t>
        </w:r>
      </w:hyperlink>
      <w:r w:rsidR="008E61C1" w:rsidRPr="00B64A9E">
        <w:rPr>
          <w:rFonts w:cstheme="minorHAnsi"/>
        </w:rPr>
        <w:t xml:space="preserve"> for consideration and further discussion by the Working Group</w:t>
      </w:r>
      <w:r w:rsidR="006D3419" w:rsidRPr="00B64A9E">
        <w:rPr>
          <w:rFonts w:cstheme="minorHAnsi"/>
        </w:rPr>
        <w:t xml:space="preserve">. He </w:t>
      </w:r>
      <w:r w:rsidR="005A52AF" w:rsidRPr="00B64A9E">
        <w:rPr>
          <w:rFonts w:cstheme="minorHAnsi"/>
        </w:rPr>
        <w:t>reminded participants of</w:t>
      </w:r>
      <w:r w:rsidR="00BC103C" w:rsidRPr="00B64A9E">
        <w:rPr>
          <w:rFonts w:cstheme="minorHAnsi"/>
        </w:rPr>
        <w:t xml:space="preserve"> the </w:t>
      </w:r>
      <w:r w:rsidR="00E754B9" w:rsidRPr="00B64A9E">
        <w:rPr>
          <w:rFonts w:cstheme="minorHAnsi"/>
        </w:rPr>
        <w:t>process</w:t>
      </w:r>
      <w:r w:rsidR="00BC103C" w:rsidRPr="00B64A9E">
        <w:rPr>
          <w:rFonts w:cstheme="minorHAnsi"/>
        </w:rPr>
        <w:t xml:space="preserve"> </w:t>
      </w:r>
      <w:r w:rsidR="00E95E6F" w:rsidRPr="00B64A9E">
        <w:rPr>
          <w:rFonts w:cstheme="minorHAnsi"/>
        </w:rPr>
        <w:t>leading to its development</w:t>
      </w:r>
      <w:r w:rsidR="005A52AF" w:rsidRPr="00B64A9E">
        <w:rPr>
          <w:rFonts w:cstheme="minorHAnsi"/>
        </w:rPr>
        <w:t>:</w:t>
      </w:r>
    </w:p>
    <w:p w14:paraId="208B351F" w14:textId="47AC4229" w:rsidR="00401C80" w:rsidRPr="00B64A9E" w:rsidRDefault="00E95E6F" w:rsidP="00B64A9E">
      <w:pPr>
        <w:pStyle w:val="ListParagraph"/>
        <w:numPr>
          <w:ilvl w:val="0"/>
          <w:numId w:val="9"/>
        </w:numPr>
        <w:spacing w:before="60" w:after="60"/>
        <w:ind w:left="714" w:hanging="357"/>
        <w:contextualSpacing w:val="0"/>
        <w:rPr>
          <w:rFonts w:cstheme="minorHAnsi"/>
          <w:szCs w:val="24"/>
        </w:rPr>
      </w:pPr>
      <w:r w:rsidRPr="00B64A9E">
        <w:rPr>
          <w:rFonts w:cstheme="minorHAnsi"/>
        </w:rPr>
        <w:t>In</w:t>
      </w:r>
      <w:r w:rsidR="00401C80" w:rsidRPr="00B64A9E">
        <w:rPr>
          <w:rFonts w:cstheme="minorHAnsi"/>
        </w:rPr>
        <w:t xml:space="preserve"> its first meeting</w:t>
      </w:r>
      <w:r w:rsidRPr="00B64A9E">
        <w:rPr>
          <w:rFonts w:cstheme="minorHAnsi"/>
        </w:rPr>
        <w:t xml:space="preserve">, </w:t>
      </w:r>
      <w:r w:rsidR="00401C80" w:rsidRPr="00B64A9E">
        <w:rPr>
          <w:rFonts w:cstheme="minorHAnsi"/>
          <w:szCs w:val="24"/>
        </w:rPr>
        <w:t xml:space="preserve">TDAG-WG-DEC agreed to retain a structure </w:t>
      </w:r>
      <w:proofErr w:type="gramStart"/>
      <w:r w:rsidR="00401C80" w:rsidRPr="00B64A9E">
        <w:rPr>
          <w:rFonts w:cstheme="minorHAnsi"/>
          <w:szCs w:val="24"/>
        </w:rPr>
        <w:t>similar</w:t>
      </w:r>
      <w:r w:rsidR="008E61C1" w:rsidRPr="00B64A9E">
        <w:rPr>
          <w:rFonts w:cstheme="minorHAnsi"/>
          <w:szCs w:val="24"/>
        </w:rPr>
        <w:t xml:space="preserve"> </w:t>
      </w:r>
      <w:r w:rsidR="00401C80" w:rsidRPr="00B64A9E">
        <w:rPr>
          <w:rFonts w:cstheme="minorHAnsi"/>
          <w:szCs w:val="24"/>
        </w:rPr>
        <w:t>to</w:t>
      </w:r>
      <w:proofErr w:type="gramEnd"/>
      <w:r w:rsidR="00401C80" w:rsidRPr="00B64A9E">
        <w:rPr>
          <w:rFonts w:cstheme="minorHAnsi"/>
          <w:szCs w:val="24"/>
        </w:rPr>
        <w:t xml:space="preserve"> the Kigali Declaration comprising four main sections: Introduction, ‘We declare,’ ‘We commit’ and Call to Action.</w:t>
      </w:r>
    </w:p>
    <w:p w14:paraId="6439AA51" w14:textId="2FA6705E" w:rsidR="009A1889" w:rsidRPr="00B64A9E" w:rsidRDefault="00AC5FAE" w:rsidP="00B64A9E">
      <w:pPr>
        <w:pStyle w:val="ListParagraph"/>
        <w:numPr>
          <w:ilvl w:val="0"/>
          <w:numId w:val="9"/>
        </w:numPr>
        <w:spacing w:before="60" w:after="60"/>
        <w:ind w:left="714" w:hanging="357"/>
        <w:contextualSpacing w:val="0"/>
        <w:rPr>
          <w:rFonts w:cstheme="minorHAnsi"/>
          <w:szCs w:val="24"/>
        </w:rPr>
      </w:pPr>
      <w:r w:rsidRPr="00B64A9E">
        <w:rPr>
          <w:rFonts w:cstheme="minorHAnsi"/>
        </w:rPr>
        <w:t>Ahead of</w:t>
      </w:r>
      <w:r w:rsidR="00401C80" w:rsidRPr="00B64A9E">
        <w:rPr>
          <w:rFonts w:cstheme="minorHAnsi"/>
        </w:rPr>
        <w:t xml:space="preserve"> the </w:t>
      </w:r>
      <w:r w:rsidRPr="00B64A9E">
        <w:rPr>
          <w:rFonts w:cstheme="minorHAnsi"/>
        </w:rPr>
        <w:t>group’s se</w:t>
      </w:r>
      <w:r w:rsidR="00401C80" w:rsidRPr="00B64A9E">
        <w:rPr>
          <w:rFonts w:cstheme="minorHAnsi"/>
        </w:rPr>
        <w:t>cond meeting, t</w:t>
      </w:r>
      <w:r w:rsidR="00E95E6F" w:rsidRPr="00B64A9E">
        <w:rPr>
          <w:rFonts w:cstheme="minorHAnsi"/>
        </w:rPr>
        <w:t xml:space="preserve">he Chair mapped topics from the Kigali Declaration alongside new and emerging issues </w:t>
      </w:r>
      <w:r w:rsidR="00093C94" w:rsidRPr="00B64A9E">
        <w:rPr>
          <w:rFonts w:cstheme="minorHAnsi"/>
        </w:rPr>
        <w:t xml:space="preserve">from recent major international conferences </w:t>
      </w:r>
      <w:r w:rsidR="00E95E6F" w:rsidRPr="00B64A9E">
        <w:rPr>
          <w:rFonts w:cstheme="minorHAnsi"/>
        </w:rPr>
        <w:t xml:space="preserve">to help define the scope of the Baku Declaration </w:t>
      </w:r>
      <w:r w:rsidR="009A1889" w:rsidRPr="00B64A9E">
        <w:rPr>
          <w:rFonts w:cstheme="minorHAnsi"/>
        </w:rPr>
        <w:t xml:space="preserve">(Document </w:t>
      </w:r>
      <w:hyperlink r:id="rId16" w:history="1">
        <w:r w:rsidR="009A1889" w:rsidRPr="00B64A9E">
          <w:rPr>
            <w:rStyle w:val="Hyperlink"/>
            <w:rFonts w:cstheme="minorHAnsi"/>
            <w:szCs w:val="24"/>
          </w:rPr>
          <w:t>TDAG-WG-DEC/INF/</w:t>
        </w:r>
      </w:hyperlink>
      <w:r w:rsidR="009A1889" w:rsidRPr="00B64A9E">
        <w:rPr>
          <w:rStyle w:val="Hyperlink"/>
          <w:rFonts w:cstheme="minorHAnsi"/>
          <w:szCs w:val="24"/>
        </w:rPr>
        <w:t>1)</w:t>
      </w:r>
      <w:r w:rsidR="009A1889" w:rsidRPr="00B64A9E">
        <w:rPr>
          <w:rFonts w:cstheme="minorHAnsi"/>
        </w:rPr>
        <w:t>.</w:t>
      </w:r>
    </w:p>
    <w:p w14:paraId="7411A6D2" w14:textId="5B977B24" w:rsidR="009A1889" w:rsidRPr="00B64A9E" w:rsidRDefault="00DB0BD2" w:rsidP="00B64A9E">
      <w:pPr>
        <w:pStyle w:val="ListParagraph"/>
        <w:numPr>
          <w:ilvl w:val="0"/>
          <w:numId w:val="9"/>
        </w:numPr>
        <w:spacing w:before="60" w:after="60"/>
        <w:ind w:left="714" w:hanging="357"/>
        <w:contextualSpacing w:val="0"/>
        <w:rPr>
          <w:rFonts w:cstheme="minorHAnsi"/>
          <w:szCs w:val="24"/>
          <w:lang w:val="en-US"/>
        </w:rPr>
      </w:pPr>
      <w:r w:rsidRPr="00B64A9E">
        <w:rPr>
          <w:rFonts w:cstheme="minorHAnsi"/>
        </w:rPr>
        <w:t xml:space="preserve">Using this mapping and input from discussions in TDAG-WG-DEC and TDAG-WG-ITUDP, he developed a draft annotated outline </w:t>
      </w:r>
      <w:r w:rsidR="00095293" w:rsidRPr="00B64A9E">
        <w:rPr>
          <w:rFonts w:cstheme="minorHAnsi"/>
        </w:rPr>
        <w:t>(</w:t>
      </w:r>
      <w:r w:rsidR="00A81675" w:rsidRPr="00B64A9E">
        <w:rPr>
          <w:rFonts w:cstheme="minorHAnsi"/>
        </w:rPr>
        <w:t xml:space="preserve">Document </w:t>
      </w:r>
      <w:hyperlink r:id="rId17" w:history="1">
        <w:r w:rsidR="00D93792" w:rsidRPr="00B64A9E">
          <w:rPr>
            <w:rStyle w:val="Hyperlink"/>
            <w:rFonts w:cstheme="minorHAnsi"/>
            <w:szCs w:val="24"/>
          </w:rPr>
          <w:t>TDAG-WG-DEC/4</w:t>
        </w:r>
        <w:r w:rsidR="002960D9" w:rsidRPr="00B64A9E">
          <w:rPr>
            <w:rStyle w:val="Hyperlink"/>
            <w:rFonts w:cstheme="minorHAnsi"/>
          </w:rPr>
          <w:t>(Rev.1)</w:t>
        </w:r>
      </w:hyperlink>
      <w:r w:rsidR="00095293" w:rsidRPr="00B64A9E">
        <w:rPr>
          <w:rStyle w:val="Hyperlink"/>
          <w:rFonts w:cstheme="minorHAnsi"/>
          <w:szCs w:val="24"/>
        </w:rPr>
        <w:t>)</w:t>
      </w:r>
      <w:r w:rsidR="00CB5414" w:rsidRPr="00B64A9E">
        <w:rPr>
          <w:rFonts w:cstheme="minorHAnsi"/>
          <w:szCs w:val="24"/>
          <w:lang w:val="en-US"/>
        </w:rPr>
        <w:t xml:space="preserve">, which was </w:t>
      </w:r>
      <w:r w:rsidRPr="00B64A9E">
        <w:rPr>
          <w:rFonts w:cstheme="minorHAnsi"/>
          <w:szCs w:val="24"/>
          <w:lang w:val="en-US"/>
        </w:rPr>
        <w:t xml:space="preserve">further </w:t>
      </w:r>
      <w:r w:rsidR="00CB5414" w:rsidRPr="00B64A9E">
        <w:rPr>
          <w:rFonts w:cstheme="minorHAnsi"/>
          <w:szCs w:val="24"/>
          <w:lang w:val="en-US"/>
        </w:rPr>
        <w:t xml:space="preserve">refined during the </w:t>
      </w:r>
      <w:r w:rsidR="005B5BBA" w:rsidRPr="00B64A9E">
        <w:rPr>
          <w:rFonts w:cstheme="minorHAnsi"/>
          <w:szCs w:val="24"/>
          <w:lang w:val="en-US"/>
        </w:rPr>
        <w:t>second meeting of the group.</w:t>
      </w:r>
    </w:p>
    <w:p w14:paraId="6D9F3C1E" w14:textId="0F4B1C01" w:rsidR="00E60291" w:rsidRPr="00B64A9E" w:rsidRDefault="00A52BC3" w:rsidP="00B64A9E">
      <w:pPr>
        <w:pStyle w:val="ListParagraph"/>
        <w:numPr>
          <w:ilvl w:val="0"/>
          <w:numId w:val="9"/>
        </w:numPr>
        <w:spacing w:before="60" w:after="60"/>
        <w:ind w:left="714" w:hanging="357"/>
        <w:contextualSpacing w:val="0"/>
        <w:rPr>
          <w:rFonts w:cstheme="minorHAnsi"/>
          <w:szCs w:val="24"/>
          <w:lang w:val="en-US"/>
        </w:rPr>
      </w:pPr>
      <w:r w:rsidRPr="00B64A9E">
        <w:rPr>
          <w:rFonts w:cstheme="minorHAnsi"/>
          <w:szCs w:val="24"/>
        </w:rPr>
        <w:t xml:space="preserve">Building on these foundations as well as TDAG-WG-DEC discussions and informal consultations, the Chair elaborated the </w:t>
      </w:r>
      <w:r w:rsidR="00C139C4" w:rsidRPr="00B64A9E">
        <w:rPr>
          <w:rFonts w:cstheme="minorHAnsi"/>
          <w:szCs w:val="24"/>
        </w:rPr>
        <w:t>revised draft and annotated</w:t>
      </w:r>
      <w:r w:rsidRPr="00B64A9E">
        <w:rPr>
          <w:rFonts w:cstheme="minorHAnsi"/>
          <w:szCs w:val="24"/>
        </w:rPr>
        <w:t xml:space="preserve"> proposal</w:t>
      </w:r>
      <w:r w:rsidR="00C139C4" w:rsidRPr="00B64A9E">
        <w:rPr>
          <w:rFonts w:cstheme="minorHAnsi"/>
          <w:szCs w:val="24"/>
        </w:rPr>
        <w:t xml:space="preserve"> (</w:t>
      </w:r>
      <w:r w:rsidR="00A81675" w:rsidRPr="00B64A9E">
        <w:rPr>
          <w:rFonts w:cstheme="minorHAnsi"/>
        </w:rPr>
        <w:t xml:space="preserve">Document </w:t>
      </w:r>
      <w:hyperlink r:id="rId18" w:history="1">
        <w:r w:rsidR="00C139C4" w:rsidRPr="00B64A9E">
          <w:rPr>
            <w:rStyle w:val="Hyperlink"/>
            <w:rFonts w:cstheme="minorHAnsi"/>
            <w:szCs w:val="24"/>
          </w:rPr>
          <w:t>TDAG-WG-DEC/</w:t>
        </w:r>
        <w:r w:rsidR="00C139C4" w:rsidRPr="00B64A9E">
          <w:rPr>
            <w:rStyle w:val="Hyperlink"/>
            <w:rFonts w:cstheme="minorHAnsi"/>
          </w:rPr>
          <w:t>12</w:t>
        </w:r>
      </w:hyperlink>
      <w:r w:rsidR="00C139C4" w:rsidRPr="00B64A9E">
        <w:rPr>
          <w:rFonts w:cstheme="minorHAnsi"/>
          <w:szCs w:val="24"/>
        </w:rPr>
        <w:t>)</w:t>
      </w:r>
      <w:r w:rsidRPr="00B64A9E">
        <w:rPr>
          <w:rFonts w:cstheme="minorHAnsi"/>
          <w:szCs w:val="24"/>
        </w:rPr>
        <w:t>.</w:t>
      </w:r>
    </w:p>
    <w:p w14:paraId="425B746E" w14:textId="08A8A27D" w:rsidR="00A674B3" w:rsidRPr="00B64A9E" w:rsidRDefault="00A674B3" w:rsidP="00B64A9E">
      <w:pPr>
        <w:pStyle w:val="ListParagraph"/>
        <w:numPr>
          <w:ilvl w:val="0"/>
          <w:numId w:val="9"/>
        </w:numPr>
        <w:spacing w:before="60" w:after="60"/>
        <w:ind w:left="714" w:hanging="357"/>
        <w:contextualSpacing w:val="0"/>
        <w:rPr>
          <w:rFonts w:cstheme="minorHAnsi"/>
          <w:szCs w:val="24"/>
          <w:lang w:val="en-US"/>
        </w:rPr>
      </w:pPr>
      <w:r w:rsidRPr="00B64A9E">
        <w:rPr>
          <w:rFonts w:cstheme="minorHAnsi"/>
          <w:szCs w:val="24"/>
        </w:rPr>
        <w:t xml:space="preserve">Following the additional input provided during the fourth meeting of the group, </w:t>
      </w:r>
      <w:r w:rsidR="00A81675" w:rsidRPr="00B64A9E">
        <w:rPr>
          <w:rFonts w:cstheme="minorHAnsi"/>
          <w:szCs w:val="24"/>
        </w:rPr>
        <w:t xml:space="preserve">the Chair prepared </w:t>
      </w:r>
      <w:r w:rsidR="00A81675" w:rsidRPr="00B64A9E">
        <w:rPr>
          <w:rFonts w:cstheme="minorHAnsi"/>
        </w:rPr>
        <w:t xml:space="preserve">his second revised proposal for the draft Baku Declaration (Document </w:t>
      </w:r>
      <w:hyperlink r:id="rId19" w:history="1">
        <w:r w:rsidR="00A81675" w:rsidRPr="00B64A9E">
          <w:rPr>
            <w:rStyle w:val="Hyperlink"/>
            <w:rFonts w:cstheme="minorHAnsi"/>
            <w:szCs w:val="24"/>
          </w:rPr>
          <w:t>TDAG-WG-DEC/</w:t>
        </w:r>
        <w:r w:rsidR="00A81675" w:rsidRPr="00B64A9E">
          <w:rPr>
            <w:rStyle w:val="Hyperlink"/>
            <w:rFonts w:cstheme="minorHAnsi"/>
          </w:rPr>
          <w:t>14</w:t>
        </w:r>
      </w:hyperlink>
      <w:r w:rsidR="00A81675" w:rsidRPr="00B64A9E">
        <w:rPr>
          <w:rFonts w:cstheme="minorHAnsi"/>
        </w:rPr>
        <w:t>).</w:t>
      </w:r>
      <w:r w:rsidR="00A81675" w:rsidRPr="00B64A9E">
        <w:rPr>
          <w:rFonts w:cstheme="minorHAnsi"/>
          <w:szCs w:val="24"/>
        </w:rPr>
        <w:t xml:space="preserve"> </w:t>
      </w:r>
    </w:p>
    <w:p w14:paraId="77F703DB" w14:textId="04DC3450" w:rsidR="009731F0" w:rsidRPr="00B64A9E" w:rsidRDefault="00223629" w:rsidP="00B64A9E">
      <w:pPr>
        <w:spacing w:after="120"/>
        <w:rPr>
          <w:rFonts w:cstheme="minorHAnsi"/>
          <w:lang w:val="en-US"/>
        </w:rPr>
      </w:pPr>
      <w:r w:rsidRPr="00B64A9E">
        <w:rPr>
          <w:rFonts w:cstheme="minorHAnsi"/>
        </w:rPr>
        <w:t xml:space="preserve">The group agreed in principle to the revisions contained in the draft proposal for the Baku Declaration, as presented in Document </w:t>
      </w:r>
      <w:hyperlink r:id="rId20" w:history="1">
        <w:r w:rsidRPr="00B64A9E">
          <w:rPr>
            <w:rStyle w:val="Hyperlink"/>
            <w:rFonts w:cstheme="minorHAnsi"/>
          </w:rPr>
          <w:t>TDAG-WG-DEC/14</w:t>
        </w:r>
      </w:hyperlink>
      <w:r w:rsidRPr="00B64A9E">
        <w:rPr>
          <w:rFonts w:cstheme="minorHAnsi"/>
        </w:rPr>
        <w:t>, and considered it as a baseline for further amendments.</w:t>
      </w:r>
    </w:p>
    <w:p w14:paraId="23C72408" w14:textId="14901EB7" w:rsidR="00042DA9" w:rsidRPr="00B64A9E" w:rsidRDefault="00E41811" w:rsidP="00B64A9E">
      <w:pPr>
        <w:spacing w:after="120"/>
        <w:rPr>
          <w:rFonts w:cstheme="minorHAnsi"/>
        </w:rPr>
      </w:pPr>
      <w:r w:rsidRPr="00B64A9E">
        <w:rPr>
          <w:rFonts w:cstheme="minorHAnsi"/>
        </w:rPr>
        <w:t>Four contributions were received from Member States to the fifth TDAG-WG-DEC meeting</w:t>
      </w:r>
      <w:r w:rsidR="00C307F1" w:rsidRPr="00B64A9E">
        <w:rPr>
          <w:rFonts w:cstheme="minorHAnsi"/>
        </w:rPr>
        <w:t xml:space="preserve"> and were presented during the session</w:t>
      </w:r>
      <w:r w:rsidR="006759BB" w:rsidRPr="00B64A9E">
        <w:rPr>
          <w:rFonts w:cstheme="minorHAnsi"/>
        </w:rPr>
        <w:t>:</w:t>
      </w:r>
    </w:p>
    <w:p w14:paraId="76A9B08E" w14:textId="67512DCE" w:rsidR="00042DA9" w:rsidRPr="00B64A9E" w:rsidRDefault="00042DA9" w:rsidP="00B64A9E">
      <w:pPr>
        <w:pStyle w:val="ListParagraph"/>
        <w:numPr>
          <w:ilvl w:val="0"/>
          <w:numId w:val="10"/>
        </w:numPr>
        <w:spacing w:before="60" w:after="60"/>
        <w:ind w:left="714" w:hanging="357"/>
        <w:contextualSpacing w:val="0"/>
        <w:rPr>
          <w:rFonts w:cstheme="minorHAnsi"/>
        </w:rPr>
      </w:pPr>
      <w:r w:rsidRPr="00B64A9E">
        <w:rPr>
          <w:rFonts w:cstheme="minorHAnsi"/>
        </w:rPr>
        <w:t xml:space="preserve">Document </w:t>
      </w:r>
      <w:hyperlink r:id="rId21" w:history="1">
        <w:r w:rsidRPr="00B64A9E">
          <w:rPr>
            <w:rStyle w:val="Hyperlink"/>
            <w:rFonts w:cstheme="minorHAnsi"/>
            <w:szCs w:val="24"/>
          </w:rPr>
          <w:t>TDAG-WG-DEC/18</w:t>
        </w:r>
      </w:hyperlink>
      <w:r w:rsidRPr="00B64A9E">
        <w:rPr>
          <w:rFonts w:cstheme="minorHAnsi"/>
        </w:rPr>
        <w:t xml:space="preserve"> from </w:t>
      </w:r>
      <w:r w:rsidR="00407444" w:rsidRPr="00B64A9E">
        <w:rPr>
          <w:rFonts w:cstheme="minorHAnsi"/>
        </w:rPr>
        <w:t xml:space="preserve">the League of Arab </w:t>
      </w:r>
      <w:r w:rsidR="006E51D2" w:rsidRPr="00B64A9E">
        <w:rPr>
          <w:rFonts w:cstheme="minorHAnsi"/>
        </w:rPr>
        <w:t>S</w:t>
      </w:r>
      <w:r w:rsidR="00407444" w:rsidRPr="00B64A9E">
        <w:rPr>
          <w:rFonts w:cstheme="minorHAnsi"/>
        </w:rPr>
        <w:t>tates,</w:t>
      </w:r>
    </w:p>
    <w:p w14:paraId="66E7346A" w14:textId="2F943471" w:rsidR="00042DA9" w:rsidRPr="00B64A9E" w:rsidRDefault="00042DA9" w:rsidP="00B64A9E">
      <w:pPr>
        <w:pStyle w:val="ListParagraph"/>
        <w:numPr>
          <w:ilvl w:val="0"/>
          <w:numId w:val="9"/>
        </w:numPr>
        <w:spacing w:before="60" w:after="60"/>
        <w:ind w:left="714" w:hanging="357"/>
        <w:contextualSpacing w:val="0"/>
        <w:rPr>
          <w:rFonts w:cstheme="minorHAnsi"/>
        </w:rPr>
      </w:pPr>
      <w:r w:rsidRPr="00B64A9E">
        <w:rPr>
          <w:rFonts w:cstheme="minorHAnsi"/>
        </w:rPr>
        <w:t xml:space="preserve">Document </w:t>
      </w:r>
      <w:hyperlink r:id="rId22" w:history="1">
        <w:r w:rsidRPr="00B64A9E">
          <w:rPr>
            <w:rStyle w:val="Hyperlink"/>
            <w:rFonts w:cstheme="minorHAnsi"/>
            <w:szCs w:val="24"/>
          </w:rPr>
          <w:t>TDAG-WG-DEC/19</w:t>
        </w:r>
      </w:hyperlink>
      <w:r w:rsidR="00407444" w:rsidRPr="00B64A9E">
        <w:rPr>
          <w:rFonts w:cstheme="minorHAnsi"/>
        </w:rPr>
        <w:t xml:space="preserve"> from </w:t>
      </w:r>
      <w:r w:rsidR="000C0E71" w:rsidRPr="00B64A9E">
        <w:rPr>
          <w:rFonts w:cstheme="minorHAnsi"/>
        </w:rPr>
        <w:t>China,</w:t>
      </w:r>
    </w:p>
    <w:p w14:paraId="4ED2B806" w14:textId="2C8F6768" w:rsidR="00042DA9" w:rsidRPr="00B64A9E" w:rsidRDefault="00042DA9" w:rsidP="00B64A9E">
      <w:pPr>
        <w:pStyle w:val="ListParagraph"/>
        <w:numPr>
          <w:ilvl w:val="0"/>
          <w:numId w:val="9"/>
        </w:numPr>
        <w:spacing w:before="60" w:after="60"/>
        <w:ind w:left="714" w:hanging="357"/>
        <w:contextualSpacing w:val="0"/>
        <w:rPr>
          <w:rFonts w:cstheme="minorHAnsi"/>
        </w:rPr>
      </w:pPr>
      <w:r w:rsidRPr="00B64A9E">
        <w:rPr>
          <w:rFonts w:cstheme="minorHAnsi"/>
        </w:rPr>
        <w:t xml:space="preserve">Document </w:t>
      </w:r>
      <w:hyperlink r:id="rId23" w:history="1">
        <w:r w:rsidRPr="00B64A9E">
          <w:rPr>
            <w:rStyle w:val="Hyperlink"/>
            <w:rFonts w:cstheme="minorHAnsi"/>
            <w:szCs w:val="24"/>
          </w:rPr>
          <w:t>TDAG-WG-DEC/20</w:t>
        </w:r>
      </w:hyperlink>
      <w:r w:rsidR="00407444" w:rsidRPr="00B64A9E">
        <w:rPr>
          <w:rFonts w:cstheme="minorHAnsi"/>
        </w:rPr>
        <w:t xml:space="preserve"> from</w:t>
      </w:r>
      <w:r w:rsidR="000C0E71" w:rsidRPr="00B64A9E">
        <w:rPr>
          <w:rFonts w:cstheme="minorHAnsi"/>
        </w:rPr>
        <w:t xml:space="preserve"> Canada and Paraguay, and</w:t>
      </w:r>
    </w:p>
    <w:p w14:paraId="48E507B4" w14:textId="5E25815C" w:rsidR="00B32B1F" w:rsidRPr="00B64A9E" w:rsidRDefault="00042DA9" w:rsidP="00B64A9E">
      <w:pPr>
        <w:pStyle w:val="ListParagraph"/>
        <w:numPr>
          <w:ilvl w:val="0"/>
          <w:numId w:val="9"/>
        </w:numPr>
        <w:overflowPunct/>
        <w:autoSpaceDE/>
        <w:autoSpaceDN/>
        <w:adjustRightInd/>
        <w:spacing w:before="60" w:after="60"/>
        <w:ind w:left="714" w:hanging="357"/>
        <w:contextualSpacing w:val="0"/>
        <w:textAlignment w:val="auto"/>
        <w:rPr>
          <w:rFonts w:cstheme="minorHAnsi"/>
        </w:rPr>
      </w:pPr>
      <w:r w:rsidRPr="00B64A9E">
        <w:rPr>
          <w:rFonts w:cstheme="minorHAnsi"/>
        </w:rPr>
        <w:t xml:space="preserve">Document </w:t>
      </w:r>
      <w:hyperlink r:id="rId24" w:history="1">
        <w:r w:rsidRPr="00B64A9E">
          <w:rPr>
            <w:rStyle w:val="Hyperlink"/>
            <w:rFonts w:cstheme="minorHAnsi"/>
            <w:szCs w:val="24"/>
          </w:rPr>
          <w:t>TDAG-WG-DEC/21</w:t>
        </w:r>
      </w:hyperlink>
      <w:r w:rsidR="00407444" w:rsidRPr="00B64A9E">
        <w:rPr>
          <w:rFonts w:cstheme="minorHAnsi"/>
        </w:rPr>
        <w:t xml:space="preserve"> from</w:t>
      </w:r>
      <w:r w:rsidR="000C0E71" w:rsidRPr="00B64A9E">
        <w:rPr>
          <w:rFonts w:cstheme="minorHAnsi"/>
        </w:rPr>
        <w:t xml:space="preserve"> </w:t>
      </w:r>
      <w:r w:rsidR="004554A3" w:rsidRPr="00B64A9E">
        <w:rPr>
          <w:rFonts w:cstheme="minorHAnsi"/>
        </w:rPr>
        <w:t>the United States</w:t>
      </w:r>
      <w:r w:rsidR="0076202C" w:rsidRPr="00B64A9E">
        <w:rPr>
          <w:rFonts w:cstheme="minorHAnsi"/>
        </w:rPr>
        <w:t>.</w:t>
      </w:r>
    </w:p>
    <w:p w14:paraId="6EC2993F" w14:textId="4766F229" w:rsidR="00B32B1F" w:rsidRPr="00B64A9E" w:rsidRDefault="00824053" w:rsidP="00B64A9E">
      <w:pPr>
        <w:overflowPunct/>
        <w:autoSpaceDE/>
        <w:autoSpaceDN/>
        <w:adjustRightInd/>
        <w:spacing w:after="120"/>
        <w:textAlignment w:val="auto"/>
        <w:rPr>
          <w:rFonts w:cstheme="minorHAnsi"/>
        </w:rPr>
      </w:pPr>
      <w:r w:rsidRPr="00B64A9E">
        <w:rPr>
          <w:rFonts w:cstheme="minorHAnsi"/>
        </w:rPr>
        <w:lastRenderedPageBreak/>
        <w:t xml:space="preserve">Following the presentation of views reflected in the new contributions, the Chair invited comments on the draft Declaration, proceeding on a paragraph-by-paragraph basis. </w:t>
      </w:r>
      <w:r w:rsidR="00A94AFD" w:rsidRPr="00B64A9E">
        <w:rPr>
          <w:rFonts w:cstheme="minorHAnsi"/>
        </w:rPr>
        <w:t xml:space="preserve">While </w:t>
      </w:r>
      <w:r w:rsidR="001E259E" w:rsidRPr="00B64A9E">
        <w:rPr>
          <w:rFonts w:cstheme="minorHAnsi"/>
        </w:rPr>
        <w:t xml:space="preserve">the group reached general agreement on </w:t>
      </w:r>
      <w:proofErr w:type="gramStart"/>
      <w:r w:rsidR="001E259E" w:rsidRPr="00B64A9E">
        <w:rPr>
          <w:rFonts w:cstheme="minorHAnsi"/>
        </w:rPr>
        <w:t>a number of</w:t>
      </w:r>
      <w:proofErr w:type="gramEnd"/>
      <w:r w:rsidR="001E259E" w:rsidRPr="00B64A9E">
        <w:rPr>
          <w:rFonts w:cstheme="minorHAnsi"/>
        </w:rPr>
        <w:t xml:space="preserve"> elements, divergent views were expressed on certain issues</w:t>
      </w:r>
      <w:r w:rsidR="00B00346" w:rsidRPr="00B64A9E">
        <w:rPr>
          <w:rFonts w:cstheme="minorHAnsi"/>
        </w:rPr>
        <w:t xml:space="preserve">. </w:t>
      </w:r>
    </w:p>
    <w:p w14:paraId="6C53315B" w14:textId="0C8F5A0E" w:rsidR="008B6E18" w:rsidRPr="00B64A9E" w:rsidRDefault="008B6E18" w:rsidP="00B64A9E">
      <w:pPr>
        <w:overflowPunct/>
        <w:autoSpaceDE/>
        <w:autoSpaceDN/>
        <w:adjustRightInd/>
        <w:spacing w:after="120"/>
        <w:textAlignment w:val="auto"/>
        <w:rPr>
          <w:rFonts w:cstheme="minorHAnsi"/>
        </w:rPr>
      </w:pPr>
      <w:r w:rsidRPr="00B64A9E">
        <w:rPr>
          <w:rFonts w:cstheme="minorHAnsi"/>
        </w:rPr>
        <w:t xml:space="preserve">To support the preparatory processes of the Regional Telecommunication Organizations (RTOs) in advance of WTDC-25, Member States requested that the following </w:t>
      </w:r>
      <w:r w:rsidR="001051B1" w:rsidRPr="00B64A9E">
        <w:rPr>
          <w:rFonts w:cstheme="minorHAnsi"/>
        </w:rPr>
        <w:t xml:space="preserve">discussions </w:t>
      </w:r>
      <w:r w:rsidRPr="00B64A9E">
        <w:rPr>
          <w:rFonts w:cstheme="minorHAnsi"/>
        </w:rPr>
        <w:t>be reflected in the present report:</w:t>
      </w:r>
    </w:p>
    <w:p w14:paraId="1B6A57C3" w14:textId="787C749A" w:rsidR="004A6AB4" w:rsidRPr="00B64A9E" w:rsidRDefault="00A61284" w:rsidP="00B64A9E">
      <w:pPr>
        <w:pStyle w:val="ListParagraph"/>
        <w:numPr>
          <w:ilvl w:val="0"/>
          <w:numId w:val="11"/>
        </w:numPr>
        <w:overflowPunct/>
        <w:autoSpaceDE/>
        <w:autoSpaceDN/>
        <w:adjustRightInd/>
        <w:spacing w:before="60" w:after="60"/>
        <w:ind w:left="714" w:hanging="357"/>
        <w:contextualSpacing w:val="0"/>
        <w:textAlignment w:val="auto"/>
        <w:rPr>
          <w:rFonts w:cstheme="minorHAnsi"/>
          <w:color w:val="000000" w:themeColor="text1"/>
        </w:rPr>
      </w:pPr>
      <w:r w:rsidRPr="00B64A9E">
        <w:rPr>
          <w:rFonts w:cstheme="minorHAnsi"/>
          <w:b/>
          <w:bCs/>
          <w:color w:val="000000" w:themeColor="text1"/>
        </w:rPr>
        <w:t>Length of the Declaration</w:t>
      </w:r>
      <w:r w:rsidRPr="00B64A9E">
        <w:rPr>
          <w:rFonts w:cstheme="minorHAnsi"/>
          <w:color w:val="000000" w:themeColor="text1"/>
        </w:rPr>
        <w:t xml:space="preserve">: </w:t>
      </w:r>
      <w:r w:rsidR="00900979" w:rsidRPr="00B64A9E">
        <w:rPr>
          <w:rFonts w:cstheme="minorHAnsi"/>
          <w:color w:val="000000" w:themeColor="text1"/>
        </w:rPr>
        <w:t>Several Member States reiterated the view that the Declaration should remain concise, as is appropriate for a high-level statement.</w:t>
      </w:r>
    </w:p>
    <w:p w14:paraId="6A868A0A" w14:textId="09304240" w:rsidR="00B41F29" w:rsidRPr="00B64A9E" w:rsidRDefault="00A83228" w:rsidP="00B64A9E">
      <w:pPr>
        <w:pStyle w:val="ListParagraph"/>
        <w:numPr>
          <w:ilvl w:val="0"/>
          <w:numId w:val="11"/>
        </w:numPr>
        <w:overflowPunct/>
        <w:autoSpaceDE/>
        <w:autoSpaceDN/>
        <w:adjustRightInd/>
        <w:spacing w:before="60" w:after="60"/>
        <w:ind w:left="714" w:hanging="357"/>
        <w:contextualSpacing w:val="0"/>
        <w:textAlignment w:val="auto"/>
        <w:rPr>
          <w:rFonts w:cstheme="minorHAnsi"/>
        </w:rPr>
      </w:pPr>
      <w:r w:rsidRPr="00B64A9E">
        <w:rPr>
          <w:rFonts w:cstheme="minorHAnsi"/>
          <w:b/>
          <w:bCs/>
        </w:rPr>
        <w:t>Technology neutrality:</w:t>
      </w:r>
      <w:r w:rsidR="00B41F29" w:rsidRPr="00B64A9E">
        <w:rPr>
          <w:rFonts w:cstheme="minorHAnsi"/>
          <w:b/>
          <w:bCs/>
        </w:rPr>
        <w:t xml:space="preserve"> </w:t>
      </w:r>
      <w:r w:rsidR="00B41F29" w:rsidRPr="00B64A9E">
        <w:rPr>
          <w:rFonts w:cstheme="minorHAnsi"/>
        </w:rPr>
        <w:t>Some regions expressed a preference for maintaining general language, while others advocated for the inclusion of references to specific key technologies</w:t>
      </w:r>
    </w:p>
    <w:p w14:paraId="14C525B6" w14:textId="5992238B" w:rsidR="00EC7C9E" w:rsidRPr="00B64A9E" w:rsidRDefault="00A83228" w:rsidP="00B64A9E">
      <w:pPr>
        <w:pStyle w:val="ListParagraph"/>
        <w:numPr>
          <w:ilvl w:val="0"/>
          <w:numId w:val="11"/>
        </w:numPr>
        <w:overflowPunct/>
        <w:autoSpaceDE/>
        <w:autoSpaceDN/>
        <w:adjustRightInd/>
        <w:spacing w:before="60" w:after="60"/>
        <w:ind w:left="714" w:hanging="357"/>
        <w:contextualSpacing w:val="0"/>
        <w:textAlignment w:val="auto"/>
        <w:rPr>
          <w:rFonts w:cstheme="minorHAnsi"/>
        </w:rPr>
      </w:pPr>
      <w:r w:rsidRPr="00B64A9E">
        <w:rPr>
          <w:rFonts w:cstheme="minorHAnsi"/>
          <w:b/>
          <w:bCs/>
        </w:rPr>
        <w:t>Artificial Intelligence (AI)</w:t>
      </w:r>
      <w:r w:rsidRPr="00B64A9E">
        <w:rPr>
          <w:rFonts w:cstheme="minorHAnsi"/>
        </w:rPr>
        <w:t>: Delegates agree</w:t>
      </w:r>
      <w:r w:rsidR="00351BC8" w:rsidRPr="00B64A9E">
        <w:rPr>
          <w:rFonts w:cstheme="minorHAnsi"/>
        </w:rPr>
        <w:t>d to use</w:t>
      </w:r>
      <w:r w:rsidRPr="00B64A9E">
        <w:rPr>
          <w:rFonts w:cstheme="minorHAnsi"/>
        </w:rPr>
        <w:t xml:space="preserve"> the </w:t>
      </w:r>
      <w:r w:rsidR="00C351F2" w:rsidRPr="00B64A9E">
        <w:rPr>
          <w:rFonts w:cstheme="minorHAnsi"/>
        </w:rPr>
        <w:t xml:space="preserve">established </w:t>
      </w:r>
      <w:r w:rsidRPr="00B64A9E">
        <w:rPr>
          <w:rFonts w:cstheme="minorHAnsi"/>
        </w:rPr>
        <w:t>language ‘new and emerging technologies’</w:t>
      </w:r>
      <w:r w:rsidR="005E0EEC" w:rsidRPr="00B64A9E">
        <w:rPr>
          <w:rFonts w:cstheme="minorHAnsi"/>
        </w:rPr>
        <w:t>,</w:t>
      </w:r>
      <w:r w:rsidRPr="00B64A9E">
        <w:rPr>
          <w:rFonts w:cstheme="minorHAnsi"/>
        </w:rPr>
        <w:t xml:space="preserve"> as referred in </w:t>
      </w:r>
      <w:r w:rsidR="005E0EEC" w:rsidRPr="00B64A9E">
        <w:rPr>
          <w:rFonts w:cstheme="minorHAnsi"/>
        </w:rPr>
        <w:t xml:space="preserve">relevant </w:t>
      </w:r>
      <w:r w:rsidRPr="00B64A9E">
        <w:rPr>
          <w:rFonts w:cstheme="minorHAnsi"/>
        </w:rPr>
        <w:t xml:space="preserve">Resolutions of the ITU Plenipotentiary Conference (PP) and WTDC. In addition, some regions and Member States </w:t>
      </w:r>
      <w:r w:rsidR="005E0EEC" w:rsidRPr="00B64A9E">
        <w:rPr>
          <w:rFonts w:cstheme="minorHAnsi"/>
        </w:rPr>
        <w:t>were</w:t>
      </w:r>
      <w:r w:rsidRPr="00B64A9E">
        <w:rPr>
          <w:rFonts w:cstheme="minorHAnsi"/>
        </w:rPr>
        <w:t xml:space="preserve"> of the view that AI should be </w:t>
      </w:r>
      <w:r w:rsidR="00EC7C9E" w:rsidRPr="00B64A9E">
        <w:rPr>
          <w:rFonts w:cstheme="minorHAnsi"/>
        </w:rPr>
        <w:t>specifically highlighted due to its potential to accelerate ICT development</w:t>
      </w:r>
      <w:r w:rsidRPr="00B64A9E">
        <w:rPr>
          <w:rFonts w:cstheme="minorHAnsi"/>
        </w:rPr>
        <w:t xml:space="preserve">. </w:t>
      </w:r>
      <w:r w:rsidR="00EC7C9E" w:rsidRPr="00B64A9E">
        <w:rPr>
          <w:rFonts w:cstheme="minorHAnsi"/>
        </w:rPr>
        <w:t>It was further suggested that the language used in PP Resolution 2014 on Artificial Intelligence</w:t>
      </w:r>
      <w:r w:rsidR="00FB3CF7" w:rsidRPr="00B64A9E">
        <w:rPr>
          <w:rFonts w:cstheme="minorHAnsi"/>
        </w:rPr>
        <w:t xml:space="preserve"> (</w:t>
      </w:r>
      <w:r w:rsidR="00EC7C9E" w:rsidRPr="00B64A9E">
        <w:rPr>
          <w:rFonts w:cstheme="minorHAnsi"/>
        </w:rPr>
        <w:t xml:space="preserve">such as </w:t>
      </w:r>
      <w:r w:rsidR="00FB3CF7" w:rsidRPr="00B64A9E">
        <w:rPr>
          <w:rFonts w:cstheme="minorHAnsi"/>
        </w:rPr>
        <w:t>‘</w:t>
      </w:r>
      <w:r w:rsidR="00EC7C9E" w:rsidRPr="00B64A9E">
        <w:rPr>
          <w:rFonts w:cstheme="minorHAnsi"/>
        </w:rPr>
        <w:t>AI related to telecommunications</w:t>
      </w:r>
      <w:r w:rsidR="00FB3CF7" w:rsidRPr="00B64A9E">
        <w:rPr>
          <w:rFonts w:cstheme="minorHAnsi"/>
        </w:rPr>
        <w:t xml:space="preserve">’) </w:t>
      </w:r>
      <w:r w:rsidR="00EC7C9E" w:rsidRPr="00B64A9E">
        <w:rPr>
          <w:rFonts w:cstheme="minorHAnsi"/>
        </w:rPr>
        <w:t>may be acceptable for inclusion.</w:t>
      </w:r>
    </w:p>
    <w:p w14:paraId="3D9FDB82" w14:textId="7A33B779" w:rsidR="00A83228" w:rsidRPr="00B64A9E" w:rsidRDefault="00A83228" w:rsidP="00B64A9E">
      <w:pPr>
        <w:pStyle w:val="ListParagraph"/>
        <w:numPr>
          <w:ilvl w:val="0"/>
          <w:numId w:val="11"/>
        </w:numPr>
        <w:overflowPunct/>
        <w:autoSpaceDE/>
        <w:autoSpaceDN/>
        <w:adjustRightInd/>
        <w:spacing w:before="60" w:after="60"/>
        <w:ind w:left="714" w:hanging="357"/>
        <w:contextualSpacing w:val="0"/>
        <w:textAlignment w:val="auto"/>
        <w:rPr>
          <w:rFonts w:cstheme="minorHAnsi"/>
        </w:rPr>
      </w:pPr>
      <w:r w:rsidRPr="00B64A9E">
        <w:rPr>
          <w:rFonts w:cstheme="minorHAnsi"/>
          <w:b/>
          <w:bCs/>
        </w:rPr>
        <w:t>Space-based infrastructure</w:t>
      </w:r>
      <w:r w:rsidRPr="00B64A9E">
        <w:rPr>
          <w:rFonts w:cstheme="minorHAnsi"/>
        </w:rPr>
        <w:t xml:space="preserve">: </w:t>
      </w:r>
      <w:r w:rsidR="009A3A94" w:rsidRPr="00B64A9E">
        <w:rPr>
          <w:rFonts w:cstheme="minorHAnsi"/>
        </w:rPr>
        <w:t>While some members supported referring to ‘satellite communications’ as more closely aligned with ITU-D’s mandate, others emphasized the importance of new space technologies in advancing the objectives of the Sector.</w:t>
      </w:r>
    </w:p>
    <w:p w14:paraId="38B4E424" w14:textId="28946A19" w:rsidR="00A83228" w:rsidRPr="00B64A9E" w:rsidRDefault="00A83228" w:rsidP="00B64A9E">
      <w:pPr>
        <w:pStyle w:val="ListParagraph"/>
        <w:numPr>
          <w:ilvl w:val="0"/>
          <w:numId w:val="11"/>
        </w:numPr>
        <w:overflowPunct/>
        <w:autoSpaceDE/>
        <w:autoSpaceDN/>
        <w:adjustRightInd/>
        <w:spacing w:before="60" w:after="60"/>
        <w:ind w:left="714" w:hanging="357"/>
        <w:contextualSpacing w:val="0"/>
        <w:textAlignment w:val="auto"/>
        <w:rPr>
          <w:rFonts w:cstheme="minorHAnsi"/>
        </w:rPr>
      </w:pPr>
      <w:r w:rsidRPr="00B64A9E">
        <w:rPr>
          <w:rFonts w:cstheme="minorHAnsi"/>
          <w:b/>
          <w:bCs/>
        </w:rPr>
        <w:t>Transfer of technology</w:t>
      </w:r>
      <w:r w:rsidRPr="00B64A9E">
        <w:rPr>
          <w:rFonts w:cstheme="minorHAnsi"/>
        </w:rPr>
        <w:t xml:space="preserve">: divergent views </w:t>
      </w:r>
      <w:r w:rsidR="00345A30" w:rsidRPr="00B64A9E">
        <w:rPr>
          <w:rFonts w:cstheme="minorHAnsi"/>
        </w:rPr>
        <w:t>were also expressed on this topic</w:t>
      </w:r>
      <w:r w:rsidRPr="00B64A9E">
        <w:rPr>
          <w:rFonts w:cstheme="minorHAnsi"/>
        </w:rPr>
        <w:t>.</w:t>
      </w:r>
    </w:p>
    <w:p w14:paraId="776539F3" w14:textId="77777777" w:rsidR="00427587" w:rsidRPr="00B64A9E" w:rsidRDefault="00427587" w:rsidP="00B64A9E">
      <w:pPr>
        <w:pStyle w:val="ListParagraph"/>
        <w:numPr>
          <w:ilvl w:val="0"/>
          <w:numId w:val="11"/>
        </w:numPr>
        <w:overflowPunct/>
        <w:autoSpaceDE/>
        <w:autoSpaceDN/>
        <w:adjustRightInd/>
        <w:spacing w:before="60" w:after="60"/>
        <w:ind w:left="714" w:hanging="357"/>
        <w:contextualSpacing w:val="0"/>
        <w:textAlignment w:val="auto"/>
        <w:rPr>
          <w:rFonts w:cstheme="minorHAnsi"/>
        </w:rPr>
      </w:pPr>
      <w:r w:rsidRPr="00B64A9E">
        <w:rPr>
          <w:rFonts w:cstheme="minorHAnsi"/>
          <w:b/>
          <w:bCs/>
        </w:rPr>
        <w:t>Comprehensive view of challenges</w:t>
      </w:r>
      <w:r w:rsidRPr="00B64A9E">
        <w:rPr>
          <w:rFonts w:cstheme="minorHAnsi"/>
        </w:rPr>
        <w:t xml:space="preserve"> – some ITU-D Sector Members would like to refine the language on addressing challenges related to ICT access and affordability, including issues concerning relevant applications and service continuity.</w:t>
      </w:r>
    </w:p>
    <w:p w14:paraId="016D2614" w14:textId="77777777" w:rsidR="00427587" w:rsidRPr="00B64A9E" w:rsidRDefault="00427587" w:rsidP="00B64A9E">
      <w:pPr>
        <w:pStyle w:val="ListParagraph"/>
        <w:numPr>
          <w:ilvl w:val="0"/>
          <w:numId w:val="11"/>
        </w:numPr>
        <w:overflowPunct/>
        <w:autoSpaceDE/>
        <w:autoSpaceDN/>
        <w:adjustRightInd/>
        <w:spacing w:before="60" w:after="60"/>
        <w:ind w:left="714" w:hanging="357"/>
        <w:contextualSpacing w:val="0"/>
        <w:textAlignment w:val="auto"/>
        <w:rPr>
          <w:rFonts w:cstheme="minorHAnsi"/>
        </w:rPr>
      </w:pPr>
      <w:r w:rsidRPr="00B64A9E">
        <w:rPr>
          <w:rFonts w:cstheme="minorHAnsi"/>
          <w:b/>
          <w:bCs/>
        </w:rPr>
        <w:t>Commitment language</w:t>
      </w:r>
      <w:r w:rsidRPr="00B64A9E">
        <w:rPr>
          <w:rFonts w:cstheme="minorHAnsi"/>
        </w:rPr>
        <w:t>: Some Member States proposed the use of softer, non-binding language in the second part of the draft Declaration (e.g. replacing ‘we commit’); however, the group did not reach consensus on this proposal.</w:t>
      </w:r>
    </w:p>
    <w:p w14:paraId="79573127" w14:textId="6888D1F3" w:rsidR="00BA7656" w:rsidRPr="00B64A9E" w:rsidRDefault="00BA7656" w:rsidP="00B64A9E">
      <w:pPr>
        <w:overflowPunct/>
        <w:autoSpaceDE/>
        <w:autoSpaceDN/>
        <w:adjustRightInd/>
        <w:spacing w:after="120"/>
        <w:ind w:left="360"/>
        <w:textAlignment w:val="auto"/>
        <w:rPr>
          <w:rFonts w:cstheme="minorHAnsi"/>
        </w:rPr>
      </w:pPr>
      <w:r w:rsidRPr="00B64A9E">
        <w:rPr>
          <w:rFonts w:cstheme="minorHAnsi"/>
        </w:rPr>
        <w:t xml:space="preserve">In addition, </w:t>
      </w:r>
      <w:r w:rsidR="00137043" w:rsidRPr="00B64A9E">
        <w:rPr>
          <w:rFonts w:cstheme="minorHAnsi"/>
        </w:rPr>
        <w:t>the following positions were expressed during the meeting:</w:t>
      </w:r>
    </w:p>
    <w:p w14:paraId="761A2DD0" w14:textId="3B3B3EAF" w:rsidR="00C70A0D" w:rsidRPr="00B64A9E" w:rsidRDefault="006141C5" w:rsidP="00B64A9E">
      <w:pPr>
        <w:pStyle w:val="NormalWeb"/>
        <w:numPr>
          <w:ilvl w:val="0"/>
          <w:numId w:val="11"/>
        </w:numPr>
        <w:shd w:val="clear" w:color="auto" w:fill="FFFFFF"/>
        <w:spacing w:before="60" w:after="60"/>
        <w:ind w:left="714" w:hanging="357"/>
        <w:rPr>
          <w:rFonts w:asciiTheme="minorHAnsi" w:hAnsiTheme="minorHAnsi" w:cstheme="minorHAnsi"/>
        </w:rPr>
      </w:pPr>
      <w:r w:rsidRPr="00B64A9E">
        <w:rPr>
          <w:rFonts w:asciiTheme="minorHAnsi" w:hAnsiTheme="minorHAnsi" w:cstheme="minorHAnsi"/>
          <w:b/>
          <w:bCs/>
          <w:color w:val="000000"/>
        </w:rPr>
        <w:t>The United States supports</w:t>
      </w:r>
      <w:r w:rsidRPr="00B64A9E">
        <w:rPr>
          <w:rFonts w:asciiTheme="minorHAnsi" w:hAnsiTheme="minorHAnsi" w:cstheme="minorHAnsi"/>
          <w:color w:val="000000"/>
        </w:rPr>
        <w:t xml:space="preserve"> a succinct, high</w:t>
      </w:r>
      <w:r w:rsidR="00816D03" w:rsidRPr="00B64A9E">
        <w:rPr>
          <w:rFonts w:asciiTheme="minorHAnsi" w:hAnsiTheme="minorHAnsi" w:cstheme="minorHAnsi"/>
          <w:color w:val="000000"/>
        </w:rPr>
        <w:t>-</w:t>
      </w:r>
      <w:r w:rsidRPr="00B64A9E">
        <w:rPr>
          <w:rFonts w:asciiTheme="minorHAnsi" w:hAnsiTheme="minorHAnsi" w:cstheme="minorHAnsi"/>
          <w:color w:val="000000"/>
        </w:rPr>
        <w:t>level WTDC-25 declaration focused on ITU-D's mandate in connecting the unconnected and promoting digital transformation. With reference to the draft Declaration, the United States proposes deletion of language affirming the 2030 Agenda for Sustainable Development and Sustainable Development Goals. The U</w:t>
      </w:r>
      <w:r w:rsidR="0078289A" w:rsidRPr="00B64A9E">
        <w:rPr>
          <w:rFonts w:asciiTheme="minorHAnsi" w:hAnsiTheme="minorHAnsi" w:cstheme="minorHAnsi"/>
          <w:color w:val="000000"/>
        </w:rPr>
        <w:t xml:space="preserve">nited </w:t>
      </w:r>
      <w:r w:rsidRPr="00B64A9E">
        <w:rPr>
          <w:rFonts w:asciiTheme="minorHAnsi" w:hAnsiTheme="minorHAnsi" w:cstheme="minorHAnsi"/>
          <w:color w:val="000000"/>
        </w:rPr>
        <w:t>S</w:t>
      </w:r>
      <w:r w:rsidR="0078289A" w:rsidRPr="00B64A9E">
        <w:rPr>
          <w:rFonts w:asciiTheme="minorHAnsi" w:hAnsiTheme="minorHAnsi" w:cstheme="minorHAnsi"/>
          <w:color w:val="000000"/>
        </w:rPr>
        <w:t>tates</w:t>
      </w:r>
      <w:r w:rsidRPr="00B64A9E">
        <w:rPr>
          <w:rFonts w:asciiTheme="minorHAnsi" w:hAnsiTheme="minorHAnsi" w:cstheme="minorHAnsi"/>
          <w:color w:val="000000"/>
        </w:rPr>
        <w:t xml:space="preserve"> also opposes references to climate change throughout the document and addition of any text promoting diversity, equity and inclusion policies.</w:t>
      </w:r>
    </w:p>
    <w:p w14:paraId="7865C793" w14:textId="2569679C" w:rsidR="00DE018A" w:rsidRPr="00B64A9E" w:rsidRDefault="00DE018A" w:rsidP="00B64A9E">
      <w:pPr>
        <w:pStyle w:val="NormalWeb"/>
        <w:numPr>
          <w:ilvl w:val="0"/>
          <w:numId w:val="11"/>
        </w:numPr>
        <w:shd w:val="clear" w:color="auto" w:fill="FFFFFF"/>
        <w:spacing w:before="60" w:after="60"/>
        <w:ind w:left="714" w:hanging="357"/>
        <w:rPr>
          <w:rFonts w:asciiTheme="minorHAnsi" w:hAnsiTheme="minorHAnsi" w:cstheme="minorHAnsi"/>
        </w:rPr>
      </w:pPr>
      <w:proofErr w:type="gramStart"/>
      <w:r w:rsidRPr="00B64A9E">
        <w:rPr>
          <w:rFonts w:asciiTheme="minorHAnsi" w:hAnsiTheme="minorHAnsi" w:cstheme="minorHAnsi"/>
          <w:b/>
          <w:bCs/>
          <w:color w:val="000000"/>
        </w:rPr>
        <w:t>A number of</w:t>
      </w:r>
      <w:proofErr w:type="gramEnd"/>
      <w:r w:rsidRPr="00B64A9E">
        <w:rPr>
          <w:rFonts w:asciiTheme="minorHAnsi" w:hAnsiTheme="minorHAnsi" w:cstheme="minorHAnsi"/>
          <w:b/>
          <w:bCs/>
          <w:color w:val="000000"/>
        </w:rPr>
        <w:t xml:space="preserve"> </w:t>
      </w:r>
      <w:r w:rsidR="00896469" w:rsidRPr="00B64A9E">
        <w:rPr>
          <w:rFonts w:asciiTheme="minorHAnsi" w:hAnsiTheme="minorHAnsi" w:cstheme="minorHAnsi"/>
          <w:b/>
          <w:bCs/>
          <w:color w:val="000000"/>
        </w:rPr>
        <w:t xml:space="preserve">Member States </w:t>
      </w:r>
      <w:r w:rsidR="00896469" w:rsidRPr="00B64A9E">
        <w:rPr>
          <w:rFonts w:asciiTheme="minorHAnsi" w:hAnsiTheme="minorHAnsi" w:cstheme="minorHAnsi"/>
          <w:color w:val="000000"/>
        </w:rPr>
        <w:t xml:space="preserve">opposed the modifications to the text of the draft Baku Declaration </w:t>
      </w:r>
      <w:r w:rsidR="00883D46" w:rsidRPr="00B64A9E">
        <w:rPr>
          <w:rFonts w:asciiTheme="minorHAnsi" w:hAnsiTheme="minorHAnsi" w:cstheme="minorHAnsi"/>
          <w:color w:val="000000"/>
        </w:rPr>
        <w:t>suggested by the United States, recalling</w:t>
      </w:r>
      <w:r w:rsidR="00BE5907" w:rsidRPr="00B64A9E">
        <w:rPr>
          <w:rFonts w:asciiTheme="minorHAnsi" w:hAnsiTheme="minorHAnsi" w:cstheme="minorHAnsi"/>
          <w:color w:val="000000"/>
        </w:rPr>
        <w:t xml:space="preserve"> relevant</w:t>
      </w:r>
      <w:r w:rsidR="00883D46" w:rsidRPr="00B64A9E">
        <w:rPr>
          <w:rFonts w:asciiTheme="minorHAnsi" w:hAnsiTheme="minorHAnsi" w:cstheme="minorHAnsi"/>
          <w:color w:val="000000"/>
        </w:rPr>
        <w:t xml:space="preserve"> PP and WTDC Resolutions </w:t>
      </w:r>
      <w:r w:rsidR="00481AA0" w:rsidRPr="00B64A9E">
        <w:rPr>
          <w:rFonts w:asciiTheme="minorHAnsi" w:hAnsiTheme="minorHAnsi" w:cstheme="minorHAnsi"/>
          <w:color w:val="000000"/>
        </w:rPr>
        <w:t xml:space="preserve">and affirming their support for ITU-D’s work in those areas. </w:t>
      </w:r>
    </w:p>
    <w:p w14:paraId="4DB47D2A" w14:textId="77777777" w:rsidR="00A838A8" w:rsidRPr="00B64A9E" w:rsidRDefault="00A838A8" w:rsidP="00B64A9E">
      <w:pPr>
        <w:pStyle w:val="NormalWeb"/>
        <w:numPr>
          <w:ilvl w:val="0"/>
          <w:numId w:val="11"/>
        </w:numPr>
        <w:shd w:val="clear" w:color="auto" w:fill="FFFFFF"/>
        <w:spacing w:before="60" w:after="60"/>
        <w:ind w:left="714" w:hanging="357"/>
        <w:rPr>
          <w:rFonts w:asciiTheme="minorHAnsi" w:hAnsiTheme="minorHAnsi" w:cstheme="minorHAnsi"/>
        </w:rPr>
      </w:pPr>
      <w:r w:rsidRPr="00B64A9E">
        <w:rPr>
          <w:rFonts w:asciiTheme="minorHAnsi" w:hAnsiTheme="minorHAnsi" w:cstheme="minorHAnsi"/>
          <w:b/>
          <w:bCs/>
          <w:color w:val="000000"/>
        </w:rPr>
        <w:t>African Telecommunication Union (ATU)</w:t>
      </w:r>
      <w:r w:rsidRPr="00B64A9E">
        <w:rPr>
          <w:rFonts w:asciiTheme="minorHAnsi" w:hAnsiTheme="minorHAnsi" w:cstheme="minorHAnsi"/>
          <w:color w:val="000000"/>
        </w:rPr>
        <w:t xml:space="preserve"> stressed orally the importance for the Deceleration to include a commitment to ensuring the affordability of both telecommunication/ICT devices and services.</w:t>
      </w:r>
    </w:p>
    <w:p w14:paraId="2032A434" w14:textId="77777777" w:rsidR="00A838A8" w:rsidRPr="00B64A9E" w:rsidRDefault="00A838A8" w:rsidP="00B64A9E">
      <w:pPr>
        <w:pStyle w:val="NormalWeb"/>
        <w:numPr>
          <w:ilvl w:val="0"/>
          <w:numId w:val="11"/>
        </w:numPr>
        <w:shd w:val="clear" w:color="auto" w:fill="FFFFFF"/>
        <w:spacing w:before="60" w:after="60"/>
        <w:ind w:left="714" w:hanging="357"/>
        <w:rPr>
          <w:rFonts w:asciiTheme="minorHAnsi" w:hAnsiTheme="minorHAnsi" w:cstheme="minorHAnsi"/>
        </w:rPr>
      </w:pPr>
      <w:r w:rsidRPr="00B64A9E">
        <w:rPr>
          <w:rFonts w:asciiTheme="minorHAnsi" w:hAnsiTheme="minorHAnsi" w:cstheme="minorHAnsi"/>
          <w:b/>
          <w:bCs/>
          <w:color w:val="000000"/>
        </w:rPr>
        <w:lastRenderedPageBreak/>
        <w:t>The League of Arab States</w:t>
      </w:r>
      <w:r w:rsidRPr="00B64A9E">
        <w:rPr>
          <w:rFonts w:asciiTheme="minorHAnsi" w:hAnsiTheme="minorHAnsi" w:cstheme="minorHAnsi"/>
          <w:color w:val="000000"/>
        </w:rPr>
        <w:t xml:space="preserve"> and the </w:t>
      </w:r>
      <w:r w:rsidRPr="00B64A9E">
        <w:rPr>
          <w:rFonts w:asciiTheme="minorHAnsi" w:hAnsiTheme="minorHAnsi" w:cstheme="minorHAnsi"/>
          <w:b/>
          <w:bCs/>
          <w:color w:val="000000"/>
        </w:rPr>
        <w:t>Regional Commonwealth in the Field of Communications (RCC)</w:t>
      </w:r>
      <w:r w:rsidRPr="00B64A9E">
        <w:rPr>
          <w:rFonts w:asciiTheme="minorHAnsi" w:hAnsiTheme="minorHAnsi" w:cstheme="minorHAnsi"/>
          <w:color w:val="000000"/>
        </w:rPr>
        <w:t xml:space="preserve"> emphasized the critical role of new and emerging technologies and AI </w:t>
      </w:r>
      <w:proofErr w:type="gramStart"/>
      <w:r w:rsidRPr="00B64A9E">
        <w:rPr>
          <w:rFonts w:asciiTheme="minorHAnsi" w:hAnsiTheme="minorHAnsi" w:cstheme="minorHAnsi"/>
          <w:color w:val="000000"/>
        </w:rPr>
        <w:t>in particular in</w:t>
      </w:r>
      <w:proofErr w:type="gramEnd"/>
      <w:r w:rsidRPr="00B64A9E">
        <w:rPr>
          <w:rFonts w:asciiTheme="minorHAnsi" w:hAnsiTheme="minorHAnsi" w:cstheme="minorHAnsi"/>
          <w:color w:val="000000"/>
        </w:rPr>
        <w:t xml:space="preserve"> the context of digital development and expressed their preference for specific language reflecting it.</w:t>
      </w:r>
    </w:p>
    <w:p w14:paraId="72884BC1" w14:textId="31E7F2FB" w:rsidR="00C3725A" w:rsidRPr="00B64A9E" w:rsidRDefault="00C3725A" w:rsidP="00B64A9E">
      <w:pPr>
        <w:pStyle w:val="NormalWeb"/>
        <w:shd w:val="clear" w:color="auto" w:fill="FFFFFF"/>
        <w:spacing w:before="120" w:after="120"/>
        <w:rPr>
          <w:rFonts w:asciiTheme="minorHAnsi" w:hAnsiTheme="minorHAnsi" w:cstheme="minorHAnsi"/>
        </w:rPr>
      </w:pPr>
      <w:r w:rsidRPr="00B64A9E">
        <w:rPr>
          <w:rFonts w:asciiTheme="minorHAnsi" w:hAnsiTheme="minorHAnsi" w:cstheme="minorHAnsi"/>
          <w:color w:val="000000"/>
        </w:rPr>
        <w:t xml:space="preserve">When preparing proposals for WTDC-25, </w:t>
      </w:r>
      <w:r w:rsidR="006141C5" w:rsidRPr="00B64A9E">
        <w:rPr>
          <w:rFonts w:asciiTheme="minorHAnsi" w:hAnsiTheme="minorHAnsi" w:cstheme="minorHAnsi"/>
          <w:color w:val="000000"/>
        </w:rPr>
        <w:t xml:space="preserve">ITU-D membership </w:t>
      </w:r>
      <w:r w:rsidR="0078289A" w:rsidRPr="00B64A9E">
        <w:rPr>
          <w:rFonts w:asciiTheme="minorHAnsi" w:hAnsiTheme="minorHAnsi" w:cstheme="minorHAnsi"/>
          <w:color w:val="000000"/>
        </w:rPr>
        <w:t xml:space="preserve">is invited </w:t>
      </w:r>
      <w:r w:rsidR="006141C5" w:rsidRPr="00B64A9E">
        <w:rPr>
          <w:rFonts w:asciiTheme="minorHAnsi" w:hAnsiTheme="minorHAnsi" w:cstheme="minorHAnsi"/>
          <w:color w:val="000000"/>
        </w:rPr>
        <w:t xml:space="preserve">to consider the </w:t>
      </w:r>
      <w:r w:rsidR="00A20E82" w:rsidRPr="00B64A9E">
        <w:rPr>
          <w:rFonts w:asciiTheme="minorHAnsi" w:hAnsiTheme="minorHAnsi" w:cstheme="minorHAnsi"/>
          <w:b/>
          <w:bCs/>
          <w:color w:val="000000"/>
        </w:rPr>
        <w:t xml:space="preserve">general </w:t>
      </w:r>
      <w:r w:rsidR="006141C5" w:rsidRPr="00B64A9E">
        <w:rPr>
          <w:rFonts w:asciiTheme="minorHAnsi" w:hAnsiTheme="minorHAnsi" w:cstheme="minorHAnsi"/>
          <w:b/>
          <w:bCs/>
          <w:color w:val="000000"/>
        </w:rPr>
        <w:t>views</w:t>
      </w:r>
      <w:r w:rsidR="00A20E82" w:rsidRPr="00B64A9E">
        <w:rPr>
          <w:rFonts w:asciiTheme="minorHAnsi" w:hAnsiTheme="minorHAnsi" w:cstheme="minorHAnsi"/>
          <w:b/>
          <w:bCs/>
          <w:color w:val="000000"/>
        </w:rPr>
        <w:t xml:space="preserve"> </w:t>
      </w:r>
      <w:r w:rsidRPr="00B64A9E">
        <w:rPr>
          <w:rFonts w:asciiTheme="minorHAnsi" w:hAnsiTheme="minorHAnsi" w:cstheme="minorHAnsi"/>
          <w:b/>
          <w:bCs/>
          <w:color w:val="000000"/>
        </w:rPr>
        <w:t>of individual Member States</w:t>
      </w:r>
      <w:r w:rsidRPr="00B64A9E">
        <w:rPr>
          <w:rFonts w:asciiTheme="minorHAnsi" w:hAnsiTheme="minorHAnsi" w:cstheme="minorHAnsi"/>
          <w:color w:val="000000"/>
        </w:rPr>
        <w:t xml:space="preserve"> </w:t>
      </w:r>
      <w:r w:rsidR="00A20E82" w:rsidRPr="00B64A9E">
        <w:rPr>
          <w:rFonts w:asciiTheme="minorHAnsi" w:hAnsiTheme="minorHAnsi" w:cstheme="minorHAnsi"/>
          <w:color w:val="000000"/>
        </w:rPr>
        <w:t>discussed during TDAG-25</w:t>
      </w:r>
      <w:r w:rsidR="004C6CB5" w:rsidRPr="00B64A9E">
        <w:rPr>
          <w:rFonts w:asciiTheme="minorHAnsi" w:hAnsiTheme="minorHAnsi" w:cstheme="minorHAnsi"/>
          <w:color w:val="000000"/>
        </w:rPr>
        <w:t xml:space="preserve"> and expressed in the following contributions:</w:t>
      </w:r>
    </w:p>
    <w:p w14:paraId="2D651070" w14:textId="15CB49FF" w:rsidR="00953AED" w:rsidRPr="00B64A9E" w:rsidRDefault="006141C5" w:rsidP="00B64A9E">
      <w:pPr>
        <w:pStyle w:val="NormalWeb"/>
        <w:numPr>
          <w:ilvl w:val="0"/>
          <w:numId w:val="16"/>
        </w:numPr>
        <w:shd w:val="clear" w:color="auto" w:fill="FFFFFF"/>
        <w:spacing w:before="60" w:after="60"/>
        <w:ind w:left="714" w:hanging="357"/>
        <w:rPr>
          <w:rFonts w:asciiTheme="minorHAnsi" w:hAnsiTheme="minorHAnsi" w:cstheme="minorHAnsi"/>
        </w:rPr>
      </w:pPr>
      <w:hyperlink r:id="rId25" w:tooltip="Original URL: https://www.itu.int/md/D22-TDAG32-C-0056/en. Click or tap if you trust this link." w:history="1">
        <w:r w:rsidRPr="00B64A9E">
          <w:rPr>
            <w:rStyle w:val="Hyperlink"/>
            <w:rFonts w:asciiTheme="minorHAnsi" w:hAnsiTheme="minorHAnsi" w:cstheme="minorHAnsi"/>
          </w:rPr>
          <w:t xml:space="preserve">Document </w:t>
        </w:r>
        <w:r w:rsidR="0069647F" w:rsidRPr="00B64A9E">
          <w:rPr>
            <w:rStyle w:val="Hyperlink"/>
            <w:rFonts w:asciiTheme="minorHAnsi" w:hAnsiTheme="minorHAnsi" w:cstheme="minorHAnsi"/>
          </w:rPr>
          <w:t>TDAG-25/</w:t>
        </w:r>
        <w:r w:rsidRPr="00B64A9E">
          <w:rPr>
            <w:rStyle w:val="Hyperlink"/>
            <w:rFonts w:asciiTheme="minorHAnsi" w:hAnsiTheme="minorHAnsi" w:cstheme="minorHAnsi"/>
          </w:rPr>
          <w:t>56</w:t>
        </w:r>
      </w:hyperlink>
      <w:r w:rsidRPr="00B64A9E">
        <w:rPr>
          <w:rFonts w:asciiTheme="minorHAnsi" w:hAnsiTheme="minorHAnsi" w:cstheme="minorHAnsi"/>
          <w:color w:val="000000"/>
        </w:rPr>
        <w:t> </w:t>
      </w:r>
      <w:r w:rsidR="00C60191" w:rsidRPr="00B64A9E">
        <w:rPr>
          <w:rFonts w:asciiTheme="minorHAnsi" w:hAnsiTheme="minorHAnsi" w:cstheme="minorHAnsi"/>
          <w:color w:val="000000"/>
        </w:rPr>
        <w:t>‘Initial U.S. Views in Advance of WTDC-25’</w:t>
      </w:r>
      <w:r w:rsidR="00D7125B" w:rsidRPr="00B64A9E">
        <w:rPr>
          <w:rFonts w:asciiTheme="minorHAnsi" w:hAnsiTheme="minorHAnsi" w:cstheme="minorHAnsi"/>
          <w:color w:val="000000"/>
        </w:rPr>
        <w:t xml:space="preserve"> from </w:t>
      </w:r>
      <w:r w:rsidR="003C266E" w:rsidRPr="00B64A9E">
        <w:rPr>
          <w:rFonts w:asciiTheme="minorHAnsi" w:hAnsiTheme="minorHAnsi" w:cstheme="minorHAnsi"/>
          <w:color w:val="000000"/>
        </w:rPr>
        <w:t xml:space="preserve">the United States, and </w:t>
      </w:r>
    </w:p>
    <w:p w14:paraId="689710B3" w14:textId="03C4A381" w:rsidR="00C70A0D" w:rsidRPr="00B64A9E" w:rsidRDefault="007948C2" w:rsidP="00B64A9E">
      <w:pPr>
        <w:pStyle w:val="NormalWeb"/>
        <w:numPr>
          <w:ilvl w:val="0"/>
          <w:numId w:val="16"/>
        </w:numPr>
        <w:shd w:val="clear" w:color="auto" w:fill="FFFFFF"/>
        <w:spacing w:before="60" w:after="60"/>
        <w:ind w:left="714" w:hanging="357"/>
        <w:rPr>
          <w:rFonts w:asciiTheme="minorHAnsi" w:hAnsiTheme="minorHAnsi" w:cstheme="minorHAnsi"/>
        </w:rPr>
      </w:pPr>
      <w:hyperlink r:id="rId26" w:tooltip="Original URL: https://www.itu.int/md/D22-TDAG32-C-0056/en. Click or tap if you trust this link." w:history="1">
        <w:r w:rsidRPr="00B64A9E">
          <w:rPr>
            <w:rStyle w:val="Hyperlink"/>
            <w:rFonts w:asciiTheme="minorHAnsi" w:hAnsiTheme="minorHAnsi" w:cstheme="minorHAnsi"/>
          </w:rPr>
          <w:t>Document TDAG-25/48</w:t>
        </w:r>
      </w:hyperlink>
      <w:r w:rsidR="006141C5" w:rsidRPr="00B64A9E">
        <w:rPr>
          <w:rFonts w:asciiTheme="minorHAnsi" w:hAnsiTheme="minorHAnsi" w:cstheme="minorHAnsi"/>
          <w:color w:val="000000"/>
        </w:rPr>
        <w:t> </w:t>
      </w:r>
      <w:r w:rsidRPr="00B64A9E">
        <w:rPr>
          <w:rFonts w:asciiTheme="minorHAnsi" w:hAnsiTheme="minorHAnsi" w:cstheme="minorHAnsi"/>
          <w:color w:val="000000"/>
        </w:rPr>
        <w:t>‘</w:t>
      </w:r>
      <w:r w:rsidR="00077FF3" w:rsidRPr="00B64A9E">
        <w:rPr>
          <w:rFonts w:asciiTheme="minorHAnsi" w:hAnsiTheme="minorHAnsi" w:cstheme="minorHAnsi"/>
          <w:color w:val="000000"/>
        </w:rPr>
        <w:t>Reflections and Recommendations on the Active Participation of the ITU Telecommunication Development Sector (ITU-D) in Achieving the Digital Future</w:t>
      </w:r>
      <w:r w:rsidRPr="00B64A9E">
        <w:rPr>
          <w:rFonts w:asciiTheme="minorHAnsi" w:hAnsiTheme="minorHAnsi" w:cstheme="minorHAnsi"/>
          <w:color w:val="000000"/>
        </w:rPr>
        <w:t>’</w:t>
      </w:r>
      <w:r w:rsidR="00077FF3" w:rsidRPr="00B64A9E">
        <w:rPr>
          <w:rFonts w:asciiTheme="minorHAnsi" w:hAnsiTheme="minorHAnsi" w:cstheme="minorHAnsi"/>
          <w:color w:val="000000"/>
        </w:rPr>
        <w:t> </w:t>
      </w:r>
      <w:r w:rsidR="003C266E" w:rsidRPr="00B64A9E">
        <w:rPr>
          <w:rFonts w:asciiTheme="minorHAnsi" w:hAnsiTheme="minorHAnsi" w:cstheme="minorHAnsi"/>
          <w:color w:val="000000"/>
        </w:rPr>
        <w:t>from China.</w:t>
      </w:r>
    </w:p>
    <w:p w14:paraId="5B39DDE5" w14:textId="7CC4662D" w:rsidR="00C61034" w:rsidRPr="00B64A9E" w:rsidRDefault="00C61034" w:rsidP="00B64A9E">
      <w:pPr>
        <w:overflowPunct/>
        <w:autoSpaceDE/>
        <w:autoSpaceDN/>
        <w:adjustRightInd/>
        <w:spacing w:after="120"/>
        <w:textAlignment w:val="auto"/>
        <w:rPr>
          <w:rFonts w:cstheme="minorHAnsi"/>
        </w:rPr>
      </w:pPr>
      <w:r w:rsidRPr="00B64A9E">
        <w:rPr>
          <w:rFonts w:cstheme="minorHAnsi"/>
        </w:rPr>
        <w:t xml:space="preserve">Based on the discussion, the Chair prepared a third revised draft proposal </w:t>
      </w:r>
      <w:r w:rsidR="002A3763" w:rsidRPr="00B64A9E">
        <w:rPr>
          <w:rFonts w:cstheme="minorHAnsi"/>
        </w:rPr>
        <w:t xml:space="preserve">(Document </w:t>
      </w:r>
      <w:hyperlink r:id="rId27" w:history="1">
        <w:r w:rsidR="002A3763" w:rsidRPr="00B64A9E">
          <w:rPr>
            <w:rStyle w:val="Hyperlink"/>
            <w:rFonts w:cstheme="minorHAnsi"/>
          </w:rPr>
          <w:t>TDAG-WG-DEC/DT/1</w:t>
        </w:r>
      </w:hyperlink>
      <w:r w:rsidR="002A3763" w:rsidRPr="00B64A9E">
        <w:rPr>
          <w:rFonts w:cstheme="minorHAnsi"/>
        </w:rPr>
        <w:t>)</w:t>
      </w:r>
      <w:r w:rsidRPr="00B64A9E">
        <w:rPr>
          <w:rFonts w:cstheme="minorHAnsi"/>
        </w:rPr>
        <w:t>, which will be annexed to the TDAG-WG-DEC Chair’s final report to TDAG-25.</w:t>
      </w:r>
    </w:p>
    <w:p w14:paraId="3BDA54F9" w14:textId="0DB16B6A" w:rsidR="00704858" w:rsidRPr="00B64A9E" w:rsidRDefault="00704858" w:rsidP="00B64A9E">
      <w:pPr>
        <w:overflowPunct/>
        <w:autoSpaceDE/>
        <w:autoSpaceDN/>
        <w:adjustRightInd/>
        <w:spacing w:after="120"/>
        <w:textAlignment w:val="auto"/>
        <w:rPr>
          <w:rFonts w:cstheme="minorHAnsi"/>
        </w:rPr>
      </w:pPr>
      <w:r w:rsidRPr="00B64A9E">
        <w:rPr>
          <w:rFonts w:cstheme="minorHAnsi"/>
        </w:rPr>
        <w:t xml:space="preserve">There was a general agreement that </w:t>
      </w:r>
      <w:r w:rsidR="00DE6A15" w:rsidRPr="00B64A9E">
        <w:rPr>
          <w:rFonts w:cstheme="minorHAnsi"/>
        </w:rPr>
        <w:t xml:space="preserve">the language of the Baku Declaration </w:t>
      </w:r>
      <w:r w:rsidR="00783EE8" w:rsidRPr="00B64A9E">
        <w:rPr>
          <w:rFonts w:cstheme="minorHAnsi"/>
        </w:rPr>
        <w:t>would</w:t>
      </w:r>
      <w:r w:rsidR="00DE6A15" w:rsidRPr="00B64A9E">
        <w:rPr>
          <w:rFonts w:cstheme="minorHAnsi"/>
        </w:rPr>
        <w:t xml:space="preserve"> be aligned with the Baku Action Plan</w:t>
      </w:r>
      <w:r w:rsidR="00783EE8" w:rsidRPr="00B64A9E">
        <w:rPr>
          <w:rFonts w:cstheme="minorHAnsi"/>
        </w:rPr>
        <w:t>,</w:t>
      </w:r>
      <w:r w:rsidR="00DE6A15" w:rsidRPr="00B64A9E">
        <w:rPr>
          <w:rFonts w:cstheme="minorHAnsi"/>
        </w:rPr>
        <w:t xml:space="preserve"> once the ITU-D Priorities have been defined.</w:t>
      </w:r>
    </w:p>
    <w:p w14:paraId="17FB4481" w14:textId="5EBE8E5C" w:rsidR="00D93792" w:rsidRPr="00B64A9E" w:rsidRDefault="00A61D0E" w:rsidP="00B64A9E">
      <w:pPr>
        <w:pStyle w:val="ListParagraph"/>
        <w:numPr>
          <w:ilvl w:val="0"/>
          <w:numId w:val="8"/>
        </w:numPr>
        <w:tabs>
          <w:tab w:val="left" w:pos="828"/>
          <w:tab w:val="left" w:pos="6532"/>
        </w:tabs>
        <w:spacing w:after="120"/>
        <w:ind w:left="357" w:hanging="357"/>
        <w:contextualSpacing w:val="0"/>
        <w:rPr>
          <w:rFonts w:cstheme="minorHAnsi"/>
          <w:b/>
          <w:bCs/>
        </w:rPr>
      </w:pPr>
      <w:r w:rsidRPr="00B64A9E">
        <w:rPr>
          <w:rFonts w:cstheme="minorHAnsi"/>
          <w:b/>
          <w:bCs/>
        </w:rPr>
        <w:t>Closing and next steps</w:t>
      </w:r>
    </w:p>
    <w:p w14:paraId="1EB117FA" w14:textId="32FF4F92" w:rsidR="008C6D90" w:rsidRPr="00B64A9E" w:rsidRDefault="007C0E7B" w:rsidP="00B64A9E">
      <w:pPr>
        <w:tabs>
          <w:tab w:val="clear" w:pos="794"/>
          <w:tab w:val="clear" w:pos="1191"/>
          <w:tab w:val="clear" w:pos="1588"/>
          <w:tab w:val="clear" w:pos="1985"/>
          <w:tab w:val="left" w:pos="828"/>
          <w:tab w:val="left" w:pos="6532"/>
        </w:tabs>
        <w:spacing w:after="120"/>
        <w:rPr>
          <w:rFonts w:cstheme="minorHAnsi"/>
        </w:rPr>
      </w:pPr>
      <w:r w:rsidRPr="00B64A9E">
        <w:rPr>
          <w:rFonts w:cstheme="minorHAnsi"/>
        </w:rPr>
        <w:t>The Chair of TDAG-WG-DEC thanked participants for their active engagement, valuable contributions, and flexibility throughout the process.</w:t>
      </w:r>
    </w:p>
    <w:p w14:paraId="2ECD718B" w14:textId="0DCB1092" w:rsidR="004605F9" w:rsidRPr="00B64A9E" w:rsidRDefault="004605F9" w:rsidP="00B64A9E">
      <w:pPr>
        <w:overflowPunct/>
        <w:autoSpaceDE/>
        <w:autoSpaceDN/>
        <w:adjustRightInd/>
        <w:spacing w:after="120"/>
        <w:textAlignment w:val="auto"/>
        <w:rPr>
          <w:rFonts w:cstheme="minorHAnsi"/>
          <w:szCs w:val="24"/>
        </w:rPr>
      </w:pPr>
      <w:r w:rsidRPr="00B64A9E">
        <w:rPr>
          <w:rFonts w:cstheme="minorHAnsi"/>
          <w:szCs w:val="24"/>
        </w:rPr>
        <w:t xml:space="preserve">The final amended draft of the </w:t>
      </w:r>
      <w:r w:rsidR="00674525" w:rsidRPr="00B64A9E">
        <w:rPr>
          <w:rFonts w:cstheme="minorHAnsi"/>
          <w:szCs w:val="24"/>
        </w:rPr>
        <w:t xml:space="preserve">Baku </w:t>
      </w:r>
      <w:r w:rsidRPr="00B64A9E">
        <w:rPr>
          <w:rFonts w:cstheme="minorHAnsi"/>
          <w:szCs w:val="24"/>
        </w:rPr>
        <w:t xml:space="preserve">Declaration, as agreed by TDAG-WG-DEC and contained in </w:t>
      </w:r>
      <w:r w:rsidR="00D160A8" w:rsidRPr="00B64A9E">
        <w:rPr>
          <w:rFonts w:cstheme="minorHAnsi"/>
          <w:szCs w:val="24"/>
        </w:rPr>
        <w:t>D</w:t>
      </w:r>
      <w:r w:rsidRPr="00B64A9E">
        <w:rPr>
          <w:rFonts w:cstheme="minorHAnsi"/>
          <w:szCs w:val="24"/>
        </w:rPr>
        <w:t>ocument</w:t>
      </w:r>
      <w:r w:rsidR="00D160A8" w:rsidRPr="00B64A9E">
        <w:rPr>
          <w:rFonts w:cstheme="minorHAnsi"/>
          <w:szCs w:val="24"/>
        </w:rPr>
        <w:t xml:space="preserve"> </w:t>
      </w:r>
      <w:r w:rsidR="002A3763" w:rsidRPr="00B64A9E">
        <w:rPr>
          <w:rFonts w:cstheme="minorHAnsi"/>
        </w:rPr>
        <w:t xml:space="preserve">(Document </w:t>
      </w:r>
      <w:hyperlink r:id="rId28" w:history="1">
        <w:r w:rsidR="002A3763" w:rsidRPr="00B64A9E">
          <w:rPr>
            <w:rStyle w:val="Hyperlink"/>
            <w:rFonts w:cstheme="minorHAnsi"/>
          </w:rPr>
          <w:t>TDAG-WG-DEC/DT/1</w:t>
        </w:r>
      </w:hyperlink>
      <w:r w:rsidR="002A3763" w:rsidRPr="00B64A9E">
        <w:rPr>
          <w:rFonts w:cstheme="minorHAnsi"/>
        </w:rPr>
        <w:t>)</w:t>
      </w:r>
      <w:r w:rsidRPr="00B64A9E">
        <w:rPr>
          <w:rFonts w:cstheme="minorHAnsi"/>
          <w:szCs w:val="24"/>
        </w:rPr>
        <w:t>, will be submitted to TDAG-25 for further consideration as part of the final report of the Chair</w:t>
      </w:r>
      <w:r w:rsidR="00701430" w:rsidRPr="00B64A9E">
        <w:rPr>
          <w:rFonts w:cstheme="minorHAnsi"/>
          <w:szCs w:val="24"/>
        </w:rPr>
        <w:t xml:space="preserve"> (Document </w:t>
      </w:r>
      <w:hyperlink r:id="rId29" w:history="1">
        <w:r w:rsidR="00732065" w:rsidRPr="00B64A9E">
          <w:rPr>
            <w:rStyle w:val="Hyperlink"/>
            <w:rFonts w:cstheme="minorHAnsi"/>
            <w:szCs w:val="24"/>
          </w:rPr>
          <w:t>TDAG</w:t>
        </w:r>
        <w:r w:rsidR="0090508A" w:rsidRPr="00B64A9E">
          <w:rPr>
            <w:rStyle w:val="Hyperlink"/>
            <w:rFonts w:cstheme="minorHAnsi"/>
            <w:szCs w:val="24"/>
          </w:rPr>
          <w:t>-25</w:t>
        </w:r>
        <w:r w:rsidR="00732065" w:rsidRPr="00B64A9E">
          <w:rPr>
            <w:rStyle w:val="Hyperlink"/>
            <w:rFonts w:cstheme="minorHAnsi"/>
            <w:szCs w:val="24"/>
          </w:rPr>
          <w:t>/18</w:t>
        </w:r>
      </w:hyperlink>
      <w:r w:rsidR="00732065" w:rsidRPr="00B64A9E">
        <w:rPr>
          <w:rFonts w:cstheme="minorHAnsi"/>
          <w:szCs w:val="24"/>
        </w:rPr>
        <w:t>)</w:t>
      </w:r>
      <w:r w:rsidRPr="00B64A9E">
        <w:rPr>
          <w:rFonts w:cstheme="minorHAnsi"/>
          <w:szCs w:val="24"/>
        </w:rPr>
        <w:t>. The report will also include an indication of positions on specific issues where the group was unable to reach consensus</w:t>
      </w:r>
      <w:r w:rsidR="00325346" w:rsidRPr="00B64A9E">
        <w:rPr>
          <w:rFonts w:cstheme="minorHAnsi"/>
          <w:szCs w:val="24"/>
        </w:rPr>
        <w:t>,</w:t>
      </w:r>
      <w:r w:rsidR="0090508A" w:rsidRPr="00B64A9E">
        <w:rPr>
          <w:rFonts w:cstheme="minorHAnsi"/>
          <w:szCs w:val="24"/>
        </w:rPr>
        <w:t xml:space="preserve"> as outlined above in section 4</w:t>
      </w:r>
      <w:r w:rsidRPr="00B64A9E">
        <w:rPr>
          <w:rFonts w:cstheme="minorHAnsi"/>
          <w:szCs w:val="24"/>
        </w:rPr>
        <w:t xml:space="preserve">, for the attention of </w:t>
      </w:r>
      <w:r w:rsidR="003D2382" w:rsidRPr="00B64A9E">
        <w:rPr>
          <w:rFonts w:cstheme="minorHAnsi"/>
          <w:szCs w:val="24"/>
        </w:rPr>
        <w:t xml:space="preserve">Member State and </w:t>
      </w:r>
      <w:r w:rsidR="00C322C1" w:rsidRPr="00B64A9E">
        <w:rPr>
          <w:rFonts w:cstheme="minorHAnsi"/>
          <w:szCs w:val="24"/>
        </w:rPr>
        <w:t>RTO</w:t>
      </w:r>
      <w:r w:rsidRPr="00B64A9E">
        <w:rPr>
          <w:rFonts w:cstheme="minorHAnsi"/>
          <w:szCs w:val="24"/>
        </w:rPr>
        <w:t>s in their preparations for WTDC-25.</w:t>
      </w:r>
    </w:p>
    <w:p w14:paraId="1A89A981" w14:textId="4B7A0480" w:rsidR="004605F9" w:rsidRPr="00B64A9E" w:rsidRDefault="004605F9" w:rsidP="00B64A9E">
      <w:pPr>
        <w:overflowPunct/>
        <w:autoSpaceDE/>
        <w:autoSpaceDN/>
        <w:adjustRightInd/>
        <w:spacing w:after="120"/>
        <w:textAlignment w:val="auto"/>
        <w:rPr>
          <w:rFonts w:cstheme="minorHAnsi"/>
          <w:szCs w:val="24"/>
        </w:rPr>
      </w:pPr>
      <w:r w:rsidRPr="00B64A9E">
        <w:rPr>
          <w:rFonts w:cstheme="minorHAnsi"/>
          <w:szCs w:val="24"/>
        </w:rPr>
        <w:t xml:space="preserve">The Chair will recommend that TDAG-25 submit the preliminary draft Baku Declaration developed by the group, as an input to WTDC-25, where </w:t>
      </w:r>
      <w:r w:rsidR="00D87C63" w:rsidRPr="00B64A9E">
        <w:rPr>
          <w:rFonts w:cstheme="minorHAnsi"/>
          <w:szCs w:val="24"/>
        </w:rPr>
        <w:t xml:space="preserve">the document </w:t>
      </w:r>
      <w:r w:rsidRPr="00B64A9E">
        <w:rPr>
          <w:rFonts w:cstheme="minorHAnsi"/>
          <w:szCs w:val="24"/>
        </w:rPr>
        <w:t>will be finalized and the final Baku Declaration adopted.</w:t>
      </w:r>
    </w:p>
    <w:p w14:paraId="1FF1516C" w14:textId="44310C13" w:rsidR="0069537D" w:rsidRPr="0069537D" w:rsidRDefault="001B74F7" w:rsidP="001B74F7">
      <w:pPr>
        <w:tabs>
          <w:tab w:val="clear" w:pos="794"/>
          <w:tab w:val="clear" w:pos="1191"/>
          <w:tab w:val="clear" w:pos="1588"/>
          <w:tab w:val="clear" w:pos="1985"/>
        </w:tabs>
        <w:spacing w:after="120"/>
        <w:jc w:val="center"/>
      </w:pPr>
      <w:r>
        <w:t>______________</w:t>
      </w:r>
    </w:p>
    <w:sectPr w:rsidR="0069537D" w:rsidRPr="0069537D" w:rsidSect="008C7A35">
      <w:headerReference w:type="default" r:id="rId30"/>
      <w:footerReference w:type="first" r:id="rId31"/>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D5511" w14:textId="77777777" w:rsidR="009E5449" w:rsidRDefault="009E5449">
      <w:r>
        <w:separator/>
      </w:r>
    </w:p>
  </w:endnote>
  <w:endnote w:type="continuationSeparator" w:id="0">
    <w:p w14:paraId="248EEEAF" w14:textId="77777777" w:rsidR="009E5449" w:rsidRDefault="009E5449">
      <w:r>
        <w:continuationSeparator/>
      </w:r>
    </w:p>
  </w:endnote>
  <w:endnote w:type="continuationNotice" w:id="1">
    <w:p w14:paraId="0C9A4C87" w14:textId="77777777" w:rsidR="009E5449" w:rsidRDefault="009E544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charset w:val="00"/>
    <w:family w:val="roman"/>
    <w:pitch w:val="default"/>
    <w:sig w:usb0="00000000" w:usb1="00000000" w:usb2="00000000" w:usb3="00000000" w:csb0="00000001" w:csb1="00000000"/>
  </w:font>
  <w:font w:name="Times New Roman Bold">
    <w:altName w:val="Times New Roman"/>
    <w:panose1 w:val="02020803070505020304"/>
    <w:charset w:val="00"/>
    <w:family w:val="roman"/>
    <w:pitch w:val="default"/>
    <w:sig w:usb0="00000000"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Pr>
    <w:tblGrid>
      <w:gridCol w:w="1288"/>
      <w:gridCol w:w="4382"/>
      <w:gridCol w:w="3969"/>
    </w:tblGrid>
    <w:tr w:rsidR="0059420B" w:rsidRPr="001A13EC" w14:paraId="695D1810" w14:textId="77777777" w:rsidTr="00236638">
      <w:tc>
        <w:tcPr>
          <w:tcW w:w="1288" w:type="dxa"/>
          <w:tcBorders>
            <w:top w:val="single" w:sz="4" w:space="0" w:color="000000"/>
          </w:tcBorders>
          <w:shd w:val="clear" w:color="auto" w:fill="auto"/>
        </w:tcPr>
        <w:p w14:paraId="746E5A61" w14:textId="77777777" w:rsidR="0059420B" w:rsidRPr="001A13EC" w:rsidRDefault="0059420B" w:rsidP="0059420B">
          <w:pPr>
            <w:pStyle w:val="FirstFooter"/>
            <w:tabs>
              <w:tab w:val="left" w:pos="1559"/>
              <w:tab w:val="left" w:pos="3828"/>
            </w:tabs>
            <w:rPr>
              <w:sz w:val="18"/>
              <w:szCs w:val="18"/>
            </w:rPr>
          </w:pPr>
          <w:r w:rsidRPr="001A13EC">
            <w:rPr>
              <w:sz w:val="18"/>
              <w:szCs w:val="18"/>
              <w:lang w:val="en-US"/>
            </w:rPr>
            <w:t>Contact:</w:t>
          </w:r>
        </w:p>
      </w:tc>
      <w:tc>
        <w:tcPr>
          <w:tcW w:w="4382" w:type="dxa"/>
          <w:tcBorders>
            <w:top w:val="single" w:sz="4" w:space="0" w:color="000000"/>
          </w:tcBorders>
          <w:shd w:val="clear" w:color="auto" w:fill="auto"/>
        </w:tcPr>
        <w:p w14:paraId="488E41E2" w14:textId="65E96EB1" w:rsidR="0059420B" w:rsidRPr="001A13EC" w:rsidRDefault="006844D6" w:rsidP="006844D6">
          <w:pPr>
            <w:pStyle w:val="FirstFooter"/>
            <w:tabs>
              <w:tab w:val="left" w:pos="1559"/>
              <w:tab w:val="left" w:pos="3828"/>
            </w:tabs>
            <w:rPr>
              <w:sz w:val="18"/>
              <w:szCs w:val="18"/>
              <w:lang w:val="en-GB"/>
            </w:rPr>
          </w:pPr>
          <w:r w:rsidRPr="001A13EC">
            <w:rPr>
              <w:sz w:val="18"/>
              <w:szCs w:val="18"/>
              <w:lang w:val="en-GB"/>
            </w:rPr>
            <w:t>Abdulkarim Oloyede, Nigeria</w:t>
          </w:r>
          <w:r w:rsidR="00E26635" w:rsidRPr="001A13EC">
            <w:rPr>
              <w:sz w:val="18"/>
              <w:szCs w:val="18"/>
              <w:lang w:val="en-GB"/>
            </w:rPr>
            <w:t xml:space="preserve"> </w:t>
          </w:r>
          <w:r w:rsidR="00603C57" w:rsidRPr="001A13EC">
            <w:rPr>
              <w:sz w:val="18"/>
              <w:szCs w:val="18"/>
              <w:lang w:val="en-GB"/>
            </w:rPr>
            <w:t>Chair, TDAG-WG-DEC</w:t>
          </w:r>
        </w:p>
      </w:tc>
      <w:tc>
        <w:tcPr>
          <w:tcW w:w="3969" w:type="dxa"/>
          <w:tcBorders>
            <w:top w:val="single" w:sz="4" w:space="0" w:color="000000"/>
          </w:tcBorders>
        </w:tcPr>
        <w:p w14:paraId="148264AE" w14:textId="05EF7E66" w:rsidR="0059420B" w:rsidRPr="001A13EC" w:rsidRDefault="00603C57" w:rsidP="0059420B">
          <w:pPr>
            <w:pStyle w:val="FirstFooter"/>
            <w:tabs>
              <w:tab w:val="left" w:pos="2302"/>
            </w:tabs>
            <w:rPr>
              <w:sz w:val="18"/>
              <w:szCs w:val="18"/>
              <w:lang w:val="en-GB"/>
            </w:rPr>
          </w:pPr>
          <w:hyperlink r:id="rId1" w:history="1">
            <w:r w:rsidRPr="001A13EC">
              <w:rPr>
                <w:rStyle w:val="Hyperlink"/>
                <w:sz w:val="18"/>
                <w:szCs w:val="18"/>
                <w:lang w:val="en-GB"/>
              </w:rPr>
              <w:t>oloyede.aa@unilorin.edu.ng</w:t>
            </w:r>
          </w:hyperlink>
        </w:p>
      </w:tc>
      <w:bookmarkStart w:id="1" w:name="OrgName"/>
      <w:bookmarkEnd w:id="1"/>
    </w:tr>
    <w:tr w:rsidR="0059420B" w:rsidRPr="001A13EC" w14:paraId="61167678" w14:textId="77777777" w:rsidTr="00236638">
      <w:tc>
        <w:tcPr>
          <w:tcW w:w="1288" w:type="dxa"/>
          <w:shd w:val="clear" w:color="auto" w:fill="auto"/>
        </w:tcPr>
        <w:p w14:paraId="33710823" w14:textId="77777777" w:rsidR="0059420B" w:rsidRPr="001A13EC" w:rsidRDefault="0059420B" w:rsidP="0059420B">
          <w:pPr>
            <w:pStyle w:val="FirstFooter"/>
            <w:tabs>
              <w:tab w:val="left" w:pos="1559"/>
              <w:tab w:val="left" w:pos="3828"/>
            </w:tabs>
            <w:rPr>
              <w:sz w:val="18"/>
              <w:szCs w:val="18"/>
              <w:lang w:val="en-GB"/>
            </w:rPr>
          </w:pPr>
        </w:p>
      </w:tc>
      <w:tc>
        <w:tcPr>
          <w:tcW w:w="4382" w:type="dxa"/>
          <w:shd w:val="clear" w:color="auto" w:fill="auto"/>
        </w:tcPr>
        <w:p w14:paraId="1251F6E4" w14:textId="06F1BA03" w:rsidR="0059420B" w:rsidRPr="001A13EC" w:rsidRDefault="005D46B6" w:rsidP="0059420B">
          <w:pPr>
            <w:pStyle w:val="FirstFooter"/>
            <w:tabs>
              <w:tab w:val="left" w:pos="2302"/>
            </w:tabs>
            <w:rPr>
              <w:sz w:val="18"/>
              <w:szCs w:val="18"/>
              <w:lang w:val="en-US"/>
            </w:rPr>
          </w:pPr>
          <w:r w:rsidRPr="001A13EC">
            <w:rPr>
              <w:sz w:val="18"/>
              <w:szCs w:val="18"/>
              <w:lang w:val="en-US"/>
            </w:rPr>
            <w:t>TDAG</w:t>
          </w:r>
          <w:r w:rsidR="00603C57" w:rsidRPr="001A13EC">
            <w:rPr>
              <w:sz w:val="18"/>
              <w:szCs w:val="18"/>
              <w:lang w:val="en-US"/>
            </w:rPr>
            <w:t xml:space="preserve"> Secretariat</w:t>
          </w:r>
        </w:p>
      </w:tc>
      <w:tc>
        <w:tcPr>
          <w:tcW w:w="3969" w:type="dxa"/>
        </w:tcPr>
        <w:p w14:paraId="6D7949F0" w14:textId="06089CA0" w:rsidR="0059420B" w:rsidRPr="001A13EC" w:rsidRDefault="005D46B6" w:rsidP="0059420B">
          <w:pPr>
            <w:pStyle w:val="FirstFooter"/>
            <w:tabs>
              <w:tab w:val="left" w:pos="2302"/>
            </w:tabs>
            <w:rPr>
              <w:sz w:val="18"/>
              <w:szCs w:val="18"/>
              <w:lang w:val="en-US"/>
            </w:rPr>
          </w:pPr>
          <w:hyperlink r:id="rId2" w:history="1">
            <w:r w:rsidRPr="001A13EC">
              <w:rPr>
                <w:rStyle w:val="Hyperlink"/>
                <w:sz w:val="18"/>
                <w:szCs w:val="18"/>
                <w:lang w:val="en-US"/>
              </w:rPr>
              <w:t>tdag-secretariat@itu.int</w:t>
            </w:r>
          </w:hyperlink>
          <w:r w:rsidRPr="001A13EC">
            <w:rPr>
              <w:sz w:val="18"/>
              <w:szCs w:val="18"/>
              <w:lang w:val="en-US"/>
            </w:rPr>
            <w:t xml:space="preserve"> </w:t>
          </w:r>
        </w:p>
      </w:tc>
      <w:bookmarkStart w:id="2" w:name="PhoneNo"/>
      <w:bookmarkEnd w:id="2"/>
    </w:tr>
    <w:tr w:rsidR="0059420B" w:rsidRPr="001A13EC" w14:paraId="0299A231" w14:textId="77777777" w:rsidTr="00236638">
      <w:tc>
        <w:tcPr>
          <w:tcW w:w="1288" w:type="dxa"/>
          <w:shd w:val="clear" w:color="auto" w:fill="auto"/>
        </w:tcPr>
        <w:p w14:paraId="35CBC438" w14:textId="77777777" w:rsidR="0059420B" w:rsidRPr="001A13EC" w:rsidRDefault="0059420B" w:rsidP="0059420B">
          <w:pPr>
            <w:pStyle w:val="FirstFooter"/>
            <w:tabs>
              <w:tab w:val="left" w:pos="1559"/>
              <w:tab w:val="left" w:pos="3828"/>
            </w:tabs>
            <w:rPr>
              <w:sz w:val="18"/>
              <w:szCs w:val="18"/>
              <w:lang w:val="en-US"/>
            </w:rPr>
          </w:pPr>
        </w:p>
      </w:tc>
      <w:tc>
        <w:tcPr>
          <w:tcW w:w="4382" w:type="dxa"/>
          <w:shd w:val="clear" w:color="auto" w:fill="auto"/>
        </w:tcPr>
        <w:p w14:paraId="65335E06" w14:textId="3E408C81" w:rsidR="0059420B" w:rsidRPr="001A13EC" w:rsidRDefault="005D46B6" w:rsidP="0059420B">
          <w:pPr>
            <w:pStyle w:val="FirstFooter"/>
            <w:tabs>
              <w:tab w:val="left" w:pos="2302"/>
            </w:tabs>
            <w:rPr>
              <w:sz w:val="18"/>
              <w:szCs w:val="18"/>
              <w:lang w:val="en-US"/>
            </w:rPr>
          </w:pPr>
          <w:r w:rsidRPr="001A13EC">
            <w:rPr>
              <w:sz w:val="18"/>
              <w:szCs w:val="18"/>
              <w:lang w:val="en-US"/>
            </w:rPr>
            <w:t>TDAG-WG-DEC mailing list</w:t>
          </w:r>
        </w:p>
      </w:tc>
      <w:tc>
        <w:tcPr>
          <w:tcW w:w="3969" w:type="dxa"/>
        </w:tcPr>
        <w:p w14:paraId="7EAB0988" w14:textId="10C69220" w:rsidR="0059420B" w:rsidRPr="001A13EC" w:rsidRDefault="009C7C03" w:rsidP="0059420B">
          <w:pPr>
            <w:pStyle w:val="FirstFooter"/>
            <w:tabs>
              <w:tab w:val="left" w:pos="2302"/>
            </w:tabs>
            <w:rPr>
              <w:sz w:val="18"/>
              <w:szCs w:val="18"/>
              <w:lang w:val="en-US"/>
            </w:rPr>
          </w:pPr>
          <w:hyperlink r:id="rId3" w:history="1">
            <w:r w:rsidRPr="001A13EC">
              <w:rPr>
                <w:rStyle w:val="Hyperlink"/>
                <w:sz w:val="18"/>
                <w:szCs w:val="18"/>
                <w:lang w:val="en-GB"/>
              </w:rPr>
              <w:t>TDAG-WG-DEC@lists.itu.int</w:t>
            </w:r>
          </w:hyperlink>
        </w:p>
      </w:tc>
      <w:bookmarkStart w:id="3" w:name="Email"/>
      <w:bookmarkEnd w:id="3"/>
    </w:tr>
  </w:tbl>
  <w:p w14:paraId="40A321D0" w14:textId="1C276101" w:rsidR="00721657" w:rsidRPr="001A13EC" w:rsidRDefault="00721657" w:rsidP="00030397">
    <w:pPr>
      <w:pStyle w:val="Footer"/>
      <w:jc w:val="center"/>
      <w:rPr>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EFC90" w14:textId="77777777" w:rsidR="009E5449" w:rsidRDefault="009E5449">
      <w:r>
        <w:t>____________________</w:t>
      </w:r>
    </w:p>
  </w:footnote>
  <w:footnote w:type="continuationSeparator" w:id="0">
    <w:p w14:paraId="54A022B1" w14:textId="77777777" w:rsidR="009E5449" w:rsidRDefault="009E5449">
      <w:r>
        <w:continuationSeparator/>
      </w:r>
    </w:p>
  </w:footnote>
  <w:footnote w:type="continuationNotice" w:id="1">
    <w:p w14:paraId="5D5FFB9D" w14:textId="77777777" w:rsidR="009E5449" w:rsidRDefault="009E544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FE77" w14:textId="0763EEE2" w:rsidR="00721657" w:rsidRPr="00900B22" w:rsidRDefault="00A525CC" w:rsidP="00307769">
    <w:pPr>
      <w:tabs>
        <w:tab w:val="clear" w:pos="794"/>
        <w:tab w:val="clear" w:pos="1191"/>
        <w:tab w:val="clear" w:pos="1588"/>
        <w:tab w:val="clear" w:pos="1985"/>
        <w:tab w:val="center" w:pos="4820"/>
        <w:tab w:val="right" w:pos="9639"/>
      </w:tabs>
      <w:ind w:right="1"/>
      <w:rPr>
        <w:rStyle w:val="PageNumber"/>
        <w:lang w:val="pt-PT"/>
      </w:rPr>
    </w:pPr>
    <w:r w:rsidRPr="00972BCD">
      <w:rPr>
        <w:sz w:val="22"/>
        <w:szCs w:val="22"/>
      </w:rPr>
      <w:tab/>
    </w:r>
    <w:r w:rsidR="006022D1" w:rsidRPr="006022D1">
      <w:rPr>
        <w:sz w:val="22"/>
        <w:szCs w:val="22"/>
        <w:lang w:val="de-CH"/>
      </w:rPr>
      <w:t>TDAG-WG-</w:t>
    </w:r>
    <w:r w:rsidR="00CF3288">
      <w:rPr>
        <w:sz w:val="22"/>
        <w:szCs w:val="22"/>
        <w:lang w:val="de-CH"/>
      </w:rPr>
      <w:t>DEC</w:t>
    </w:r>
    <w:r w:rsidRPr="006D4EA0">
      <w:rPr>
        <w:sz w:val="22"/>
        <w:szCs w:val="22"/>
        <w:lang w:val="de-CH"/>
      </w:rPr>
      <w:t>/</w:t>
    </w:r>
    <w:r w:rsidR="008B6DF4">
      <w:rPr>
        <w:sz w:val="22"/>
        <w:szCs w:val="22"/>
        <w:lang w:val="de-CH"/>
      </w:rPr>
      <w:t>2</w:t>
    </w:r>
    <w:r w:rsidR="00544FC8">
      <w:rPr>
        <w:sz w:val="22"/>
        <w:szCs w:val="22"/>
        <w:lang w:val="de-CH"/>
      </w:rPr>
      <w:t>3</w:t>
    </w:r>
    <w:r w:rsidRPr="006D4EA0">
      <w:rPr>
        <w:sz w:val="22"/>
        <w:szCs w:val="22"/>
        <w:lang w:val="de-CH"/>
      </w:rPr>
      <w:t>-E</w:t>
    </w:r>
    <w:r w:rsidRPr="006D4EA0">
      <w:rPr>
        <w:sz w:val="22"/>
        <w:szCs w:val="22"/>
        <w:lang w:val="de-CH"/>
      </w:rPr>
      <w:tab/>
      <w:t xml:space="preserve">Page </w:t>
    </w:r>
    <w:r w:rsidRPr="006D4EA0">
      <w:rPr>
        <w:sz w:val="22"/>
        <w:szCs w:val="22"/>
      </w:rPr>
      <w:fldChar w:fldCharType="begin"/>
    </w:r>
    <w:r w:rsidRPr="006D4EA0">
      <w:rPr>
        <w:sz w:val="22"/>
        <w:szCs w:val="22"/>
        <w:lang w:val="de-CH"/>
      </w:rPr>
      <w:instrText xml:space="preserve"> PAGE </w:instrText>
    </w:r>
    <w:r w:rsidRPr="006D4EA0">
      <w:rPr>
        <w:sz w:val="22"/>
        <w:szCs w:val="22"/>
      </w:rPr>
      <w:fldChar w:fldCharType="separate"/>
    </w:r>
    <w:r w:rsidR="004D7DAB" w:rsidRPr="006D4EA0">
      <w:rPr>
        <w:noProof/>
        <w:sz w:val="22"/>
        <w:szCs w:val="22"/>
        <w:lang w:val="de-CH"/>
      </w:rPr>
      <w:t>2</w:t>
    </w:r>
    <w:r w:rsidRPr="006D4EA0">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C07"/>
    <w:multiLevelType w:val="hybridMultilevel"/>
    <w:tmpl w:val="871A8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633D83"/>
    <w:multiLevelType w:val="hybridMultilevel"/>
    <w:tmpl w:val="4E406842"/>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EF2F68"/>
    <w:multiLevelType w:val="hybridMultilevel"/>
    <w:tmpl w:val="C0F63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E63602"/>
    <w:multiLevelType w:val="hybridMultilevel"/>
    <w:tmpl w:val="4004502E"/>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8963D6B"/>
    <w:multiLevelType w:val="hybridMultilevel"/>
    <w:tmpl w:val="C704655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91834AB"/>
    <w:multiLevelType w:val="multilevel"/>
    <w:tmpl w:val="0809001F"/>
    <w:lvl w:ilvl="0">
      <w:start w:val="1"/>
      <w:numFmt w:val="decimal"/>
      <w:lvlText w:val="%1."/>
      <w:lvlJc w:val="left"/>
      <w:pPr>
        <w:ind w:left="54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BE342D"/>
    <w:multiLevelType w:val="hybridMultilevel"/>
    <w:tmpl w:val="846E0B40"/>
    <w:lvl w:ilvl="0" w:tplc="F39678D0">
      <w:start w:val="1"/>
      <w:numFmt w:val="decimal"/>
      <w:lvlText w:val="%1."/>
      <w:lvlJc w:val="left"/>
      <w:pPr>
        <w:ind w:left="1150" w:hanging="790"/>
      </w:pPr>
      <w:rPr>
        <w:rFonts w:hint="default"/>
      </w:rPr>
    </w:lvl>
    <w:lvl w:ilvl="1" w:tplc="FA727C3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8E655C"/>
    <w:multiLevelType w:val="hybridMultilevel"/>
    <w:tmpl w:val="6F90872C"/>
    <w:lvl w:ilvl="0" w:tplc="93E6492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BF3B90"/>
    <w:multiLevelType w:val="hybridMultilevel"/>
    <w:tmpl w:val="0BBEEF9C"/>
    <w:lvl w:ilvl="0" w:tplc="BF886744">
      <w:start w:val="4"/>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9" w15:restartNumberingAfterBreak="0">
    <w:nsid w:val="4BC625E9"/>
    <w:multiLevelType w:val="hybridMultilevel"/>
    <w:tmpl w:val="1A72D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1" w15:restartNumberingAfterBreak="0">
    <w:nsid w:val="65C91FF7"/>
    <w:multiLevelType w:val="hybridMultilevel"/>
    <w:tmpl w:val="D9AE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FE690A"/>
    <w:multiLevelType w:val="hybridMultilevel"/>
    <w:tmpl w:val="7D9AECA4"/>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EC01532"/>
    <w:multiLevelType w:val="hybridMultilevel"/>
    <w:tmpl w:val="9D36A344"/>
    <w:lvl w:ilvl="0" w:tplc="93E649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8A1222"/>
    <w:multiLevelType w:val="hybridMultilevel"/>
    <w:tmpl w:val="CC28D1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70B2430"/>
    <w:multiLevelType w:val="hybridMultilevel"/>
    <w:tmpl w:val="F2680FE4"/>
    <w:lvl w:ilvl="0" w:tplc="93E649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3808767">
    <w:abstractNumId w:val="10"/>
  </w:num>
  <w:num w:numId="2" w16cid:durableId="2125734600">
    <w:abstractNumId w:val="0"/>
  </w:num>
  <w:num w:numId="3" w16cid:durableId="1142650624">
    <w:abstractNumId w:val="6"/>
  </w:num>
  <w:num w:numId="4" w16cid:durableId="2023703385">
    <w:abstractNumId w:val="2"/>
  </w:num>
  <w:num w:numId="5" w16cid:durableId="628559819">
    <w:abstractNumId w:val="3"/>
  </w:num>
  <w:num w:numId="6" w16cid:durableId="2119979882">
    <w:abstractNumId w:val="8"/>
  </w:num>
  <w:num w:numId="7" w16cid:durableId="843932597">
    <w:abstractNumId w:val="11"/>
  </w:num>
  <w:num w:numId="8" w16cid:durableId="1237402278">
    <w:abstractNumId w:val="5"/>
  </w:num>
  <w:num w:numId="9" w16cid:durableId="47847976">
    <w:abstractNumId w:val="12"/>
  </w:num>
  <w:num w:numId="10" w16cid:durableId="1047991686">
    <w:abstractNumId w:val="13"/>
  </w:num>
  <w:num w:numId="11" w16cid:durableId="2144079420">
    <w:abstractNumId w:val="7"/>
  </w:num>
  <w:num w:numId="12" w16cid:durableId="930506658">
    <w:abstractNumId w:val="15"/>
  </w:num>
  <w:num w:numId="13" w16cid:durableId="1057168391">
    <w:abstractNumId w:val="14"/>
  </w:num>
  <w:num w:numId="14" w16cid:durableId="1695186723">
    <w:abstractNumId w:val="4"/>
  </w:num>
  <w:num w:numId="15" w16cid:durableId="1716999942">
    <w:abstractNumId w:val="9"/>
  </w:num>
  <w:num w:numId="16" w16cid:durableId="62223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43"/>
    <w:rsid w:val="00002716"/>
    <w:rsid w:val="0000331E"/>
    <w:rsid w:val="00003C43"/>
    <w:rsid w:val="00005791"/>
    <w:rsid w:val="00010827"/>
    <w:rsid w:val="00015089"/>
    <w:rsid w:val="00016A1D"/>
    <w:rsid w:val="0002043C"/>
    <w:rsid w:val="00021122"/>
    <w:rsid w:val="00021196"/>
    <w:rsid w:val="0002520B"/>
    <w:rsid w:val="00030397"/>
    <w:rsid w:val="00031CD7"/>
    <w:rsid w:val="00037A9E"/>
    <w:rsid w:val="00037F91"/>
    <w:rsid w:val="000427C2"/>
    <w:rsid w:val="00042DA9"/>
    <w:rsid w:val="00042E23"/>
    <w:rsid w:val="00044970"/>
    <w:rsid w:val="0004521F"/>
    <w:rsid w:val="000513BC"/>
    <w:rsid w:val="00053816"/>
    <w:rsid w:val="000539F1"/>
    <w:rsid w:val="00054747"/>
    <w:rsid w:val="00055A2A"/>
    <w:rsid w:val="00057623"/>
    <w:rsid w:val="0006129B"/>
    <w:rsid w:val="000615C1"/>
    <w:rsid w:val="00061675"/>
    <w:rsid w:val="0006227E"/>
    <w:rsid w:val="00070449"/>
    <w:rsid w:val="000743AA"/>
    <w:rsid w:val="00075549"/>
    <w:rsid w:val="00075B5E"/>
    <w:rsid w:val="00077FF3"/>
    <w:rsid w:val="000826D5"/>
    <w:rsid w:val="000829BD"/>
    <w:rsid w:val="000835C5"/>
    <w:rsid w:val="0009076F"/>
    <w:rsid w:val="0009225C"/>
    <w:rsid w:val="00093C94"/>
    <w:rsid w:val="00095293"/>
    <w:rsid w:val="00095B96"/>
    <w:rsid w:val="000A17C4"/>
    <w:rsid w:val="000A36A4"/>
    <w:rsid w:val="000A4777"/>
    <w:rsid w:val="000B2352"/>
    <w:rsid w:val="000B2413"/>
    <w:rsid w:val="000B2C5B"/>
    <w:rsid w:val="000B4582"/>
    <w:rsid w:val="000C0E71"/>
    <w:rsid w:val="000C6BEE"/>
    <w:rsid w:val="000C7B84"/>
    <w:rsid w:val="000D17E0"/>
    <w:rsid w:val="000D1A1A"/>
    <w:rsid w:val="000D261B"/>
    <w:rsid w:val="000D5423"/>
    <w:rsid w:val="000D57D1"/>
    <w:rsid w:val="000D58A3"/>
    <w:rsid w:val="000E3ED4"/>
    <w:rsid w:val="000E3F9C"/>
    <w:rsid w:val="000E736B"/>
    <w:rsid w:val="000F1550"/>
    <w:rsid w:val="000F251B"/>
    <w:rsid w:val="000F5FE8"/>
    <w:rsid w:val="000F6644"/>
    <w:rsid w:val="00100833"/>
    <w:rsid w:val="00101144"/>
    <w:rsid w:val="00101EC4"/>
    <w:rsid w:val="00102F72"/>
    <w:rsid w:val="00103FB0"/>
    <w:rsid w:val="001051B1"/>
    <w:rsid w:val="001069D3"/>
    <w:rsid w:val="00107E85"/>
    <w:rsid w:val="00107E8B"/>
    <w:rsid w:val="00111A25"/>
    <w:rsid w:val="00113EE8"/>
    <w:rsid w:val="0011455A"/>
    <w:rsid w:val="00114A65"/>
    <w:rsid w:val="0011655C"/>
    <w:rsid w:val="001250E7"/>
    <w:rsid w:val="00131D61"/>
    <w:rsid w:val="00133061"/>
    <w:rsid w:val="0013435C"/>
    <w:rsid w:val="0013591E"/>
    <w:rsid w:val="00137043"/>
    <w:rsid w:val="00141699"/>
    <w:rsid w:val="00147000"/>
    <w:rsid w:val="0015165B"/>
    <w:rsid w:val="001533F5"/>
    <w:rsid w:val="00163091"/>
    <w:rsid w:val="001645CB"/>
    <w:rsid w:val="00166305"/>
    <w:rsid w:val="00167545"/>
    <w:rsid w:val="00167590"/>
    <w:rsid w:val="001703C6"/>
    <w:rsid w:val="001714A6"/>
    <w:rsid w:val="00173781"/>
    <w:rsid w:val="00173A91"/>
    <w:rsid w:val="0017462B"/>
    <w:rsid w:val="00175ADF"/>
    <w:rsid w:val="00175CAE"/>
    <w:rsid w:val="0018180E"/>
    <w:rsid w:val="00181ECF"/>
    <w:rsid w:val="001828DB"/>
    <w:rsid w:val="001850FE"/>
    <w:rsid w:val="00185135"/>
    <w:rsid w:val="001870DE"/>
    <w:rsid w:val="0019037C"/>
    <w:rsid w:val="001905A9"/>
    <w:rsid w:val="00191273"/>
    <w:rsid w:val="001925DF"/>
    <w:rsid w:val="0019303F"/>
    <w:rsid w:val="001942A7"/>
    <w:rsid w:val="0019587B"/>
    <w:rsid w:val="001A13EC"/>
    <w:rsid w:val="001A163D"/>
    <w:rsid w:val="001A441E"/>
    <w:rsid w:val="001A4B40"/>
    <w:rsid w:val="001A6733"/>
    <w:rsid w:val="001B357F"/>
    <w:rsid w:val="001B39F9"/>
    <w:rsid w:val="001B647E"/>
    <w:rsid w:val="001B74F7"/>
    <w:rsid w:val="001C17DD"/>
    <w:rsid w:val="001C3444"/>
    <w:rsid w:val="001C3702"/>
    <w:rsid w:val="001C4656"/>
    <w:rsid w:val="001C46BC"/>
    <w:rsid w:val="001C69C7"/>
    <w:rsid w:val="001D1E06"/>
    <w:rsid w:val="001E259E"/>
    <w:rsid w:val="001F23E6"/>
    <w:rsid w:val="001F270A"/>
    <w:rsid w:val="001F4238"/>
    <w:rsid w:val="00200A38"/>
    <w:rsid w:val="00200A46"/>
    <w:rsid w:val="00210506"/>
    <w:rsid w:val="00211B6F"/>
    <w:rsid w:val="00211D37"/>
    <w:rsid w:val="002158E6"/>
    <w:rsid w:val="00217CC3"/>
    <w:rsid w:val="00220AB6"/>
    <w:rsid w:val="0022120F"/>
    <w:rsid w:val="002213CD"/>
    <w:rsid w:val="00223629"/>
    <w:rsid w:val="00223E71"/>
    <w:rsid w:val="0022754A"/>
    <w:rsid w:val="00230C24"/>
    <w:rsid w:val="00235781"/>
    <w:rsid w:val="00236560"/>
    <w:rsid w:val="0023662E"/>
    <w:rsid w:val="00236638"/>
    <w:rsid w:val="002420F5"/>
    <w:rsid w:val="00244CA0"/>
    <w:rsid w:val="00245D0F"/>
    <w:rsid w:val="002541C5"/>
    <w:rsid w:val="002548C3"/>
    <w:rsid w:val="0025670E"/>
    <w:rsid w:val="00257ACD"/>
    <w:rsid w:val="00262908"/>
    <w:rsid w:val="002650F4"/>
    <w:rsid w:val="002715FD"/>
    <w:rsid w:val="0027246A"/>
    <w:rsid w:val="00273EB4"/>
    <w:rsid w:val="002770B1"/>
    <w:rsid w:val="00277E30"/>
    <w:rsid w:val="00282B4D"/>
    <w:rsid w:val="00285B33"/>
    <w:rsid w:val="00286D16"/>
    <w:rsid w:val="00287A3C"/>
    <w:rsid w:val="00287C9D"/>
    <w:rsid w:val="00295728"/>
    <w:rsid w:val="002960D9"/>
    <w:rsid w:val="0029713A"/>
    <w:rsid w:val="002A2392"/>
    <w:rsid w:val="002A2FC6"/>
    <w:rsid w:val="002A3763"/>
    <w:rsid w:val="002A45AF"/>
    <w:rsid w:val="002B21A2"/>
    <w:rsid w:val="002B2464"/>
    <w:rsid w:val="002C1EC7"/>
    <w:rsid w:val="002C3015"/>
    <w:rsid w:val="002C4342"/>
    <w:rsid w:val="002C642A"/>
    <w:rsid w:val="002C7BBF"/>
    <w:rsid w:val="002C7EA3"/>
    <w:rsid w:val="002D20AE"/>
    <w:rsid w:val="002D223D"/>
    <w:rsid w:val="002D46D3"/>
    <w:rsid w:val="002D6C61"/>
    <w:rsid w:val="002D6F5C"/>
    <w:rsid w:val="002E0BA5"/>
    <w:rsid w:val="002E2104"/>
    <w:rsid w:val="002E2DAC"/>
    <w:rsid w:val="002E6963"/>
    <w:rsid w:val="002E6A5E"/>
    <w:rsid w:val="002E6F8F"/>
    <w:rsid w:val="002F05D8"/>
    <w:rsid w:val="002F2DE0"/>
    <w:rsid w:val="002F3220"/>
    <w:rsid w:val="002F5E25"/>
    <w:rsid w:val="002F6014"/>
    <w:rsid w:val="002F711D"/>
    <w:rsid w:val="002F72A6"/>
    <w:rsid w:val="0030353C"/>
    <w:rsid w:val="00304145"/>
    <w:rsid w:val="00307769"/>
    <w:rsid w:val="003125C3"/>
    <w:rsid w:val="00312AE6"/>
    <w:rsid w:val="00317D1A"/>
    <w:rsid w:val="003211FF"/>
    <w:rsid w:val="003223A3"/>
    <w:rsid w:val="00324065"/>
    <w:rsid w:val="003242AB"/>
    <w:rsid w:val="00324C00"/>
    <w:rsid w:val="00325346"/>
    <w:rsid w:val="00327247"/>
    <w:rsid w:val="00327A9D"/>
    <w:rsid w:val="0033130E"/>
    <w:rsid w:val="0033269C"/>
    <w:rsid w:val="00334B97"/>
    <w:rsid w:val="00336283"/>
    <w:rsid w:val="00342C50"/>
    <w:rsid w:val="003457F5"/>
    <w:rsid w:val="00345A30"/>
    <w:rsid w:val="00347715"/>
    <w:rsid w:val="0034790B"/>
    <w:rsid w:val="0035103E"/>
    <w:rsid w:val="00351BC8"/>
    <w:rsid w:val="00351C79"/>
    <w:rsid w:val="0035516C"/>
    <w:rsid w:val="00355A4C"/>
    <w:rsid w:val="00357714"/>
    <w:rsid w:val="003604FB"/>
    <w:rsid w:val="00360B73"/>
    <w:rsid w:val="00373E41"/>
    <w:rsid w:val="0037412F"/>
    <w:rsid w:val="00377A3F"/>
    <w:rsid w:val="00380B71"/>
    <w:rsid w:val="0038365A"/>
    <w:rsid w:val="00386A89"/>
    <w:rsid w:val="0039648E"/>
    <w:rsid w:val="003A5AFE"/>
    <w:rsid w:val="003A5D5F"/>
    <w:rsid w:val="003A7FFE"/>
    <w:rsid w:val="003B0A63"/>
    <w:rsid w:val="003B4291"/>
    <w:rsid w:val="003B50E1"/>
    <w:rsid w:val="003B53EE"/>
    <w:rsid w:val="003B5A3F"/>
    <w:rsid w:val="003C1746"/>
    <w:rsid w:val="003C266E"/>
    <w:rsid w:val="003C2AA9"/>
    <w:rsid w:val="003C58BF"/>
    <w:rsid w:val="003D0504"/>
    <w:rsid w:val="003D18C6"/>
    <w:rsid w:val="003D2382"/>
    <w:rsid w:val="003D451D"/>
    <w:rsid w:val="003D5132"/>
    <w:rsid w:val="003E26E5"/>
    <w:rsid w:val="003F2DD8"/>
    <w:rsid w:val="003F2FFC"/>
    <w:rsid w:val="003F3F2D"/>
    <w:rsid w:val="003F50B2"/>
    <w:rsid w:val="003F6766"/>
    <w:rsid w:val="00400CCF"/>
    <w:rsid w:val="00401BFF"/>
    <w:rsid w:val="00401C80"/>
    <w:rsid w:val="00404424"/>
    <w:rsid w:val="00405B22"/>
    <w:rsid w:val="00405FBD"/>
    <w:rsid w:val="00407444"/>
    <w:rsid w:val="0041156B"/>
    <w:rsid w:val="004122C5"/>
    <w:rsid w:val="00413B78"/>
    <w:rsid w:val="00413C51"/>
    <w:rsid w:val="004146FD"/>
    <w:rsid w:val="00416DDE"/>
    <w:rsid w:val="00420BA3"/>
    <w:rsid w:val="00423CFF"/>
    <w:rsid w:val="00427587"/>
    <w:rsid w:val="00437A6C"/>
    <w:rsid w:val="0044411E"/>
    <w:rsid w:val="00447038"/>
    <w:rsid w:val="00450AC1"/>
    <w:rsid w:val="00453435"/>
    <w:rsid w:val="004554A3"/>
    <w:rsid w:val="00460089"/>
    <w:rsid w:val="004605F9"/>
    <w:rsid w:val="00466341"/>
    <w:rsid w:val="00466398"/>
    <w:rsid w:val="004667F9"/>
    <w:rsid w:val="004705A3"/>
    <w:rsid w:val="004712A4"/>
    <w:rsid w:val="0047306D"/>
    <w:rsid w:val="00473791"/>
    <w:rsid w:val="00476B4B"/>
    <w:rsid w:val="00476E48"/>
    <w:rsid w:val="004812F8"/>
    <w:rsid w:val="00481AA0"/>
    <w:rsid w:val="00481DE9"/>
    <w:rsid w:val="00481F1D"/>
    <w:rsid w:val="0048750C"/>
    <w:rsid w:val="0049128B"/>
    <w:rsid w:val="00493B49"/>
    <w:rsid w:val="00495501"/>
    <w:rsid w:val="004A070A"/>
    <w:rsid w:val="004A320E"/>
    <w:rsid w:val="004A44BC"/>
    <w:rsid w:val="004A4E9C"/>
    <w:rsid w:val="004A6AB4"/>
    <w:rsid w:val="004B1A3C"/>
    <w:rsid w:val="004B7DCB"/>
    <w:rsid w:val="004C4E2B"/>
    <w:rsid w:val="004C6CB5"/>
    <w:rsid w:val="004D0F18"/>
    <w:rsid w:val="004D2CC3"/>
    <w:rsid w:val="004D35CB"/>
    <w:rsid w:val="004D41B3"/>
    <w:rsid w:val="004D4463"/>
    <w:rsid w:val="004D7DAB"/>
    <w:rsid w:val="004E20E5"/>
    <w:rsid w:val="004E5543"/>
    <w:rsid w:val="004E57E3"/>
    <w:rsid w:val="004E62F7"/>
    <w:rsid w:val="004E64EA"/>
    <w:rsid w:val="004E7828"/>
    <w:rsid w:val="004F11BD"/>
    <w:rsid w:val="004F46AA"/>
    <w:rsid w:val="004F6A70"/>
    <w:rsid w:val="00500AD7"/>
    <w:rsid w:val="00502ABF"/>
    <w:rsid w:val="00504540"/>
    <w:rsid w:val="00504DB0"/>
    <w:rsid w:val="00506D5D"/>
    <w:rsid w:val="005078A4"/>
    <w:rsid w:val="00507C35"/>
    <w:rsid w:val="00510735"/>
    <w:rsid w:val="005117EA"/>
    <w:rsid w:val="00514D2F"/>
    <w:rsid w:val="00524328"/>
    <w:rsid w:val="0053294F"/>
    <w:rsid w:val="00533A17"/>
    <w:rsid w:val="00541479"/>
    <w:rsid w:val="0054420E"/>
    <w:rsid w:val="00544D1B"/>
    <w:rsid w:val="00544FC8"/>
    <w:rsid w:val="00545DC0"/>
    <w:rsid w:val="00545F6C"/>
    <w:rsid w:val="005477D9"/>
    <w:rsid w:val="00552F62"/>
    <w:rsid w:val="0055720C"/>
    <w:rsid w:val="00561796"/>
    <w:rsid w:val="005632DD"/>
    <w:rsid w:val="00563F4A"/>
    <w:rsid w:val="0056423B"/>
    <w:rsid w:val="00566BDC"/>
    <w:rsid w:val="00570CEE"/>
    <w:rsid w:val="00573424"/>
    <w:rsid w:val="0057402F"/>
    <w:rsid w:val="005775FF"/>
    <w:rsid w:val="005803E8"/>
    <w:rsid w:val="00581653"/>
    <w:rsid w:val="005828FB"/>
    <w:rsid w:val="00583C64"/>
    <w:rsid w:val="005849D6"/>
    <w:rsid w:val="00585367"/>
    <w:rsid w:val="005853CB"/>
    <w:rsid w:val="005871A1"/>
    <w:rsid w:val="0058737E"/>
    <w:rsid w:val="00592518"/>
    <w:rsid w:val="00592E87"/>
    <w:rsid w:val="0059420B"/>
    <w:rsid w:val="00594C4D"/>
    <w:rsid w:val="005A1355"/>
    <w:rsid w:val="005A2FE6"/>
    <w:rsid w:val="005A33B0"/>
    <w:rsid w:val="005A406D"/>
    <w:rsid w:val="005A4AB8"/>
    <w:rsid w:val="005A52AF"/>
    <w:rsid w:val="005A60AF"/>
    <w:rsid w:val="005B3308"/>
    <w:rsid w:val="005B5BBA"/>
    <w:rsid w:val="005B616C"/>
    <w:rsid w:val="005B73C0"/>
    <w:rsid w:val="005B7930"/>
    <w:rsid w:val="005C2DC2"/>
    <w:rsid w:val="005C304A"/>
    <w:rsid w:val="005C3D69"/>
    <w:rsid w:val="005C4472"/>
    <w:rsid w:val="005C634B"/>
    <w:rsid w:val="005C7C98"/>
    <w:rsid w:val="005D2C3A"/>
    <w:rsid w:val="005D3657"/>
    <w:rsid w:val="005D44D8"/>
    <w:rsid w:val="005D46B6"/>
    <w:rsid w:val="005D55A4"/>
    <w:rsid w:val="005D57C8"/>
    <w:rsid w:val="005D7761"/>
    <w:rsid w:val="005E0278"/>
    <w:rsid w:val="005E090D"/>
    <w:rsid w:val="005E0EEC"/>
    <w:rsid w:val="005E1725"/>
    <w:rsid w:val="005E3755"/>
    <w:rsid w:val="005E3CA0"/>
    <w:rsid w:val="005E41DA"/>
    <w:rsid w:val="005E44B1"/>
    <w:rsid w:val="005E5C37"/>
    <w:rsid w:val="005E67B0"/>
    <w:rsid w:val="005E7047"/>
    <w:rsid w:val="005E777F"/>
    <w:rsid w:val="005F10DF"/>
    <w:rsid w:val="005F1CA7"/>
    <w:rsid w:val="005F43DD"/>
    <w:rsid w:val="005F51A9"/>
    <w:rsid w:val="005F6BE1"/>
    <w:rsid w:val="005F7416"/>
    <w:rsid w:val="005F79A6"/>
    <w:rsid w:val="00600A7B"/>
    <w:rsid w:val="00600C11"/>
    <w:rsid w:val="006022D1"/>
    <w:rsid w:val="00603C57"/>
    <w:rsid w:val="00604F5D"/>
    <w:rsid w:val="00606B89"/>
    <w:rsid w:val="00606CD3"/>
    <w:rsid w:val="006110C0"/>
    <w:rsid w:val="006114EE"/>
    <w:rsid w:val="00611D0E"/>
    <w:rsid w:val="00611EAF"/>
    <w:rsid w:val="006141C5"/>
    <w:rsid w:val="00622289"/>
    <w:rsid w:val="00623F30"/>
    <w:rsid w:val="00624B44"/>
    <w:rsid w:val="00625FB8"/>
    <w:rsid w:val="006261BD"/>
    <w:rsid w:val="00635EDB"/>
    <w:rsid w:val="00637117"/>
    <w:rsid w:val="00637680"/>
    <w:rsid w:val="00642011"/>
    <w:rsid w:val="00642C3C"/>
    <w:rsid w:val="00643C0E"/>
    <w:rsid w:val="0064734E"/>
    <w:rsid w:val="00650137"/>
    <w:rsid w:val="006509D7"/>
    <w:rsid w:val="00651CE8"/>
    <w:rsid w:val="00652A01"/>
    <w:rsid w:val="006551C6"/>
    <w:rsid w:val="0065521B"/>
    <w:rsid w:val="00663F15"/>
    <w:rsid w:val="006644A7"/>
    <w:rsid w:val="00671EF6"/>
    <w:rsid w:val="0067205B"/>
    <w:rsid w:val="00672903"/>
    <w:rsid w:val="00674525"/>
    <w:rsid w:val="006748F8"/>
    <w:rsid w:val="006759BB"/>
    <w:rsid w:val="00680489"/>
    <w:rsid w:val="00683C32"/>
    <w:rsid w:val="006844D6"/>
    <w:rsid w:val="00684E56"/>
    <w:rsid w:val="00685530"/>
    <w:rsid w:val="006860C4"/>
    <w:rsid w:val="00690BB2"/>
    <w:rsid w:val="00693D09"/>
    <w:rsid w:val="0069537D"/>
    <w:rsid w:val="0069647F"/>
    <w:rsid w:val="006A6549"/>
    <w:rsid w:val="006A7710"/>
    <w:rsid w:val="006A7A61"/>
    <w:rsid w:val="006B1E59"/>
    <w:rsid w:val="006B2FFB"/>
    <w:rsid w:val="006C075B"/>
    <w:rsid w:val="006C10A2"/>
    <w:rsid w:val="006C1F18"/>
    <w:rsid w:val="006D3419"/>
    <w:rsid w:val="006D36F0"/>
    <w:rsid w:val="006D40D5"/>
    <w:rsid w:val="006D4EA0"/>
    <w:rsid w:val="006D57AF"/>
    <w:rsid w:val="006E4DA4"/>
    <w:rsid w:val="006E51D2"/>
    <w:rsid w:val="006F009A"/>
    <w:rsid w:val="006F24AF"/>
    <w:rsid w:val="006F3D93"/>
    <w:rsid w:val="006F5766"/>
    <w:rsid w:val="006F6D31"/>
    <w:rsid w:val="00701430"/>
    <w:rsid w:val="007019B1"/>
    <w:rsid w:val="00704858"/>
    <w:rsid w:val="00706440"/>
    <w:rsid w:val="007103DE"/>
    <w:rsid w:val="0071703D"/>
    <w:rsid w:val="00721657"/>
    <w:rsid w:val="007229F3"/>
    <w:rsid w:val="007255F9"/>
    <w:rsid w:val="007279A8"/>
    <w:rsid w:val="00727B1A"/>
    <w:rsid w:val="007317C9"/>
    <w:rsid w:val="007319A6"/>
    <w:rsid w:val="00732065"/>
    <w:rsid w:val="00741337"/>
    <w:rsid w:val="007436FA"/>
    <w:rsid w:val="00746A8B"/>
    <w:rsid w:val="00752258"/>
    <w:rsid w:val="007529E1"/>
    <w:rsid w:val="00752C37"/>
    <w:rsid w:val="007544F5"/>
    <w:rsid w:val="0075636E"/>
    <w:rsid w:val="0076202C"/>
    <w:rsid w:val="0076272A"/>
    <w:rsid w:val="00762880"/>
    <w:rsid w:val="00762AD6"/>
    <w:rsid w:val="00762E02"/>
    <w:rsid w:val="00763268"/>
    <w:rsid w:val="00764645"/>
    <w:rsid w:val="007661A5"/>
    <w:rsid w:val="00766596"/>
    <w:rsid w:val="00772290"/>
    <w:rsid w:val="00773928"/>
    <w:rsid w:val="007757EF"/>
    <w:rsid w:val="00777265"/>
    <w:rsid w:val="007805E7"/>
    <w:rsid w:val="00781953"/>
    <w:rsid w:val="0078222A"/>
    <w:rsid w:val="0078289A"/>
    <w:rsid w:val="007834BF"/>
    <w:rsid w:val="00783EE8"/>
    <w:rsid w:val="00784700"/>
    <w:rsid w:val="00787D48"/>
    <w:rsid w:val="007948C2"/>
    <w:rsid w:val="00795294"/>
    <w:rsid w:val="007A1FB0"/>
    <w:rsid w:val="007A469B"/>
    <w:rsid w:val="007A4E50"/>
    <w:rsid w:val="007B18A7"/>
    <w:rsid w:val="007B250E"/>
    <w:rsid w:val="007B3427"/>
    <w:rsid w:val="007B5BF3"/>
    <w:rsid w:val="007B6CB3"/>
    <w:rsid w:val="007C0E7B"/>
    <w:rsid w:val="007C27FC"/>
    <w:rsid w:val="007C3809"/>
    <w:rsid w:val="007C51FF"/>
    <w:rsid w:val="007C523B"/>
    <w:rsid w:val="007D339B"/>
    <w:rsid w:val="007D41C5"/>
    <w:rsid w:val="007D50E4"/>
    <w:rsid w:val="007D7209"/>
    <w:rsid w:val="007E11DA"/>
    <w:rsid w:val="007E2CBD"/>
    <w:rsid w:val="007E2DC5"/>
    <w:rsid w:val="007E3222"/>
    <w:rsid w:val="007F1CC7"/>
    <w:rsid w:val="007F2FA2"/>
    <w:rsid w:val="007F7483"/>
    <w:rsid w:val="008027AC"/>
    <w:rsid w:val="008028CE"/>
    <w:rsid w:val="0080332E"/>
    <w:rsid w:val="008033E9"/>
    <w:rsid w:val="00806619"/>
    <w:rsid w:val="008141E0"/>
    <w:rsid w:val="00815B62"/>
    <w:rsid w:val="00816D03"/>
    <w:rsid w:val="00816EE1"/>
    <w:rsid w:val="00816F88"/>
    <w:rsid w:val="00817CDF"/>
    <w:rsid w:val="00821996"/>
    <w:rsid w:val="00822323"/>
    <w:rsid w:val="00823471"/>
    <w:rsid w:val="00824053"/>
    <w:rsid w:val="00826A3E"/>
    <w:rsid w:val="00827BC6"/>
    <w:rsid w:val="008300AD"/>
    <w:rsid w:val="00833024"/>
    <w:rsid w:val="00835457"/>
    <w:rsid w:val="008373CC"/>
    <w:rsid w:val="008419B1"/>
    <w:rsid w:val="00841E2C"/>
    <w:rsid w:val="00844A56"/>
    <w:rsid w:val="00845B11"/>
    <w:rsid w:val="00852081"/>
    <w:rsid w:val="00872B6E"/>
    <w:rsid w:val="00874DFD"/>
    <w:rsid w:val="00876190"/>
    <w:rsid w:val="008774BB"/>
    <w:rsid w:val="008802F9"/>
    <w:rsid w:val="00881B9C"/>
    <w:rsid w:val="00883086"/>
    <w:rsid w:val="00883D46"/>
    <w:rsid w:val="00885572"/>
    <w:rsid w:val="008879FD"/>
    <w:rsid w:val="0089268F"/>
    <w:rsid w:val="00894C37"/>
    <w:rsid w:val="00896469"/>
    <w:rsid w:val="008A00EA"/>
    <w:rsid w:val="008A0CE5"/>
    <w:rsid w:val="008A3F93"/>
    <w:rsid w:val="008A4FD4"/>
    <w:rsid w:val="008A6236"/>
    <w:rsid w:val="008A6E1C"/>
    <w:rsid w:val="008A72FD"/>
    <w:rsid w:val="008B2EDF"/>
    <w:rsid w:val="008B47C7"/>
    <w:rsid w:val="008B481E"/>
    <w:rsid w:val="008B54CB"/>
    <w:rsid w:val="008B5A3D"/>
    <w:rsid w:val="008B6DF4"/>
    <w:rsid w:val="008B6E18"/>
    <w:rsid w:val="008C4010"/>
    <w:rsid w:val="008C424F"/>
    <w:rsid w:val="008C471D"/>
    <w:rsid w:val="008C4FDF"/>
    <w:rsid w:val="008C6B1F"/>
    <w:rsid w:val="008C6D90"/>
    <w:rsid w:val="008C7A35"/>
    <w:rsid w:val="008D15A6"/>
    <w:rsid w:val="008D386E"/>
    <w:rsid w:val="008D43B8"/>
    <w:rsid w:val="008D4E9B"/>
    <w:rsid w:val="008D5E4F"/>
    <w:rsid w:val="008E34F0"/>
    <w:rsid w:val="008E61C1"/>
    <w:rsid w:val="008E77CA"/>
    <w:rsid w:val="008F14F5"/>
    <w:rsid w:val="008F71C1"/>
    <w:rsid w:val="008F71D5"/>
    <w:rsid w:val="009004BB"/>
    <w:rsid w:val="0090067A"/>
    <w:rsid w:val="00900979"/>
    <w:rsid w:val="00900B22"/>
    <w:rsid w:val="00902D41"/>
    <w:rsid w:val="00902F49"/>
    <w:rsid w:val="0090420D"/>
    <w:rsid w:val="00904230"/>
    <w:rsid w:val="0090508A"/>
    <w:rsid w:val="00914004"/>
    <w:rsid w:val="009150DE"/>
    <w:rsid w:val="0092185D"/>
    <w:rsid w:val="00921BD1"/>
    <w:rsid w:val="00922EC1"/>
    <w:rsid w:val="00923CF1"/>
    <w:rsid w:val="00925BA3"/>
    <w:rsid w:val="009301F1"/>
    <w:rsid w:val="009307DF"/>
    <w:rsid w:val="00931592"/>
    <w:rsid w:val="00933DD5"/>
    <w:rsid w:val="009359B8"/>
    <w:rsid w:val="00935FF0"/>
    <w:rsid w:val="009431F8"/>
    <w:rsid w:val="00947A35"/>
    <w:rsid w:val="00950DA3"/>
    <w:rsid w:val="00951E30"/>
    <w:rsid w:val="00952667"/>
    <w:rsid w:val="00953AED"/>
    <w:rsid w:val="0096201B"/>
    <w:rsid w:val="00962081"/>
    <w:rsid w:val="00966CB5"/>
    <w:rsid w:val="0096750E"/>
    <w:rsid w:val="00971132"/>
    <w:rsid w:val="009731F0"/>
    <w:rsid w:val="00975786"/>
    <w:rsid w:val="00976B5B"/>
    <w:rsid w:val="00981CB7"/>
    <w:rsid w:val="00982767"/>
    <w:rsid w:val="00982A98"/>
    <w:rsid w:val="00982EFD"/>
    <w:rsid w:val="00983E1F"/>
    <w:rsid w:val="009842AD"/>
    <w:rsid w:val="00993F46"/>
    <w:rsid w:val="00997358"/>
    <w:rsid w:val="009A1889"/>
    <w:rsid w:val="009A3A94"/>
    <w:rsid w:val="009A4314"/>
    <w:rsid w:val="009A452B"/>
    <w:rsid w:val="009A6588"/>
    <w:rsid w:val="009B050C"/>
    <w:rsid w:val="009B087F"/>
    <w:rsid w:val="009B2AF4"/>
    <w:rsid w:val="009C10C3"/>
    <w:rsid w:val="009C110B"/>
    <w:rsid w:val="009C5441"/>
    <w:rsid w:val="009C7C03"/>
    <w:rsid w:val="009D119F"/>
    <w:rsid w:val="009D142B"/>
    <w:rsid w:val="009D49A2"/>
    <w:rsid w:val="009D51FA"/>
    <w:rsid w:val="009E27D3"/>
    <w:rsid w:val="009E39E0"/>
    <w:rsid w:val="009E5449"/>
    <w:rsid w:val="009F24E4"/>
    <w:rsid w:val="009F3940"/>
    <w:rsid w:val="009F3EB2"/>
    <w:rsid w:val="009F3EC9"/>
    <w:rsid w:val="009F6EB1"/>
    <w:rsid w:val="00A00616"/>
    <w:rsid w:val="00A07503"/>
    <w:rsid w:val="00A078DD"/>
    <w:rsid w:val="00A11D05"/>
    <w:rsid w:val="00A13162"/>
    <w:rsid w:val="00A20267"/>
    <w:rsid w:val="00A20E82"/>
    <w:rsid w:val="00A300A6"/>
    <w:rsid w:val="00A3116B"/>
    <w:rsid w:val="00A3158C"/>
    <w:rsid w:val="00A32DF3"/>
    <w:rsid w:val="00A33E32"/>
    <w:rsid w:val="00A35E20"/>
    <w:rsid w:val="00A36DB1"/>
    <w:rsid w:val="00A36F6D"/>
    <w:rsid w:val="00A4085E"/>
    <w:rsid w:val="00A432CD"/>
    <w:rsid w:val="00A45041"/>
    <w:rsid w:val="00A50433"/>
    <w:rsid w:val="00A50CA0"/>
    <w:rsid w:val="00A525CC"/>
    <w:rsid w:val="00A52BC3"/>
    <w:rsid w:val="00A53E7C"/>
    <w:rsid w:val="00A55E56"/>
    <w:rsid w:val="00A60087"/>
    <w:rsid w:val="00A61284"/>
    <w:rsid w:val="00A61D0E"/>
    <w:rsid w:val="00A674B3"/>
    <w:rsid w:val="00A702B0"/>
    <w:rsid w:val="00A705E8"/>
    <w:rsid w:val="00A721F4"/>
    <w:rsid w:val="00A731DA"/>
    <w:rsid w:val="00A74478"/>
    <w:rsid w:val="00A807CF"/>
    <w:rsid w:val="00A809D3"/>
    <w:rsid w:val="00A8141C"/>
    <w:rsid w:val="00A81675"/>
    <w:rsid w:val="00A83228"/>
    <w:rsid w:val="00A838A8"/>
    <w:rsid w:val="00A84D9E"/>
    <w:rsid w:val="00A92962"/>
    <w:rsid w:val="00A9392C"/>
    <w:rsid w:val="00A9462B"/>
    <w:rsid w:val="00A94AFD"/>
    <w:rsid w:val="00A96C6D"/>
    <w:rsid w:val="00A97D59"/>
    <w:rsid w:val="00AA3E09"/>
    <w:rsid w:val="00AA41FB"/>
    <w:rsid w:val="00AA4BEF"/>
    <w:rsid w:val="00AB1659"/>
    <w:rsid w:val="00AB4962"/>
    <w:rsid w:val="00AB4FAB"/>
    <w:rsid w:val="00AB5C8C"/>
    <w:rsid w:val="00AB5F30"/>
    <w:rsid w:val="00AB734E"/>
    <w:rsid w:val="00AB740F"/>
    <w:rsid w:val="00AC1B0A"/>
    <w:rsid w:val="00AC5FAE"/>
    <w:rsid w:val="00AC69AC"/>
    <w:rsid w:val="00AC6F14"/>
    <w:rsid w:val="00AC7221"/>
    <w:rsid w:val="00AD4677"/>
    <w:rsid w:val="00AE4CE1"/>
    <w:rsid w:val="00AE5961"/>
    <w:rsid w:val="00AE6F86"/>
    <w:rsid w:val="00AF0745"/>
    <w:rsid w:val="00AF2004"/>
    <w:rsid w:val="00AF4971"/>
    <w:rsid w:val="00AF5276"/>
    <w:rsid w:val="00AF7C86"/>
    <w:rsid w:val="00B00346"/>
    <w:rsid w:val="00B01046"/>
    <w:rsid w:val="00B02BF2"/>
    <w:rsid w:val="00B143A4"/>
    <w:rsid w:val="00B14C60"/>
    <w:rsid w:val="00B310F9"/>
    <w:rsid w:val="00B32B1F"/>
    <w:rsid w:val="00B33B52"/>
    <w:rsid w:val="00B37866"/>
    <w:rsid w:val="00B412FB"/>
    <w:rsid w:val="00B41F29"/>
    <w:rsid w:val="00B44BBE"/>
    <w:rsid w:val="00B451C9"/>
    <w:rsid w:val="00B4576B"/>
    <w:rsid w:val="00B46350"/>
    <w:rsid w:val="00B46DF3"/>
    <w:rsid w:val="00B52655"/>
    <w:rsid w:val="00B55448"/>
    <w:rsid w:val="00B574AE"/>
    <w:rsid w:val="00B5794F"/>
    <w:rsid w:val="00B648C7"/>
    <w:rsid w:val="00B64A9E"/>
    <w:rsid w:val="00B66D51"/>
    <w:rsid w:val="00B66E8F"/>
    <w:rsid w:val="00B72FD5"/>
    <w:rsid w:val="00B80157"/>
    <w:rsid w:val="00B80F17"/>
    <w:rsid w:val="00B83D5E"/>
    <w:rsid w:val="00B8460A"/>
    <w:rsid w:val="00B8650D"/>
    <w:rsid w:val="00B879B4"/>
    <w:rsid w:val="00B901B7"/>
    <w:rsid w:val="00B90F07"/>
    <w:rsid w:val="00B92AB5"/>
    <w:rsid w:val="00B93BE1"/>
    <w:rsid w:val="00B97BB9"/>
    <w:rsid w:val="00BA0009"/>
    <w:rsid w:val="00BA7656"/>
    <w:rsid w:val="00BB02B5"/>
    <w:rsid w:val="00BB17B1"/>
    <w:rsid w:val="00BB1863"/>
    <w:rsid w:val="00BB25EE"/>
    <w:rsid w:val="00BB363A"/>
    <w:rsid w:val="00BB4CA8"/>
    <w:rsid w:val="00BC103C"/>
    <w:rsid w:val="00BC10A0"/>
    <w:rsid w:val="00BC7199"/>
    <w:rsid w:val="00BC7BA2"/>
    <w:rsid w:val="00BD426B"/>
    <w:rsid w:val="00BD79F0"/>
    <w:rsid w:val="00BE19F6"/>
    <w:rsid w:val="00BE2B4D"/>
    <w:rsid w:val="00BE49B6"/>
    <w:rsid w:val="00BE5907"/>
    <w:rsid w:val="00BE60BC"/>
    <w:rsid w:val="00BE6878"/>
    <w:rsid w:val="00BE71C3"/>
    <w:rsid w:val="00C00B9F"/>
    <w:rsid w:val="00C015F8"/>
    <w:rsid w:val="00C02C2A"/>
    <w:rsid w:val="00C07E26"/>
    <w:rsid w:val="00C1011C"/>
    <w:rsid w:val="00C12F94"/>
    <w:rsid w:val="00C139C4"/>
    <w:rsid w:val="00C15407"/>
    <w:rsid w:val="00C177C5"/>
    <w:rsid w:val="00C204A7"/>
    <w:rsid w:val="00C24712"/>
    <w:rsid w:val="00C26104"/>
    <w:rsid w:val="00C307F1"/>
    <w:rsid w:val="00C31A6D"/>
    <w:rsid w:val="00C322C1"/>
    <w:rsid w:val="00C34EC3"/>
    <w:rsid w:val="00C351F2"/>
    <w:rsid w:val="00C3725A"/>
    <w:rsid w:val="00C37501"/>
    <w:rsid w:val="00C378CD"/>
    <w:rsid w:val="00C4038C"/>
    <w:rsid w:val="00C42BA2"/>
    <w:rsid w:val="00C44066"/>
    <w:rsid w:val="00C44E13"/>
    <w:rsid w:val="00C50751"/>
    <w:rsid w:val="00C52B65"/>
    <w:rsid w:val="00C53EE2"/>
    <w:rsid w:val="00C60191"/>
    <w:rsid w:val="00C60A41"/>
    <w:rsid w:val="00C61034"/>
    <w:rsid w:val="00C62DE8"/>
    <w:rsid w:val="00C62DFB"/>
    <w:rsid w:val="00C63084"/>
    <w:rsid w:val="00C630E6"/>
    <w:rsid w:val="00C63812"/>
    <w:rsid w:val="00C64AF3"/>
    <w:rsid w:val="00C66F4D"/>
    <w:rsid w:val="00C67B8D"/>
    <w:rsid w:val="00C67BB5"/>
    <w:rsid w:val="00C70A0D"/>
    <w:rsid w:val="00C72713"/>
    <w:rsid w:val="00C76340"/>
    <w:rsid w:val="00C76DD1"/>
    <w:rsid w:val="00C848EF"/>
    <w:rsid w:val="00C84AE6"/>
    <w:rsid w:val="00C86600"/>
    <w:rsid w:val="00C87BCA"/>
    <w:rsid w:val="00C87D6B"/>
    <w:rsid w:val="00C87EED"/>
    <w:rsid w:val="00C9052C"/>
    <w:rsid w:val="00C94506"/>
    <w:rsid w:val="00C954BC"/>
    <w:rsid w:val="00CA1B88"/>
    <w:rsid w:val="00CA1F0B"/>
    <w:rsid w:val="00CA2534"/>
    <w:rsid w:val="00CB110F"/>
    <w:rsid w:val="00CB2A2E"/>
    <w:rsid w:val="00CB338A"/>
    <w:rsid w:val="00CB3A81"/>
    <w:rsid w:val="00CB5414"/>
    <w:rsid w:val="00CB79C5"/>
    <w:rsid w:val="00CC13F8"/>
    <w:rsid w:val="00CC411F"/>
    <w:rsid w:val="00CC4B75"/>
    <w:rsid w:val="00CC6CCC"/>
    <w:rsid w:val="00CC732E"/>
    <w:rsid w:val="00CD2A98"/>
    <w:rsid w:val="00CD2FCD"/>
    <w:rsid w:val="00CD3077"/>
    <w:rsid w:val="00CD4A62"/>
    <w:rsid w:val="00CD7207"/>
    <w:rsid w:val="00CE0422"/>
    <w:rsid w:val="00CE0DBE"/>
    <w:rsid w:val="00CE5E4D"/>
    <w:rsid w:val="00CF02C4"/>
    <w:rsid w:val="00CF167F"/>
    <w:rsid w:val="00CF3288"/>
    <w:rsid w:val="00CF72E5"/>
    <w:rsid w:val="00D00BE0"/>
    <w:rsid w:val="00D013EE"/>
    <w:rsid w:val="00D01783"/>
    <w:rsid w:val="00D01D14"/>
    <w:rsid w:val="00D01F54"/>
    <w:rsid w:val="00D029CF"/>
    <w:rsid w:val="00D040F7"/>
    <w:rsid w:val="00D04A76"/>
    <w:rsid w:val="00D05655"/>
    <w:rsid w:val="00D07E2B"/>
    <w:rsid w:val="00D10FC7"/>
    <w:rsid w:val="00D123AB"/>
    <w:rsid w:val="00D13262"/>
    <w:rsid w:val="00D140B4"/>
    <w:rsid w:val="00D1519F"/>
    <w:rsid w:val="00D160A8"/>
    <w:rsid w:val="00D1703C"/>
    <w:rsid w:val="00D20E99"/>
    <w:rsid w:val="00D21C83"/>
    <w:rsid w:val="00D24E16"/>
    <w:rsid w:val="00D250D8"/>
    <w:rsid w:val="00D2513D"/>
    <w:rsid w:val="00D31ADC"/>
    <w:rsid w:val="00D35BDD"/>
    <w:rsid w:val="00D40306"/>
    <w:rsid w:val="00D40645"/>
    <w:rsid w:val="00D42B1A"/>
    <w:rsid w:val="00D42CBB"/>
    <w:rsid w:val="00D5015F"/>
    <w:rsid w:val="00D5047E"/>
    <w:rsid w:val="00D55AC6"/>
    <w:rsid w:val="00D63006"/>
    <w:rsid w:val="00D7125B"/>
    <w:rsid w:val="00D71582"/>
    <w:rsid w:val="00D72301"/>
    <w:rsid w:val="00D87C63"/>
    <w:rsid w:val="00D911DE"/>
    <w:rsid w:val="00D91B97"/>
    <w:rsid w:val="00D93792"/>
    <w:rsid w:val="00D93ACC"/>
    <w:rsid w:val="00D93C08"/>
    <w:rsid w:val="00D95DAC"/>
    <w:rsid w:val="00DA0B53"/>
    <w:rsid w:val="00DA10F5"/>
    <w:rsid w:val="00DA3A0D"/>
    <w:rsid w:val="00DB02F1"/>
    <w:rsid w:val="00DB0BD2"/>
    <w:rsid w:val="00DB1171"/>
    <w:rsid w:val="00DB1519"/>
    <w:rsid w:val="00DB2840"/>
    <w:rsid w:val="00DB4375"/>
    <w:rsid w:val="00DB5AAA"/>
    <w:rsid w:val="00DC1BD3"/>
    <w:rsid w:val="00DC2C1A"/>
    <w:rsid w:val="00DC4BCC"/>
    <w:rsid w:val="00DC64F7"/>
    <w:rsid w:val="00DD66B4"/>
    <w:rsid w:val="00DE018A"/>
    <w:rsid w:val="00DE1972"/>
    <w:rsid w:val="00DE27AB"/>
    <w:rsid w:val="00DE6A15"/>
    <w:rsid w:val="00DF2AB3"/>
    <w:rsid w:val="00DF39B1"/>
    <w:rsid w:val="00DF5D59"/>
    <w:rsid w:val="00DF7250"/>
    <w:rsid w:val="00E00CAA"/>
    <w:rsid w:val="00E0225E"/>
    <w:rsid w:val="00E03EBF"/>
    <w:rsid w:val="00E05209"/>
    <w:rsid w:val="00E05AC1"/>
    <w:rsid w:val="00E07A78"/>
    <w:rsid w:val="00E10779"/>
    <w:rsid w:val="00E11BCF"/>
    <w:rsid w:val="00E14A2D"/>
    <w:rsid w:val="00E15CD1"/>
    <w:rsid w:val="00E173CC"/>
    <w:rsid w:val="00E2258E"/>
    <w:rsid w:val="00E2418E"/>
    <w:rsid w:val="00E25DA3"/>
    <w:rsid w:val="00E260C2"/>
    <w:rsid w:val="00E26635"/>
    <w:rsid w:val="00E27670"/>
    <w:rsid w:val="00E32596"/>
    <w:rsid w:val="00E340E0"/>
    <w:rsid w:val="00E3436F"/>
    <w:rsid w:val="00E368F7"/>
    <w:rsid w:val="00E36EB8"/>
    <w:rsid w:val="00E37FB8"/>
    <w:rsid w:val="00E40B07"/>
    <w:rsid w:val="00E413E4"/>
    <w:rsid w:val="00E41811"/>
    <w:rsid w:val="00E41BD1"/>
    <w:rsid w:val="00E42326"/>
    <w:rsid w:val="00E43544"/>
    <w:rsid w:val="00E44D89"/>
    <w:rsid w:val="00E4623B"/>
    <w:rsid w:val="00E477EA"/>
    <w:rsid w:val="00E520CB"/>
    <w:rsid w:val="00E55807"/>
    <w:rsid w:val="00E60291"/>
    <w:rsid w:val="00E61F82"/>
    <w:rsid w:val="00E62DCD"/>
    <w:rsid w:val="00E63B14"/>
    <w:rsid w:val="00E65CA0"/>
    <w:rsid w:val="00E70C02"/>
    <w:rsid w:val="00E70D9F"/>
    <w:rsid w:val="00E72867"/>
    <w:rsid w:val="00E73F1C"/>
    <w:rsid w:val="00E74975"/>
    <w:rsid w:val="00E754B9"/>
    <w:rsid w:val="00E82D72"/>
    <w:rsid w:val="00E8379C"/>
    <w:rsid w:val="00E83810"/>
    <w:rsid w:val="00E86933"/>
    <w:rsid w:val="00E94EA8"/>
    <w:rsid w:val="00E95725"/>
    <w:rsid w:val="00E95E6F"/>
    <w:rsid w:val="00E9605B"/>
    <w:rsid w:val="00E97298"/>
    <w:rsid w:val="00E97753"/>
    <w:rsid w:val="00EA0C51"/>
    <w:rsid w:val="00EA4F1F"/>
    <w:rsid w:val="00EA7DE7"/>
    <w:rsid w:val="00EB1C8C"/>
    <w:rsid w:val="00EB7A8A"/>
    <w:rsid w:val="00EB7D08"/>
    <w:rsid w:val="00EC6FED"/>
    <w:rsid w:val="00EC7BC1"/>
    <w:rsid w:val="00EC7C9E"/>
    <w:rsid w:val="00EC7F3B"/>
    <w:rsid w:val="00ED263A"/>
    <w:rsid w:val="00ED5299"/>
    <w:rsid w:val="00EE1822"/>
    <w:rsid w:val="00EE3A64"/>
    <w:rsid w:val="00EE50E5"/>
    <w:rsid w:val="00EF01CF"/>
    <w:rsid w:val="00EF6810"/>
    <w:rsid w:val="00F001FA"/>
    <w:rsid w:val="00F03590"/>
    <w:rsid w:val="00F03622"/>
    <w:rsid w:val="00F077FD"/>
    <w:rsid w:val="00F16250"/>
    <w:rsid w:val="00F1656D"/>
    <w:rsid w:val="00F204F3"/>
    <w:rsid w:val="00F2149C"/>
    <w:rsid w:val="00F218AB"/>
    <w:rsid w:val="00F238B3"/>
    <w:rsid w:val="00F24FED"/>
    <w:rsid w:val="00F25586"/>
    <w:rsid w:val="00F2651D"/>
    <w:rsid w:val="00F27362"/>
    <w:rsid w:val="00F31498"/>
    <w:rsid w:val="00F31DFF"/>
    <w:rsid w:val="00F32033"/>
    <w:rsid w:val="00F32FEF"/>
    <w:rsid w:val="00F3380B"/>
    <w:rsid w:val="00F40BCC"/>
    <w:rsid w:val="00F41B1C"/>
    <w:rsid w:val="00F42E13"/>
    <w:rsid w:val="00F42F1C"/>
    <w:rsid w:val="00F43B44"/>
    <w:rsid w:val="00F440E5"/>
    <w:rsid w:val="00F4470B"/>
    <w:rsid w:val="00F448F6"/>
    <w:rsid w:val="00F47569"/>
    <w:rsid w:val="00F52741"/>
    <w:rsid w:val="00F53D8A"/>
    <w:rsid w:val="00F60361"/>
    <w:rsid w:val="00F626F7"/>
    <w:rsid w:val="00F715DD"/>
    <w:rsid w:val="00F72189"/>
    <w:rsid w:val="00F72C5B"/>
    <w:rsid w:val="00F736F9"/>
    <w:rsid w:val="00F73833"/>
    <w:rsid w:val="00F8589B"/>
    <w:rsid w:val="00F9211C"/>
    <w:rsid w:val="00F97CCD"/>
    <w:rsid w:val="00FA095D"/>
    <w:rsid w:val="00FA100A"/>
    <w:rsid w:val="00FA67C6"/>
    <w:rsid w:val="00FA6C8B"/>
    <w:rsid w:val="00FA6CDA"/>
    <w:rsid w:val="00FA7C89"/>
    <w:rsid w:val="00FB1B02"/>
    <w:rsid w:val="00FB3CF7"/>
    <w:rsid w:val="00FB4139"/>
    <w:rsid w:val="00FB476E"/>
    <w:rsid w:val="00FB7B1B"/>
    <w:rsid w:val="00FC0D90"/>
    <w:rsid w:val="00FC2AF4"/>
    <w:rsid w:val="00FC7D8C"/>
    <w:rsid w:val="00FD3980"/>
    <w:rsid w:val="00FD431E"/>
    <w:rsid w:val="00FD5A2C"/>
    <w:rsid w:val="00FD7F71"/>
    <w:rsid w:val="00FE0C04"/>
    <w:rsid w:val="00FE0D47"/>
    <w:rsid w:val="00FE1D5C"/>
    <w:rsid w:val="00FE2F8B"/>
    <w:rsid w:val="00FE34EF"/>
    <w:rsid w:val="00FE3669"/>
    <w:rsid w:val="00FE5204"/>
    <w:rsid w:val="00FE6ED8"/>
    <w:rsid w:val="00FF287F"/>
    <w:rsid w:val="00FF443E"/>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AF29E"/>
  <w15:docId w15:val="{DDEE480D-52BF-4038-9942-1B7C16C2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16B"/>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
    <w:basedOn w:val="DefaultParagraphFont"/>
    <w:uiPriority w:val="99"/>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link w:val="ListParagraphChar"/>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character" w:styleId="UnresolvedMention">
    <w:name w:val="Unresolved Mention"/>
    <w:basedOn w:val="DefaultParagraphFont"/>
    <w:uiPriority w:val="99"/>
    <w:semiHidden/>
    <w:unhideWhenUsed/>
    <w:rsid w:val="00EE1822"/>
    <w:rPr>
      <w:color w:val="605E5C"/>
      <w:shd w:val="clear" w:color="auto" w:fill="E1DFDD"/>
    </w:rPr>
  </w:style>
  <w:style w:type="character" w:customStyle="1" w:styleId="ListParagraphChar">
    <w:name w:val="List Paragraph Char"/>
    <w:link w:val="ListParagraph"/>
    <w:uiPriority w:val="34"/>
    <w:locked/>
    <w:rsid w:val="004705A3"/>
    <w:rPr>
      <w:rFonts w:asciiTheme="minorHAnsi" w:hAnsiTheme="minorHAnsi"/>
      <w:sz w:val="24"/>
      <w:lang w:val="en-GB" w:eastAsia="en-US"/>
    </w:rPr>
  </w:style>
  <w:style w:type="character" w:styleId="CommentReference">
    <w:name w:val="annotation reference"/>
    <w:basedOn w:val="DefaultParagraphFont"/>
    <w:semiHidden/>
    <w:unhideWhenUsed/>
    <w:rsid w:val="001C17DD"/>
    <w:rPr>
      <w:sz w:val="16"/>
      <w:szCs w:val="16"/>
    </w:rPr>
  </w:style>
  <w:style w:type="paragraph" w:styleId="CommentText">
    <w:name w:val="annotation text"/>
    <w:basedOn w:val="Normal"/>
    <w:link w:val="CommentTextChar"/>
    <w:unhideWhenUsed/>
    <w:rsid w:val="001C17DD"/>
    <w:rPr>
      <w:sz w:val="20"/>
    </w:rPr>
  </w:style>
  <w:style w:type="character" w:customStyle="1" w:styleId="CommentTextChar">
    <w:name w:val="Comment Text Char"/>
    <w:basedOn w:val="DefaultParagraphFont"/>
    <w:link w:val="CommentText"/>
    <w:rsid w:val="001C17D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1C17DD"/>
    <w:rPr>
      <w:b/>
      <w:bCs/>
    </w:rPr>
  </w:style>
  <w:style w:type="character" w:customStyle="1" w:styleId="CommentSubjectChar">
    <w:name w:val="Comment Subject Char"/>
    <w:basedOn w:val="CommentTextChar"/>
    <w:link w:val="CommentSubject"/>
    <w:semiHidden/>
    <w:rsid w:val="001C17DD"/>
    <w:rPr>
      <w:rFonts w:asciiTheme="minorHAnsi" w:hAnsiTheme="minorHAnsi"/>
      <w:b/>
      <w:bCs/>
      <w:lang w:val="en-GB" w:eastAsia="en-US"/>
    </w:rPr>
  </w:style>
  <w:style w:type="paragraph" w:styleId="Revision">
    <w:name w:val="Revision"/>
    <w:hidden/>
    <w:uiPriority w:val="99"/>
    <w:semiHidden/>
    <w:rsid w:val="008E61C1"/>
    <w:rPr>
      <w:rFonts w:asciiTheme="minorHAnsi" w:hAnsiTheme="minorHAnsi"/>
      <w:sz w:val="24"/>
      <w:lang w:val="en-GB" w:eastAsia="en-US"/>
    </w:rPr>
  </w:style>
  <w:style w:type="paragraph" w:styleId="NormalWeb">
    <w:name w:val="Normal (Web)"/>
    <w:basedOn w:val="Normal"/>
    <w:uiPriority w:val="99"/>
    <w:semiHidden/>
    <w:unhideWhenUsed/>
    <w:rsid w:val="006141C5"/>
    <w:pPr>
      <w:tabs>
        <w:tab w:val="clear" w:pos="794"/>
        <w:tab w:val="clear" w:pos="1191"/>
        <w:tab w:val="clear" w:pos="1588"/>
        <w:tab w:val="clear" w:pos="1985"/>
      </w:tabs>
      <w:overflowPunct/>
      <w:autoSpaceDE/>
      <w:autoSpaceDN/>
      <w:adjustRightInd/>
      <w:spacing w:before="0"/>
      <w:textAlignment w:val="auto"/>
    </w:pPr>
    <w:rPr>
      <w:rFonts w:ascii="Aptos" w:eastAsiaTheme="minorHAnsi" w:hAnsi="Aptos" w:cs="Apto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777">
      <w:bodyDiv w:val="1"/>
      <w:marLeft w:val="0"/>
      <w:marRight w:val="0"/>
      <w:marTop w:val="0"/>
      <w:marBottom w:val="0"/>
      <w:divBdr>
        <w:top w:val="none" w:sz="0" w:space="0" w:color="auto"/>
        <w:left w:val="none" w:sz="0" w:space="0" w:color="auto"/>
        <w:bottom w:val="none" w:sz="0" w:space="0" w:color="auto"/>
        <w:right w:val="none" w:sz="0" w:space="0" w:color="auto"/>
      </w:divBdr>
    </w:div>
    <w:div w:id="71316727">
      <w:bodyDiv w:val="1"/>
      <w:marLeft w:val="0"/>
      <w:marRight w:val="0"/>
      <w:marTop w:val="0"/>
      <w:marBottom w:val="0"/>
      <w:divBdr>
        <w:top w:val="none" w:sz="0" w:space="0" w:color="auto"/>
        <w:left w:val="none" w:sz="0" w:space="0" w:color="auto"/>
        <w:bottom w:val="none" w:sz="0" w:space="0" w:color="auto"/>
        <w:right w:val="none" w:sz="0" w:space="0" w:color="auto"/>
      </w:divBdr>
    </w:div>
    <w:div w:id="92021347">
      <w:bodyDiv w:val="1"/>
      <w:marLeft w:val="0"/>
      <w:marRight w:val="0"/>
      <w:marTop w:val="0"/>
      <w:marBottom w:val="0"/>
      <w:divBdr>
        <w:top w:val="none" w:sz="0" w:space="0" w:color="auto"/>
        <w:left w:val="none" w:sz="0" w:space="0" w:color="auto"/>
        <w:bottom w:val="none" w:sz="0" w:space="0" w:color="auto"/>
        <w:right w:val="none" w:sz="0" w:space="0" w:color="auto"/>
      </w:divBdr>
    </w:div>
    <w:div w:id="364721504">
      <w:bodyDiv w:val="1"/>
      <w:marLeft w:val="0"/>
      <w:marRight w:val="0"/>
      <w:marTop w:val="0"/>
      <w:marBottom w:val="0"/>
      <w:divBdr>
        <w:top w:val="none" w:sz="0" w:space="0" w:color="auto"/>
        <w:left w:val="none" w:sz="0" w:space="0" w:color="auto"/>
        <w:bottom w:val="none" w:sz="0" w:space="0" w:color="auto"/>
        <w:right w:val="none" w:sz="0" w:space="0" w:color="auto"/>
      </w:divBdr>
    </w:div>
    <w:div w:id="392047509">
      <w:bodyDiv w:val="1"/>
      <w:marLeft w:val="0"/>
      <w:marRight w:val="0"/>
      <w:marTop w:val="0"/>
      <w:marBottom w:val="0"/>
      <w:divBdr>
        <w:top w:val="none" w:sz="0" w:space="0" w:color="auto"/>
        <w:left w:val="none" w:sz="0" w:space="0" w:color="auto"/>
        <w:bottom w:val="none" w:sz="0" w:space="0" w:color="auto"/>
        <w:right w:val="none" w:sz="0" w:space="0" w:color="auto"/>
      </w:divBdr>
    </w:div>
    <w:div w:id="648091923">
      <w:bodyDiv w:val="1"/>
      <w:marLeft w:val="0"/>
      <w:marRight w:val="0"/>
      <w:marTop w:val="0"/>
      <w:marBottom w:val="0"/>
      <w:divBdr>
        <w:top w:val="none" w:sz="0" w:space="0" w:color="auto"/>
        <w:left w:val="none" w:sz="0" w:space="0" w:color="auto"/>
        <w:bottom w:val="none" w:sz="0" w:space="0" w:color="auto"/>
        <w:right w:val="none" w:sz="0" w:space="0" w:color="auto"/>
      </w:divBdr>
    </w:div>
    <w:div w:id="746851237">
      <w:bodyDiv w:val="1"/>
      <w:marLeft w:val="0"/>
      <w:marRight w:val="0"/>
      <w:marTop w:val="0"/>
      <w:marBottom w:val="0"/>
      <w:divBdr>
        <w:top w:val="none" w:sz="0" w:space="0" w:color="auto"/>
        <w:left w:val="none" w:sz="0" w:space="0" w:color="auto"/>
        <w:bottom w:val="none" w:sz="0" w:space="0" w:color="auto"/>
        <w:right w:val="none" w:sz="0" w:space="0" w:color="auto"/>
      </w:divBdr>
    </w:div>
    <w:div w:id="804157002">
      <w:bodyDiv w:val="1"/>
      <w:marLeft w:val="0"/>
      <w:marRight w:val="0"/>
      <w:marTop w:val="0"/>
      <w:marBottom w:val="0"/>
      <w:divBdr>
        <w:top w:val="none" w:sz="0" w:space="0" w:color="auto"/>
        <w:left w:val="none" w:sz="0" w:space="0" w:color="auto"/>
        <w:bottom w:val="none" w:sz="0" w:space="0" w:color="auto"/>
        <w:right w:val="none" w:sz="0" w:space="0" w:color="auto"/>
      </w:divBdr>
    </w:div>
    <w:div w:id="853226169">
      <w:bodyDiv w:val="1"/>
      <w:marLeft w:val="0"/>
      <w:marRight w:val="0"/>
      <w:marTop w:val="0"/>
      <w:marBottom w:val="0"/>
      <w:divBdr>
        <w:top w:val="none" w:sz="0" w:space="0" w:color="auto"/>
        <w:left w:val="none" w:sz="0" w:space="0" w:color="auto"/>
        <w:bottom w:val="none" w:sz="0" w:space="0" w:color="auto"/>
        <w:right w:val="none" w:sz="0" w:space="0" w:color="auto"/>
      </w:divBdr>
    </w:div>
    <w:div w:id="873619850">
      <w:bodyDiv w:val="1"/>
      <w:marLeft w:val="0"/>
      <w:marRight w:val="0"/>
      <w:marTop w:val="0"/>
      <w:marBottom w:val="0"/>
      <w:divBdr>
        <w:top w:val="none" w:sz="0" w:space="0" w:color="auto"/>
        <w:left w:val="none" w:sz="0" w:space="0" w:color="auto"/>
        <w:bottom w:val="none" w:sz="0" w:space="0" w:color="auto"/>
        <w:right w:val="none" w:sz="0" w:space="0" w:color="auto"/>
      </w:divBdr>
      <w:divsChild>
        <w:div w:id="1109157092">
          <w:marLeft w:val="0"/>
          <w:marRight w:val="0"/>
          <w:marTop w:val="0"/>
          <w:marBottom w:val="0"/>
          <w:divBdr>
            <w:top w:val="none" w:sz="0" w:space="0" w:color="auto"/>
            <w:left w:val="none" w:sz="0" w:space="0" w:color="auto"/>
            <w:bottom w:val="none" w:sz="0" w:space="0" w:color="auto"/>
            <w:right w:val="none" w:sz="0" w:space="0" w:color="auto"/>
          </w:divBdr>
          <w:divsChild>
            <w:div w:id="1242329374">
              <w:marLeft w:val="0"/>
              <w:marRight w:val="0"/>
              <w:marTop w:val="0"/>
              <w:marBottom w:val="0"/>
              <w:divBdr>
                <w:top w:val="none" w:sz="0" w:space="0" w:color="auto"/>
                <w:left w:val="none" w:sz="0" w:space="0" w:color="auto"/>
                <w:bottom w:val="none" w:sz="0" w:space="0" w:color="auto"/>
                <w:right w:val="none" w:sz="0" w:space="0" w:color="auto"/>
              </w:divBdr>
              <w:divsChild>
                <w:div w:id="79253745">
                  <w:marLeft w:val="0"/>
                  <w:marRight w:val="0"/>
                  <w:marTop w:val="0"/>
                  <w:marBottom w:val="0"/>
                  <w:divBdr>
                    <w:top w:val="none" w:sz="0" w:space="0" w:color="auto"/>
                    <w:left w:val="none" w:sz="0" w:space="0" w:color="auto"/>
                    <w:bottom w:val="none" w:sz="0" w:space="0" w:color="auto"/>
                    <w:right w:val="none" w:sz="0" w:space="0" w:color="auto"/>
                  </w:divBdr>
                  <w:divsChild>
                    <w:div w:id="617107869">
                      <w:marLeft w:val="0"/>
                      <w:marRight w:val="0"/>
                      <w:marTop w:val="0"/>
                      <w:marBottom w:val="0"/>
                      <w:divBdr>
                        <w:top w:val="none" w:sz="0" w:space="0" w:color="auto"/>
                        <w:left w:val="none" w:sz="0" w:space="0" w:color="auto"/>
                        <w:bottom w:val="none" w:sz="0" w:space="0" w:color="auto"/>
                        <w:right w:val="none" w:sz="0" w:space="0" w:color="auto"/>
                      </w:divBdr>
                      <w:divsChild>
                        <w:div w:id="1012220829">
                          <w:marLeft w:val="0"/>
                          <w:marRight w:val="0"/>
                          <w:marTop w:val="0"/>
                          <w:marBottom w:val="0"/>
                          <w:divBdr>
                            <w:top w:val="none" w:sz="0" w:space="0" w:color="auto"/>
                            <w:left w:val="none" w:sz="0" w:space="0" w:color="auto"/>
                            <w:bottom w:val="none" w:sz="0" w:space="0" w:color="auto"/>
                            <w:right w:val="none" w:sz="0" w:space="0" w:color="auto"/>
                          </w:divBdr>
                          <w:divsChild>
                            <w:div w:id="87821945">
                              <w:marLeft w:val="0"/>
                              <w:marRight w:val="0"/>
                              <w:marTop w:val="0"/>
                              <w:marBottom w:val="0"/>
                              <w:divBdr>
                                <w:top w:val="none" w:sz="0" w:space="0" w:color="auto"/>
                                <w:left w:val="none" w:sz="0" w:space="0" w:color="auto"/>
                                <w:bottom w:val="none" w:sz="0" w:space="0" w:color="auto"/>
                                <w:right w:val="none" w:sz="0" w:space="0" w:color="auto"/>
                              </w:divBdr>
                              <w:divsChild>
                                <w:div w:id="1490561938">
                                  <w:marLeft w:val="0"/>
                                  <w:marRight w:val="0"/>
                                  <w:marTop w:val="0"/>
                                  <w:marBottom w:val="0"/>
                                  <w:divBdr>
                                    <w:top w:val="none" w:sz="0" w:space="0" w:color="auto"/>
                                    <w:left w:val="none" w:sz="0" w:space="0" w:color="auto"/>
                                    <w:bottom w:val="none" w:sz="0" w:space="0" w:color="auto"/>
                                    <w:right w:val="none" w:sz="0" w:space="0" w:color="auto"/>
                                  </w:divBdr>
                                  <w:divsChild>
                                    <w:div w:id="921573760">
                                      <w:marLeft w:val="0"/>
                                      <w:marRight w:val="0"/>
                                      <w:marTop w:val="0"/>
                                      <w:marBottom w:val="0"/>
                                      <w:divBdr>
                                        <w:top w:val="none" w:sz="0" w:space="0" w:color="auto"/>
                                        <w:left w:val="none" w:sz="0" w:space="0" w:color="auto"/>
                                        <w:bottom w:val="none" w:sz="0" w:space="0" w:color="auto"/>
                                        <w:right w:val="none" w:sz="0" w:space="0" w:color="auto"/>
                                      </w:divBdr>
                                      <w:divsChild>
                                        <w:div w:id="1591696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94916066">
                          <w:marLeft w:val="0"/>
                          <w:marRight w:val="0"/>
                          <w:marTop w:val="0"/>
                          <w:marBottom w:val="0"/>
                          <w:divBdr>
                            <w:top w:val="none" w:sz="0" w:space="0" w:color="auto"/>
                            <w:left w:val="none" w:sz="0" w:space="0" w:color="auto"/>
                            <w:bottom w:val="none" w:sz="0" w:space="0" w:color="auto"/>
                            <w:right w:val="none" w:sz="0" w:space="0" w:color="auto"/>
                          </w:divBdr>
                          <w:divsChild>
                            <w:div w:id="1271082836">
                              <w:marLeft w:val="0"/>
                              <w:marRight w:val="0"/>
                              <w:marTop w:val="0"/>
                              <w:marBottom w:val="0"/>
                              <w:divBdr>
                                <w:top w:val="none" w:sz="0" w:space="0" w:color="auto"/>
                                <w:left w:val="none" w:sz="0" w:space="0" w:color="auto"/>
                                <w:bottom w:val="none" w:sz="0" w:space="0" w:color="auto"/>
                                <w:right w:val="none" w:sz="0" w:space="0" w:color="auto"/>
                              </w:divBdr>
                              <w:divsChild>
                                <w:div w:id="192861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202093">
      <w:bodyDiv w:val="1"/>
      <w:marLeft w:val="0"/>
      <w:marRight w:val="0"/>
      <w:marTop w:val="0"/>
      <w:marBottom w:val="0"/>
      <w:divBdr>
        <w:top w:val="none" w:sz="0" w:space="0" w:color="auto"/>
        <w:left w:val="none" w:sz="0" w:space="0" w:color="auto"/>
        <w:bottom w:val="none" w:sz="0" w:space="0" w:color="auto"/>
        <w:right w:val="none" w:sz="0" w:space="0" w:color="auto"/>
      </w:divBdr>
    </w:div>
    <w:div w:id="1063481360">
      <w:bodyDiv w:val="1"/>
      <w:marLeft w:val="0"/>
      <w:marRight w:val="0"/>
      <w:marTop w:val="0"/>
      <w:marBottom w:val="0"/>
      <w:divBdr>
        <w:top w:val="none" w:sz="0" w:space="0" w:color="auto"/>
        <w:left w:val="none" w:sz="0" w:space="0" w:color="auto"/>
        <w:bottom w:val="none" w:sz="0" w:space="0" w:color="auto"/>
        <w:right w:val="none" w:sz="0" w:space="0" w:color="auto"/>
      </w:divBdr>
    </w:div>
    <w:div w:id="1146975989">
      <w:bodyDiv w:val="1"/>
      <w:marLeft w:val="0"/>
      <w:marRight w:val="0"/>
      <w:marTop w:val="0"/>
      <w:marBottom w:val="0"/>
      <w:divBdr>
        <w:top w:val="none" w:sz="0" w:space="0" w:color="auto"/>
        <w:left w:val="none" w:sz="0" w:space="0" w:color="auto"/>
        <w:bottom w:val="none" w:sz="0" w:space="0" w:color="auto"/>
        <w:right w:val="none" w:sz="0" w:space="0" w:color="auto"/>
      </w:divBdr>
    </w:div>
    <w:div w:id="1167744870">
      <w:bodyDiv w:val="1"/>
      <w:marLeft w:val="0"/>
      <w:marRight w:val="0"/>
      <w:marTop w:val="0"/>
      <w:marBottom w:val="0"/>
      <w:divBdr>
        <w:top w:val="none" w:sz="0" w:space="0" w:color="auto"/>
        <w:left w:val="none" w:sz="0" w:space="0" w:color="auto"/>
        <w:bottom w:val="none" w:sz="0" w:space="0" w:color="auto"/>
        <w:right w:val="none" w:sz="0" w:space="0" w:color="auto"/>
      </w:divBdr>
      <w:divsChild>
        <w:div w:id="1759323627">
          <w:marLeft w:val="0"/>
          <w:marRight w:val="0"/>
          <w:marTop w:val="0"/>
          <w:marBottom w:val="0"/>
          <w:divBdr>
            <w:top w:val="none" w:sz="0" w:space="0" w:color="auto"/>
            <w:left w:val="none" w:sz="0" w:space="0" w:color="auto"/>
            <w:bottom w:val="none" w:sz="0" w:space="0" w:color="auto"/>
            <w:right w:val="none" w:sz="0" w:space="0" w:color="auto"/>
          </w:divBdr>
          <w:divsChild>
            <w:div w:id="1237206030">
              <w:marLeft w:val="0"/>
              <w:marRight w:val="0"/>
              <w:marTop w:val="0"/>
              <w:marBottom w:val="0"/>
              <w:divBdr>
                <w:top w:val="none" w:sz="0" w:space="0" w:color="auto"/>
                <w:left w:val="none" w:sz="0" w:space="0" w:color="auto"/>
                <w:bottom w:val="none" w:sz="0" w:space="0" w:color="auto"/>
                <w:right w:val="none" w:sz="0" w:space="0" w:color="auto"/>
              </w:divBdr>
              <w:divsChild>
                <w:div w:id="323361936">
                  <w:marLeft w:val="0"/>
                  <w:marRight w:val="0"/>
                  <w:marTop w:val="0"/>
                  <w:marBottom w:val="0"/>
                  <w:divBdr>
                    <w:top w:val="none" w:sz="0" w:space="0" w:color="auto"/>
                    <w:left w:val="none" w:sz="0" w:space="0" w:color="auto"/>
                    <w:bottom w:val="none" w:sz="0" w:space="0" w:color="auto"/>
                    <w:right w:val="none" w:sz="0" w:space="0" w:color="auto"/>
                  </w:divBdr>
                  <w:divsChild>
                    <w:div w:id="1244336546">
                      <w:marLeft w:val="0"/>
                      <w:marRight w:val="0"/>
                      <w:marTop w:val="0"/>
                      <w:marBottom w:val="0"/>
                      <w:divBdr>
                        <w:top w:val="none" w:sz="0" w:space="0" w:color="auto"/>
                        <w:left w:val="none" w:sz="0" w:space="0" w:color="auto"/>
                        <w:bottom w:val="none" w:sz="0" w:space="0" w:color="auto"/>
                        <w:right w:val="none" w:sz="0" w:space="0" w:color="auto"/>
                      </w:divBdr>
                      <w:divsChild>
                        <w:div w:id="108817006">
                          <w:marLeft w:val="0"/>
                          <w:marRight w:val="0"/>
                          <w:marTop w:val="0"/>
                          <w:marBottom w:val="0"/>
                          <w:divBdr>
                            <w:top w:val="none" w:sz="0" w:space="0" w:color="auto"/>
                            <w:left w:val="none" w:sz="0" w:space="0" w:color="auto"/>
                            <w:bottom w:val="none" w:sz="0" w:space="0" w:color="auto"/>
                            <w:right w:val="none" w:sz="0" w:space="0" w:color="auto"/>
                          </w:divBdr>
                          <w:divsChild>
                            <w:div w:id="1250506536">
                              <w:marLeft w:val="0"/>
                              <w:marRight w:val="0"/>
                              <w:marTop w:val="0"/>
                              <w:marBottom w:val="0"/>
                              <w:divBdr>
                                <w:top w:val="none" w:sz="0" w:space="0" w:color="auto"/>
                                <w:left w:val="none" w:sz="0" w:space="0" w:color="auto"/>
                                <w:bottom w:val="none" w:sz="0" w:space="0" w:color="auto"/>
                                <w:right w:val="none" w:sz="0" w:space="0" w:color="auto"/>
                              </w:divBdr>
                              <w:divsChild>
                                <w:div w:id="1201167809">
                                  <w:marLeft w:val="0"/>
                                  <w:marRight w:val="0"/>
                                  <w:marTop w:val="0"/>
                                  <w:marBottom w:val="0"/>
                                  <w:divBdr>
                                    <w:top w:val="none" w:sz="0" w:space="0" w:color="auto"/>
                                    <w:left w:val="none" w:sz="0" w:space="0" w:color="auto"/>
                                    <w:bottom w:val="none" w:sz="0" w:space="0" w:color="auto"/>
                                    <w:right w:val="none" w:sz="0" w:space="0" w:color="auto"/>
                                  </w:divBdr>
                                  <w:divsChild>
                                    <w:div w:id="1586693115">
                                      <w:marLeft w:val="0"/>
                                      <w:marRight w:val="0"/>
                                      <w:marTop w:val="0"/>
                                      <w:marBottom w:val="0"/>
                                      <w:divBdr>
                                        <w:top w:val="none" w:sz="0" w:space="0" w:color="auto"/>
                                        <w:left w:val="none" w:sz="0" w:space="0" w:color="auto"/>
                                        <w:bottom w:val="none" w:sz="0" w:space="0" w:color="auto"/>
                                        <w:right w:val="none" w:sz="0" w:space="0" w:color="auto"/>
                                      </w:divBdr>
                                      <w:divsChild>
                                        <w:div w:id="99566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86026805">
                          <w:marLeft w:val="0"/>
                          <w:marRight w:val="0"/>
                          <w:marTop w:val="0"/>
                          <w:marBottom w:val="0"/>
                          <w:divBdr>
                            <w:top w:val="none" w:sz="0" w:space="0" w:color="auto"/>
                            <w:left w:val="none" w:sz="0" w:space="0" w:color="auto"/>
                            <w:bottom w:val="none" w:sz="0" w:space="0" w:color="auto"/>
                            <w:right w:val="none" w:sz="0" w:space="0" w:color="auto"/>
                          </w:divBdr>
                          <w:divsChild>
                            <w:div w:id="1432622661">
                              <w:marLeft w:val="0"/>
                              <w:marRight w:val="0"/>
                              <w:marTop w:val="0"/>
                              <w:marBottom w:val="0"/>
                              <w:divBdr>
                                <w:top w:val="none" w:sz="0" w:space="0" w:color="auto"/>
                                <w:left w:val="none" w:sz="0" w:space="0" w:color="auto"/>
                                <w:bottom w:val="none" w:sz="0" w:space="0" w:color="auto"/>
                                <w:right w:val="none" w:sz="0" w:space="0" w:color="auto"/>
                              </w:divBdr>
                              <w:divsChild>
                                <w:div w:id="45190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057268">
      <w:bodyDiv w:val="1"/>
      <w:marLeft w:val="0"/>
      <w:marRight w:val="0"/>
      <w:marTop w:val="0"/>
      <w:marBottom w:val="0"/>
      <w:divBdr>
        <w:top w:val="none" w:sz="0" w:space="0" w:color="auto"/>
        <w:left w:val="none" w:sz="0" w:space="0" w:color="auto"/>
        <w:bottom w:val="none" w:sz="0" w:space="0" w:color="auto"/>
        <w:right w:val="none" w:sz="0" w:space="0" w:color="auto"/>
      </w:divBdr>
    </w:div>
    <w:div w:id="1599483457">
      <w:bodyDiv w:val="1"/>
      <w:marLeft w:val="0"/>
      <w:marRight w:val="0"/>
      <w:marTop w:val="0"/>
      <w:marBottom w:val="0"/>
      <w:divBdr>
        <w:top w:val="none" w:sz="0" w:space="0" w:color="auto"/>
        <w:left w:val="none" w:sz="0" w:space="0" w:color="auto"/>
        <w:bottom w:val="none" w:sz="0" w:space="0" w:color="auto"/>
        <w:right w:val="none" w:sz="0" w:space="0" w:color="auto"/>
      </w:divBdr>
    </w:div>
    <w:div w:id="1708679444">
      <w:bodyDiv w:val="1"/>
      <w:marLeft w:val="0"/>
      <w:marRight w:val="0"/>
      <w:marTop w:val="0"/>
      <w:marBottom w:val="0"/>
      <w:divBdr>
        <w:top w:val="none" w:sz="0" w:space="0" w:color="auto"/>
        <w:left w:val="none" w:sz="0" w:space="0" w:color="auto"/>
        <w:bottom w:val="none" w:sz="0" w:space="0" w:color="auto"/>
        <w:right w:val="none" w:sz="0" w:space="0" w:color="auto"/>
      </w:divBdr>
    </w:div>
    <w:div w:id="1728262428">
      <w:bodyDiv w:val="1"/>
      <w:marLeft w:val="0"/>
      <w:marRight w:val="0"/>
      <w:marTop w:val="0"/>
      <w:marBottom w:val="0"/>
      <w:divBdr>
        <w:top w:val="none" w:sz="0" w:space="0" w:color="auto"/>
        <w:left w:val="none" w:sz="0" w:space="0" w:color="auto"/>
        <w:bottom w:val="none" w:sz="0" w:space="0" w:color="auto"/>
        <w:right w:val="none" w:sz="0" w:space="0" w:color="auto"/>
      </w:divBdr>
    </w:div>
    <w:div w:id="1775901686">
      <w:bodyDiv w:val="1"/>
      <w:marLeft w:val="0"/>
      <w:marRight w:val="0"/>
      <w:marTop w:val="0"/>
      <w:marBottom w:val="0"/>
      <w:divBdr>
        <w:top w:val="none" w:sz="0" w:space="0" w:color="auto"/>
        <w:left w:val="none" w:sz="0" w:space="0" w:color="auto"/>
        <w:bottom w:val="none" w:sz="0" w:space="0" w:color="auto"/>
        <w:right w:val="none" w:sz="0" w:space="0" w:color="auto"/>
      </w:divBdr>
    </w:div>
    <w:div w:id="1812945758">
      <w:bodyDiv w:val="1"/>
      <w:marLeft w:val="0"/>
      <w:marRight w:val="0"/>
      <w:marTop w:val="0"/>
      <w:marBottom w:val="0"/>
      <w:divBdr>
        <w:top w:val="none" w:sz="0" w:space="0" w:color="auto"/>
        <w:left w:val="none" w:sz="0" w:space="0" w:color="auto"/>
        <w:bottom w:val="none" w:sz="0" w:space="0" w:color="auto"/>
        <w:right w:val="none" w:sz="0" w:space="0" w:color="auto"/>
      </w:divBdr>
    </w:div>
    <w:div w:id="1856962764">
      <w:bodyDiv w:val="1"/>
      <w:marLeft w:val="0"/>
      <w:marRight w:val="0"/>
      <w:marTop w:val="0"/>
      <w:marBottom w:val="0"/>
      <w:divBdr>
        <w:top w:val="none" w:sz="0" w:space="0" w:color="auto"/>
        <w:left w:val="none" w:sz="0" w:space="0" w:color="auto"/>
        <w:bottom w:val="none" w:sz="0" w:space="0" w:color="auto"/>
        <w:right w:val="none" w:sz="0" w:space="0" w:color="auto"/>
      </w:divBdr>
    </w:div>
    <w:div w:id="1858425716">
      <w:bodyDiv w:val="1"/>
      <w:marLeft w:val="0"/>
      <w:marRight w:val="0"/>
      <w:marTop w:val="0"/>
      <w:marBottom w:val="0"/>
      <w:divBdr>
        <w:top w:val="none" w:sz="0" w:space="0" w:color="auto"/>
        <w:left w:val="none" w:sz="0" w:space="0" w:color="auto"/>
        <w:bottom w:val="none" w:sz="0" w:space="0" w:color="auto"/>
        <w:right w:val="none" w:sz="0" w:space="0" w:color="auto"/>
      </w:divBdr>
    </w:div>
    <w:div w:id="191747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D22-TDAG31-240520-TD-0004/" TargetMode="External"/><Relationship Id="rId18" Type="http://schemas.openxmlformats.org/officeDocument/2006/relationships/hyperlink" Target="https://www.itu.int/md/D22-TDAG.WG.DEC-C-0012/" TargetMode="External"/><Relationship Id="rId26" Type="http://schemas.openxmlformats.org/officeDocument/2006/relationships/hyperlink" Target="https://www.itu.int/md/D22-TDAG32-C-0048/en" TargetMode="External"/><Relationship Id="rId3" Type="http://schemas.openxmlformats.org/officeDocument/2006/relationships/customXml" Target="../customXml/item3.xml"/><Relationship Id="rId21" Type="http://schemas.openxmlformats.org/officeDocument/2006/relationships/hyperlink" Target="https://www.itu.int/md/D22-TDAG.WG.DEC-C-0018/"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itu.int/md/D22-TDAG.WG.DEC-C-0004/" TargetMode="External"/><Relationship Id="rId25" Type="http://schemas.openxmlformats.org/officeDocument/2006/relationships/hyperlink" Target="https://www.itu.int/md/D22-TDAG32-C-0056/e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md/D22-TDAG.WG.DEC-INF-0001/" TargetMode="External"/><Relationship Id="rId20" Type="http://schemas.openxmlformats.org/officeDocument/2006/relationships/hyperlink" Target="https://www.itu.int/md/D22-TDAG.WG.DEC-C-0014/en" TargetMode="External"/><Relationship Id="rId29" Type="http://schemas.openxmlformats.org/officeDocument/2006/relationships/hyperlink" Target="https://www.itu.int/md/D22-TDAG32-C-0018/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md/D22-TDAG.WG.DEC-C-002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md/D22-TDAG.WG.DEC-C-0014/en" TargetMode="External"/><Relationship Id="rId23" Type="http://schemas.openxmlformats.org/officeDocument/2006/relationships/hyperlink" Target="https://www.itu.int/md/D22-TDAG.WG.DEC-C-0020/" TargetMode="External"/><Relationship Id="rId28" Type="http://schemas.openxmlformats.org/officeDocument/2006/relationships/hyperlink" Target="https://www.itu.int/md/D22-TDAG.WG.DEC-250514-TD-0001/en" TargetMode="External"/><Relationship Id="rId10" Type="http://schemas.openxmlformats.org/officeDocument/2006/relationships/endnotes" Target="endnotes.xml"/><Relationship Id="rId19" Type="http://schemas.openxmlformats.org/officeDocument/2006/relationships/hyperlink" Target="https://www.itu.int/md/D22-TDAG.WG.DEC-C-0014/en"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dms_pub/itu-d/md/22/tdag.wg.dec/c/D22-TDAG.WG.DEC-C-0017!!MSW-E.docx" TargetMode="External"/><Relationship Id="rId22" Type="http://schemas.openxmlformats.org/officeDocument/2006/relationships/hyperlink" Target="https://www.itu.int/md/D22-TDAG.WG.DEC-C-0019/" TargetMode="External"/><Relationship Id="rId27" Type="http://schemas.openxmlformats.org/officeDocument/2006/relationships/hyperlink" Target="https://www.itu.int/md/D22-TDAG.WG.DEC-250514-TD-0001/en"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hyperlink" Target="mailto:TDAG-WG-DEC@lists.itu.int" TargetMode="External"/><Relationship Id="rId2" Type="http://schemas.openxmlformats.org/officeDocument/2006/relationships/hyperlink" Target="mailto:tdag-secretariat@itu.int" TargetMode="External"/><Relationship Id="rId1" Type="http://schemas.openxmlformats.org/officeDocument/2006/relationships/hyperlink" Target="mailto:oloyede.aa@unilorin.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6D76106C0699043BAEC233347507970" ma:contentTypeVersion="17" ma:contentTypeDescription="Create a new document." ma:contentTypeScope="" ma:versionID="98dc16c74f77d92d1bb6cb4b0c3ae757">
  <xsd:schema xmlns:xsd="http://www.w3.org/2001/XMLSchema" xmlns:xs="http://www.w3.org/2001/XMLSchema" xmlns:p="http://schemas.microsoft.com/office/2006/metadata/properties" xmlns:ns2="28b57394-764b-4c95-9edc-f65ae3c1af13" xmlns:ns3="365cf670-b44e-4dbb-b1e7-5ca0e9f395b1" targetNamespace="http://schemas.microsoft.com/office/2006/metadata/properties" ma:root="true" ma:fieldsID="adfa0e3f5e5a423483900749a5d0d07a" ns2:_="" ns3:_="">
    <xsd:import namespace="28b57394-764b-4c95-9edc-f65ae3c1af13"/>
    <xsd:import namespace="365cf670-b44e-4dbb-b1e7-5ca0e9f395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57394-764b-4c95-9edc-f65ae3c1a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cf670-b44e-4dbb-b1e7-5ca0e9f395b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7776fd9-5068-4ffa-87a4-e6b077caf2fb}" ma:internalName="TaxCatchAll" ma:showField="CatchAllData" ma:web="365cf670-b44e-4dbb-b1e7-5ca0e9f395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b57394-764b-4c95-9edc-f65ae3c1af13">
      <Terms xmlns="http://schemas.microsoft.com/office/infopath/2007/PartnerControls"/>
    </lcf76f155ced4ddcb4097134ff3c332f>
    <TaxCatchAll xmlns="365cf670-b44e-4dbb-b1e7-5ca0e9f395b1" xsi:nil="true"/>
  </documentManagement>
</p:properties>
</file>

<file path=customXml/itemProps1.xml><?xml version="1.0" encoding="utf-8"?>
<ds:datastoreItem xmlns:ds="http://schemas.openxmlformats.org/officeDocument/2006/customXml" ds:itemID="{0617E243-CB01-4DD2-9601-80AA209EE04B}">
  <ds:schemaRefs>
    <ds:schemaRef ds:uri="http://schemas.microsoft.com/sharepoint/v3/contenttype/forms"/>
  </ds:schemaRefs>
</ds:datastoreItem>
</file>

<file path=customXml/itemProps2.xml><?xml version="1.0" encoding="utf-8"?>
<ds:datastoreItem xmlns:ds="http://schemas.openxmlformats.org/officeDocument/2006/customXml" ds:itemID="{BACF41A4-028F-4752-A2BC-E01D80CDE6F4}">
  <ds:schemaRefs>
    <ds:schemaRef ds:uri="http://schemas.openxmlformats.org/officeDocument/2006/bibliography"/>
  </ds:schemaRefs>
</ds:datastoreItem>
</file>

<file path=customXml/itemProps3.xml><?xml version="1.0" encoding="utf-8"?>
<ds:datastoreItem xmlns:ds="http://schemas.openxmlformats.org/officeDocument/2006/customXml" ds:itemID="{B53EAE31-7CC5-4472-8DEE-393CFC1C0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57394-764b-4c95-9edc-f65ae3c1af13"/>
    <ds:schemaRef ds:uri="365cf670-b44e-4dbb-b1e7-5ca0e9f39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C1FC00-253F-4F1A-B02C-A7E9E8BEAF7D}">
  <ds:schemaRefs>
    <ds:schemaRef ds:uri="http://schemas.microsoft.com/office/2006/metadata/properties"/>
    <ds:schemaRef ds:uri="http://schemas.microsoft.com/office/infopath/2007/PartnerControls"/>
    <ds:schemaRef ds:uri="28b57394-764b-4c95-9edc-f65ae3c1af13"/>
    <ds:schemaRef ds:uri="365cf670-b44e-4dbb-b1e7-5ca0e9f395b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1211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creator>BDT-nd</dc:creator>
  <cp:lastModifiedBy>BDT</cp:lastModifiedBy>
  <cp:revision>9</cp:revision>
  <cp:lastPrinted>2014-11-04T09:22:00Z</cp:lastPrinted>
  <dcterms:created xsi:type="dcterms:W3CDTF">2025-05-15T15:05:00Z</dcterms:created>
  <dcterms:modified xsi:type="dcterms:W3CDTF">2025-05-15T15:17:00Z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y fmtid="{D5CDD505-2E9C-101B-9397-08002B2CF9AE}" pid="8" name="ContentTypeId">
    <vt:lpwstr>0x010100E6D76106C0699043BAEC233347507970</vt:lpwstr>
  </property>
  <property fmtid="{D5CDD505-2E9C-101B-9397-08002B2CF9AE}" pid="9" name="MediaServiceImageTags">
    <vt:lpwstr/>
  </property>
</Properties>
</file>