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DA20" w14:textId="77777777" w:rsidR="00DA5F66" w:rsidRPr="00DA5F66" w:rsidRDefault="00DA5F66" w:rsidP="00DA5F66">
      <w:pPr>
        <w:tabs>
          <w:tab w:val="clear" w:pos="794"/>
          <w:tab w:val="clear" w:pos="1191"/>
          <w:tab w:val="clear" w:pos="1588"/>
          <w:tab w:val="clear" w:pos="1985"/>
          <w:tab w:val="center" w:pos="4820"/>
          <w:tab w:val="right" w:pos="9639"/>
        </w:tabs>
        <w:spacing w:after="120"/>
        <w:ind w:right="1"/>
        <w:rPr>
          <w:rFonts w:cstheme="minorHAnsi"/>
          <w:b/>
          <w:bCs/>
          <w:szCs w:val="24"/>
        </w:rPr>
      </w:pPr>
      <w:r w:rsidRPr="00DA5F66">
        <w:rPr>
          <w:rFonts w:cstheme="minorHAnsi"/>
          <w:b/>
          <w:bCs/>
          <w:szCs w:val="24"/>
        </w:rPr>
        <w:t xml:space="preserve">Annex 1. Inputs received from GCYE Africa Region </w:t>
      </w:r>
    </w:p>
    <w:p w14:paraId="5B29B2A3" w14:textId="308BF0C9" w:rsidR="00923CF1" w:rsidRPr="00DA5F66" w:rsidRDefault="00923CF1" w:rsidP="00DA5F66">
      <w:pPr>
        <w:tabs>
          <w:tab w:val="clear" w:pos="794"/>
          <w:tab w:val="clear" w:pos="1191"/>
          <w:tab w:val="clear" w:pos="1588"/>
          <w:tab w:val="clear" w:pos="1985"/>
        </w:tabs>
        <w:overflowPunct/>
        <w:autoSpaceDE/>
        <w:autoSpaceDN/>
        <w:adjustRightInd/>
        <w:spacing w:after="120"/>
        <w:textAlignment w:val="auto"/>
        <w:rPr>
          <w:rFonts w:cstheme="minorHAnsi"/>
          <w:szCs w:val="24"/>
        </w:rPr>
      </w:pPr>
    </w:p>
    <w:p w14:paraId="2F362FD7" w14:textId="77777777" w:rsidR="006A7D18" w:rsidRPr="00DA5F66" w:rsidRDefault="006A7D18" w:rsidP="00DA5F66">
      <w:pPr>
        <w:spacing w:after="120"/>
        <w:jc w:val="center"/>
        <w:rPr>
          <w:rFonts w:cstheme="minorHAnsi"/>
          <w:szCs w:val="24"/>
        </w:rPr>
      </w:pPr>
      <w:r w:rsidRPr="00DA5F66">
        <w:rPr>
          <w:rFonts w:cstheme="minorHAnsi"/>
          <w:b/>
          <w:bCs/>
          <w:szCs w:val="24"/>
        </w:rPr>
        <w:t>Contributions of the ITU Generation Connect Youth Envoys for Africa on Regional Priorities for Africa towards the Regional Preparatory Meeting (RPM) and The Global Youth Summit (GYS)</w:t>
      </w:r>
      <w:r w:rsidRPr="00DA5F66">
        <w:rPr>
          <w:rFonts w:cstheme="minorHAnsi"/>
          <w:szCs w:val="24"/>
        </w:rPr>
        <w:br/>
      </w:r>
      <w:r w:rsidRPr="00DA5F66">
        <w:rPr>
          <w:rFonts w:cstheme="minorHAnsi"/>
          <w:b/>
          <w:bCs/>
          <w:szCs w:val="24"/>
        </w:rPr>
        <w:t>November, Addis Ababa</w:t>
      </w:r>
    </w:p>
    <w:p w14:paraId="4CD60FAA" w14:textId="77777777" w:rsidR="006A7D18" w:rsidRPr="00DA5F66" w:rsidRDefault="006A7D18" w:rsidP="00DA5F66">
      <w:pPr>
        <w:spacing w:after="120"/>
        <w:rPr>
          <w:rFonts w:cstheme="minorHAnsi"/>
          <w:b/>
          <w:bCs/>
          <w:szCs w:val="24"/>
        </w:rPr>
      </w:pPr>
      <w:r w:rsidRPr="00DA5F66">
        <w:rPr>
          <w:rFonts w:cstheme="minorHAnsi"/>
          <w:b/>
          <w:bCs/>
          <w:szCs w:val="24"/>
        </w:rPr>
        <w:t>Introduction</w:t>
      </w:r>
    </w:p>
    <w:p w14:paraId="4B23CE50" w14:textId="77777777" w:rsidR="006A7D18" w:rsidRPr="00DA5F66" w:rsidRDefault="006A7D18" w:rsidP="00DA5F66">
      <w:pPr>
        <w:spacing w:after="120"/>
        <w:rPr>
          <w:rFonts w:cstheme="minorHAnsi"/>
          <w:szCs w:val="24"/>
        </w:rPr>
      </w:pPr>
      <w:r w:rsidRPr="00DA5F66">
        <w:rPr>
          <w:rFonts w:cstheme="minorHAnsi"/>
          <w:szCs w:val="24"/>
        </w:rPr>
        <w:t>African youth are vital stakeholders in shaping our continent's digital future. We welcome current initiatives at the African Union and Council of Africa levels, particularly the Youth Policy Dialogues and AU Youth Commissioner's work. ITU seeks to support the promotion of inclusive, open, fair, safe, and sustainable digital transformation that upholds human rights and empowers all communities.</w:t>
      </w:r>
    </w:p>
    <w:p w14:paraId="37AEBFEF" w14:textId="77777777" w:rsidR="006A7D18" w:rsidRPr="00DA5F66" w:rsidRDefault="006A7D18" w:rsidP="00DA5F66">
      <w:pPr>
        <w:spacing w:after="120"/>
        <w:rPr>
          <w:rFonts w:cstheme="minorHAnsi"/>
          <w:szCs w:val="24"/>
        </w:rPr>
      </w:pPr>
      <w:r w:rsidRPr="00DA5F66">
        <w:rPr>
          <w:rFonts w:cstheme="minorHAnsi"/>
          <w:szCs w:val="24"/>
        </w:rPr>
        <w:t xml:space="preserve"> ITU Generation Connect Youth Envoys for Africa commit to fostering digital transformation by aligning with the 2030 Agenda for Sustainable Development, the WSIS outcomes, and ITU’s Connect 2030 Agenda, in support of African Union's Agenda 2063. Upholding human rights in the digital space is essential, as outlined in the Global Digital Compact and UN Declaration on Future Generations, focusing on digital governance and youth engagement.</w:t>
      </w:r>
    </w:p>
    <w:p w14:paraId="46060ABE" w14:textId="77777777" w:rsidR="006A7D18" w:rsidRPr="00DA5F66" w:rsidRDefault="006A7D18" w:rsidP="00DA5F66">
      <w:pPr>
        <w:spacing w:after="120"/>
        <w:rPr>
          <w:rFonts w:cstheme="minorHAnsi"/>
          <w:szCs w:val="24"/>
        </w:rPr>
      </w:pPr>
      <w:r w:rsidRPr="00DA5F66">
        <w:rPr>
          <w:rFonts w:cstheme="minorHAnsi"/>
          <w:szCs w:val="24"/>
        </w:rPr>
        <w:t xml:space="preserve">As Generation Connect Youth Envoys for Africa, we present our vision and priorities for Africa's digital transformation towards 2030. Our recommendations focus on five key pillars, which we believe encompass the key points for innovation on the continent and consider the ITU regional initiative. Our recommendations focus on </w:t>
      </w:r>
      <w:r w:rsidRPr="00DA5F66">
        <w:rPr>
          <w:rFonts w:cstheme="minorHAnsi"/>
          <w:b/>
          <w:bCs/>
          <w:szCs w:val="24"/>
        </w:rPr>
        <w:t>Broadband Connectivity, Digital Public Infrastructure, Digital Inclusion and Innovation, Cybersecurity, and Artificial Intelligence and Emerging Technologies</w:t>
      </w:r>
      <w:r w:rsidRPr="00DA5F66">
        <w:rPr>
          <w:rFonts w:cstheme="minorHAnsi"/>
          <w:szCs w:val="24"/>
        </w:rPr>
        <w:t>.” These priorities align with the Global Digital Compact, UN Declaration on Future Generations, and ITU's Connect 2030 Agenda.</w:t>
      </w:r>
    </w:p>
    <w:p w14:paraId="70D6E979" w14:textId="77777777" w:rsidR="006A7D18" w:rsidRPr="00DA5F66" w:rsidRDefault="006A7D18" w:rsidP="00DA5F66">
      <w:pPr>
        <w:spacing w:after="120"/>
        <w:rPr>
          <w:rFonts w:cstheme="minorHAnsi"/>
          <w:b/>
          <w:bCs/>
          <w:szCs w:val="24"/>
        </w:rPr>
      </w:pPr>
      <w:r w:rsidRPr="00DA5F66">
        <w:rPr>
          <w:rFonts w:cstheme="minorHAnsi"/>
          <w:b/>
          <w:bCs/>
          <w:szCs w:val="24"/>
        </w:rPr>
        <w:t>1. Broadband Connectivity and Digital Infrastructure</w:t>
      </w:r>
    </w:p>
    <w:p w14:paraId="7FC7A79C" w14:textId="77777777" w:rsidR="006A7D18" w:rsidRPr="00DA5F66" w:rsidRDefault="006A7D18" w:rsidP="00DA5F66">
      <w:pPr>
        <w:spacing w:after="120"/>
        <w:rPr>
          <w:rFonts w:cstheme="minorHAnsi"/>
          <w:szCs w:val="24"/>
        </w:rPr>
      </w:pPr>
      <w:r w:rsidRPr="00DA5F66">
        <w:rPr>
          <w:rFonts w:cstheme="minorHAnsi"/>
          <w:szCs w:val="24"/>
        </w:rPr>
        <w:t>Imagine an Africa where high-speed internet reaches the remotest villages, connectivity using various technologies, including 5G networks, power smart cities, and no one is left offline. This vision begins with infrastructure. While urban areas thrive with connectivity, too many of our rural communities remain unconnected. Women, particularly in remote areas, face additional barriers to access. Reliable power infrastructure is crucial for digital connectivity and broadband access. Digital networks, internet services, and digital technologies in general can only function effectively with a consistent electricity supply, particularly in remote areas. A steady power supply enables access to digital technologies, including online education, digital healthcare, and economic opportunities. It is a key driver for sustainable development and bridging the digital divide in Africa. Addressing these digital divides is paramount.</w:t>
      </w:r>
    </w:p>
    <w:p w14:paraId="2976182A" w14:textId="77777777" w:rsidR="006A7D18" w:rsidRPr="00DA5F66" w:rsidRDefault="006A7D18" w:rsidP="00DA5F66">
      <w:pPr>
        <w:spacing w:after="120"/>
        <w:rPr>
          <w:rFonts w:cstheme="minorHAnsi"/>
          <w:szCs w:val="24"/>
        </w:rPr>
      </w:pPr>
      <w:r w:rsidRPr="00DA5F66">
        <w:rPr>
          <w:rFonts w:cstheme="minorHAnsi"/>
          <w:szCs w:val="24"/>
        </w:rPr>
        <w:t xml:space="preserve">We advocate for a coordinated effort to establish robust and affordable digital infrastructure. This involves installing </w:t>
      </w:r>
      <w:proofErr w:type="spellStart"/>
      <w:r w:rsidRPr="00DA5F66">
        <w:rPr>
          <w:rFonts w:cstheme="minorHAnsi"/>
          <w:szCs w:val="24"/>
        </w:rPr>
        <w:t>fiber</w:t>
      </w:r>
      <w:proofErr w:type="spellEnd"/>
      <w:r w:rsidRPr="00DA5F66">
        <w:rPr>
          <w:rFonts w:cstheme="minorHAnsi"/>
          <w:szCs w:val="24"/>
        </w:rPr>
        <w:t>-optic cables across extensive landscapes, expanding 5G networks, building mobile towers, and considering low earth orbit satellite technologies to serve underserved rural communities. Ensuring connectivity costs are accessible for everyone is crucial. Collaboration between public entities and private sector innovators will ensure all Africans are connected by 2030.</w:t>
      </w:r>
    </w:p>
    <w:p w14:paraId="3289CCEA" w14:textId="77777777" w:rsidR="006A7D18" w:rsidRPr="00DA5F66" w:rsidRDefault="006A7D18" w:rsidP="00DA5F66">
      <w:pPr>
        <w:spacing w:after="120"/>
        <w:rPr>
          <w:rFonts w:cstheme="minorHAnsi"/>
          <w:szCs w:val="24"/>
        </w:rPr>
      </w:pPr>
      <w:r w:rsidRPr="00DA5F66">
        <w:rPr>
          <w:rFonts w:cstheme="minorHAnsi"/>
          <w:szCs w:val="24"/>
        </w:rPr>
        <w:t xml:space="preserve">As Generation Connect Youth Envoys for Africa Region (GCYE-AFR), we believe that broadband connectivity and robust digital infrastructure are decisive for Africa’s progress. These are the building blocks for economic growth, education, and innovation. Without reliable internet access, </w:t>
      </w:r>
      <w:r w:rsidRPr="00DA5F66">
        <w:rPr>
          <w:rFonts w:cstheme="minorHAnsi"/>
          <w:szCs w:val="24"/>
        </w:rPr>
        <w:lastRenderedPageBreak/>
        <w:t>millions of young Africans are left behind, unable to access online learning, job opportunities, or essential digital services. Investing in broadband and digital infrastructure is not just about connecting people; it is about empowering communities, driving sustainable development, and ensuring a more inclusive future for all. We must prioritize closing the digital divide to unlock the full potential of our continent.</w:t>
      </w:r>
    </w:p>
    <w:p w14:paraId="6B86F5B0" w14:textId="77777777" w:rsidR="006A7D18" w:rsidRPr="00DA5F66" w:rsidRDefault="006A7D18" w:rsidP="00DA5F66">
      <w:pPr>
        <w:spacing w:after="120"/>
        <w:rPr>
          <w:rFonts w:cstheme="minorHAnsi"/>
          <w:szCs w:val="24"/>
        </w:rPr>
      </w:pPr>
      <w:r w:rsidRPr="00DA5F66">
        <w:rPr>
          <w:rFonts w:cstheme="minorHAnsi"/>
          <w:b/>
          <w:bCs/>
          <w:szCs w:val="24"/>
        </w:rPr>
        <w:t>Recommended Actions:</w:t>
      </w:r>
    </w:p>
    <w:p w14:paraId="338C421F" w14:textId="77777777" w:rsidR="006A7D18" w:rsidRPr="00DA5F66" w:rsidRDefault="006A7D18" w:rsidP="00DA5F66">
      <w:pPr>
        <w:numPr>
          <w:ilvl w:val="0"/>
          <w:numId w:val="2"/>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Prioritize investments in broadband infrastructure (</w:t>
      </w:r>
      <w:proofErr w:type="spellStart"/>
      <w:r w:rsidRPr="00DA5F66">
        <w:rPr>
          <w:rFonts w:cstheme="minorHAnsi"/>
          <w:szCs w:val="24"/>
        </w:rPr>
        <w:t>fiber</w:t>
      </w:r>
      <w:proofErr w:type="spellEnd"/>
      <w:r w:rsidRPr="00DA5F66">
        <w:rPr>
          <w:rFonts w:cstheme="minorHAnsi"/>
          <w:szCs w:val="24"/>
        </w:rPr>
        <w:t xml:space="preserve"> optic networks, 5G, last-mile solutions).</w:t>
      </w:r>
    </w:p>
    <w:p w14:paraId="26D1695E" w14:textId="77777777" w:rsidR="006A7D18" w:rsidRPr="00DA5F66" w:rsidRDefault="006A7D18" w:rsidP="00DA5F66">
      <w:pPr>
        <w:numPr>
          <w:ilvl w:val="0"/>
          <w:numId w:val="2"/>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Develop national broadband plans and harmonize regional policies for universal access.</w:t>
      </w:r>
    </w:p>
    <w:p w14:paraId="4AC40746" w14:textId="77777777" w:rsidR="006A7D18" w:rsidRPr="00DA5F66" w:rsidRDefault="006A7D18" w:rsidP="00DA5F66">
      <w:pPr>
        <w:numPr>
          <w:ilvl w:val="0"/>
          <w:numId w:val="2"/>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Strengthen partnerships to mobilize resources for inclusive digital infrastructure.</w:t>
      </w:r>
    </w:p>
    <w:p w14:paraId="5D57F73F" w14:textId="77777777" w:rsidR="006A7D18" w:rsidRPr="00DA5F66" w:rsidRDefault="006A7D18" w:rsidP="00DA5F66">
      <w:pPr>
        <w:spacing w:after="120"/>
        <w:rPr>
          <w:rFonts w:cstheme="minorHAnsi"/>
          <w:b/>
          <w:bCs/>
          <w:szCs w:val="24"/>
        </w:rPr>
      </w:pPr>
      <w:r w:rsidRPr="00DA5F66">
        <w:rPr>
          <w:rFonts w:cstheme="minorHAnsi"/>
          <w:b/>
          <w:bCs/>
          <w:szCs w:val="24"/>
        </w:rPr>
        <w:t>2. Digital Public Infrastructure and Data Sovereignty</w:t>
      </w:r>
    </w:p>
    <w:p w14:paraId="12B51E88" w14:textId="77777777" w:rsidR="006A7D18" w:rsidRPr="00DA5F66" w:rsidRDefault="006A7D18" w:rsidP="00DA5F66">
      <w:pPr>
        <w:spacing w:after="120"/>
        <w:rPr>
          <w:rFonts w:cstheme="minorHAnsi"/>
          <w:szCs w:val="24"/>
        </w:rPr>
      </w:pPr>
      <w:r w:rsidRPr="00DA5F66">
        <w:rPr>
          <w:rFonts w:cstheme="minorHAnsi"/>
          <w:szCs w:val="24"/>
        </w:rPr>
        <w:t>The future of public services in Africa is digital, but it must be built on trust and inclusion. We envision digital ID systems that empower rather than exclude, payment systems that work for market vendors and tech startups, and government services that are accessible to all. This infrastructure must respect our sovereignty while protecting our citizens' privacy.</w:t>
      </w:r>
    </w:p>
    <w:p w14:paraId="4960F76F" w14:textId="77777777" w:rsidR="006A7D18" w:rsidRPr="00DA5F66" w:rsidRDefault="006A7D18" w:rsidP="00DA5F66">
      <w:pPr>
        <w:spacing w:after="120"/>
        <w:rPr>
          <w:rFonts w:cstheme="minorHAnsi"/>
          <w:szCs w:val="24"/>
        </w:rPr>
      </w:pPr>
      <w:r w:rsidRPr="00DA5F66">
        <w:rPr>
          <w:rFonts w:cstheme="minorHAnsi"/>
          <w:szCs w:val="24"/>
        </w:rPr>
        <w:t>We are seeing promising initiatives across the continent—from mobile money platforms transforming rural economies to e-government services reducing bureaucracy. However, we must ensure these systems work for everyone, including elderly citizens and those with limited digital literacy. Our data must be protected, our digital rights respected, and our technological sovereignty preserved.</w:t>
      </w:r>
    </w:p>
    <w:p w14:paraId="280147B9" w14:textId="77777777" w:rsidR="006A7D18" w:rsidRPr="00DA5F66" w:rsidRDefault="006A7D18" w:rsidP="00DA5F66">
      <w:pPr>
        <w:spacing w:after="120"/>
        <w:rPr>
          <w:rFonts w:cstheme="minorHAnsi"/>
          <w:szCs w:val="24"/>
        </w:rPr>
      </w:pPr>
      <w:r w:rsidRPr="00DA5F66">
        <w:rPr>
          <w:rFonts w:cstheme="minorHAnsi"/>
          <w:szCs w:val="24"/>
        </w:rPr>
        <w:t>As GCYE-AFR, we see digital public infrastructure and data sovereignty as crucial for Africa’s digital independence and growth. Building secure and accessible digital platforms enables better delivery of essential services like education, healthcare, and financial inclusion, empowering communities and fostering economic resilience. At the same time, data sovereignty ensures that Africans have control over their own data, protecting privacy and enabling local innovations tailored to our unique needs. Prioritizing these areas is vital for creating a future where Africa leads in digital transformation while safeguarding its people’s rights and resources.</w:t>
      </w:r>
    </w:p>
    <w:p w14:paraId="54295B59" w14:textId="77777777" w:rsidR="006A7D18" w:rsidRPr="00DA5F66" w:rsidRDefault="006A7D18" w:rsidP="00DA5F66">
      <w:pPr>
        <w:spacing w:after="120"/>
        <w:rPr>
          <w:rFonts w:cstheme="minorHAnsi"/>
          <w:szCs w:val="24"/>
        </w:rPr>
      </w:pPr>
      <w:r w:rsidRPr="00DA5F66">
        <w:rPr>
          <w:rFonts w:cstheme="minorHAnsi"/>
          <w:b/>
          <w:bCs/>
          <w:szCs w:val="24"/>
        </w:rPr>
        <w:t>Recommended Actions:</w:t>
      </w:r>
    </w:p>
    <w:p w14:paraId="51A248B0" w14:textId="77777777" w:rsidR="006A7D18" w:rsidRPr="00DA5F66" w:rsidRDefault="006A7D18" w:rsidP="00DA5F66">
      <w:pPr>
        <w:numPr>
          <w:ilvl w:val="0"/>
          <w:numId w:val="3"/>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Accelerate deployment of secure, interoperable digital public infrastructure.</w:t>
      </w:r>
    </w:p>
    <w:p w14:paraId="59CB5C3B" w14:textId="77777777" w:rsidR="006A7D18" w:rsidRPr="00DA5F66" w:rsidRDefault="006A7D18" w:rsidP="00DA5F66">
      <w:pPr>
        <w:numPr>
          <w:ilvl w:val="0"/>
          <w:numId w:val="3"/>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Establish data governance frameworks that protect citizens and foster responsible data exchange.</w:t>
      </w:r>
    </w:p>
    <w:p w14:paraId="699E2A88" w14:textId="77777777" w:rsidR="006A7D18" w:rsidRPr="00DA5F66" w:rsidRDefault="006A7D18" w:rsidP="00DA5F66">
      <w:pPr>
        <w:numPr>
          <w:ilvl w:val="0"/>
          <w:numId w:val="3"/>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Promote open-source principles and digital government frameworks for transparency, allowing government processes, decisions, and data openly accessible and understandable to the public</w:t>
      </w:r>
    </w:p>
    <w:p w14:paraId="73D2A135" w14:textId="77777777" w:rsidR="006A7D18" w:rsidRPr="00DA5F66" w:rsidRDefault="006A7D18" w:rsidP="00DA5F66">
      <w:pPr>
        <w:spacing w:after="120"/>
        <w:rPr>
          <w:rFonts w:cstheme="minorHAnsi"/>
          <w:b/>
          <w:bCs/>
          <w:szCs w:val="24"/>
        </w:rPr>
      </w:pPr>
      <w:r w:rsidRPr="00DA5F66">
        <w:rPr>
          <w:rFonts w:cstheme="minorHAnsi"/>
          <w:b/>
          <w:bCs/>
          <w:szCs w:val="24"/>
        </w:rPr>
        <w:t>3. Digital Inclusion and Innovation</w:t>
      </w:r>
    </w:p>
    <w:p w14:paraId="727F6D7B" w14:textId="77777777" w:rsidR="006A7D18" w:rsidRPr="00DA5F66" w:rsidRDefault="006A7D18" w:rsidP="00DA5F66">
      <w:pPr>
        <w:spacing w:after="120"/>
        <w:rPr>
          <w:rFonts w:cstheme="minorHAnsi"/>
          <w:szCs w:val="24"/>
        </w:rPr>
      </w:pPr>
      <w:r w:rsidRPr="00DA5F66">
        <w:rPr>
          <w:rFonts w:cstheme="minorHAnsi"/>
          <w:szCs w:val="24"/>
        </w:rPr>
        <w:t>Africa's greatest asset is its youth—their creativity, resilience, and entrepreneurial spirit. We see countless young Africans developing innovative solutions to local challenges, from mobile health apps to agricultural technology platforms. Yet too many bright minds remain excluded from the digital economy due to a lack of skills, resources, or opportunities.</w:t>
      </w:r>
    </w:p>
    <w:p w14:paraId="1D97F202" w14:textId="77777777" w:rsidR="006A7D18" w:rsidRPr="00DA5F66" w:rsidRDefault="006A7D18" w:rsidP="00DA5F66">
      <w:pPr>
        <w:spacing w:after="120"/>
        <w:rPr>
          <w:rFonts w:cstheme="minorHAnsi"/>
          <w:szCs w:val="24"/>
        </w:rPr>
      </w:pPr>
      <w:r w:rsidRPr="00DA5F66">
        <w:rPr>
          <w:rFonts w:cstheme="minorHAnsi"/>
          <w:szCs w:val="24"/>
        </w:rPr>
        <w:t xml:space="preserve">We advocate for a comprehensive approach to digital education and innovation. This means integrating digital skills into school curricula, establishing coding bootcamps and innovation hubs, </w:t>
      </w:r>
      <w:r w:rsidRPr="00DA5F66">
        <w:rPr>
          <w:rFonts w:cstheme="minorHAnsi"/>
          <w:szCs w:val="24"/>
        </w:rPr>
        <w:lastRenderedPageBreak/>
        <w:t>and creating mentorship programs. Special attention must be paid to empowering girls and young women with the digital and technical tools to fully participate in our digital world, breaking down gender barriers that have kept too many talented individuals from pursuing tech careers.</w:t>
      </w:r>
    </w:p>
    <w:p w14:paraId="692C06F9" w14:textId="77777777" w:rsidR="006A7D18" w:rsidRPr="00DA5F66" w:rsidRDefault="006A7D18" w:rsidP="00DA5F66">
      <w:pPr>
        <w:spacing w:after="120"/>
        <w:rPr>
          <w:rFonts w:cstheme="minorHAnsi"/>
          <w:szCs w:val="24"/>
        </w:rPr>
      </w:pPr>
      <w:r w:rsidRPr="00DA5F66">
        <w:rPr>
          <w:rFonts w:cstheme="minorHAnsi"/>
          <w:b/>
          <w:bCs/>
          <w:szCs w:val="24"/>
        </w:rPr>
        <w:t>Recommended Actions:</w:t>
      </w:r>
    </w:p>
    <w:p w14:paraId="59146CE6" w14:textId="77777777" w:rsidR="006A7D18" w:rsidRPr="00DA5F66" w:rsidRDefault="006A7D18" w:rsidP="00DA5F66">
      <w:pPr>
        <w:numPr>
          <w:ilvl w:val="0"/>
          <w:numId w:val="4"/>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Increase investment in digital skills training, especially for underserved communities.</w:t>
      </w:r>
    </w:p>
    <w:p w14:paraId="7FA2A9B7" w14:textId="77777777" w:rsidR="006A7D18" w:rsidRPr="00DA5F66" w:rsidRDefault="006A7D18" w:rsidP="00DA5F66">
      <w:pPr>
        <w:numPr>
          <w:ilvl w:val="0"/>
          <w:numId w:val="4"/>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Expand innovation hubs, coding bootcamps, and youth-led incubators.</w:t>
      </w:r>
    </w:p>
    <w:p w14:paraId="1E55BC7B" w14:textId="77777777" w:rsidR="006A7D18" w:rsidRPr="00DA5F66" w:rsidRDefault="006A7D18" w:rsidP="00DA5F66">
      <w:pPr>
        <w:numPr>
          <w:ilvl w:val="0"/>
          <w:numId w:val="4"/>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Implement targeted initiatives to bridge the gender gap and empower women in digital careers.</w:t>
      </w:r>
    </w:p>
    <w:p w14:paraId="5A2C7CD8" w14:textId="77777777" w:rsidR="006A7D18" w:rsidRPr="00DA5F66" w:rsidRDefault="006A7D18" w:rsidP="00DA5F66">
      <w:pPr>
        <w:spacing w:after="120"/>
        <w:rPr>
          <w:rFonts w:cstheme="minorHAnsi"/>
          <w:b/>
          <w:bCs/>
          <w:szCs w:val="24"/>
        </w:rPr>
      </w:pPr>
      <w:r w:rsidRPr="00DA5F66">
        <w:rPr>
          <w:rFonts w:cstheme="minorHAnsi"/>
          <w:b/>
          <w:bCs/>
          <w:szCs w:val="24"/>
        </w:rPr>
        <w:t>4. Cybersecurity, Privacy, and Data Governance Frameworks</w:t>
      </w:r>
    </w:p>
    <w:p w14:paraId="77BE5337" w14:textId="77777777" w:rsidR="006A7D18" w:rsidRPr="00DA5F66" w:rsidRDefault="006A7D18" w:rsidP="00DA5F66">
      <w:pPr>
        <w:spacing w:after="120"/>
        <w:rPr>
          <w:rFonts w:cstheme="minorHAnsi"/>
          <w:szCs w:val="24"/>
        </w:rPr>
      </w:pPr>
      <w:r w:rsidRPr="00DA5F66">
        <w:rPr>
          <w:rFonts w:cstheme="minorHAnsi"/>
          <w:szCs w:val="24"/>
        </w:rPr>
        <w:t xml:space="preserve">Cybersecurity is a critical cornerstone for a thriving digital Africa. In recent years, the rise in cyberattacks and cyber threats has underscored the urgent need for robust cybersecurity measures. The African Union Convention on Cyber Security and Personal Data Protection and national cybersecurity strategies are important steps, but more needs to be done to strengthen regional harmonization and implementation. Young Africans are disproportionately affected by cybercrime, online harassment, and digital privacy violations. </w:t>
      </w:r>
    </w:p>
    <w:p w14:paraId="5B8B62A2" w14:textId="77777777" w:rsidR="006A7D18" w:rsidRPr="00DA5F66" w:rsidRDefault="006A7D18" w:rsidP="00DA5F66">
      <w:pPr>
        <w:spacing w:after="120"/>
        <w:rPr>
          <w:rFonts w:cstheme="minorHAnsi"/>
          <w:szCs w:val="24"/>
        </w:rPr>
      </w:pPr>
      <w:r w:rsidRPr="00DA5F66">
        <w:rPr>
          <w:rFonts w:cstheme="minorHAnsi"/>
          <w:b/>
          <w:bCs/>
          <w:szCs w:val="24"/>
        </w:rPr>
        <w:t>Recommended Actions:</w:t>
      </w:r>
    </w:p>
    <w:p w14:paraId="0D53D239" w14:textId="77777777" w:rsidR="006A7D18" w:rsidRPr="00DA5F66" w:rsidRDefault="006A7D18" w:rsidP="00DA5F66">
      <w:pPr>
        <w:numPr>
          <w:ilvl w:val="0"/>
          <w:numId w:val="5"/>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Enhance cybersecurity education, focusing on youth and underserved communities, to create a workforce equipped to address digital risks.</w:t>
      </w:r>
    </w:p>
    <w:p w14:paraId="63B4815D" w14:textId="77777777" w:rsidR="006A7D18" w:rsidRPr="00DA5F66" w:rsidRDefault="006A7D18" w:rsidP="00DA5F66">
      <w:pPr>
        <w:numPr>
          <w:ilvl w:val="0"/>
          <w:numId w:val="5"/>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Develop harmonized and localized national and regional policies aligned with international standards</w:t>
      </w:r>
    </w:p>
    <w:p w14:paraId="1ED3B084" w14:textId="77777777" w:rsidR="006A7D18" w:rsidRPr="00DA5F66" w:rsidRDefault="006A7D18" w:rsidP="00DA5F66">
      <w:pPr>
        <w:numPr>
          <w:ilvl w:val="0"/>
          <w:numId w:val="5"/>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Foster multistakeholder collaboration to build resilient cybersecurity frameworks, implement early warning systems, and combat misinformation.</w:t>
      </w:r>
    </w:p>
    <w:p w14:paraId="3A2788BA" w14:textId="77777777" w:rsidR="006A7D18" w:rsidRPr="00DA5F66" w:rsidRDefault="006A7D18" w:rsidP="00DA5F66">
      <w:pPr>
        <w:numPr>
          <w:ilvl w:val="0"/>
          <w:numId w:val="5"/>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Support gender diversity in cybersecurity careers to promote inclusivity and representation</w:t>
      </w:r>
    </w:p>
    <w:p w14:paraId="19B51A12" w14:textId="77777777" w:rsidR="006A7D18" w:rsidRPr="00DA5F66" w:rsidRDefault="006A7D18" w:rsidP="00DA5F66">
      <w:pPr>
        <w:numPr>
          <w:ilvl w:val="0"/>
          <w:numId w:val="5"/>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Build societal resilience by improving digital literacy across all demographics</w:t>
      </w:r>
    </w:p>
    <w:p w14:paraId="0B2536C9" w14:textId="77777777" w:rsidR="006A7D18" w:rsidRPr="00DA5F66" w:rsidRDefault="006A7D18" w:rsidP="00DA5F66">
      <w:pPr>
        <w:spacing w:after="120"/>
        <w:rPr>
          <w:rFonts w:cstheme="minorHAnsi"/>
          <w:b/>
          <w:bCs/>
          <w:szCs w:val="24"/>
        </w:rPr>
      </w:pPr>
      <w:r w:rsidRPr="00DA5F66">
        <w:rPr>
          <w:rFonts w:cstheme="minorHAnsi"/>
          <w:b/>
          <w:bCs/>
          <w:szCs w:val="24"/>
        </w:rPr>
        <w:t>5. Artificial Intelligence and Emerging Technologies</w:t>
      </w:r>
    </w:p>
    <w:p w14:paraId="2DB36243" w14:textId="77777777" w:rsidR="006A7D18" w:rsidRPr="00DA5F66" w:rsidRDefault="006A7D18" w:rsidP="00DA5F66">
      <w:pPr>
        <w:spacing w:after="120"/>
        <w:rPr>
          <w:rFonts w:cstheme="minorHAnsi"/>
          <w:szCs w:val="24"/>
        </w:rPr>
      </w:pPr>
      <w:r w:rsidRPr="00DA5F66">
        <w:rPr>
          <w:rFonts w:cstheme="minorHAnsi"/>
          <w:szCs w:val="24"/>
        </w:rPr>
        <w:t>Artificial Intelligence represents immense opportunities and significant challenges for Africa. We envision AI systems that respect our values, address our unique challenges, and amplify our capabilities. From improving healthcare diagnostics to optimizing agricultural yields, AI can accelerate Africa's development—but only if we approach it thoughtfully and ethically.</w:t>
      </w:r>
    </w:p>
    <w:p w14:paraId="55CD7960" w14:textId="77777777" w:rsidR="006A7D18" w:rsidRPr="00DA5F66" w:rsidRDefault="006A7D18" w:rsidP="00DA5F66">
      <w:pPr>
        <w:spacing w:after="120"/>
        <w:rPr>
          <w:rFonts w:cstheme="minorHAnsi"/>
          <w:szCs w:val="24"/>
        </w:rPr>
      </w:pPr>
      <w:r w:rsidRPr="00DA5F66">
        <w:rPr>
          <w:rFonts w:cstheme="minorHAnsi"/>
          <w:szCs w:val="24"/>
        </w:rPr>
        <w:t>We must invest in local AI research and development, ensuring that African perspectives shape these powerful technologies. This means building AI literacy among our youth, developing local datasets that reflect our diversity, and establishing ethical frameworks that protect our communities while fostering innovation.</w:t>
      </w:r>
    </w:p>
    <w:p w14:paraId="46B628AF" w14:textId="77777777" w:rsidR="006A7D18" w:rsidRPr="00DA5F66" w:rsidRDefault="006A7D18" w:rsidP="00DA5F66">
      <w:pPr>
        <w:spacing w:after="120"/>
        <w:rPr>
          <w:rFonts w:cstheme="minorHAnsi"/>
          <w:szCs w:val="24"/>
        </w:rPr>
      </w:pPr>
      <w:r w:rsidRPr="00DA5F66">
        <w:rPr>
          <w:rFonts w:cstheme="minorHAnsi"/>
          <w:szCs w:val="24"/>
        </w:rPr>
        <w:t>As youth Envoys, we believe that to fully harness the potential of AI, it’s crucial to invest in data science capacity across the continent. This includes developing robust data infrastructure, enhancing data collection and management capabilities, and fostering a culture of data-driven decision-making. By improving access to quality data, we can train AI systems to better understand Africa’s unique contexts, leading to more effective solutions.</w:t>
      </w:r>
    </w:p>
    <w:p w14:paraId="5543AAC6" w14:textId="77777777" w:rsidR="006A7D18" w:rsidRPr="00DA5F66" w:rsidRDefault="006A7D18" w:rsidP="00DA5F66">
      <w:pPr>
        <w:spacing w:after="120"/>
        <w:rPr>
          <w:rFonts w:cstheme="minorHAnsi"/>
          <w:szCs w:val="24"/>
        </w:rPr>
      </w:pPr>
      <w:r w:rsidRPr="00DA5F66">
        <w:rPr>
          <w:rFonts w:cstheme="minorHAnsi"/>
          <w:szCs w:val="24"/>
        </w:rPr>
        <w:t xml:space="preserve">Moreover, empowering local talent through training programs in AI and data science will ensure that African researchers, policymakers, and entrepreneurs can take the lead in AI innovation. </w:t>
      </w:r>
      <w:r w:rsidRPr="00DA5F66">
        <w:rPr>
          <w:rFonts w:cstheme="minorHAnsi"/>
          <w:szCs w:val="24"/>
        </w:rPr>
        <w:lastRenderedPageBreak/>
        <w:t>Establishing public-private partnerships and investing in tech incubators can accelerate the development of AI applications tailored to African needs, from smart cities to digital finance.</w:t>
      </w:r>
    </w:p>
    <w:p w14:paraId="1FFB48AC" w14:textId="77777777" w:rsidR="006A7D18" w:rsidRPr="00DA5F66" w:rsidRDefault="006A7D18" w:rsidP="00DA5F66">
      <w:pPr>
        <w:spacing w:after="120"/>
        <w:rPr>
          <w:rFonts w:cstheme="minorHAnsi"/>
          <w:szCs w:val="24"/>
        </w:rPr>
      </w:pPr>
      <w:r w:rsidRPr="00DA5F66">
        <w:rPr>
          <w:rFonts w:cstheme="minorHAnsi"/>
          <w:szCs w:val="24"/>
        </w:rPr>
        <w:t>We must also prioritize data sovereignty, ensuring that African data is controlled, stored, and utilized in ways that benefit local communities while upholding ethical standards. By combining AI with strong data governance and capacity-building efforts, Africa can create a sustainable, inclusive, and equitable digital future.</w:t>
      </w:r>
    </w:p>
    <w:p w14:paraId="061FA0B1" w14:textId="77777777" w:rsidR="006A7D18" w:rsidRPr="00DA5F66" w:rsidRDefault="006A7D18" w:rsidP="00DA5F66">
      <w:pPr>
        <w:spacing w:after="120"/>
        <w:rPr>
          <w:rFonts w:cstheme="minorHAnsi"/>
          <w:b/>
          <w:bCs/>
          <w:szCs w:val="24"/>
        </w:rPr>
      </w:pPr>
      <w:r w:rsidRPr="00DA5F66">
        <w:rPr>
          <w:rFonts w:cstheme="minorHAnsi"/>
          <w:b/>
          <w:bCs/>
          <w:szCs w:val="24"/>
        </w:rPr>
        <w:t>Recommended Actions:</w:t>
      </w:r>
    </w:p>
    <w:p w14:paraId="06644E3E" w14:textId="77777777" w:rsidR="006A7D18" w:rsidRPr="00DA5F66" w:rsidRDefault="006A7D18" w:rsidP="00DA5F66">
      <w:pPr>
        <w:numPr>
          <w:ilvl w:val="0"/>
          <w:numId w:val="6"/>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Develop national and regional AI governance frameworks emphasizing inclusivity and accountability.</w:t>
      </w:r>
    </w:p>
    <w:p w14:paraId="511A4CE1" w14:textId="77777777" w:rsidR="006A7D18" w:rsidRPr="00DA5F66" w:rsidRDefault="006A7D18" w:rsidP="00DA5F66">
      <w:pPr>
        <w:numPr>
          <w:ilvl w:val="0"/>
          <w:numId w:val="6"/>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Build local AI research capacity and support public-private partnerships.</w:t>
      </w:r>
    </w:p>
    <w:p w14:paraId="790441F4" w14:textId="77777777" w:rsidR="006A7D18" w:rsidRPr="00DA5F66" w:rsidRDefault="006A7D18" w:rsidP="00DA5F66">
      <w:pPr>
        <w:numPr>
          <w:ilvl w:val="0"/>
          <w:numId w:val="6"/>
        </w:numPr>
        <w:tabs>
          <w:tab w:val="clear" w:pos="794"/>
          <w:tab w:val="clear" w:pos="1191"/>
          <w:tab w:val="clear" w:pos="1588"/>
          <w:tab w:val="clear" w:pos="1985"/>
        </w:tabs>
        <w:overflowPunct/>
        <w:autoSpaceDE/>
        <w:autoSpaceDN/>
        <w:adjustRightInd/>
        <w:spacing w:after="120"/>
        <w:textAlignment w:val="auto"/>
        <w:rPr>
          <w:rFonts w:cstheme="minorHAnsi"/>
          <w:szCs w:val="24"/>
        </w:rPr>
      </w:pPr>
      <w:r w:rsidRPr="00DA5F66">
        <w:rPr>
          <w:rFonts w:cstheme="minorHAnsi"/>
          <w:szCs w:val="24"/>
        </w:rPr>
        <w:t>Invest in infrastructure and skills to responsibly implement AI, focusing on local needs and risk mitigation.</w:t>
      </w:r>
    </w:p>
    <w:p w14:paraId="33633543" w14:textId="77777777" w:rsidR="006A7D18" w:rsidRPr="00DA5F66" w:rsidRDefault="006A7D18" w:rsidP="00DA5F66">
      <w:pPr>
        <w:spacing w:after="120"/>
        <w:rPr>
          <w:rFonts w:cstheme="minorHAnsi"/>
          <w:b/>
          <w:bCs/>
          <w:szCs w:val="24"/>
        </w:rPr>
      </w:pPr>
      <w:r w:rsidRPr="00DA5F66">
        <w:rPr>
          <w:rFonts w:cstheme="minorHAnsi"/>
          <w:b/>
          <w:bCs/>
          <w:szCs w:val="24"/>
        </w:rPr>
        <w:t>Looking Forward</w:t>
      </w:r>
    </w:p>
    <w:p w14:paraId="7FFF1C7C" w14:textId="77777777" w:rsidR="006A7D18" w:rsidRPr="00DA5F66" w:rsidRDefault="006A7D18" w:rsidP="00DA5F66">
      <w:pPr>
        <w:spacing w:after="120"/>
        <w:rPr>
          <w:rFonts w:cstheme="minorHAnsi"/>
          <w:szCs w:val="24"/>
        </w:rPr>
      </w:pPr>
      <w:r w:rsidRPr="00DA5F66">
        <w:rPr>
          <w:rFonts w:cstheme="minorHAnsi"/>
          <w:szCs w:val="24"/>
        </w:rPr>
        <w:t>As we approach the World Telecommunications Development Conference 2025 (WTDC25) which will seek to develop an action plan for the coming 4 years, the choices we make today will determine Africa's digital future. We, the Generation Connect Youth Envoys for Africa, commit to being active partners in this digital transformation. Our vision is ambitious but achievable—an Africa where digital technology empowers every citizen, innovation flourishes, and our digital infrastructure serves as a foundation for sustainable development.</w:t>
      </w:r>
    </w:p>
    <w:p w14:paraId="78F4B662" w14:textId="77777777" w:rsidR="006A7D18" w:rsidRPr="00DA5F66" w:rsidRDefault="006A7D18" w:rsidP="00DA5F66">
      <w:pPr>
        <w:spacing w:after="120"/>
        <w:rPr>
          <w:rFonts w:cstheme="minorHAnsi"/>
          <w:szCs w:val="24"/>
        </w:rPr>
      </w:pPr>
      <w:r w:rsidRPr="00DA5F66">
        <w:rPr>
          <w:rFonts w:cstheme="minorHAnsi"/>
          <w:szCs w:val="24"/>
        </w:rPr>
        <w:t>This is not just about technology; it's about people. It's about ensuring that the grandmother in a remote village can access healthcare through her mobile phone, that the young entrepreneur in a small town can reach global markets, and that the schoolchild in a rural area can access world-class educational resources.</w:t>
      </w:r>
    </w:p>
    <w:p w14:paraId="5F05B8D3" w14:textId="77777777" w:rsidR="006A7D18" w:rsidRPr="00DA5F66" w:rsidRDefault="006A7D18" w:rsidP="00DA5F66">
      <w:pPr>
        <w:spacing w:after="120"/>
        <w:rPr>
          <w:rFonts w:cstheme="minorHAnsi"/>
          <w:szCs w:val="24"/>
        </w:rPr>
      </w:pPr>
      <w:r w:rsidRPr="00DA5F66">
        <w:rPr>
          <w:rFonts w:cstheme="minorHAnsi"/>
          <w:szCs w:val="24"/>
        </w:rPr>
        <w:t>As young people, we believe our perspective is crucial in shaping the digital future of Africa because we are the ones who will live with the impact of today’s decisions. We bring fresh ideas, understand emerging technologies, and have the passion to drive change. Including youth voices ensures that the digital solutions we build are innovative, inclusive, and aligned with the needs and aspirations of our generation.</w:t>
      </w:r>
    </w:p>
    <w:p w14:paraId="79904DCA" w14:textId="77777777" w:rsidR="006A7D18" w:rsidRPr="00DA5F66" w:rsidRDefault="006A7D18" w:rsidP="00DA5F66">
      <w:pPr>
        <w:spacing w:after="120"/>
        <w:rPr>
          <w:rFonts w:cstheme="minorHAnsi"/>
          <w:szCs w:val="24"/>
        </w:rPr>
      </w:pPr>
      <w:r w:rsidRPr="00DA5F66">
        <w:rPr>
          <w:rFonts w:cstheme="minorHAnsi"/>
          <w:szCs w:val="24"/>
        </w:rPr>
        <w:t>Together, we can build a digital Africa that leads rather than follows, innovates rather than imitates, and ensures no one is left behind in our digital future. The journey ahead is challenging, but we can realize this vision of a digitally empowered Africa with collaboration, commitment, and courage.</w:t>
      </w:r>
    </w:p>
    <w:p w14:paraId="3005481A" w14:textId="77777777" w:rsidR="006A7D18" w:rsidRPr="00DA5F66" w:rsidRDefault="006A7D18" w:rsidP="00DA5F66">
      <w:pPr>
        <w:spacing w:after="120"/>
        <w:rPr>
          <w:rFonts w:cstheme="minorHAnsi"/>
          <w:i/>
          <w:iCs/>
          <w:szCs w:val="24"/>
        </w:rPr>
      </w:pPr>
      <w:r w:rsidRPr="00DA5F66">
        <w:rPr>
          <w:rFonts w:cstheme="minorHAnsi"/>
          <w:i/>
          <w:iCs/>
          <w:szCs w:val="24"/>
        </w:rPr>
        <w:t>This contribution document represents the collective voice of Africa's youth, articulated through the ITU Generation Connect Youth Envoys for Africa. We stand ready to partner, innovate, and lead in building Africa's digital future.</w:t>
      </w:r>
    </w:p>
    <w:p w14:paraId="69B70EE0" w14:textId="77777777" w:rsidR="00EC6FED" w:rsidRPr="00DA5F66" w:rsidRDefault="00EC6FED" w:rsidP="00935FF0">
      <w:pPr>
        <w:rPr>
          <w:rFonts w:cstheme="minorHAnsi"/>
          <w:szCs w:val="24"/>
        </w:rPr>
      </w:pPr>
    </w:p>
    <w:p w14:paraId="1FF1516C" w14:textId="226A8444" w:rsidR="0069537D" w:rsidRPr="00DA5F66" w:rsidRDefault="003C58BF" w:rsidP="00CD2A98">
      <w:pPr>
        <w:tabs>
          <w:tab w:val="clear" w:pos="794"/>
          <w:tab w:val="clear" w:pos="1191"/>
          <w:tab w:val="clear" w:pos="1588"/>
          <w:tab w:val="clear" w:pos="1985"/>
        </w:tabs>
        <w:spacing w:after="120"/>
        <w:jc w:val="center"/>
        <w:rPr>
          <w:rFonts w:cstheme="minorHAnsi"/>
          <w:szCs w:val="24"/>
        </w:rPr>
      </w:pPr>
      <w:bookmarkStart w:id="0" w:name="Proposal"/>
      <w:bookmarkEnd w:id="0"/>
      <w:r w:rsidRPr="00DA5F66">
        <w:rPr>
          <w:rFonts w:cstheme="minorHAnsi"/>
          <w:szCs w:val="24"/>
        </w:rPr>
        <w:t>_____________</w:t>
      </w:r>
      <w:r w:rsidR="004122C5" w:rsidRPr="00DA5F66">
        <w:rPr>
          <w:rFonts w:cstheme="minorHAnsi"/>
          <w:szCs w:val="24"/>
        </w:rPr>
        <w:t>_</w:t>
      </w:r>
      <w:r w:rsidR="00922EC1" w:rsidRPr="00DA5F66">
        <w:rPr>
          <w:rFonts w:cstheme="minorHAnsi"/>
          <w:szCs w:val="24"/>
        </w:rPr>
        <w:t>_</w:t>
      </w:r>
    </w:p>
    <w:sectPr w:rsidR="0069537D" w:rsidRPr="00DA5F66" w:rsidSect="00686D01">
      <w:headerReference w:type="default" r:id="rId10"/>
      <w:footerReference w:type="default" r:id="rId11"/>
      <w:headerReference w:type="first" r:id="rId12"/>
      <w:footerReference w:type="first" r:id="rId13"/>
      <w:pgSz w:w="11907" w:h="16834" w:code="9"/>
      <w:pgMar w:top="1418" w:right="1134" w:bottom="1418" w:left="1134"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D6C65" w14:textId="77777777" w:rsidR="008C7A35" w:rsidRDefault="008C7A35">
      <w:r>
        <w:separator/>
      </w:r>
    </w:p>
  </w:endnote>
  <w:endnote w:type="continuationSeparator" w:id="0">
    <w:p w14:paraId="5BD86CF6" w14:textId="77777777" w:rsidR="008C7A35" w:rsidRDefault="008C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528216749"/>
      <w:docPartObj>
        <w:docPartGallery w:val="Page Numbers (Bottom of Page)"/>
        <w:docPartUnique/>
      </w:docPartObj>
    </w:sdtPr>
    <w:sdtEndPr>
      <w:rPr>
        <w:noProof/>
      </w:rPr>
    </w:sdtEndPr>
    <w:sdtContent>
      <w:p w14:paraId="79CDB4D5" w14:textId="6AE9FC93" w:rsidR="00686D01" w:rsidRDefault="00686D0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4BFE495" w14:textId="77777777" w:rsidR="00686D01" w:rsidRDefault="00686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878505300"/>
      <w:docPartObj>
        <w:docPartGallery w:val="Page Numbers (Bottom of Page)"/>
        <w:docPartUnique/>
      </w:docPartObj>
    </w:sdtPr>
    <w:sdtEndPr>
      <w:rPr>
        <w:noProof/>
      </w:rPr>
    </w:sdtEndPr>
    <w:sdtContent>
      <w:p w14:paraId="6C64BDCE" w14:textId="02DE0338" w:rsidR="00667BFA" w:rsidRDefault="00667BF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0A321D0" w14:textId="1C276101" w:rsidR="00721657" w:rsidRPr="004146FD"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3015C" w14:textId="77777777" w:rsidR="008C7A35" w:rsidRDefault="008C7A35">
      <w:r>
        <w:t>____________________</w:t>
      </w:r>
    </w:p>
  </w:footnote>
  <w:footnote w:type="continuationSeparator" w:id="0">
    <w:p w14:paraId="0AA62172" w14:textId="77777777" w:rsidR="008C7A35" w:rsidRDefault="008C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73D08" w14:textId="44189FD2" w:rsidR="00CD1A29" w:rsidRPr="00397C0B" w:rsidRDefault="00397C0B" w:rsidP="00397C0B">
    <w:pPr>
      <w:tabs>
        <w:tab w:val="clear" w:pos="794"/>
        <w:tab w:val="clear" w:pos="1191"/>
        <w:tab w:val="clear" w:pos="1588"/>
        <w:tab w:val="clear" w:pos="1985"/>
        <w:tab w:val="center" w:pos="4820"/>
        <w:tab w:val="right" w:pos="9639"/>
      </w:tabs>
      <w:ind w:right="1"/>
      <w:rPr>
        <w:rStyle w:val="PageNumber"/>
        <w:lang w:val="fr-FR"/>
      </w:rPr>
    </w:pPr>
    <w:r w:rsidRPr="00972BCD">
      <w:rPr>
        <w:sz w:val="22"/>
        <w:szCs w:val="22"/>
      </w:rPr>
      <w:tab/>
    </w:r>
    <w:r w:rsidRPr="000D241F">
      <w:rPr>
        <w:sz w:val="22"/>
        <w:szCs w:val="22"/>
        <w:lang w:val="de-CH"/>
      </w:rPr>
      <w:t>TDAG-ICG-GYS</w:t>
    </w:r>
    <w:r w:rsidRPr="006D4EA0">
      <w:rPr>
        <w:sz w:val="22"/>
        <w:szCs w:val="22"/>
        <w:lang w:val="de-CH"/>
      </w:rPr>
      <w:t>/</w:t>
    </w:r>
    <w:r>
      <w:rPr>
        <w:sz w:val="22"/>
        <w:szCs w:val="22"/>
        <w:lang w:val="de-CH"/>
      </w:rPr>
      <w:t>7</w:t>
    </w:r>
    <w:r>
      <w:rPr>
        <w:sz w:val="22"/>
        <w:szCs w:val="22"/>
        <w:lang w:val="de-CH"/>
      </w:rPr>
      <w:t>(Ann.1)</w:t>
    </w:r>
    <w:r w:rsidRPr="006D4EA0">
      <w:rPr>
        <w:sz w:val="22"/>
        <w:szCs w:val="22"/>
        <w:lang w:val="de-CH"/>
      </w:rPr>
      <w:t>-E</w:t>
    </w:r>
    <w:r w:rsidRPr="006D4EA0">
      <w:rPr>
        <w:sz w:val="22"/>
        <w:szCs w:val="22"/>
        <w:lang w:val="de-CH"/>
      </w:rPr>
      <w:tab/>
      <w:t>Page</w:t>
    </w:r>
    <w:r>
      <w:rPr>
        <w:sz w:val="22"/>
        <w:szCs w:val="22"/>
        <w:lang w:val="de-CH"/>
      </w:rPr>
      <w:t xml:space="preserve"> </w:t>
    </w:r>
    <w:r w:rsidRPr="006D4EA0">
      <w:rPr>
        <w:sz w:val="22"/>
        <w:szCs w:val="22"/>
      </w:rPr>
      <w:fldChar w:fldCharType="begin"/>
    </w:r>
    <w:r w:rsidRPr="006D4EA0">
      <w:rPr>
        <w:sz w:val="22"/>
        <w:szCs w:val="22"/>
        <w:lang w:val="de-CH"/>
      </w:rPr>
      <w:instrText xml:space="preserve"> PAGE </w:instrText>
    </w:r>
    <w:r w:rsidRPr="006D4EA0">
      <w:rPr>
        <w:sz w:val="22"/>
        <w:szCs w:val="22"/>
      </w:rPr>
      <w:fldChar w:fldCharType="separate"/>
    </w:r>
    <w:r w:rsidRPr="00397C0B">
      <w:rPr>
        <w:sz w:val="22"/>
        <w:szCs w:val="22"/>
        <w:lang w:val="fr-FR"/>
      </w:rPr>
      <w:t>2</w:t>
    </w:r>
    <w:r w:rsidRPr="006D4EA0">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97F6" w14:textId="7E4B3510" w:rsidR="0068093C" w:rsidRDefault="0068093C" w:rsidP="0068093C">
    <w:pPr>
      <w:tabs>
        <w:tab w:val="clear" w:pos="794"/>
        <w:tab w:val="clear" w:pos="1191"/>
        <w:tab w:val="clear" w:pos="1588"/>
        <w:tab w:val="clear" w:pos="1985"/>
        <w:tab w:val="center" w:pos="4820"/>
        <w:tab w:val="right" w:pos="9639"/>
      </w:tabs>
      <w:ind w:right="1"/>
      <w:rPr>
        <w:sz w:val="22"/>
        <w:szCs w:val="22"/>
        <w:lang w:val="de-CH"/>
      </w:rPr>
    </w:pPr>
    <w:r w:rsidRPr="000D241F">
      <w:rPr>
        <w:sz w:val="22"/>
        <w:szCs w:val="22"/>
        <w:lang w:val="de-CH"/>
      </w:rPr>
      <w:t>TDAG-ICG-GYS</w:t>
    </w:r>
    <w:r w:rsidRPr="006D4EA0">
      <w:rPr>
        <w:sz w:val="22"/>
        <w:szCs w:val="22"/>
        <w:lang w:val="de-CH"/>
      </w:rPr>
      <w:t>/xx-E</w:t>
    </w:r>
    <w:r w:rsidRPr="006D4EA0">
      <w:rPr>
        <w:sz w:val="22"/>
        <w:szCs w:val="22"/>
        <w:lang w:val="de-CH"/>
      </w:rPr>
      <w:tab/>
    </w:r>
  </w:p>
  <w:p w14:paraId="70259695" w14:textId="77777777" w:rsidR="000969FB" w:rsidRPr="000969FB" w:rsidRDefault="000969FB" w:rsidP="0068093C">
    <w:pPr>
      <w:tabs>
        <w:tab w:val="clear" w:pos="794"/>
        <w:tab w:val="clear" w:pos="1191"/>
        <w:tab w:val="clear" w:pos="1588"/>
        <w:tab w:val="clear" w:pos="1985"/>
        <w:tab w:val="center" w:pos="4820"/>
        <w:tab w:val="right" w:pos="9639"/>
      </w:tabs>
      <w:ind w:right="1"/>
      <w:rPr>
        <w:sz w:val="22"/>
        <w:szCs w:val="22"/>
        <w:lang w:val="it-IT"/>
      </w:rPr>
    </w:pPr>
  </w:p>
  <w:p w14:paraId="7D2671AF" w14:textId="29063A00" w:rsidR="0068093C" w:rsidRDefault="0068093C" w:rsidP="0068093C">
    <w:pPr>
      <w:tabs>
        <w:tab w:val="clear" w:pos="794"/>
        <w:tab w:val="clear" w:pos="1191"/>
        <w:tab w:val="clear" w:pos="1588"/>
        <w:tab w:val="clear" w:pos="1985"/>
        <w:tab w:val="center" w:pos="4820"/>
        <w:tab w:val="right" w:pos="9639"/>
      </w:tabs>
      <w:ind w:right="1"/>
      <w:rPr>
        <w:sz w:val="22"/>
        <w:szCs w:val="22"/>
      </w:rPr>
    </w:pPr>
    <w:r>
      <w:rPr>
        <w:sz w:val="22"/>
        <w:szCs w:val="22"/>
      </w:rPr>
      <w:t xml:space="preserve">Annex 1. Inputs received from GCYE Africa Region </w:t>
    </w:r>
  </w:p>
  <w:p w14:paraId="6C41883B" w14:textId="77777777" w:rsidR="00D85A14" w:rsidRPr="00D85A14" w:rsidRDefault="00D85A1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029AA"/>
    <w:multiLevelType w:val="multilevel"/>
    <w:tmpl w:val="3A26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0E95"/>
    <w:multiLevelType w:val="multilevel"/>
    <w:tmpl w:val="519C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1CBC"/>
    <w:multiLevelType w:val="multilevel"/>
    <w:tmpl w:val="12F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B6DC6"/>
    <w:multiLevelType w:val="multilevel"/>
    <w:tmpl w:val="1DAC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2237ECA"/>
    <w:multiLevelType w:val="multilevel"/>
    <w:tmpl w:val="D7A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808767">
    <w:abstractNumId w:val="4"/>
  </w:num>
  <w:num w:numId="2" w16cid:durableId="686833925">
    <w:abstractNumId w:val="1"/>
  </w:num>
  <w:num w:numId="3" w16cid:durableId="1909800659">
    <w:abstractNumId w:val="2"/>
  </w:num>
  <w:num w:numId="4" w16cid:durableId="1295254690">
    <w:abstractNumId w:val="0"/>
  </w:num>
  <w:num w:numId="5" w16cid:durableId="1422877502">
    <w:abstractNumId w:val="3"/>
  </w:num>
  <w:num w:numId="6" w16cid:durableId="158171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74"/>
    <w:rsid w:val="00015089"/>
    <w:rsid w:val="00021196"/>
    <w:rsid w:val="0002520B"/>
    <w:rsid w:val="00030397"/>
    <w:rsid w:val="00037A9E"/>
    <w:rsid w:val="00037F91"/>
    <w:rsid w:val="00044970"/>
    <w:rsid w:val="000539F1"/>
    <w:rsid w:val="00054747"/>
    <w:rsid w:val="00055A2A"/>
    <w:rsid w:val="000615C1"/>
    <w:rsid w:val="00061675"/>
    <w:rsid w:val="000743AA"/>
    <w:rsid w:val="0009076F"/>
    <w:rsid w:val="0009225C"/>
    <w:rsid w:val="000969FB"/>
    <w:rsid w:val="000A17C4"/>
    <w:rsid w:val="000A36A4"/>
    <w:rsid w:val="000B2352"/>
    <w:rsid w:val="000C6BEE"/>
    <w:rsid w:val="000C7B84"/>
    <w:rsid w:val="000D241F"/>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3591E"/>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303F"/>
    <w:rsid w:val="001942A7"/>
    <w:rsid w:val="0019587B"/>
    <w:rsid w:val="001A163D"/>
    <w:rsid w:val="001A441E"/>
    <w:rsid w:val="001A6733"/>
    <w:rsid w:val="001B357F"/>
    <w:rsid w:val="001C3444"/>
    <w:rsid w:val="001C3702"/>
    <w:rsid w:val="001C4656"/>
    <w:rsid w:val="001C46BC"/>
    <w:rsid w:val="001D1E06"/>
    <w:rsid w:val="001D76AB"/>
    <w:rsid w:val="001F23E6"/>
    <w:rsid w:val="001F4238"/>
    <w:rsid w:val="00200A38"/>
    <w:rsid w:val="00200A46"/>
    <w:rsid w:val="00211B6F"/>
    <w:rsid w:val="00217CC3"/>
    <w:rsid w:val="00220AB6"/>
    <w:rsid w:val="0022120F"/>
    <w:rsid w:val="0022754A"/>
    <w:rsid w:val="00236560"/>
    <w:rsid w:val="0023662E"/>
    <w:rsid w:val="00245D0F"/>
    <w:rsid w:val="0025296D"/>
    <w:rsid w:val="002548C3"/>
    <w:rsid w:val="00257ACD"/>
    <w:rsid w:val="00262908"/>
    <w:rsid w:val="00262BE1"/>
    <w:rsid w:val="002650F4"/>
    <w:rsid w:val="002715FD"/>
    <w:rsid w:val="002770B1"/>
    <w:rsid w:val="0028520B"/>
    <w:rsid w:val="00285B33"/>
    <w:rsid w:val="00287A3C"/>
    <w:rsid w:val="002A2FC6"/>
    <w:rsid w:val="002C1EC7"/>
    <w:rsid w:val="002C3015"/>
    <w:rsid w:val="002C4342"/>
    <w:rsid w:val="002C7EA3"/>
    <w:rsid w:val="002D20AE"/>
    <w:rsid w:val="002D223D"/>
    <w:rsid w:val="002D6C61"/>
    <w:rsid w:val="002E2104"/>
    <w:rsid w:val="002E2DAC"/>
    <w:rsid w:val="002E6963"/>
    <w:rsid w:val="002E6F8F"/>
    <w:rsid w:val="002F05D8"/>
    <w:rsid w:val="002F2DE0"/>
    <w:rsid w:val="002F5E25"/>
    <w:rsid w:val="00300B0F"/>
    <w:rsid w:val="0030353C"/>
    <w:rsid w:val="003069A9"/>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648E"/>
    <w:rsid w:val="00397C0B"/>
    <w:rsid w:val="003A5AFE"/>
    <w:rsid w:val="003A5D5F"/>
    <w:rsid w:val="003A7FFE"/>
    <w:rsid w:val="003B0A63"/>
    <w:rsid w:val="003B50E1"/>
    <w:rsid w:val="003C1746"/>
    <w:rsid w:val="003C2AA9"/>
    <w:rsid w:val="003C58BF"/>
    <w:rsid w:val="003D451D"/>
    <w:rsid w:val="003D46E0"/>
    <w:rsid w:val="003F2DD8"/>
    <w:rsid w:val="003F3F2D"/>
    <w:rsid w:val="003F50B2"/>
    <w:rsid w:val="00400CCF"/>
    <w:rsid w:val="00401BFF"/>
    <w:rsid w:val="00404424"/>
    <w:rsid w:val="0041156B"/>
    <w:rsid w:val="004122C5"/>
    <w:rsid w:val="00413B78"/>
    <w:rsid w:val="004146FD"/>
    <w:rsid w:val="00416DDE"/>
    <w:rsid w:val="0044411E"/>
    <w:rsid w:val="00453435"/>
    <w:rsid w:val="00460089"/>
    <w:rsid w:val="00466398"/>
    <w:rsid w:val="004712A4"/>
    <w:rsid w:val="0047306D"/>
    <w:rsid w:val="00473791"/>
    <w:rsid w:val="00476E48"/>
    <w:rsid w:val="00481DE9"/>
    <w:rsid w:val="0049128B"/>
    <w:rsid w:val="0049213B"/>
    <w:rsid w:val="00493B49"/>
    <w:rsid w:val="00495501"/>
    <w:rsid w:val="004A070A"/>
    <w:rsid w:val="004A320E"/>
    <w:rsid w:val="004A4E9C"/>
    <w:rsid w:val="004B1A3C"/>
    <w:rsid w:val="004D2CC3"/>
    <w:rsid w:val="004D35CB"/>
    <w:rsid w:val="004D7DAB"/>
    <w:rsid w:val="004E20E5"/>
    <w:rsid w:val="004E64EA"/>
    <w:rsid w:val="004E7828"/>
    <w:rsid w:val="004F46AA"/>
    <w:rsid w:val="004F690B"/>
    <w:rsid w:val="004F6A70"/>
    <w:rsid w:val="00500AD7"/>
    <w:rsid w:val="00502ABF"/>
    <w:rsid w:val="00504DB0"/>
    <w:rsid w:val="005078A4"/>
    <w:rsid w:val="00507C35"/>
    <w:rsid w:val="00510735"/>
    <w:rsid w:val="00514D2F"/>
    <w:rsid w:val="0054420E"/>
    <w:rsid w:val="00544D1B"/>
    <w:rsid w:val="00545DC0"/>
    <w:rsid w:val="00545F6C"/>
    <w:rsid w:val="005477D9"/>
    <w:rsid w:val="0055720C"/>
    <w:rsid w:val="00561796"/>
    <w:rsid w:val="005632DD"/>
    <w:rsid w:val="00563F4A"/>
    <w:rsid w:val="0056423B"/>
    <w:rsid w:val="00566BDC"/>
    <w:rsid w:val="00573424"/>
    <w:rsid w:val="0057402F"/>
    <w:rsid w:val="00577A93"/>
    <w:rsid w:val="00581653"/>
    <w:rsid w:val="005849D6"/>
    <w:rsid w:val="00585367"/>
    <w:rsid w:val="005871A1"/>
    <w:rsid w:val="0058737E"/>
    <w:rsid w:val="00592518"/>
    <w:rsid w:val="00592E87"/>
    <w:rsid w:val="0059420B"/>
    <w:rsid w:val="00594C4D"/>
    <w:rsid w:val="005A33B0"/>
    <w:rsid w:val="005A406D"/>
    <w:rsid w:val="005A4AB8"/>
    <w:rsid w:val="005B793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5EDB"/>
    <w:rsid w:val="00642C3C"/>
    <w:rsid w:val="0064734E"/>
    <w:rsid w:val="00650137"/>
    <w:rsid w:val="006509D7"/>
    <w:rsid w:val="00651CE8"/>
    <w:rsid w:val="0065521B"/>
    <w:rsid w:val="00667BFA"/>
    <w:rsid w:val="00671EF6"/>
    <w:rsid w:val="0067205B"/>
    <w:rsid w:val="006748F8"/>
    <w:rsid w:val="00680489"/>
    <w:rsid w:val="0068093C"/>
    <w:rsid w:val="00683C32"/>
    <w:rsid w:val="006860C4"/>
    <w:rsid w:val="00686D01"/>
    <w:rsid w:val="00690BB2"/>
    <w:rsid w:val="00693D09"/>
    <w:rsid w:val="0069537D"/>
    <w:rsid w:val="006A6549"/>
    <w:rsid w:val="006A7710"/>
    <w:rsid w:val="006A7A61"/>
    <w:rsid w:val="006A7D18"/>
    <w:rsid w:val="006B1256"/>
    <w:rsid w:val="006B1E59"/>
    <w:rsid w:val="006B2FFB"/>
    <w:rsid w:val="006C075B"/>
    <w:rsid w:val="006C10A2"/>
    <w:rsid w:val="006C1F18"/>
    <w:rsid w:val="006D40D5"/>
    <w:rsid w:val="006D4EA0"/>
    <w:rsid w:val="006F009A"/>
    <w:rsid w:val="006F24AF"/>
    <w:rsid w:val="006F3D93"/>
    <w:rsid w:val="007019B1"/>
    <w:rsid w:val="00706440"/>
    <w:rsid w:val="0071703D"/>
    <w:rsid w:val="00721657"/>
    <w:rsid w:val="007279A8"/>
    <w:rsid w:val="00727B1A"/>
    <w:rsid w:val="00732F3C"/>
    <w:rsid w:val="00741337"/>
    <w:rsid w:val="00752258"/>
    <w:rsid w:val="007529E1"/>
    <w:rsid w:val="0076272A"/>
    <w:rsid w:val="00762880"/>
    <w:rsid w:val="00762AD6"/>
    <w:rsid w:val="00762E02"/>
    <w:rsid w:val="00772290"/>
    <w:rsid w:val="00777265"/>
    <w:rsid w:val="007805E7"/>
    <w:rsid w:val="0078222A"/>
    <w:rsid w:val="00784700"/>
    <w:rsid w:val="00787D48"/>
    <w:rsid w:val="00795294"/>
    <w:rsid w:val="007A4E50"/>
    <w:rsid w:val="007B18A7"/>
    <w:rsid w:val="007B250E"/>
    <w:rsid w:val="007C27FC"/>
    <w:rsid w:val="007C51FF"/>
    <w:rsid w:val="007D50E4"/>
    <w:rsid w:val="007D60DE"/>
    <w:rsid w:val="007E2DC5"/>
    <w:rsid w:val="007F1CC7"/>
    <w:rsid w:val="008027AC"/>
    <w:rsid w:val="008028CE"/>
    <w:rsid w:val="0080332E"/>
    <w:rsid w:val="008141E0"/>
    <w:rsid w:val="00816EE1"/>
    <w:rsid w:val="00816F88"/>
    <w:rsid w:val="00821996"/>
    <w:rsid w:val="00822323"/>
    <w:rsid w:val="00826A3E"/>
    <w:rsid w:val="00827BC6"/>
    <w:rsid w:val="008300AD"/>
    <w:rsid w:val="00833024"/>
    <w:rsid w:val="008419B1"/>
    <w:rsid w:val="00844A56"/>
    <w:rsid w:val="00845B11"/>
    <w:rsid w:val="00852081"/>
    <w:rsid w:val="00872B6E"/>
    <w:rsid w:val="00874DFD"/>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30E7"/>
    <w:rsid w:val="008C4010"/>
    <w:rsid w:val="008C4FDF"/>
    <w:rsid w:val="008C6B1F"/>
    <w:rsid w:val="008C7A35"/>
    <w:rsid w:val="008D5E4F"/>
    <w:rsid w:val="008E34F0"/>
    <w:rsid w:val="008E6AF8"/>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55192"/>
    <w:rsid w:val="0096201B"/>
    <w:rsid w:val="00962081"/>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2B0"/>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10AAC"/>
    <w:rsid w:val="00B143A4"/>
    <w:rsid w:val="00B25F26"/>
    <w:rsid w:val="00B310F9"/>
    <w:rsid w:val="00B37866"/>
    <w:rsid w:val="00B412FB"/>
    <w:rsid w:val="00B44BBE"/>
    <w:rsid w:val="00B4576B"/>
    <w:rsid w:val="00B46350"/>
    <w:rsid w:val="00B46DF3"/>
    <w:rsid w:val="00B5794F"/>
    <w:rsid w:val="00B648C7"/>
    <w:rsid w:val="00B66E8F"/>
    <w:rsid w:val="00B80157"/>
    <w:rsid w:val="00B83D5E"/>
    <w:rsid w:val="00B8460A"/>
    <w:rsid w:val="00B8650D"/>
    <w:rsid w:val="00B879B4"/>
    <w:rsid w:val="00B90F07"/>
    <w:rsid w:val="00B97BB9"/>
    <w:rsid w:val="00BA0009"/>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50751"/>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16C3"/>
    <w:rsid w:val="00CB2A2E"/>
    <w:rsid w:val="00CB338A"/>
    <w:rsid w:val="00CB79C5"/>
    <w:rsid w:val="00CC411F"/>
    <w:rsid w:val="00CC4B75"/>
    <w:rsid w:val="00CC732E"/>
    <w:rsid w:val="00CD1A29"/>
    <w:rsid w:val="00CD2A98"/>
    <w:rsid w:val="00CD2FCD"/>
    <w:rsid w:val="00CD7207"/>
    <w:rsid w:val="00CE0422"/>
    <w:rsid w:val="00CE0DBE"/>
    <w:rsid w:val="00CE5E4D"/>
    <w:rsid w:val="00CE7B51"/>
    <w:rsid w:val="00CF02C4"/>
    <w:rsid w:val="00CF167F"/>
    <w:rsid w:val="00CF3288"/>
    <w:rsid w:val="00CF468F"/>
    <w:rsid w:val="00CF72E5"/>
    <w:rsid w:val="00D013EE"/>
    <w:rsid w:val="00D01F54"/>
    <w:rsid w:val="00D040F7"/>
    <w:rsid w:val="00D04A76"/>
    <w:rsid w:val="00D07D9B"/>
    <w:rsid w:val="00D07E2B"/>
    <w:rsid w:val="00D10FC7"/>
    <w:rsid w:val="00D1519F"/>
    <w:rsid w:val="00D16D5D"/>
    <w:rsid w:val="00D1703C"/>
    <w:rsid w:val="00D20E99"/>
    <w:rsid w:val="00D21C83"/>
    <w:rsid w:val="00D35BDD"/>
    <w:rsid w:val="00D522E1"/>
    <w:rsid w:val="00D63006"/>
    <w:rsid w:val="00D72301"/>
    <w:rsid w:val="00D85A14"/>
    <w:rsid w:val="00D911DE"/>
    <w:rsid w:val="00D91B97"/>
    <w:rsid w:val="00D93ACC"/>
    <w:rsid w:val="00D93C08"/>
    <w:rsid w:val="00D95DAC"/>
    <w:rsid w:val="00DA0B53"/>
    <w:rsid w:val="00DA5F66"/>
    <w:rsid w:val="00DB1171"/>
    <w:rsid w:val="00DB1519"/>
    <w:rsid w:val="00DB2840"/>
    <w:rsid w:val="00DC1BD3"/>
    <w:rsid w:val="00DC2C1A"/>
    <w:rsid w:val="00DD66B4"/>
    <w:rsid w:val="00DE1972"/>
    <w:rsid w:val="00DE27AB"/>
    <w:rsid w:val="00DF2AB3"/>
    <w:rsid w:val="00DF6305"/>
    <w:rsid w:val="00DF7250"/>
    <w:rsid w:val="00E00CAA"/>
    <w:rsid w:val="00E03EBF"/>
    <w:rsid w:val="00E05209"/>
    <w:rsid w:val="00E05AC1"/>
    <w:rsid w:val="00E06694"/>
    <w:rsid w:val="00E11BCF"/>
    <w:rsid w:val="00E2258E"/>
    <w:rsid w:val="00E25DA3"/>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87F74"/>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7C6"/>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367D"/>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2.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Delmas, Nathalie</cp:lastModifiedBy>
  <cp:revision>2</cp:revision>
  <cp:lastPrinted>2014-11-04T09:22:00Z</cp:lastPrinted>
  <dcterms:created xsi:type="dcterms:W3CDTF">2024-12-03T10:53:00Z</dcterms:created>
  <dcterms:modified xsi:type="dcterms:W3CDTF">2024-12-03T10:53:00Z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