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rsidRPr="006D4EA0" w14:paraId="3F0E9EC4" w14:textId="77777777" w:rsidTr="00952667">
        <w:trPr>
          <w:cantSplit/>
          <w:trHeight w:val="1134"/>
        </w:trPr>
        <w:tc>
          <w:tcPr>
            <w:tcW w:w="6379" w:type="dxa"/>
          </w:tcPr>
          <w:p w14:paraId="088A3440" w14:textId="1AA7C467" w:rsidR="0019303F" w:rsidRPr="006D4EA0" w:rsidRDefault="00D07D9B" w:rsidP="0019303F">
            <w:pPr>
              <w:tabs>
                <w:tab w:val="clear" w:pos="1191"/>
                <w:tab w:val="clear" w:pos="1588"/>
                <w:tab w:val="clear" w:pos="1985"/>
              </w:tabs>
              <w:ind w:left="34"/>
              <w:rPr>
                <w:b/>
                <w:bCs/>
                <w:sz w:val="32"/>
                <w:szCs w:val="32"/>
              </w:rPr>
            </w:pPr>
            <w:r w:rsidRPr="00D07D9B">
              <w:rPr>
                <w:b/>
                <w:bCs/>
                <w:sz w:val="32"/>
                <w:szCs w:val="32"/>
              </w:rPr>
              <w:t>TDAG Informal Coordination Group on the Youth Summit and the Global Celebration (TDAG-ICG-GYS)</w:t>
            </w:r>
          </w:p>
          <w:p w14:paraId="5F5F590A" w14:textId="611A9766" w:rsidR="00307769" w:rsidRPr="006D4EA0" w:rsidRDefault="00FA67C6" w:rsidP="00307769">
            <w:pPr>
              <w:tabs>
                <w:tab w:val="clear" w:pos="1191"/>
                <w:tab w:val="clear" w:pos="1588"/>
                <w:tab w:val="clear" w:pos="1985"/>
              </w:tabs>
              <w:spacing w:after="120"/>
              <w:ind w:left="34"/>
              <w:rPr>
                <w:rFonts w:ascii="Verdana" w:hAnsi="Verdana"/>
                <w:sz w:val="28"/>
                <w:szCs w:val="28"/>
              </w:rPr>
            </w:pPr>
            <w:r>
              <w:rPr>
                <w:b/>
                <w:bCs/>
                <w:sz w:val="26"/>
                <w:szCs w:val="26"/>
              </w:rPr>
              <w:t>1st</w:t>
            </w:r>
            <w:r w:rsidR="00B143A4">
              <w:rPr>
                <w:b/>
                <w:bCs/>
                <w:sz w:val="26"/>
                <w:szCs w:val="26"/>
              </w:rPr>
              <w:t xml:space="preserve"> </w:t>
            </w:r>
            <w:r w:rsidR="00E25DA3">
              <w:rPr>
                <w:b/>
                <w:bCs/>
                <w:sz w:val="26"/>
                <w:szCs w:val="26"/>
              </w:rPr>
              <w:t xml:space="preserve">Meeting, </w:t>
            </w:r>
            <w:r w:rsidR="00021196" w:rsidRPr="006D4EA0">
              <w:rPr>
                <w:b/>
                <w:bCs/>
                <w:sz w:val="26"/>
                <w:szCs w:val="26"/>
              </w:rPr>
              <w:t>V</w:t>
            </w:r>
            <w:r w:rsidR="006C075B" w:rsidRPr="006D4EA0">
              <w:rPr>
                <w:b/>
                <w:bCs/>
                <w:sz w:val="26"/>
                <w:szCs w:val="26"/>
              </w:rPr>
              <w:t>irtual</w:t>
            </w:r>
            <w:r w:rsidR="00307769" w:rsidRPr="006D4EA0">
              <w:rPr>
                <w:b/>
                <w:bCs/>
                <w:sz w:val="26"/>
                <w:szCs w:val="26"/>
              </w:rPr>
              <w:t xml:space="preserve">, </w:t>
            </w:r>
            <w:r w:rsidR="00577A93">
              <w:rPr>
                <w:b/>
                <w:bCs/>
                <w:sz w:val="26"/>
                <w:szCs w:val="26"/>
              </w:rPr>
              <w:t>25</w:t>
            </w:r>
            <w:r w:rsidR="0069537D">
              <w:rPr>
                <w:b/>
                <w:bCs/>
                <w:sz w:val="26"/>
                <w:szCs w:val="26"/>
              </w:rPr>
              <w:t xml:space="preserve"> September</w:t>
            </w:r>
            <w:r w:rsidR="00E25DA3">
              <w:rPr>
                <w:b/>
                <w:bCs/>
                <w:sz w:val="26"/>
                <w:szCs w:val="26"/>
              </w:rPr>
              <w:t xml:space="preserve"> </w:t>
            </w:r>
            <w:r w:rsidR="006F24AF" w:rsidRPr="006D4EA0">
              <w:rPr>
                <w:b/>
                <w:bCs/>
                <w:sz w:val="26"/>
                <w:szCs w:val="26"/>
              </w:rPr>
              <w:t>2024</w:t>
            </w:r>
          </w:p>
        </w:tc>
        <w:tc>
          <w:tcPr>
            <w:tcW w:w="3509" w:type="dxa"/>
          </w:tcPr>
          <w:p w14:paraId="67E7B4C4" w14:textId="0F52E4CC" w:rsidR="00307769" w:rsidRPr="006D4EA0" w:rsidRDefault="00307769" w:rsidP="00952667">
            <w:pPr>
              <w:spacing w:after="120"/>
              <w:ind w:right="142"/>
              <w:jc w:val="right"/>
            </w:pPr>
            <w:r w:rsidRPr="006D4EA0">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6D4EA0" w14:paraId="3C13197B" w14:textId="77777777" w:rsidTr="00D07E2B">
        <w:trPr>
          <w:cantSplit/>
        </w:trPr>
        <w:tc>
          <w:tcPr>
            <w:tcW w:w="6379" w:type="dxa"/>
            <w:tcBorders>
              <w:top w:val="single" w:sz="12" w:space="0" w:color="auto"/>
            </w:tcBorders>
          </w:tcPr>
          <w:p w14:paraId="2EED9DB2" w14:textId="77777777" w:rsidR="00683C32" w:rsidRPr="006D4EA0" w:rsidRDefault="00683C32" w:rsidP="00107E85">
            <w:pPr>
              <w:spacing w:before="0"/>
              <w:rPr>
                <w:rFonts w:cs="Arial"/>
                <w:b/>
                <w:bCs/>
                <w:sz w:val="20"/>
              </w:rPr>
            </w:pPr>
          </w:p>
        </w:tc>
        <w:tc>
          <w:tcPr>
            <w:tcW w:w="3509" w:type="dxa"/>
            <w:tcBorders>
              <w:top w:val="single" w:sz="12" w:space="0" w:color="auto"/>
            </w:tcBorders>
          </w:tcPr>
          <w:p w14:paraId="6CC77CFE" w14:textId="77777777" w:rsidR="00683C32" w:rsidRPr="006D4EA0" w:rsidRDefault="00683C32" w:rsidP="00107E85">
            <w:pPr>
              <w:spacing w:before="0"/>
              <w:rPr>
                <w:b/>
                <w:bCs/>
                <w:sz w:val="20"/>
              </w:rPr>
            </w:pPr>
          </w:p>
        </w:tc>
      </w:tr>
      <w:tr w:rsidR="00706440" w:rsidRPr="00203727" w14:paraId="0BB3FBC4" w14:textId="77777777" w:rsidTr="00D07E2B">
        <w:trPr>
          <w:cantSplit/>
        </w:trPr>
        <w:tc>
          <w:tcPr>
            <w:tcW w:w="6379" w:type="dxa"/>
          </w:tcPr>
          <w:p w14:paraId="43C54B3D" w14:textId="77777777" w:rsidR="00706440" w:rsidRPr="006D4EA0" w:rsidRDefault="00706440" w:rsidP="00706440">
            <w:pPr>
              <w:pStyle w:val="Committee"/>
              <w:spacing w:before="0"/>
              <w:rPr>
                <w:b w:val="0"/>
                <w:szCs w:val="24"/>
              </w:rPr>
            </w:pPr>
          </w:p>
        </w:tc>
        <w:tc>
          <w:tcPr>
            <w:tcW w:w="3509" w:type="dxa"/>
          </w:tcPr>
          <w:p w14:paraId="02E44EE9" w14:textId="5FEE6798" w:rsidR="00706440" w:rsidRPr="006D4EA0" w:rsidRDefault="00706440" w:rsidP="00706440">
            <w:pPr>
              <w:spacing w:before="0"/>
              <w:jc w:val="both"/>
              <w:rPr>
                <w:bCs/>
                <w:szCs w:val="24"/>
                <w:lang w:val="fr-FR"/>
              </w:rPr>
            </w:pPr>
            <w:r w:rsidRPr="006D4EA0">
              <w:rPr>
                <w:b/>
                <w:bCs/>
                <w:lang w:val="fr-FR"/>
              </w:rPr>
              <w:t xml:space="preserve">Document </w:t>
            </w:r>
            <w:bookmarkStart w:id="0" w:name="DocRef1"/>
            <w:bookmarkEnd w:id="0"/>
            <w:r w:rsidR="000D241F" w:rsidRPr="000D241F">
              <w:rPr>
                <w:b/>
                <w:bCs/>
                <w:lang w:val="fr-FR"/>
              </w:rPr>
              <w:t>TDAG-ICG-GYS</w:t>
            </w:r>
            <w:r w:rsidRPr="006D4EA0">
              <w:rPr>
                <w:b/>
                <w:bCs/>
                <w:lang w:val="fr-FR"/>
              </w:rPr>
              <w:t>/</w:t>
            </w:r>
            <w:r w:rsidR="004846BF">
              <w:rPr>
                <w:b/>
                <w:bCs/>
                <w:lang w:val="fr-FR"/>
              </w:rPr>
              <w:t>5</w:t>
            </w:r>
            <w:r w:rsidRPr="006D4EA0">
              <w:rPr>
                <w:b/>
                <w:bCs/>
                <w:lang w:val="fr-FR"/>
              </w:rPr>
              <w:t>-E</w:t>
            </w:r>
          </w:p>
        </w:tc>
      </w:tr>
      <w:tr w:rsidR="00706440" w:rsidRPr="006D4EA0" w14:paraId="24D04936" w14:textId="77777777" w:rsidTr="00D07E2B">
        <w:trPr>
          <w:cantSplit/>
        </w:trPr>
        <w:tc>
          <w:tcPr>
            <w:tcW w:w="6379" w:type="dxa"/>
          </w:tcPr>
          <w:p w14:paraId="12CE4DBF" w14:textId="77777777" w:rsidR="00706440" w:rsidRPr="006D4EA0" w:rsidRDefault="00706440" w:rsidP="00706440">
            <w:pPr>
              <w:spacing w:before="0"/>
              <w:rPr>
                <w:b/>
                <w:bCs/>
                <w:smallCaps/>
                <w:szCs w:val="24"/>
                <w:lang w:val="fr-FR"/>
              </w:rPr>
            </w:pPr>
          </w:p>
        </w:tc>
        <w:tc>
          <w:tcPr>
            <w:tcW w:w="3509" w:type="dxa"/>
          </w:tcPr>
          <w:p w14:paraId="0F89640F" w14:textId="61B4C30D" w:rsidR="00706440" w:rsidRPr="006D4EA0" w:rsidRDefault="00203727" w:rsidP="00706440">
            <w:pPr>
              <w:spacing w:before="0"/>
              <w:rPr>
                <w:b/>
                <w:szCs w:val="24"/>
              </w:rPr>
            </w:pPr>
            <w:bookmarkStart w:id="1" w:name="CreationDate"/>
            <w:bookmarkEnd w:id="1"/>
            <w:r>
              <w:rPr>
                <w:b/>
                <w:bCs/>
                <w:szCs w:val="28"/>
              </w:rPr>
              <w:t>7</w:t>
            </w:r>
            <w:r w:rsidR="00706440" w:rsidRPr="006D4EA0">
              <w:rPr>
                <w:b/>
                <w:bCs/>
                <w:szCs w:val="28"/>
              </w:rPr>
              <w:t xml:space="preserve"> </w:t>
            </w:r>
            <w:r>
              <w:rPr>
                <w:b/>
                <w:bCs/>
                <w:szCs w:val="28"/>
              </w:rPr>
              <w:t>October</w:t>
            </w:r>
            <w:r w:rsidR="00706440" w:rsidRPr="006D4EA0">
              <w:rPr>
                <w:b/>
                <w:bCs/>
                <w:szCs w:val="28"/>
              </w:rPr>
              <w:t xml:space="preserve"> 2024</w:t>
            </w:r>
          </w:p>
        </w:tc>
      </w:tr>
      <w:tr w:rsidR="00706440" w:rsidRPr="006D4EA0" w14:paraId="7B96545F" w14:textId="77777777" w:rsidTr="00D07E2B">
        <w:trPr>
          <w:cantSplit/>
        </w:trPr>
        <w:tc>
          <w:tcPr>
            <w:tcW w:w="6379" w:type="dxa"/>
          </w:tcPr>
          <w:p w14:paraId="65956FD3" w14:textId="77777777" w:rsidR="00706440" w:rsidRPr="006D4EA0" w:rsidRDefault="00706440" w:rsidP="00706440">
            <w:pPr>
              <w:spacing w:before="0"/>
              <w:rPr>
                <w:b/>
                <w:bCs/>
                <w:smallCaps/>
                <w:szCs w:val="24"/>
              </w:rPr>
            </w:pPr>
          </w:p>
        </w:tc>
        <w:tc>
          <w:tcPr>
            <w:tcW w:w="3509" w:type="dxa"/>
          </w:tcPr>
          <w:p w14:paraId="30EFD39F" w14:textId="397482B7" w:rsidR="00706440" w:rsidRPr="006D4EA0" w:rsidRDefault="00706440" w:rsidP="00706440">
            <w:pPr>
              <w:spacing w:before="0"/>
              <w:rPr>
                <w:szCs w:val="24"/>
              </w:rPr>
            </w:pPr>
            <w:bookmarkStart w:id="2" w:name="Original"/>
            <w:bookmarkEnd w:id="2"/>
            <w:r w:rsidRPr="006D4EA0">
              <w:rPr>
                <w:b/>
              </w:rPr>
              <w:t>English only</w:t>
            </w:r>
          </w:p>
        </w:tc>
      </w:tr>
      <w:tr w:rsidR="00A13162" w:rsidRPr="006D4EA0" w14:paraId="31656E31" w14:textId="77777777" w:rsidTr="00107E85">
        <w:trPr>
          <w:cantSplit/>
          <w:trHeight w:val="852"/>
        </w:trPr>
        <w:tc>
          <w:tcPr>
            <w:tcW w:w="9888" w:type="dxa"/>
            <w:gridSpan w:val="2"/>
          </w:tcPr>
          <w:p w14:paraId="512FCA01" w14:textId="11D252FF" w:rsidR="00A13162" w:rsidRPr="006D4EA0" w:rsidRDefault="00F94B72" w:rsidP="0030353C">
            <w:pPr>
              <w:pStyle w:val="Source"/>
            </w:pPr>
            <w:bookmarkStart w:id="3" w:name="Source"/>
            <w:bookmarkEnd w:id="3"/>
            <w:r>
              <w:t>Chair, TDAG</w:t>
            </w:r>
            <w:r w:rsidRPr="009577FE">
              <w:t>-ICG-GYS</w:t>
            </w:r>
          </w:p>
        </w:tc>
      </w:tr>
      <w:tr w:rsidR="00AC6F14" w:rsidRPr="006D4EA0" w14:paraId="2CBD3A36" w14:textId="77777777" w:rsidTr="00107E85">
        <w:trPr>
          <w:cantSplit/>
        </w:trPr>
        <w:tc>
          <w:tcPr>
            <w:tcW w:w="9888" w:type="dxa"/>
            <w:gridSpan w:val="2"/>
          </w:tcPr>
          <w:p w14:paraId="1B4121DF" w14:textId="4A5E5010" w:rsidR="00AC6F14" w:rsidRPr="006D4EA0" w:rsidRDefault="001D7C66" w:rsidP="0030353C">
            <w:pPr>
              <w:pStyle w:val="Title1"/>
              <w:rPr>
                <w:rFonts w:cs="Times New Roman"/>
                <w:bCs/>
              </w:rPr>
            </w:pPr>
            <w:bookmarkStart w:id="4" w:name="Title"/>
            <w:bookmarkEnd w:id="4"/>
            <w:r w:rsidRPr="001D7C66">
              <w:rPr>
                <w:rFonts w:cs="Times New Roman"/>
                <w:bCs/>
              </w:rPr>
              <w:t>Report of the first meeting of the</w:t>
            </w:r>
            <w:r w:rsidR="002121F1">
              <w:t xml:space="preserve"> </w:t>
            </w:r>
            <w:r w:rsidR="002121F1" w:rsidRPr="002121F1">
              <w:rPr>
                <w:rFonts w:cs="Times New Roman"/>
                <w:bCs/>
              </w:rPr>
              <w:t xml:space="preserve">TDAG Informal Coordination Group </w:t>
            </w:r>
            <w:r w:rsidR="002121F1">
              <w:rPr>
                <w:rFonts w:cs="Times New Roman"/>
                <w:bCs/>
              </w:rPr>
              <w:br/>
            </w:r>
            <w:r w:rsidR="002121F1" w:rsidRPr="002121F1">
              <w:rPr>
                <w:rFonts w:cs="Times New Roman"/>
                <w:bCs/>
              </w:rPr>
              <w:t>on the Youth Summit and the Global Celebration</w:t>
            </w:r>
          </w:p>
        </w:tc>
      </w:tr>
      <w:tr w:rsidR="00A721F4" w:rsidRPr="006D4EA0" w14:paraId="23A30231" w14:textId="77777777" w:rsidTr="00A721F4">
        <w:trPr>
          <w:cantSplit/>
        </w:trPr>
        <w:tc>
          <w:tcPr>
            <w:tcW w:w="9888" w:type="dxa"/>
            <w:gridSpan w:val="2"/>
            <w:tcBorders>
              <w:bottom w:val="single" w:sz="4" w:space="0" w:color="auto"/>
            </w:tcBorders>
          </w:tcPr>
          <w:p w14:paraId="726EE70E" w14:textId="77777777" w:rsidR="00A721F4" w:rsidRPr="006D4EA0" w:rsidRDefault="00A721F4" w:rsidP="0030353C"/>
        </w:tc>
      </w:tr>
      <w:tr w:rsidR="00A721F4" w:rsidRPr="00013D5C"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Default="00A721F4" w:rsidP="00EA0C51">
            <w:pPr>
              <w:spacing w:after="120"/>
              <w:rPr>
                <w:b/>
                <w:bCs/>
                <w:szCs w:val="24"/>
              </w:rPr>
            </w:pPr>
            <w:r w:rsidRPr="006D4EA0">
              <w:rPr>
                <w:b/>
                <w:bCs/>
                <w:szCs w:val="24"/>
              </w:rPr>
              <w:t>Summary:</w:t>
            </w:r>
          </w:p>
          <w:p w14:paraId="0BEA7A3E" w14:textId="77777777" w:rsidR="008C29D2" w:rsidRDefault="008C29D2" w:rsidP="00EA0C51">
            <w:pPr>
              <w:spacing w:after="120"/>
              <w:rPr>
                <w:szCs w:val="24"/>
              </w:rPr>
            </w:pPr>
            <w:r w:rsidRPr="008C29D2">
              <w:rPr>
                <w:szCs w:val="24"/>
              </w:rPr>
              <w:t>The document contains a summary of the discussions during the first meeting of the group.</w:t>
            </w:r>
          </w:p>
          <w:p w14:paraId="76A1C541" w14:textId="7DFA71BE" w:rsidR="00A721F4" w:rsidRPr="006D4EA0" w:rsidRDefault="00A721F4" w:rsidP="00EA0C51">
            <w:pPr>
              <w:spacing w:after="120"/>
              <w:rPr>
                <w:b/>
                <w:bCs/>
                <w:szCs w:val="24"/>
              </w:rPr>
            </w:pPr>
            <w:r w:rsidRPr="006D4EA0">
              <w:rPr>
                <w:b/>
                <w:bCs/>
              </w:rPr>
              <w:t>Action required:</w:t>
            </w:r>
          </w:p>
          <w:p w14:paraId="7BEA74D3" w14:textId="5EF3779A" w:rsidR="00491D63" w:rsidRDefault="00D040E3" w:rsidP="00EA0C51">
            <w:pPr>
              <w:spacing w:after="120"/>
              <w:rPr>
                <w:b/>
                <w:bCs/>
                <w:szCs w:val="24"/>
              </w:rPr>
            </w:pPr>
            <w:r w:rsidRPr="00D040E3">
              <w:t>For information</w:t>
            </w:r>
            <w:r>
              <w:t>.</w:t>
            </w:r>
          </w:p>
          <w:p w14:paraId="622ACB80" w14:textId="1ABDBC38" w:rsidR="00A721F4" w:rsidRDefault="00A721F4" w:rsidP="00EA0C51">
            <w:pPr>
              <w:spacing w:after="120"/>
              <w:rPr>
                <w:b/>
                <w:bCs/>
                <w:szCs w:val="24"/>
              </w:rPr>
            </w:pPr>
            <w:r w:rsidRPr="006D4EA0">
              <w:rPr>
                <w:b/>
                <w:bCs/>
                <w:szCs w:val="24"/>
              </w:rPr>
              <w:t>References:</w:t>
            </w:r>
          </w:p>
          <w:p w14:paraId="1ECDD20E" w14:textId="2A191FF8" w:rsidR="00A35220" w:rsidRPr="00FF1BBD" w:rsidRDefault="00FF1BBD" w:rsidP="00FF1BBD">
            <w:pPr>
              <w:spacing w:after="120"/>
            </w:pPr>
            <w:r>
              <w:t xml:space="preserve">Draft agenda: </w:t>
            </w:r>
            <w:hyperlink r:id="rId11" w:history="1">
              <w:r w:rsidRPr="00964B05">
                <w:rPr>
                  <w:rStyle w:val="Hyperlink"/>
                </w:rPr>
                <w:t>TDAG-ICG-GYS/1</w:t>
              </w:r>
            </w:hyperlink>
            <w:r>
              <w:t xml:space="preserve"> </w:t>
            </w:r>
            <w:r>
              <w:br/>
            </w:r>
            <w:r>
              <w:t xml:space="preserve">Draft terms of reference: </w:t>
            </w:r>
            <w:hyperlink r:id="rId12" w:history="1">
              <w:r w:rsidRPr="00661B11">
                <w:rPr>
                  <w:rStyle w:val="Hyperlink"/>
                </w:rPr>
                <w:t>TDAG-ICG-GYS/2</w:t>
              </w:r>
            </w:hyperlink>
            <w:r>
              <w:rPr>
                <w:rStyle w:val="Hyperlink"/>
              </w:rPr>
              <w:br/>
            </w:r>
            <w:r>
              <w:t xml:space="preserve">Proposed calendar of meetings and Chair rotation: </w:t>
            </w:r>
            <w:hyperlink r:id="rId13" w:history="1">
              <w:r w:rsidRPr="00661B11">
                <w:rPr>
                  <w:rStyle w:val="Hyperlink"/>
                </w:rPr>
                <w:t>TDAG-ICG-GYS/3</w:t>
              </w:r>
            </w:hyperlink>
            <w:r>
              <w:t xml:space="preserve"> </w:t>
            </w:r>
            <w:r>
              <w:br/>
            </w:r>
            <w:r>
              <w:t xml:space="preserve">Background paper: </w:t>
            </w:r>
            <w:hyperlink r:id="rId14" w:history="1">
              <w:r w:rsidRPr="0015402D">
                <w:rPr>
                  <w:rStyle w:val="Hyperlink"/>
                </w:rPr>
                <w:t>TDAG-ICG-GYS/4(Rev.1)-E</w:t>
              </w:r>
            </w:hyperlink>
          </w:p>
        </w:tc>
      </w:tr>
    </w:tbl>
    <w:p w14:paraId="72F5CF96" w14:textId="77777777" w:rsidR="00923CF1" w:rsidRPr="00DD411A" w:rsidRDefault="00923CF1" w:rsidP="00935FF0">
      <w:pPr>
        <w:rPr>
          <w:lang w:val="it-IT"/>
        </w:rPr>
      </w:pPr>
    </w:p>
    <w:p w14:paraId="5B29B2A3" w14:textId="77777777" w:rsidR="00923CF1" w:rsidRPr="00DD411A" w:rsidRDefault="00923CF1">
      <w:pPr>
        <w:tabs>
          <w:tab w:val="clear" w:pos="794"/>
          <w:tab w:val="clear" w:pos="1191"/>
          <w:tab w:val="clear" w:pos="1588"/>
          <w:tab w:val="clear" w:pos="1985"/>
        </w:tabs>
        <w:overflowPunct/>
        <w:autoSpaceDE/>
        <w:autoSpaceDN/>
        <w:adjustRightInd/>
        <w:spacing w:before="0"/>
        <w:textAlignment w:val="auto"/>
        <w:rPr>
          <w:lang w:val="it-IT"/>
        </w:rPr>
      </w:pPr>
      <w:r w:rsidRPr="00DD411A">
        <w:rPr>
          <w:lang w:val="it-IT"/>
        </w:rPr>
        <w:br w:type="page"/>
      </w:r>
    </w:p>
    <w:p w14:paraId="21A5C1BE" w14:textId="77777777" w:rsidR="00100065" w:rsidRPr="00A47DB6" w:rsidRDefault="00100065" w:rsidP="00E83F92">
      <w:pPr>
        <w:pStyle w:val="ListParagraph"/>
        <w:numPr>
          <w:ilvl w:val="0"/>
          <w:numId w:val="10"/>
        </w:numPr>
        <w:overflowPunct/>
        <w:autoSpaceDE/>
        <w:autoSpaceDN/>
        <w:adjustRightInd/>
        <w:spacing w:after="120"/>
        <w:contextualSpacing w:val="0"/>
        <w:textAlignment w:val="auto"/>
        <w:rPr>
          <w:b/>
          <w:bCs/>
        </w:rPr>
      </w:pPr>
      <w:bookmarkStart w:id="5" w:name="Proposal"/>
      <w:bookmarkEnd w:id="5"/>
      <w:r w:rsidRPr="00A47DB6">
        <w:rPr>
          <w:b/>
          <w:bCs/>
        </w:rPr>
        <w:lastRenderedPageBreak/>
        <w:t>Opening of the meeting and welcome remarks</w:t>
      </w:r>
    </w:p>
    <w:p w14:paraId="6F06696B" w14:textId="38926296" w:rsidR="00100065" w:rsidRPr="00A47DB6" w:rsidRDefault="00100065" w:rsidP="00E83F92">
      <w:pPr>
        <w:tabs>
          <w:tab w:val="clear" w:pos="794"/>
          <w:tab w:val="clear" w:pos="1191"/>
          <w:tab w:val="clear" w:pos="1588"/>
          <w:tab w:val="clear" w:pos="1985"/>
        </w:tabs>
        <w:spacing w:after="120"/>
      </w:pPr>
      <w:r w:rsidRPr="00A47DB6">
        <w:t xml:space="preserve">The </w:t>
      </w:r>
      <w:bookmarkStart w:id="6" w:name="_Hlk178245078"/>
      <w:r w:rsidRPr="00A47DB6">
        <w:rPr>
          <w:b/>
          <w:bCs/>
        </w:rPr>
        <w:t>Chair of the first TDAG-ICG-GYS meeting, Ms Agustina Brizio</w:t>
      </w:r>
      <w:r w:rsidRPr="00A47DB6">
        <w:t xml:space="preserve">, from Argentina, </w:t>
      </w:r>
      <w:bookmarkEnd w:id="6"/>
      <w:r w:rsidRPr="00A47DB6">
        <w:t xml:space="preserve">welcomed participants, expressing gratitude for their attendance at the first meeting of the TDAG Informal Coordination Group on the Global Youth Summit (GYS) and the potential Youth Celebration to WTDC-25 (TDAG-ICG-GYS). The Chair invited Dr Cosmas </w:t>
      </w:r>
      <w:proofErr w:type="spellStart"/>
      <w:r w:rsidRPr="00A47DB6">
        <w:t>Luckyson</w:t>
      </w:r>
      <w:proofErr w:type="spellEnd"/>
      <w:r w:rsidRPr="00A47DB6">
        <w:t xml:space="preserve"> Zavazava, Director of the Telecommunication Development Bureau (BDT) of the ITU, to deliver his welcoming remarks. </w:t>
      </w:r>
    </w:p>
    <w:p w14:paraId="64070E14" w14:textId="703129F8" w:rsidR="00100065" w:rsidRPr="00A47DB6" w:rsidRDefault="00100065" w:rsidP="00E83F92">
      <w:pPr>
        <w:tabs>
          <w:tab w:val="clear" w:pos="794"/>
          <w:tab w:val="clear" w:pos="1191"/>
          <w:tab w:val="clear" w:pos="1588"/>
          <w:tab w:val="clear" w:pos="1985"/>
        </w:tabs>
        <w:spacing w:after="120"/>
      </w:pPr>
      <w:r w:rsidRPr="00A47DB6">
        <w:t xml:space="preserve">In his remarks, the </w:t>
      </w:r>
      <w:r w:rsidRPr="00A47DB6">
        <w:rPr>
          <w:b/>
          <w:bCs/>
        </w:rPr>
        <w:t>BDT Director</w:t>
      </w:r>
      <w:r w:rsidRPr="00A47DB6">
        <w:t xml:space="preserve"> acknowledged the TDAG Chair and the Chair of the inaugural meeting, as well as the other Coordinators of the Group: Ms Ke Wang (China), Mr Abdoulkarim Oloyede (Nigeria), and Ms Shahad </w:t>
      </w:r>
      <w:proofErr w:type="spellStart"/>
      <w:r w:rsidRPr="00A47DB6">
        <w:t>Albalawi</w:t>
      </w:r>
      <w:proofErr w:type="spellEnd"/>
      <w:r w:rsidRPr="00A47DB6">
        <w:t xml:space="preserve"> (Saudi Arabia), highlighting their leadership role in coordinating the group's efforts. He outlined the upcoming sessions, two scheduled for 2024 (September and December) and two for 2025 (January and February) and invited the Group to contribute their ideas and expertise towards a meaningful GYS and a possible Youth Celebration the day before WTDC-25. The BDT Director emphasized that GYS will aim to provide an outcome report for information to ITU members to inspire them and facilitate the incorporation of youth perspectives in the planning of WTDC-25, as deemed appropriate by Member States. He further called on the Group to engage with ITU members to join the BDT effort to secure sponsorships, particularly for youth participants from LDCs, LLDCs, and SIDS, to make these events a life changing and impactful experience for young people. He concluded by encouraging collaboration among members to ensure the success of these upcoming events.</w:t>
      </w:r>
    </w:p>
    <w:p w14:paraId="7C36217A" w14:textId="77777777" w:rsidR="00100065" w:rsidRPr="00A47DB6" w:rsidRDefault="00100065" w:rsidP="000D506B">
      <w:pPr>
        <w:pStyle w:val="ListParagraph"/>
        <w:numPr>
          <w:ilvl w:val="0"/>
          <w:numId w:val="10"/>
        </w:numPr>
        <w:overflowPunct/>
        <w:autoSpaceDE/>
        <w:autoSpaceDN/>
        <w:adjustRightInd/>
        <w:spacing w:after="120"/>
        <w:contextualSpacing w:val="0"/>
        <w:textAlignment w:val="auto"/>
        <w:rPr>
          <w:b/>
          <w:bCs/>
        </w:rPr>
      </w:pPr>
      <w:r w:rsidRPr="00A47DB6">
        <w:rPr>
          <w:b/>
          <w:bCs/>
        </w:rPr>
        <w:t>Approval of the Agenda</w:t>
      </w:r>
    </w:p>
    <w:p w14:paraId="43AF338A" w14:textId="0D323701" w:rsidR="00100065" w:rsidRPr="00A47DB6" w:rsidRDefault="00100065" w:rsidP="00E83F92">
      <w:pPr>
        <w:tabs>
          <w:tab w:val="clear" w:pos="794"/>
          <w:tab w:val="clear" w:pos="1191"/>
          <w:tab w:val="clear" w:pos="1588"/>
          <w:tab w:val="clear" w:pos="1985"/>
        </w:tabs>
        <w:spacing w:after="120"/>
      </w:pPr>
      <w:r w:rsidRPr="00A47DB6">
        <w:t xml:space="preserve">The </w:t>
      </w:r>
      <w:r w:rsidRPr="00A47DB6">
        <w:rPr>
          <w:b/>
          <w:bCs/>
        </w:rPr>
        <w:t>Chair of TDAG-ICG-GYS</w:t>
      </w:r>
      <w:r w:rsidRPr="00A47DB6">
        <w:t xml:space="preserve"> introduced the draft agenda for the meeting, as outlined in document </w:t>
      </w:r>
      <w:hyperlink r:id="rId15" w:history="1">
        <w:r w:rsidRPr="00A47DB6">
          <w:rPr>
            <w:rStyle w:val="Hyperlink"/>
          </w:rPr>
          <w:t>TDAG-ICG-GYS/1</w:t>
        </w:r>
      </w:hyperlink>
      <w:r w:rsidRPr="00A47DB6">
        <w:t>, and invited participants to provide comments, suggestions, or requests for changes. After confirming that there were no objections or requests for modifications, the Chair</w:t>
      </w:r>
      <w:r w:rsidRPr="00A47DB6">
        <w:rPr>
          <w:b/>
          <w:bCs/>
        </w:rPr>
        <w:t xml:space="preserve"> </w:t>
      </w:r>
      <w:r w:rsidRPr="00A47DB6">
        <w:t xml:space="preserve">declared the agenda approved as presented. </w:t>
      </w:r>
    </w:p>
    <w:p w14:paraId="7BBFAB31" w14:textId="77777777" w:rsidR="00100065" w:rsidRPr="00A47DB6" w:rsidRDefault="00100065" w:rsidP="000D506B">
      <w:pPr>
        <w:pStyle w:val="ListParagraph"/>
        <w:numPr>
          <w:ilvl w:val="0"/>
          <w:numId w:val="10"/>
        </w:numPr>
        <w:overflowPunct/>
        <w:autoSpaceDE/>
        <w:autoSpaceDN/>
        <w:adjustRightInd/>
        <w:spacing w:after="120"/>
        <w:contextualSpacing w:val="0"/>
        <w:textAlignment w:val="auto"/>
        <w:rPr>
          <w:b/>
          <w:bCs/>
        </w:rPr>
      </w:pPr>
      <w:r w:rsidRPr="00A47DB6">
        <w:rPr>
          <w:b/>
          <w:bCs/>
        </w:rPr>
        <w:t>Contributions submitted to TDAG-ICG-GYS</w:t>
      </w:r>
    </w:p>
    <w:p w14:paraId="03178073" w14:textId="74725DFA" w:rsidR="00100065" w:rsidRPr="00A47DB6" w:rsidRDefault="00100065" w:rsidP="00E83F92">
      <w:pPr>
        <w:pStyle w:val="ListParagraph"/>
        <w:tabs>
          <w:tab w:val="left" w:pos="567"/>
        </w:tabs>
        <w:spacing w:after="120"/>
        <w:ind w:left="0"/>
        <w:contextualSpacing w:val="0"/>
        <w:rPr>
          <w:rFonts w:cstheme="minorBidi"/>
          <w:lang w:val="en-US"/>
        </w:rPr>
      </w:pPr>
      <w:r w:rsidRPr="00A47DB6">
        <w:t xml:space="preserve">The </w:t>
      </w:r>
      <w:r w:rsidRPr="00A47DB6">
        <w:rPr>
          <w:b/>
          <w:bCs/>
        </w:rPr>
        <w:t>Chair of TDAG-ICG-GYS</w:t>
      </w:r>
      <w:r w:rsidRPr="00A47DB6">
        <w:t xml:space="preserve"> introduced the next agenda item, reviewing the contributions submitted to the group, including the draft terms of reference (</w:t>
      </w:r>
      <w:hyperlink r:id="rId16" w:history="1">
        <w:r w:rsidRPr="00A47DB6">
          <w:rPr>
            <w:rStyle w:val="Hyperlink"/>
          </w:rPr>
          <w:t>TDAG-ICG-GYS/2</w:t>
        </w:r>
      </w:hyperlink>
      <w:r w:rsidRPr="00A47DB6">
        <w:t xml:space="preserve">). The Chair provided an overview of the terms of reference, emphasizing that the group would focus on supporting the GYS and a possible Youth Celebration at WTDC 25, encouraging contributions from all ITU-D members and highlighting </w:t>
      </w:r>
      <w:r w:rsidRPr="00A47DB6">
        <w:rPr>
          <w:rFonts w:cstheme="minorBidi"/>
          <w:lang w:val="en-US"/>
        </w:rPr>
        <w:t>that the group is open to all ITU-D membership, preferably youth representatives.</w:t>
      </w:r>
    </w:p>
    <w:p w14:paraId="37A762D1" w14:textId="77777777" w:rsidR="00100065" w:rsidRPr="00A47DB6" w:rsidRDefault="00100065" w:rsidP="00E83F92">
      <w:pPr>
        <w:pStyle w:val="ListParagraph"/>
        <w:tabs>
          <w:tab w:val="left" w:pos="567"/>
        </w:tabs>
        <w:spacing w:after="120"/>
        <w:ind w:left="0"/>
        <w:contextualSpacing w:val="0"/>
      </w:pPr>
      <w:r w:rsidRPr="00A47DB6">
        <w:t>Discussions followed, with participants invited to provide feedback.</w:t>
      </w:r>
    </w:p>
    <w:p w14:paraId="2B86B7C2" w14:textId="77777777" w:rsidR="00100065" w:rsidRPr="00A47DB6" w:rsidRDefault="00100065" w:rsidP="00E83F92">
      <w:pPr>
        <w:spacing w:after="120"/>
      </w:pPr>
      <w:r w:rsidRPr="00A47DB6">
        <w:t xml:space="preserve">The Russian Federation raised several points of clarification and proposed edits to the draft terms of reference. It was suggested restructuring the document to enhance clarity, particularly regarding the group’s role in these events. The United Kingdom supported the Russian Federation’s proposals, specifically the deletion of certain provisions deemed out of scope. </w:t>
      </w:r>
    </w:p>
    <w:p w14:paraId="6A44510F" w14:textId="77777777" w:rsidR="00100065" w:rsidRPr="00A47DB6" w:rsidRDefault="00100065" w:rsidP="00E83F92">
      <w:pPr>
        <w:spacing w:after="120"/>
      </w:pPr>
      <w:r w:rsidRPr="00A47DB6">
        <w:t>As a result of these discussions, participants agreed to revise the TOR as indicated in Annex 1, with proposed modifications being aimed at ensuring alignment with the goals of this Informal Coordination Group.</w:t>
      </w:r>
    </w:p>
    <w:p w14:paraId="59E6A682" w14:textId="77777777" w:rsidR="00100065" w:rsidRPr="00A47DB6" w:rsidRDefault="00100065" w:rsidP="00E83F92">
      <w:pPr>
        <w:spacing w:after="120"/>
      </w:pPr>
      <w:r w:rsidRPr="00A47DB6">
        <w:t xml:space="preserve">The BDT Director clarified that while the GYS aims to produce an outcome document for information to all ITU Member States in case they wish to incorporate all or part of it in their respective contributions to Regional Preparatory Meetings, the possible Youth Celebration at WTDC-25 is intended to be a social event to celebrate youth. </w:t>
      </w:r>
    </w:p>
    <w:p w14:paraId="008E9EF3" w14:textId="77777777" w:rsidR="00100065" w:rsidRPr="00A47DB6" w:rsidRDefault="00100065" w:rsidP="00E83F92">
      <w:pPr>
        <w:spacing w:after="120"/>
      </w:pPr>
      <w:r w:rsidRPr="00A47DB6">
        <w:lastRenderedPageBreak/>
        <w:t xml:space="preserve">Further clarifications were provided by the Chair with respect to </w:t>
      </w:r>
      <w:r w:rsidRPr="00A47DB6">
        <w:rPr>
          <w:b/>
          <w:bCs/>
        </w:rPr>
        <w:t>the (virtual) extraordinary TDAG meeting</w:t>
      </w:r>
      <w:r w:rsidRPr="00A47DB6">
        <w:t xml:space="preserve"> recalling that consensus was reached at TDAG on the need to have such a meeting to allow the informal group to report back to TDAG and for the TDAG extraordinary meeting to approve the outcomes of the group and the formal contribution. </w:t>
      </w:r>
      <w:proofErr w:type="gramStart"/>
      <w:r w:rsidRPr="00A47DB6">
        <w:t>Thus</w:t>
      </w:r>
      <w:proofErr w:type="gramEnd"/>
      <w:r w:rsidRPr="00A47DB6">
        <w:t xml:space="preserve"> the main purpose of the extra-ordinary meeting of TDAG is to give an opportunity for the ICG-GYS to report on the progress and outcomes on the nature of the Summit that will be held since the next TDAG will be held after the Summit. The group, she highlighted, will hold several meetings before March 2025. The BDT Director noted that, following guidance from the group, the Secretariat stands ready to organize the extraordinary meeting of TDAG, and indicated that the date would likely be in January 2025. </w:t>
      </w:r>
    </w:p>
    <w:p w14:paraId="7A747BF5" w14:textId="77777777" w:rsidR="00100065" w:rsidRDefault="00100065" w:rsidP="00E83F92">
      <w:pPr>
        <w:spacing w:after="120"/>
      </w:pPr>
      <w:r w:rsidRPr="00A47DB6">
        <w:t xml:space="preserve">The Chair further introduced the </w:t>
      </w:r>
      <w:r w:rsidRPr="00A47DB6">
        <w:rPr>
          <w:b/>
          <w:bCs/>
        </w:rPr>
        <w:t>proposed calendar of meetings and chair rotation</w:t>
      </w:r>
      <w:r w:rsidRPr="00A47DB6">
        <w:t xml:space="preserve"> for the TDAG Informal Coordination Group on the GYS and the possible Youth Celebration at WTDC-25, as detailed in document </w:t>
      </w:r>
      <w:hyperlink r:id="rId17" w:history="1">
        <w:r w:rsidRPr="00A47DB6">
          <w:rPr>
            <w:rStyle w:val="Hyperlink"/>
          </w:rPr>
          <w:t>TDAG-ICG-GYS/3</w:t>
        </w:r>
      </w:hyperlink>
      <w:r w:rsidRPr="00A47DB6">
        <w:t>. The calendar outlines four scheduled meetings, each chaired by one of the four Coordinators. The Chair confirmed that the dates and rotation of the Chair role had been coordinated with all relevant parties. With no objections or suggestions from the floor, the proposed schedule was accepted.</w:t>
      </w:r>
    </w:p>
    <w:p w14:paraId="45F98352" w14:textId="77777777" w:rsidR="00100065" w:rsidRPr="00772B63" w:rsidRDefault="00100065" w:rsidP="000D506B">
      <w:pPr>
        <w:pStyle w:val="ListParagraph"/>
        <w:numPr>
          <w:ilvl w:val="0"/>
          <w:numId w:val="10"/>
        </w:numPr>
        <w:overflowPunct/>
        <w:autoSpaceDE/>
        <w:autoSpaceDN/>
        <w:adjustRightInd/>
        <w:spacing w:after="120"/>
        <w:contextualSpacing w:val="0"/>
        <w:textAlignment w:val="auto"/>
        <w:rPr>
          <w:b/>
          <w:bCs/>
        </w:rPr>
      </w:pPr>
      <w:r w:rsidRPr="00772B63">
        <w:rPr>
          <w:b/>
          <w:bCs/>
        </w:rPr>
        <w:t xml:space="preserve">Updates on the Global Youth Summit preparations </w:t>
      </w:r>
    </w:p>
    <w:p w14:paraId="102FAD5E" w14:textId="77777777" w:rsidR="00100065" w:rsidRDefault="00100065" w:rsidP="00E83F92">
      <w:pPr>
        <w:spacing w:after="120"/>
      </w:pPr>
      <w:r w:rsidRPr="00F1755E">
        <w:t xml:space="preserve">The </w:t>
      </w:r>
      <w:r w:rsidRPr="00502EF2">
        <w:rPr>
          <w:b/>
          <w:bCs/>
        </w:rPr>
        <w:t>Secretariat</w:t>
      </w:r>
      <w:r w:rsidRPr="00F1755E">
        <w:t xml:space="preserve"> provided an update on the preparations for the G</w:t>
      </w:r>
      <w:r>
        <w:t>YS</w:t>
      </w:r>
      <w:r w:rsidRPr="00F1755E">
        <w:t xml:space="preserve">, </w:t>
      </w:r>
      <w:r>
        <w:t>indicating that the Government of Cuba offered to host it f</w:t>
      </w:r>
      <w:r w:rsidRPr="00F1755E">
        <w:t>rom 11-13 March 2025</w:t>
      </w:r>
      <w:r>
        <w:t>.</w:t>
      </w:r>
      <w:r w:rsidRPr="007D7040">
        <w:t xml:space="preserve"> </w:t>
      </w:r>
      <w:r w:rsidRPr="00F1755E">
        <w:t>The Secretariat shared that negotiations with the host country are progressing well, aiming to ensure a meaningful and life-changing event for participants</w:t>
      </w:r>
      <w:r>
        <w:t xml:space="preserve">. It was further indicated that efforts are underway to also ensure a </w:t>
      </w:r>
      <w:r w:rsidRPr="00081F99">
        <w:t>Youth Celebration at WTDC-25</w:t>
      </w:r>
      <w:r>
        <w:t xml:space="preserve"> in Azerbaijan</w:t>
      </w:r>
      <w:r w:rsidRPr="00F1755E">
        <w:t xml:space="preserve">. The presentation highlighted the longstanding commitment of ITU to youth empowerment, emphasizing key initiatives </w:t>
      </w:r>
      <w:r>
        <w:t xml:space="preserve">to ensure </w:t>
      </w:r>
      <w:r w:rsidRPr="00F1755E">
        <w:t>digital inclusion</w:t>
      </w:r>
      <w:r>
        <w:t xml:space="preserve"> for youth through</w:t>
      </w:r>
      <w:r w:rsidRPr="00F1755E">
        <w:t xml:space="preserve"> access</w:t>
      </w:r>
      <w:r>
        <w:t xml:space="preserve"> to, use and knowledge of ICTs</w:t>
      </w:r>
      <w:r w:rsidRPr="00F1755E">
        <w:t xml:space="preserve">, </w:t>
      </w:r>
      <w:r>
        <w:t xml:space="preserve">as well as through scholarships, internships and </w:t>
      </w:r>
      <w:r w:rsidRPr="00F1755E">
        <w:t xml:space="preserve">mentoring programs for young people. The presentation also focused on the involvement of the Generation Connect </w:t>
      </w:r>
      <w:r>
        <w:t xml:space="preserve">Youth Envoys (GCYE) – composed by 184 young women and men, </w:t>
      </w:r>
      <w:r w:rsidRPr="00F1755E">
        <w:t xml:space="preserve">noting their gender-balanced composition and </w:t>
      </w:r>
      <w:r>
        <w:t>presence across all six ITU regions,</w:t>
      </w:r>
      <w:r w:rsidRPr="00F1755E">
        <w:t xml:space="preserve"> in discussions about ICT-related challenges and opportunities. The Secretariat emphasized the need to secure sponsorships and fellowships to support </w:t>
      </w:r>
      <w:r>
        <w:t xml:space="preserve">GCYE participation </w:t>
      </w:r>
      <w:proofErr w:type="gramStart"/>
      <w:r>
        <w:t xml:space="preserve">in particular </w:t>
      </w:r>
      <w:r w:rsidRPr="00F1755E">
        <w:t>from</w:t>
      </w:r>
      <w:proofErr w:type="gramEnd"/>
      <w:r w:rsidRPr="00F1755E">
        <w:t xml:space="preserve"> LDCs, LLDCs, and SIDS, and called for the group’s input </w:t>
      </w:r>
      <w:r>
        <w:t xml:space="preserve">including to </w:t>
      </w:r>
      <w:r w:rsidRPr="00F1755E">
        <w:t xml:space="preserve">identify </w:t>
      </w:r>
      <w:r>
        <w:t xml:space="preserve">inspirational </w:t>
      </w:r>
      <w:r w:rsidRPr="00F1755E">
        <w:t xml:space="preserve">keynote speakers </w:t>
      </w:r>
      <w:r>
        <w:t xml:space="preserve">to contribute to the </w:t>
      </w:r>
      <w:r w:rsidRPr="00F1755E">
        <w:t>agenda.</w:t>
      </w:r>
    </w:p>
    <w:p w14:paraId="101ABB0E" w14:textId="77777777" w:rsidR="00100065" w:rsidRDefault="00100065" w:rsidP="00E83F92">
      <w:pPr>
        <w:spacing w:after="120"/>
      </w:pPr>
      <w:r w:rsidRPr="00BE37FA">
        <w:t xml:space="preserve">The Chair opened the discussion on </w:t>
      </w:r>
      <w:r>
        <w:t>the presentation by the Secretariat</w:t>
      </w:r>
      <w:r w:rsidRPr="00BE37FA">
        <w:t xml:space="preserve"> and document </w:t>
      </w:r>
      <w:hyperlink r:id="rId18" w:history="1">
        <w:r w:rsidRPr="0015402D">
          <w:rPr>
            <w:rStyle w:val="Hyperlink"/>
          </w:rPr>
          <w:t>TDAG-ICG-GYS/4(Rev.1)-E</w:t>
        </w:r>
      </w:hyperlink>
      <w:r>
        <w:t xml:space="preserve"> (</w:t>
      </w:r>
      <w:r w:rsidRPr="00BE37FA">
        <w:t>background</w:t>
      </w:r>
      <w:r>
        <w:t xml:space="preserve"> paper). </w:t>
      </w:r>
    </w:p>
    <w:p w14:paraId="6C86BBA2" w14:textId="77777777" w:rsidR="00100065" w:rsidRPr="00E733F0" w:rsidRDefault="00100065" w:rsidP="00E83F92">
      <w:pPr>
        <w:spacing w:after="120"/>
      </w:pPr>
      <w:r>
        <w:rPr>
          <w:b/>
          <w:bCs/>
        </w:rPr>
        <w:t>The delegate from</w:t>
      </w:r>
      <w:r w:rsidRPr="00E733F0">
        <w:rPr>
          <w:b/>
          <w:bCs/>
        </w:rPr>
        <w:t xml:space="preserve"> Russian Federation</w:t>
      </w:r>
      <w:r w:rsidRPr="00E733F0">
        <w:t xml:space="preserve"> </w:t>
      </w:r>
      <w:r>
        <w:t xml:space="preserve">thanked the Secretariat for the presentation and </w:t>
      </w:r>
      <w:r w:rsidRPr="00E733F0">
        <w:t xml:space="preserve">emphasized the importance of focusing the Summit’s agenda </w:t>
      </w:r>
      <w:r>
        <w:t xml:space="preserve">and programme </w:t>
      </w:r>
      <w:r w:rsidRPr="00E733F0">
        <w:t xml:space="preserve">on </w:t>
      </w:r>
      <w:r>
        <w:t xml:space="preserve">ICT related topics  relevant to youth, ensuring a holistic and intersectional approach, involving Study Group Chairs and Vice-Chairs in the Intergenerational dialogue, and including </w:t>
      </w:r>
      <w:r w:rsidRPr="00E733F0">
        <w:t>broader topics</w:t>
      </w:r>
      <w:r>
        <w:t xml:space="preserve"> such as digital economy related </w:t>
      </w:r>
      <w:r w:rsidRPr="00E733F0">
        <w:t>polic</w:t>
      </w:r>
      <w:r>
        <w:t>ies and strategies</w:t>
      </w:r>
      <w:r w:rsidRPr="00E733F0">
        <w:t xml:space="preserve"> </w:t>
      </w:r>
      <w:r>
        <w:t xml:space="preserve">to ensure </w:t>
      </w:r>
      <w:r w:rsidRPr="00E733F0">
        <w:t xml:space="preserve">a more comprehensive approach </w:t>
      </w:r>
      <w:r>
        <w:t>and</w:t>
      </w:r>
      <w:r w:rsidRPr="00E733F0">
        <w:t xml:space="preserve"> alignment with</w:t>
      </w:r>
      <w:r>
        <w:t xml:space="preserve"> </w:t>
      </w:r>
      <w:r w:rsidRPr="00E733F0">
        <w:t>ITU</w:t>
      </w:r>
      <w:r>
        <w:t xml:space="preserve"> and in particular BDT mandates,</w:t>
      </w:r>
      <w:r w:rsidRPr="00E733F0">
        <w:t xml:space="preserve"> </w:t>
      </w:r>
      <w:r>
        <w:t xml:space="preserve">work and </w:t>
      </w:r>
      <w:r w:rsidRPr="00E733F0">
        <w:t xml:space="preserve">objectives. </w:t>
      </w:r>
    </w:p>
    <w:p w14:paraId="07D934DC" w14:textId="77777777" w:rsidR="00100065" w:rsidRPr="00E733F0" w:rsidRDefault="00100065" w:rsidP="00E83F92">
      <w:pPr>
        <w:spacing w:after="120"/>
      </w:pPr>
      <w:r>
        <w:rPr>
          <w:b/>
          <w:bCs/>
        </w:rPr>
        <w:t xml:space="preserve">The delegate from </w:t>
      </w:r>
      <w:r w:rsidRPr="00E733F0">
        <w:rPr>
          <w:b/>
          <w:bCs/>
        </w:rPr>
        <w:t>Saudi Arabia</w:t>
      </w:r>
      <w:r w:rsidRPr="00E733F0">
        <w:t xml:space="preserve"> </w:t>
      </w:r>
      <w:r>
        <w:t>further emphasized</w:t>
      </w:r>
      <w:r w:rsidRPr="00E733F0">
        <w:t xml:space="preserve"> that the primary purpose of the</w:t>
      </w:r>
      <w:r>
        <w:t xml:space="preserve"> GYS</w:t>
      </w:r>
      <w:r w:rsidRPr="00E733F0">
        <w:t xml:space="preserve"> is to gather input from young people that can be </w:t>
      </w:r>
      <w:r>
        <w:t>integrated</w:t>
      </w:r>
      <w:r w:rsidRPr="00E733F0">
        <w:t xml:space="preserve"> into WTDC</w:t>
      </w:r>
      <w:r>
        <w:t>-25</w:t>
      </w:r>
      <w:r w:rsidRPr="00E733F0">
        <w:t xml:space="preserve"> discussions. </w:t>
      </w:r>
      <w:r>
        <w:t>They suggested</w:t>
      </w:r>
      <w:r w:rsidRPr="00E733F0">
        <w:t xml:space="preserve"> to guide the youth toward </w:t>
      </w:r>
      <w:r>
        <w:t xml:space="preserve">GYS agenda </w:t>
      </w:r>
      <w:r w:rsidRPr="00E733F0">
        <w:t>topics that are aligned with the ITU</w:t>
      </w:r>
      <w:r>
        <w:t xml:space="preserve"> and BDT</w:t>
      </w:r>
      <w:r w:rsidRPr="00E733F0">
        <w:t xml:space="preserve"> digital development agenda, </w:t>
      </w:r>
      <w:r>
        <w:t>to ensure</w:t>
      </w:r>
      <w:r w:rsidRPr="00E733F0">
        <w:t xml:space="preserve"> that the Summit’s outcomes are both pertinent and actionable for WTDC 25</w:t>
      </w:r>
      <w:r>
        <w:t xml:space="preserve"> and avoid topics which are not relevant.</w:t>
      </w:r>
    </w:p>
    <w:p w14:paraId="32CD8AE7" w14:textId="77777777" w:rsidR="00100065" w:rsidRDefault="00100065" w:rsidP="00E83F92">
      <w:pPr>
        <w:spacing w:after="120"/>
      </w:pPr>
      <w:r w:rsidRPr="001B6F28">
        <w:rPr>
          <w:b/>
          <w:bCs/>
        </w:rPr>
        <w:lastRenderedPageBreak/>
        <w:t xml:space="preserve">The delegate from Lithuania </w:t>
      </w:r>
      <w:r w:rsidRPr="00F54C62">
        <w:t xml:space="preserve">supported </w:t>
      </w:r>
      <w:r w:rsidRPr="001B6F28">
        <w:t>the BDT</w:t>
      </w:r>
      <w:r>
        <w:t xml:space="preserve"> </w:t>
      </w:r>
      <w:r w:rsidRPr="001B6F28">
        <w:t>propos</w:t>
      </w:r>
      <w:r>
        <w:t>al</w:t>
      </w:r>
      <w:r w:rsidRPr="001B6F28">
        <w:t xml:space="preserve"> </w:t>
      </w:r>
      <w:r>
        <w:t>to</w:t>
      </w:r>
      <w:r w:rsidRPr="001B6F28">
        <w:t xml:space="preserve"> </w:t>
      </w:r>
      <w:r>
        <w:t xml:space="preserve">improve the agenda and programme of the GYS through a </w:t>
      </w:r>
      <w:r w:rsidRPr="001B6F28">
        <w:t>co-creat</w:t>
      </w:r>
      <w:r>
        <w:t xml:space="preserve">ion and </w:t>
      </w:r>
      <w:r w:rsidRPr="001B6F28">
        <w:t>validat</w:t>
      </w:r>
      <w:r>
        <w:t xml:space="preserve">ion process with </w:t>
      </w:r>
      <w:r w:rsidRPr="001B6F28">
        <w:t>the GCYE community. Th</w:t>
      </w:r>
      <w:r>
        <w:t>ese</w:t>
      </w:r>
      <w:r w:rsidRPr="001B6F28">
        <w:t xml:space="preserve"> </w:t>
      </w:r>
      <w:r>
        <w:t xml:space="preserve">adjustments </w:t>
      </w:r>
      <w:r w:rsidRPr="001B6F28">
        <w:t xml:space="preserve">aim to incorporate </w:t>
      </w:r>
      <w:r>
        <w:t xml:space="preserve">youth </w:t>
      </w:r>
      <w:r w:rsidRPr="001B6F28">
        <w:t xml:space="preserve">ICT-related views </w:t>
      </w:r>
      <w:r>
        <w:t xml:space="preserve">related to their </w:t>
      </w:r>
      <w:r w:rsidRPr="001B6F28">
        <w:t>topics of interest</w:t>
      </w:r>
      <w:r>
        <w:t xml:space="preserve"> </w:t>
      </w:r>
      <w:r w:rsidRPr="001B6F28">
        <w:t xml:space="preserve">and requirements </w:t>
      </w:r>
      <w:r>
        <w:t>to</w:t>
      </w:r>
      <w:r w:rsidRPr="001B6F28">
        <w:t xml:space="preserve"> enhanc</w:t>
      </w:r>
      <w:r>
        <w:t>e</w:t>
      </w:r>
      <w:r w:rsidRPr="001B6F28">
        <w:t xml:space="preserve"> their educational and socio</w:t>
      </w:r>
      <w:r>
        <w:t>-</w:t>
      </w:r>
      <w:r w:rsidRPr="001B6F28">
        <w:t>economic participation in the digital ecosystem.</w:t>
      </w:r>
      <w:r>
        <w:t xml:space="preserve"> </w:t>
      </w:r>
      <w:r w:rsidRPr="00E818AB">
        <w:t>The delegate emphasized the importance of having a clear work plan and goals for the Group, ensuring that each meeting contributes to making progress toward these objectives, which can be reported on further.</w:t>
      </w:r>
      <w:r>
        <w:t xml:space="preserve"> Finally, the delegate </w:t>
      </w:r>
      <w:r w:rsidRPr="00E733F0">
        <w:t xml:space="preserve">proposed </w:t>
      </w:r>
      <w:r>
        <w:t>to</w:t>
      </w:r>
      <w:r w:rsidRPr="00E733F0">
        <w:t xml:space="preserve"> </w:t>
      </w:r>
      <w:r>
        <w:t>ensure feedback from the</w:t>
      </w:r>
      <w:r w:rsidRPr="00E733F0">
        <w:t xml:space="preserve"> </w:t>
      </w:r>
      <w:r>
        <w:t>GCYE community</w:t>
      </w:r>
      <w:r w:rsidRPr="00E733F0">
        <w:t xml:space="preserve"> on</w:t>
      </w:r>
      <w:r>
        <w:t xml:space="preserve"> potential</w:t>
      </w:r>
      <w:r w:rsidRPr="00E733F0">
        <w:t xml:space="preserve"> keynote speakers, suggesting that this would increase the relevance of the Summit</w:t>
      </w:r>
      <w:r>
        <w:t xml:space="preserve"> for them</w:t>
      </w:r>
      <w:r w:rsidRPr="00E733F0">
        <w:t xml:space="preserve">. </w:t>
      </w:r>
    </w:p>
    <w:p w14:paraId="1256957D" w14:textId="77777777" w:rsidR="00100065" w:rsidRPr="00E733F0" w:rsidRDefault="00100065" w:rsidP="00E83F92">
      <w:pPr>
        <w:spacing w:after="120"/>
      </w:pPr>
      <w:r w:rsidRPr="00E733F0">
        <w:t xml:space="preserve">Additionally, </w:t>
      </w:r>
      <w:r>
        <w:t>several delegates</w:t>
      </w:r>
      <w:r w:rsidRPr="00E733F0">
        <w:t xml:space="preserve"> supported the </w:t>
      </w:r>
      <w:r>
        <w:t xml:space="preserve">BDT Director’s </w:t>
      </w:r>
      <w:r w:rsidRPr="00E733F0">
        <w:t xml:space="preserve">call </w:t>
      </w:r>
      <w:r>
        <w:t xml:space="preserve">to Membership, to support participation of their national GCYE at the GYS, as well as, where possible, GCYE </w:t>
      </w:r>
      <w:r w:rsidRPr="00E733F0">
        <w:t xml:space="preserve">from </w:t>
      </w:r>
      <w:r>
        <w:t>LDCs, LLDCs, and SIDS.</w:t>
      </w:r>
    </w:p>
    <w:p w14:paraId="1EB1A086" w14:textId="77777777" w:rsidR="00100065" w:rsidRPr="00E733F0" w:rsidRDefault="00100065" w:rsidP="00E83F92">
      <w:pPr>
        <w:spacing w:after="120"/>
      </w:pPr>
      <w:r w:rsidRPr="00E733F0">
        <w:t>In response to</w:t>
      </w:r>
      <w:r>
        <w:t xml:space="preserve"> comments from the members of the group</w:t>
      </w:r>
      <w:r w:rsidRPr="00E733F0">
        <w:t xml:space="preserve">, the </w:t>
      </w:r>
      <w:r w:rsidRPr="00E733F0">
        <w:rPr>
          <w:b/>
          <w:bCs/>
        </w:rPr>
        <w:t xml:space="preserve">Secretariat </w:t>
      </w:r>
      <w:r w:rsidRPr="00E733F0">
        <w:t xml:space="preserve">clarified that the draft agenda for the Summit was initially presented at the last TDAG meeting and that it remains a working document subject to co-creation with the </w:t>
      </w:r>
      <w:r>
        <w:t>GCYE</w:t>
      </w:r>
      <w:r w:rsidRPr="00E733F0">
        <w:t xml:space="preserve">. The Secretariat </w:t>
      </w:r>
      <w:r>
        <w:t>also highlighted</w:t>
      </w:r>
      <w:r w:rsidRPr="00E733F0">
        <w:t xml:space="preserve"> that many of the proposed topics were identified through previous consultations with </w:t>
      </w:r>
      <w:r>
        <w:t>the GCYE</w:t>
      </w:r>
      <w:r w:rsidRPr="00E733F0">
        <w:t xml:space="preserve"> and aligned with ITU</w:t>
      </w:r>
      <w:r>
        <w:t xml:space="preserve"> and BDT</w:t>
      </w:r>
      <w:r w:rsidRPr="00E733F0">
        <w:t xml:space="preserve"> broader </w:t>
      </w:r>
      <w:r w:rsidRPr="00E43E8C">
        <w:t>digital development agenda</w:t>
      </w:r>
      <w:r w:rsidRPr="00E733F0">
        <w:t xml:space="preserve">. They encouraged Member States to continue submitting feedback to refine the agenda and emphasized that the Summit’s final program would reflect both youth </w:t>
      </w:r>
      <w:r w:rsidRPr="002D3330">
        <w:t>interests and the</w:t>
      </w:r>
      <w:r>
        <w:t xml:space="preserve"> BDT mandate, work and</w:t>
      </w:r>
      <w:r w:rsidRPr="002D3330">
        <w:t xml:space="preserve"> priorities.</w:t>
      </w:r>
    </w:p>
    <w:p w14:paraId="1F67EC6E" w14:textId="77777777" w:rsidR="00100065" w:rsidRPr="00E733F0" w:rsidRDefault="00100065" w:rsidP="00E83F92">
      <w:pPr>
        <w:spacing w:after="120"/>
      </w:pPr>
      <w:r w:rsidRPr="00E733F0">
        <w:t xml:space="preserve">The </w:t>
      </w:r>
      <w:r w:rsidRPr="00E733F0">
        <w:rPr>
          <w:b/>
          <w:bCs/>
        </w:rPr>
        <w:t>Secretariat</w:t>
      </w:r>
      <w:r w:rsidRPr="00E733F0">
        <w:t xml:space="preserve"> also addressed </w:t>
      </w:r>
      <w:r>
        <w:t>comments</w:t>
      </w:r>
      <w:r w:rsidRPr="00E733F0">
        <w:t xml:space="preserve"> about the co-creation process, </w:t>
      </w:r>
      <w:r>
        <w:t>highlighting</w:t>
      </w:r>
      <w:r w:rsidRPr="00E733F0">
        <w:t xml:space="preserve"> that the </w:t>
      </w:r>
      <w:r>
        <w:t>GCYE</w:t>
      </w:r>
      <w:r w:rsidRPr="00E733F0">
        <w:t xml:space="preserve"> </w:t>
      </w:r>
      <w:r>
        <w:t>will be</w:t>
      </w:r>
      <w:r w:rsidRPr="00E733F0">
        <w:t xml:space="preserve"> actively engaged in shaping the agenda. Furthermore, regional consultations </w:t>
      </w:r>
      <w:r>
        <w:t>will be organized</w:t>
      </w:r>
      <w:r w:rsidRPr="00E733F0">
        <w:t xml:space="preserve">, and the Secretariat </w:t>
      </w:r>
      <w:r>
        <w:t xml:space="preserve">is </w:t>
      </w:r>
      <w:r w:rsidRPr="00E733F0">
        <w:t>working closely with regional directors</w:t>
      </w:r>
      <w:r>
        <w:t xml:space="preserve"> and focal points</w:t>
      </w:r>
      <w:r w:rsidRPr="00E733F0">
        <w:t xml:space="preserve"> to ensure that </w:t>
      </w:r>
      <w:r>
        <w:t xml:space="preserve">GCYE </w:t>
      </w:r>
      <w:r w:rsidRPr="00E733F0">
        <w:t xml:space="preserve">from all regions </w:t>
      </w:r>
      <w:r>
        <w:t>are</w:t>
      </w:r>
      <w:r w:rsidRPr="00E733F0">
        <w:t xml:space="preserve"> involved in these discussions.</w:t>
      </w:r>
    </w:p>
    <w:p w14:paraId="70E5F0D4" w14:textId="77777777" w:rsidR="00100065" w:rsidRPr="00E733F0" w:rsidRDefault="00100065" w:rsidP="00E83F92">
      <w:pPr>
        <w:spacing w:after="120"/>
      </w:pPr>
      <w:r w:rsidRPr="00E733F0">
        <w:t xml:space="preserve">Regarding the call for sponsorships, the Secretariat confirmed that efforts </w:t>
      </w:r>
      <w:r>
        <w:t>will be made</w:t>
      </w:r>
      <w:r w:rsidRPr="00E733F0">
        <w:t xml:space="preserve"> to secure funding to support the participation of youth from underrepresented regions. They encouraged Member States to contribute to these efforts, either through direct sponsorship or by identifying potential partners who could support the</w:t>
      </w:r>
      <w:r>
        <w:t xml:space="preserve"> GCYE participation in these events</w:t>
      </w:r>
      <w:r w:rsidRPr="00E733F0">
        <w:t>.</w:t>
      </w:r>
    </w:p>
    <w:p w14:paraId="1589E018" w14:textId="77777777" w:rsidR="00100065" w:rsidRPr="00E733F0" w:rsidRDefault="00100065" w:rsidP="00E83F92">
      <w:pPr>
        <w:spacing w:after="120"/>
        <w:rPr>
          <w:b/>
          <w:bCs/>
        </w:rPr>
      </w:pPr>
      <w:r w:rsidRPr="00E733F0">
        <w:rPr>
          <w:b/>
          <w:bCs/>
        </w:rPr>
        <w:t>Next Steps</w:t>
      </w:r>
      <w:r>
        <w:rPr>
          <w:b/>
          <w:bCs/>
        </w:rPr>
        <w:t>:</w:t>
      </w:r>
    </w:p>
    <w:p w14:paraId="6566A320" w14:textId="77777777" w:rsidR="00100065" w:rsidRPr="00A47DB6" w:rsidRDefault="00100065" w:rsidP="00E83F92">
      <w:pPr>
        <w:numPr>
          <w:ilvl w:val="0"/>
          <w:numId w:val="8"/>
        </w:numPr>
        <w:spacing w:after="120"/>
      </w:pPr>
      <w:r>
        <w:rPr>
          <w:b/>
          <w:bCs/>
        </w:rPr>
        <w:t xml:space="preserve">Documents and </w:t>
      </w:r>
      <w:r w:rsidRPr="00733D8D">
        <w:rPr>
          <w:b/>
          <w:bCs/>
        </w:rPr>
        <w:t>contribution</w:t>
      </w:r>
      <w:r>
        <w:rPr>
          <w:b/>
          <w:bCs/>
        </w:rPr>
        <w:t>s</w:t>
      </w:r>
      <w:r w:rsidRPr="00733D8D">
        <w:rPr>
          <w:b/>
          <w:bCs/>
        </w:rPr>
        <w:t>:</w:t>
      </w:r>
      <w:r w:rsidRPr="00E733F0">
        <w:t xml:space="preserve"> The group agreed on the importance of having </w:t>
      </w:r>
      <w:r>
        <w:t>the TDAG-ICG-</w:t>
      </w:r>
      <w:r w:rsidRPr="00A47DB6">
        <w:t xml:space="preserve">GYS documents made available in advance of meetings to foster productive discussions and enable members to prepare meaningful contributions. </w:t>
      </w:r>
    </w:p>
    <w:p w14:paraId="2D8CFB7C" w14:textId="77777777" w:rsidR="00100065" w:rsidRPr="00A47DB6" w:rsidRDefault="00100065" w:rsidP="00E83F92">
      <w:pPr>
        <w:numPr>
          <w:ilvl w:val="0"/>
          <w:numId w:val="8"/>
        </w:numPr>
        <w:spacing w:after="120"/>
      </w:pPr>
      <w:r w:rsidRPr="00A47DB6">
        <w:rPr>
          <w:b/>
          <w:bCs/>
        </w:rPr>
        <w:t xml:space="preserve">Virtual extraordinary TDAG meeting: </w:t>
      </w:r>
      <w:r w:rsidRPr="00A47DB6">
        <w:t>Following the group's guidance, the Secretariat is prepared to organize the extraordinary TDAG meeting, likely scheduled for January 2025.</w:t>
      </w:r>
    </w:p>
    <w:p w14:paraId="14989D5D" w14:textId="77777777" w:rsidR="00100065" w:rsidRPr="00E733F0" w:rsidRDefault="00100065" w:rsidP="00E83F92">
      <w:pPr>
        <w:numPr>
          <w:ilvl w:val="0"/>
          <w:numId w:val="8"/>
        </w:numPr>
        <w:spacing w:after="120"/>
      </w:pPr>
      <w:r w:rsidRPr="00A47DB6">
        <w:rPr>
          <w:b/>
          <w:bCs/>
        </w:rPr>
        <w:t>ICT-focused GYS Agenda and Programme</w:t>
      </w:r>
      <w:r w:rsidRPr="00A47DB6">
        <w:t>: There was broad consensus that the</w:t>
      </w:r>
      <w:r w:rsidRPr="00E733F0">
        <w:t xml:space="preserve"> agenda for the </w:t>
      </w:r>
      <w:r>
        <w:t>GYS</w:t>
      </w:r>
      <w:r w:rsidRPr="00E733F0">
        <w:t xml:space="preserve"> should remain focused on </w:t>
      </w:r>
      <w:r>
        <w:t>ICT</w:t>
      </w:r>
      <w:r w:rsidRPr="00E733F0">
        <w:t>-related topics</w:t>
      </w:r>
      <w:r>
        <w:t>,</w:t>
      </w:r>
      <w:r w:rsidRPr="00E733F0">
        <w:t xml:space="preserve"> </w:t>
      </w:r>
      <w:r>
        <w:t xml:space="preserve">of interest to youth, </w:t>
      </w:r>
      <w:r w:rsidRPr="00E733F0">
        <w:t>that are aligned with ITU</w:t>
      </w:r>
      <w:r>
        <w:t xml:space="preserve"> and BDT </w:t>
      </w:r>
      <w:r w:rsidRPr="00E733F0">
        <w:t xml:space="preserve">mandate and the WTDC’s objectives. Participants agreed to provide further input on specific topics, with an emphasis on ensuring that the agenda </w:t>
      </w:r>
      <w:r>
        <w:t xml:space="preserve">and programme </w:t>
      </w:r>
      <w:r w:rsidRPr="00E733F0">
        <w:t xml:space="preserve">reflects </w:t>
      </w:r>
      <w:r>
        <w:t xml:space="preserve">ICT related </w:t>
      </w:r>
      <w:r w:rsidRPr="00E733F0">
        <w:t xml:space="preserve">priorities </w:t>
      </w:r>
      <w:r>
        <w:t>for</w:t>
      </w:r>
      <w:r w:rsidRPr="00E733F0">
        <w:t xml:space="preserve"> youth.</w:t>
      </w:r>
      <w:r>
        <w:t xml:space="preserve"> T</w:t>
      </w:r>
      <w:r w:rsidRPr="00E733F0">
        <w:t xml:space="preserve">he discussions underscored the importance of maintaining a youth-centred approach to the Summit’s preparations, while ensuring alignment with ITU’s </w:t>
      </w:r>
      <w:r>
        <w:t>and BDT mandate and work.</w:t>
      </w:r>
    </w:p>
    <w:p w14:paraId="3DD9C00B" w14:textId="77777777" w:rsidR="00100065" w:rsidRPr="00E733F0" w:rsidRDefault="00100065" w:rsidP="00E83F92">
      <w:pPr>
        <w:numPr>
          <w:ilvl w:val="0"/>
          <w:numId w:val="8"/>
        </w:numPr>
        <w:spacing w:after="120"/>
      </w:pPr>
      <w:r w:rsidRPr="00E733F0">
        <w:rPr>
          <w:b/>
          <w:bCs/>
        </w:rPr>
        <w:t xml:space="preserve">Co-Creation </w:t>
      </w:r>
      <w:r>
        <w:rPr>
          <w:b/>
          <w:bCs/>
        </w:rPr>
        <w:t xml:space="preserve">process </w:t>
      </w:r>
      <w:r w:rsidRPr="00E733F0">
        <w:rPr>
          <w:b/>
          <w:bCs/>
        </w:rPr>
        <w:t xml:space="preserve">with </w:t>
      </w:r>
      <w:r>
        <w:rPr>
          <w:b/>
          <w:bCs/>
        </w:rPr>
        <w:t>GCYE</w:t>
      </w:r>
      <w:r w:rsidRPr="00E733F0">
        <w:t xml:space="preserve">: The group reaffirmed the importance of the co-creation process, with </w:t>
      </w:r>
      <w:r>
        <w:t>GCYE</w:t>
      </w:r>
      <w:r w:rsidRPr="00E733F0">
        <w:t xml:space="preserve"> playing a central role in shaping the final agenda. The Secretariat committed to consulting with the </w:t>
      </w:r>
      <w:r>
        <w:t>GCYE</w:t>
      </w:r>
      <w:r w:rsidRPr="00E733F0">
        <w:t xml:space="preserve"> cohort and incorporating their feedback into the </w:t>
      </w:r>
      <w:r w:rsidRPr="00E733F0">
        <w:lastRenderedPageBreak/>
        <w:t>next iteration of the agenda</w:t>
      </w:r>
      <w:r>
        <w:t xml:space="preserve"> and programme</w:t>
      </w:r>
      <w:r w:rsidRPr="00E733F0">
        <w:t xml:space="preserve">, which would be presented at the </w:t>
      </w:r>
      <w:r>
        <w:t>G</w:t>
      </w:r>
      <w:r w:rsidRPr="00E733F0">
        <w:t>roup’s December meeting.</w:t>
      </w:r>
    </w:p>
    <w:p w14:paraId="65A935DE" w14:textId="77777777" w:rsidR="00100065" w:rsidRPr="00E733F0" w:rsidRDefault="00100065" w:rsidP="00E83F92">
      <w:pPr>
        <w:numPr>
          <w:ilvl w:val="0"/>
          <w:numId w:val="8"/>
        </w:numPr>
        <w:spacing w:after="120"/>
      </w:pPr>
      <w:r w:rsidRPr="00E733F0">
        <w:rPr>
          <w:b/>
          <w:bCs/>
        </w:rPr>
        <w:t>Sponsorship and Fellowships</w:t>
      </w:r>
      <w:r>
        <w:rPr>
          <w:b/>
          <w:bCs/>
        </w:rPr>
        <w:t xml:space="preserve"> support</w:t>
      </w:r>
      <w:r w:rsidRPr="00E733F0">
        <w:t xml:space="preserve">: The group acknowledged the need for sponsorships to support the participation of </w:t>
      </w:r>
      <w:r>
        <w:t xml:space="preserve">national GCYE as well as those </w:t>
      </w:r>
      <w:r w:rsidRPr="00E733F0">
        <w:t xml:space="preserve">from LDCs, LLDCs, and SIDS. Member States were encouraged to assist </w:t>
      </w:r>
      <w:r>
        <w:t xml:space="preserve">in this effort including though </w:t>
      </w:r>
      <w:r w:rsidRPr="00E733F0">
        <w:t xml:space="preserve">securing sponsorships, either directly or through identifying potential </w:t>
      </w:r>
      <w:r>
        <w:t>donors</w:t>
      </w:r>
      <w:r w:rsidRPr="00E733F0">
        <w:t>.</w:t>
      </w:r>
    </w:p>
    <w:p w14:paraId="2784779E" w14:textId="77777777" w:rsidR="00100065" w:rsidRPr="00E733F0" w:rsidRDefault="00100065" w:rsidP="00E83F92">
      <w:pPr>
        <w:numPr>
          <w:ilvl w:val="0"/>
          <w:numId w:val="8"/>
        </w:numPr>
        <w:spacing w:after="120"/>
      </w:pPr>
      <w:r w:rsidRPr="00E733F0">
        <w:rPr>
          <w:b/>
          <w:bCs/>
        </w:rPr>
        <w:t>Regional Engagement</w:t>
      </w:r>
      <w:r w:rsidRPr="00E733F0">
        <w:t xml:space="preserve">: It was </w:t>
      </w:r>
      <w:r>
        <w:t xml:space="preserve">noted </w:t>
      </w:r>
      <w:r w:rsidRPr="00E733F0">
        <w:t>that</w:t>
      </w:r>
      <w:r>
        <w:t xml:space="preserve"> ITU</w:t>
      </w:r>
      <w:r w:rsidRPr="00E733F0">
        <w:t xml:space="preserve"> </w:t>
      </w:r>
      <w:r>
        <w:t xml:space="preserve">regional offices </w:t>
      </w:r>
      <w:r w:rsidRPr="00E733F0">
        <w:t xml:space="preserve">would play a key role in ensuring that </w:t>
      </w:r>
      <w:r>
        <w:t>GCYE</w:t>
      </w:r>
      <w:r w:rsidRPr="00E733F0">
        <w:t xml:space="preserve"> from all regions </w:t>
      </w:r>
      <w:r>
        <w:t xml:space="preserve">will be </w:t>
      </w:r>
      <w:r w:rsidRPr="00E733F0">
        <w:t xml:space="preserve">engaged in the </w:t>
      </w:r>
      <w:r>
        <w:t>GYS agenda and programme co-creation process</w:t>
      </w:r>
      <w:r w:rsidRPr="00E733F0">
        <w:t>. The Secretariat w</w:t>
      </w:r>
      <w:r>
        <w:t>ill</w:t>
      </w:r>
      <w:r w:rsidRPr="00E733F0">
        <w:t xml:space="preserve"> continue to coordinate with regional directors </w:t>
      </w:r>
      <w:r>
        <w:t xml:space="preserve">and regional youth focal points </w:t>
      </w:r>
      <w:r w:rsidRPr="00E733F0">
        <w:t xml:space="preserve">to facilitate </w:t>
      </w:r>
      <w:r>
        <w:t xml:space="preserve">these </w:t>
      </w:r>
      <w:r w:rsidRPr="00E733F0">
        <w:t>consultations.</w:t>
      </w:r>
    </w:p>
    <w:p w14:paraId="1FEDA671" w14:textId="77777777" w:rsidR="00100065" w:rsidRPr="00E83F92" w:rsidRDefault="00100065" w:rsidP="00E83F92">
      <w:pPr>
        <w:numPr>
          <w:ilvl w:val="0"/>
          <w:numId w:val="8"/>
        </w:numPr>
        <w:spacing w:after="120"/>
      </w:pPr>
      <w:r w:rsidRPr="00E83F92">
        <w:rPr>
          <w:b/>
          <w:bCs/>
        </w:rPr>
        <w:t>Next TDAG-ICG-GYS</w:t>
      </w:r>
      <w:r w:rsidRPr="00E83F92">
        <w:t xml:space="preserve"> </w:t>
      </w:r>
      <w:r w:rsidRPr="00E83F92">
        <w:rPr>
          <w:b/>
          <w:bCs/>
        </w:rPr>
        <w:t>Meeting</w:t>
      </w:r>
      <w:r w:rsidRPr="00E83F92">
        <w:t>: The next meeting is scheduled for 6 December 2024.</w:t>
      </w:r>
    </w:p>
    <w:p w14:paraId="63D45765" w14:textId="77777777" w:rsidR="00100065" w:rsidRPr="00E733F0" w:rsidRDefault="00100065" w:rsidP="00100065">
      <w:pPr>
        <w:spacing w:after="120"/>
        <w:jc w:val="both"/>
      </w:pPr>
    </w:p>
    <w:p w14:paraId="6429B9C6" w14:textId="058C17E3" w:rsidR="00100065" w:rsidRDefault="000D506B" w:rsidP="00100065">
      <w:pPr>
        <w:keepNext/>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rPr>
          <w:rFonts w:cstheme="minorHAnsi"/>
          <w:b/>
          <w:szCs w:val="24"/>
          <w:bdr w:val="none" w:sz="0" w:space="0" w:color="auto" w:frame="1"/>
        </w:rPr>
      </w:pPr>
      <w:r>
        <w:rPr>
          <w:rFonts w:cstheme="minorHAnsi"/>
          <w:b/>
          <w:szCs w:val="24"/>
          <w:bdr w:val="none" w:sz="0" w:space="0" w:color="auto" w:frame="1"/>
        </w:rPr>
        <w:lastRenderedPageBreak/>
        <w:t>Annex 1</w:t>
      </w:r>
    </w:p>
    <w:p w14:paraId="5C7D2B83" w14:textId="16197633" w:rsidR="000D506B" w:rsidRDefault="000D506B" w:rsidP="00100065">
      <w:pPr>
        <w:keepNext/>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rPr>
          <w:rFonts w:cstheme="minorHAnsi"/>
          <w:b/>
          <w:szCs w:val="24"/>
          <w:bdr w:val="none" w:sz="0" w:space="0" w:color="auto" w:frame="1"/>
        </w:rPr>
      </w:pPr>
      <w:r w:rsidRPr="000D506B">
        <w:rPr>
          <w:rFonts w:cstheme="minorHAnsi"/>
          <w:b/>
          <w:szCs w:val="24"/>
          <w:bdr w:val="none" w:sz="0" w:space="0" w:color="auto" w:frame="1"/>
        </w:rPr>
        <w:t>Draft terms of reference</w:t>
      </w:r>
    </w:p>
    <w:tbl>
      <w:tblPr>
        <w:tblStyle w:val="TableGrid"/>
        <w:tblW w:w="0" w:type="auto"/>
        <w:tblLook w:val="04A0" w:firstRow="1" w:lastRow="0" w:firstColumn="1" w:lastColumn="0" w:noHBand="0" w:noVBand="1"/>
      </w:tblPr>
      <w:tblGrid>
        <w:gridCol w:w="4814"/>
        <w:gridCol w:w="4815"/>
      </w:tblGrid>
      <w:tr w:rsidR="00100065" w14:paraId="59C7E731" w14:textId="77777777" w:rsidTr="008050D0">
        <w:tc>
          <w:tcPr>
            <w:tcW w:w="4814" w:type="dxa"/>
          </w:tcPr>
          <w:p w14:paraId="2FC8BE71" w14:textId="77777777" w:rsidR="00100065" w:rsidRDefault="00100065" w:rsidP="008050D0">
            <w:pPr>
              <w:keepNext/>
              <w:tabs>
                <w:tab w:val="clear" w:pos="794"/>
                <w:tab w:val="clear" w:pos="1191"/>
                <w:tab w:val="clear" w:pos="1588"/>
                <w:tab w:val="clear" w:pos="1985"/>
                <w:tab w:val="left" w:pos="567"/>
                <w:tab w:val="left" w:pos="1134"/>
                <w:tab w:val="left" w:pos="1701"/>
              </w:tabs>
              <w:overflowPunct/>
              <w:autoSpaceDE/>
              <w:autoSpaceDN/>
              <w:adjustRightInd/>
              <w:spacing w:after="120"/>
              <w:jc w:val="both"/>
              <w:rPr>
                <w:rFonts w:cstheme="minorHAnsi"/>
                <w:b/>
                <w:szCs w:val="24"/>
                <w:bdr w:val="none" w:sz="0" w:space="0" w:color="auto" w:frame="1"/>
              </w:rPr>
            </w:pPr>
            <w:r>
              <w:rPr>
                <w:rFonts w:cstheme="minorHAnsi"/>
                <w:b/>
                <w:szCs w:val="24"/>
                <w:bdr w:val="none" w:sz="0" w:space="0" w:color="auto" w:frame="1"/>
              </w:rPr>
              <w:t>Proposed changes</w:t>
            </w:r>
          </w:p>
        </w:tc>
        <w:tc>
          <w:tcPr>
            <w:tcW w:w="4815" w:type="dxa"/>
          </w:tcPr>
          <w:p w14:paraId="433EC2E7" w14:textId="77777777" w:rsidR="00100065" w:rsidRPr="007F2EF5" w:rsidRDefault="00100065" w:rsidP="008050D0">
            <w:pPr>
              <w:keepNext/>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jc w:val="both"/>
              <w:rPr>
                <w:rFonts w:cstheme="minorHAnsi"/>
                <w:b/>
                <w:szCs w:val="24"/>
                <w:bdr w:val="none" w:sz="0" w:space="0" w:color="auto" w:frame="1"/>
              </w:rPr>
            </w:pPr>
            <w:r>
              <w:rPr>
                <w:rFonts w:cstheme="minorHAnsi"/>
                <w:b/>
                <w:szCs w:val="24"/>
                <w:bdr w:val="none" w:sz="0" w:space="0" w:color="auto" w:frame="1"/>
              </w:rPr>
              <w:t>Clean</w:t>
            </w:r>
          </w:p>
        </w:tc>
      </w:tr>
      <w:tr w:rsidR="00100065" w14:paraId="6DAB55F6" w14:textId="77777777" w:rsidTr="008050D0">
        <w:tc>
          <w:tcPr>
            <w:tcW w:w="4814" w:type="dxa"/>
          </w:tcPr>
          <w:p w14:paraId="017F1D0E" w14:textId="77777777" w:rsidR="00100065" w:rsidRDefault="00100065" w:rsidP="008050D0">
            <w:pPr>
              <w:keepNext/>
              <w:tabs>
                <w:tab w:val="clear" w:pos="794"/>
                <w:tab w:val="clear" w:pos="1191"/>
                <w:tab w:val="clear" w:pos="1588"/>
                <w:tab w:val="clear" w:pos="1985"/>
                <w:tab w:val="left" w:pos="567"/>
                <w:tab w:val="left" w:pos="1134"/>
                <w:tab w:val="left" w:pos="1701"/>
              </w:tabs>
              <w:overflowPunct/>
              <w:autoSpaceDE/>
              <w:autoSpaceDN/>
              <w:adjustRightInd/>
              <w:spacing w:after="120"/>
              <w:jc w:val="both"/>
              <w:rPr>
                <w:rFonts w:cstheme="minorHAnsi"/>
                <w:b/>
                <w:szCs w:val="24"/>
                <w:bdr w:val="none" w:sz="0" w:space="0" w:color="auto" w:frame="1"/>
              </w:rPr>
            </w:pPr>
            <w:r w:rsidRPr="00FF6D04">
              <w:rPr>
                <w:rFonts w:cstheme="minorHAnsi"/>
                <w:b/>
                <w:noProof/>
                <w:szCs w:val="24"/>
                <w:bdr w:val="none" w:sz="0" w:space="0" w:color="auto" w:frame="1"/>
              </w:rPr>
              <w:drawing>
                <wp:inline distT="0" distB="0" distL="0" distR="0" wp14:anchorId="6DCBF106" wp14:editId="43EA6632">
                  <wp:extent cx="2830526" cy="5646970"/>
                  <wp:effectExtent l="0" t="0" r="8255" b="0"/>
                  <wp:docPr id="118274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43214" name=""/>
                          <pic:cNvPicPr/>
                        </pic:nvPicPr>
                        <pic:blipFill>
                          <a:blip r:embed="rId19"/>
                          <a:stretch>
                            <a:fillRect/>
                          </a:stretch>
                        </pic:blipFill>
                        <pic:spPr>
                          <a:xfrm>
                            <a:off x="0" y="0"/>
                            <a:ext cx="2849160" cy="5684146"/>
                          </a:xfrm>
                          <a:prstGeom prst="rect">
                            <a:avLst/>
                          </a:prstGeom>
                        </pic:spPr>
                      </pic:pic>
                    </a:graphicData>
                  </a:graphic>
                </wp:inline>
              </w:drawing>
            </w:r>
          </w:p>
        </w:tc>
        <w:tc>
          <w:tcPr>
            <w:tcW w:w="4815" w:type="dxa"/>
          </w:tcPr>
          <w:p w14:paraId="048A63CD" w14:textId="77777777" w:rsidR="00100065" w:rsidRDefault="00100065" w:rsidP="008050D0">
            <w:pPr>
              <w:keepNext/>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jc w:val="both"/>
              <w:rPr>
                <w:rFonts w:cstheme="minorHAnsi"/>
                <w:b/>
                <w:szCs w:val="24"/>
                <w:bdr w:val="none" w:sz="0" w:space="0" w:color="auto" w:frame="1"/>
              </w:rPr>
            </w:pPr>
            <w:r w:rsidRPr="007F2EF5">
              <w:rPr>
                <w:rFonts w:cstheme="minorHAnsi"/>
                <w:b/>
                <w:szCs w:val="24"/>
                <w:bdr w:val="none" w:sz="0" w:space="0" w:color="auto" w:frame="1"/>
              </w:rPr>
              <w:t>Terms of Reference:</w:t>
            </w:r>
          </w:p>
          <w:p w14:paraId="4C236E6A" w14:textId="77777777" w:rsidR="00100065" w:rsidRPr="0082532A" w:rsidRDefault="00100065" w:rsidP="003C7174">
            <w:pPr>
              <w:keepNext/>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rPr>
                <w:rFonts w:cstheme="minorBidi"/>
                <w:lang w:val="en-US"/>
              </w:rPr>
            </w:pPr>
            <w:r w:rsidRPr="00741D76">
              <w:rPr>
                <w:rFonts w:cstheme="minorHAnsi"/>
                <w:bCs/>
                <w:szCs w:val="24"/>
                <w:bdr w:val="none" w:sz="0" w:space="0" w:color="auto" w:frame="1"/>
              </w:rPr>
              <w:t xml:space="preserve">To follow up interest expressed by ITU Members to contribute their expertise and ideas </w:t>
            </w:r>
            <w:r>
              <w:rPr>
                <w:rFonts w:cstheme="minorHAnsi"/>
                <w:bCs/>
                <w:szCs w:val="24"/>
                <w:bdr w:val="none" w:sz="0" w:space="0" w:color="auto" w:frame="1"/>
              </w:rPr>
              <w:t>t</w:t>
            </w:r>
            <w:r w:rsidRPr="00741D76">
              <w:rPr>
                <w:rFonts w:cstheme="minorHAnsi"/>
                <w:bCs/>
                <w:szCs w:val="24"/>
                <w:bdr w:val="none" w:sz="0" w:space="0" w:color="auto" w:frame="1"/>
              </w:rPr>
              <w:t xml:space="preserve">o organize a successful Global Youth Summit and </w:t>
            </w:r>
            <w:r>
              <w:rPr>
                <w:rFonts w:cstheme="minorHAnsi"/>
                <w:bCs/>
                <w:szCs w:val="24"/>
                <w:bdr w:val="none" w:sz="0" w:space="0" w:color="auto" w:frame="1"/>
              </w:rPr>
              <w:t xml:space="preserve">possible </w:t>
            </w:r>
            <w:r w:rsidRPr="00741D76">
              <w:rPr>
                <w:rFonts w:cstheme="minorHAnsi"/>
                <w:bCs/>
                <w:szCs w:val="24"/>
                <w:bdr w:val="none" w:sz="0" w:space="0" w:color="auto" w:frame="1"/>
              </w:rPr>
              <w:t>Youth Celebration, the coordination group will</w:t>
            </w:r>
            <w:r>
              <w:rPr>
                <w:rFonts w:cstheme="minorHAnsi"/>
                <w:bCs/>
                <w:szCs w:val="24"/>
                <w:bdr w:val="none" w:sz="0" w:space="0" w:color="auto" w:frame="1"/>
              </w:rPr>
              <w:t xml:space="preserve"> </w:t>
            </w:r>
            <w:r>
              <w:rPr>
                <w:rFonts w:cstheme="minorBidi"/>
                <w:lang w:val="en-US"/>
              </w:rPr>
              <w:t>c</w:t>
            </w:r>
            <w:r w:rsidRPr="0082532A">
              <w:rPr>
                <w:rFonts w:cstheme="minorBidi"/>
                <w:lang w:val="en-US"/>
              </w:rPr>
              <w:t xml:space="preserve">onsider the input documents on the Global Youth Summit and Youth Celebration presented at TDAG-2024 and provide advice to the BDT Director on the scope and </w:t>
            </w:r>
            <w:proofErr w:type="spellStart"/>
            <w:r w:rsidRPr="0082532A">
              <w:rPr>
                <w:rFonts w:cstheme="minorBidi"/>
                <w:lang w:val="en-US"/>
              </w:rPr>
              <w:t>programme</w:t>
            </w:r>
            <w:proofErr w:type="spellEnd"/>
            <w:r w:rsidRPr="0082532A">
              <w:rPr>
                <w:rFonts w:cstheme="minorBidi"/>
                <w:lang w:val="en-US"/>
              </w:rPr>
              <w:t xml:space="preserve"> of both events.</w:t>
            </w:r>
          </w:p>
          <w:p w14:paraId="064FADAA" w14:textId="77777777" w:rsidR="00100065" w:rsidRPr="00402B4C" w:rsidRDefault="00100065" w:rsidP="003C7174">
            <w:pPr>
              <w:pStyle w:val="ListParagraph"/>
              <w:tabs>
                <w:tab w:val="left" w:pos="567"/>
              </w:tabs>
              <w:spacing w:before="60" w:after="60"/>
              <w:ind w:left="0"/>
              <w:contextualSpacing w:val="0"/>
              <w:rPr>
                <w:rFonts w:cstheme="minorBidi"/>
                <w:lang w:val="en-US"/>
              </w:rPr>
            </w:pPr>
            <w:r w:rsidRPr="00402B4C">
              <w:rPr>
                <w:rFonts w:cstheme="minorBidi"/>
                <w:lang w:val="en-US"/>
              </w:rPr>
              <w:t>The group is open to all ITU-D membership, preferably youth representatives.</w:t>
            </w:r>
          </w:p>
          <w:p w14:paraId="39C5FC1E" w14:textId="77777777" w:rsidR="00100065" w:rsidRPr="00402B4C" w:rsidRDefault="00100065" w:rsidP="003C7174">
            <w:pPr>
              <w:pStyle w:val="ListParagraph"/>
              <w:tabs>
                <w:tab w:val="left" w:pos="567"/>
              </w:tabs>
              <w:spacing w:before="60" w:after="60"/>
              <w:ind w:left="0"/>
              <w:contextualSpacing w:val="0"/>
              <w:rPr>
                <w:rFonts w:cstheme="minorBidi"/>
                <w:lang w:val="en-US"/>
              </w:rPr>
            </w:pPr>
            <w:r w:rsidRPr="00402B4C">
              <w:rPr>
                <w:rFonts w:cstheme="minorBidi"/>
                <w:lang w:val="en-US"/>
              </w:rPr>
              <w:t>The group will work virtually and report to the next extraordinary meeting of TDAG.</w:t>
            </w:r>
          </w:p>
          <w:p w14:paraId="7B65EEED" w14:textId="77777777" w:rsidR="00100065" w:rsidRPr="008A1FD7" w:rsidRDefault="00100065" w:rsidP="003C7174">
            <w:pPr>
              <w:keepNext/>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rPr>
                <w:rFonts w:cstheme="minorHAnsi"/>
                <w:b/>
                <w:szCs w:val="24"/>
                <w:bdr w:val="none" w:sz="0" w:space="0" w:color="auto" w:frame="1"/>
              </w:rPr>
            </w:pPr>
            <w:r w:rsidRPr="008A1FD7">
              <w:rPr>
                <w:rFonts w:cstheme="minorHAnsi"/>
                <w:b/>
                <w:szCs w:val="24"/>
                <w:bdr w:val="none" w:sz="0" w:space="0" w:color="auto" w:frame="1"/>
              </w:rPr>
              <w:t>Composition of the Informal Coordination Group:</w:t>
            </w:r>
          </w:p>
          <w:p w14:paraId="108BE6BF" w14:textId="77777777" w:rsidR="00100065" w:rsidRDefault="00100065" w:rsidP="003C7174">
            <w:pPr>
              <w:shd w:val="clear" w:color="auto" w:fill="FFFFFF"/>
              <w:tabs>
                <w:tab w:val="clear" w:pos="794"/>
                <w:tab w:val="clear" w:pos="1191"/>
                <w:tab w:val="clear" w:pos="1588"/>
                <w:tab w:val="clear" w:pos="1985"/>
                <w:tab w:val="left" w:pos="567"/>
                <w:tab w:val="left" w:pos="1134"/>
                <w:tab w:val="left" w:pos="1701"/>
              </w:tabs>
              <w:overflowPunct/>
              <w:autoSpaceDE/>
              <w:autoSpaceDN/>
              <w:adjustRightInd/>
              <w:spacing w:after="120"/>
              <w:rPr>
                <w:rFonts w:cstheme="minorHAnsi"/>
                <w:bCs/>
                <w:szCs w:val="24"/>
                <w:bdr w:val="none" w:sz="0" w:space="0" w:color="auto" w:frame="1"/>
              </w:rPr>
            </w:pPr>
            <w:r w:rsidRPr="00741D76">
              <w:rPr>
                <w:rFonts w:cstheme="minorHAnsi"/>
                <w:bCs/>
                <w:szCs w:val="24"/>
                <w:bdr w:val="none" w:sz="0" w:space="0" w:color="auto" w:frame="1"/>
              </w:rPr>
              <w:t>The coordinators of the informal group are Ms Agustina BRIZIO from Argentina, Ms Ke WANG from China, Mr Abdoulkarim OLOYEDE from Nigeria, and Ms Shahad ALBALAWI from Saudi Arabia.</w:t>
            </w:r>
          </w:p>
          <w:p w14:paraId="7E35B69B" w14:textId="7E129A64" w:rsidR="00100065" w:rsidRPr="003C7174" w:rsidRDefault="00100065" w:rsidP="003C7174">
            <w:pPr>
              <w:tabs>
                <w:tab w:val="clear" w:pos="794"/>
                <w:tab w:val="clear" w:pos="1191"/>
                <w:tab w:val="clear" w:pos="1588"/>
                <w:tab w:val="clear" w:pos="1985"/>
              </w:tabs>
              <w:spacing w:after="120"/>
              <w:jc w:val="center"/>
            </w:pPr>
            <w:r w:rsidRPr="006D4EA0">
              <w:t>_______________</w:t>
            </w:r>
          </w:p>
        </w:tc>
      </w:tr>
    </w:tbl>
    <w:p w14:paraId="1FF1516C" w14:textId="0AB51A3C" w:rsidR="0069537D" w:rsidRPr="0069537D" w:rsidRDefault="003C58BF" w:rsidP="00CD2A98">
      <w:pPr>
        <w:tabs>
          <w:tab w:val="clear" w:pos="794"/>
          <w:tab w:val="clear" w:pos="1191"/>
          <w:tab w:val="clear" w:pos="1588"/>
          <w:tab w:val="clear" w:pos="1985"/>
        </w:tabs>
        <w:spacing w:after="120"/>
        <w:jc w:val="center"/>
      </w:pPr>
      <w:r w:rsidRPr="006D4EA0">
        <w:t>_____________</w:t>
      </w:r>
      <w:r w:rsidR="004122C5" w:rsidRPr="006D4EA0">
        <w:t>_</w:t>
      </w:r>
      <w:r w:rsidR="00922EC1" w:rsidRPr="006D4EA0">
        <w:t>_</w:t>
      </w:r>
    </w:p>
    <w:sectPr w:rsidR="0069537D" w:rsidRPr="0069537D" w:rsidSect="008C7A35">
      <w:headerReference w:type="default" r:id="rId20"/>
      <w:footerReference w:type="first" r:id="rId21"/>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94172" w14:textId="77777777" w:rsidR="0049401D" w:rsidRDefault="0049401D">
      <w:r>
        <w:separator/>
      </w:r>
    </w:p>
  </w:endnote>
  <w:endnote w:type="continuationSeparator" w:id="0">
    <w:p w14:paraId="0BBECBCF" w14:textId="77777777" w:rsidR="0049401D" w:rsidRDefault="0049401D">
      <w:r>
        <w:continuationSeparator/>
      </w:r>
    </w:p>
  </w:endnote>
  <w:endnote w:type="continuationNotice" w:id="1">
    <w:p w14:paraId="00C89C3D" w14:textId="77777777" w:rsidR="0049401D" w:rsidRDefault="004940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Layout w:type="fixed"/>
      <w:tblLook w:val="04A0" w:firstRow="1" w:lastRow="0" w:firstColumn="1" w:lastColumn="0" w:noHBand="0" w:noVBand="1"/>
    </w:tblPr>
    <w:tblGrid>
      <w:gridCol w:w="1526"/>
      <w:gridCol w:w="2410"/>
      <w:gridCol w:w="5987"/>
    </w:tblGrid>
    <w:tr w:rsidR="0059420B" w:rsidRPr="004D495C" w14:paraId="695D1810" w14:textId="77777777" w:rsidTr="009C616D">
      <w:tc>
        <w:tcPr>
          <w:tcW w:w="1526" w:type="dxa"/>
          <w:tcBorders>
            <w:top w:val="single" w:sz="4" w:space="0" w:color="000000"/>
          </w:tcBorders>
          <w:shd w:val="clear" w:color="auto" w:fill="auto"/>
        </w:tcPr>
        <w:p w14:paraId="746E5A61" w14:textId="77777777" w:rsidR="0059420B" w:rsidRPr="004D495C" w:rsidRDefault="0059420B" w:rsidP="0059420B">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488E41E2" w14:textId="4383C569" w:rsidR="0059420B" w:rsidRPr="004D495C" w:rsidRDefault="0059420B" w:rsidP="0059420B">
          <w:pPr>
            <w:pStyle w:val="FirstFooter"/>
            <w:tabs>
              <w:tab w:val="left" w:pos="2302"/>
            </w:tabs>
            <w:ind w:left="2302" w:hanging="2302"/>
            <w:rPr>
              <w:sz w:val="18"/>
              <w:szCs w:val="18"/>
              <w:lang w:val="en-US"/>
            </w:rPr>
          </w:pPr>
          <w:r w:rsidRPr="004D495C">
            <w:rPr>
              <w:sz w:val="18"/>
              <w:szCs w:val="18"/>
              <w:lang w:val="en-US"/>
            </w:rPr>
            <w:t>Name/Organization/Entity:</w:t>
          </w:r>
          <w:r w:rsidR="00F37F78">
            <w:rPr>
              <w:sz w:val="18"/>
              <w:szCs w:val="18"/>
              <w:lang w:val="en-US"/>
            </w:rPr>
            <w:t xml:space="preserve"> </w:t>
          </w:r>
        </w:p>
      </w:tc>
      <w:tc>
        <w:tcPr>
          <w:tcW w:w="5987" w:type="dxa"/>
          <w:tcBorders>
            <w:top w:val="single" w:sz="4" w:space="0" w:color="000000"/>
          </w:tcBorders>
        </w:tcPr>
        <w:p w14:paraId="148264AE" w14:textId="620F5F03" w:rsidR="0059420B" w:rsidRPr="00AF7A97" w:rsidRDefault="008554B0" w:rsidP="0059420B">
          <w:pPr>
            <w:pStyle w:val="FirstFooter"/>
            <w:tabs>
              <w:tab w:val="left" w:pos="2302"/>
            </w:tabs>
            <w:rPr>
              <w:sz w:val="18"/>
              <w:szCs w:val="18"/>
              <w:lang w:val="en-US"/>
            </w:rPr>
          </w:pPr>
          <w:proofErr w:type="spellStart"/>
          <w:r w:rsidRPr="00083C65">
            <w:rPr>
              <w:sz w:val="18"/>
              <w:szCs w:val="18"/>
              <w:lang w:val="en-US"/>
            </w:rPr>
            <w:t>Ms</w:t>
          </w:r>
          <w:proofErr w:type="spellEnd"/>
          <w:r w:rsidRPr="00083C65">
            <w:rPr>
              <w:sz w:val="18"/>
              <w:szCs w:val="18"/>
              <w:lang w:val="en-US"/>
            </w:rPr>
            <w:t xml:space="preserve"> Agustina Brizio</w:t>
          </w:r>
          <w:r>
            <w:rPr>
              <w:sz w:val="18"/>
              <w:szCs w:val="18"/>
              <w:lang w:val="en-US"/>
            </w:rPr>
            <w:t xml:space="preserve">, </w:t>
          </w:r>
          <w:r w:rsidRPr="00083C65">
            <w:rPr>
              <w:sz w:val="18"/>
              <w:szCs w:val="18"/>
              <w:lang w:val="en-US"/>
            </w:rPr>
            <w:t>Chair, TDAG-ICG-GYS</w:t>
          </w:r>
          <w:r>
            <w:rPr>
              <w:sz w:val="18"/>
              <w:szCs w:val="18"/>
              <w:lang w:val="en-US"/>
            </w:rPr>
            <w:t xml:space="preserve">, </w:t>
          </w:r>
          <w:r w:rsidRPr="00671B1E">
            <w:rPr>
              <w:sz w:val="18"/>
              <w:szCs w:val="18"/>
              <w:lang w:val="en-US"/>
            </w:rPr>
            <w:t>Argentina</w:t>
          </w:r>
        </w:p>
      </w:tc>
      <w:bookmarkStart w:id="7" w:name="OrgName"/>
      <w:bookmarkEnd w:id="7"/>
    </w:tr>
    <w:tr w:rsidR="0059420B" w:rsidRPr="004D495C" w14:paraId="61167678" w14:textId="77777777" w:rsidTr="009C616D">
      <w:tc>
        <w:tcPr>
          <w:tcW w:w="1526" w:type="dxa"/>
          <w:shd w:val="clear" w:color="auto" w:fill="auto"/>
        </w:tcPr>
        <w:p w14:paraId="33710823" w14:textId="77777777" w:rsidR="0059420B" w:rsidRPr="004D495C" w:rsidRDefault="0059420B" w:rsidP="0059420B">
          <w:pPr>
            <w:pStyle w:val="FirstFooter"/>
            <w:tabs>
              <w:tab w:val="left" w:pos="1559"/>
              <w:tab w:val="left" w:pos="3828"/>
            </w:tabs>
            <w:rPr>
              <w:sz w:val="20"/>
              <w:lang w:val="en-US"/>
            </w:rPr>
          </w:pPr>
        </w:p>
      </w:tc>
      <w:tc>
        <w:tcPr>
          <w:tcW w:w="2410" w:type="dxa"/>
          <w:shd w:val="clear" w:color="auto" w:fill="auto"/>
        </w:tcPr>
        <w:p w14:paraId="1251F6E4" w14:textId="77777777" w:rsidR="0059420B" w:rsidRPr="004D495C" w:rsidRDefault="0059420B" w:rsidP="0059420B">
          <w:pPr>
            <w:pStyle w:val="FirstFooter"/>
            <w:tabs>
              <w:tab w:val="left" w:pos="2302"/>
            </w:tabs>
            <w:rPr>
              <w:sz w:val="18"/>
              <w:szCs w:val="18"/>
              <w:lang w:val="en-US"/>
            </w:rPr>
          </w:pPr>
          <w:r w:rsidRPr="004D495C">
            <w:rPr>
              <w:sz w:val="18"/>
              <w:szCs w:val="18"/>
              <w:lang w:val="en-US"/>
            </w:rPr>
            <w:t>Phone number:</w:t>
          </w:r>
        </w:p>
      </w:tc>
      <w:tc>
        <w:tcPr>
          <w:tcW w:w="5987" w:type="dxa"/>
        </w:tcPr>
        <w:p w14:paraId="6D7949F0" w14:textId="2017D3DA" w:rsidR="0059420B" w:rsidRPr="00AF7A97" w:rsidRDefault="008479A8" w:rsidP="0059420B">
          <w:pPr>
            <w:pStyle w:val="FirstFooter"/>
            <w:tabs>
              <w:tab w:val="left" w:pos="2302"/>
            </w:tabs>
            <w:rPr>
              <w:sz w:val="18"/>
              <w:szCs w:val="18"/>
              <w:lang w:val="en-US"/>
            </w:rPr>
          </w:pPr>
          <w:r>
            <w:rPr>
              <w:sz w:val="18"/>
              <w:szCs w:val="18"/>
              <w:lang w:val="en-US"/>
            </w:rPr>
            <w:t>n/a</w:t>
          </w:r>
        </w:p>
      </w:tc>
      <w:bookmarkStart w:id="8" w:name="PhoneNo"/>
      <w:bookmarkEnd w:id="8"/>
    </w:tr>
    <w:tr w:rsidR="0059420B" w:rsidRPr="004D495C" w14:paraId="0299A231" w14:textId="77777777" w:rsidTr="009C616D">
      <w:tc>
        <w:tcPr>
          <w:tcW w:w="1526" w:type="dxa"/>
          <w:shd w:val="clear" w:color="auto" w:fill="auto"/>
        </w:tcPr>
        <w:p w14:paraId="35CBC438" w14:textId="77777777" w:rsidR="0059420B" w:rsidRPr="004D495C" w:rsidRDefault="0059420B" w:rsidP="0059420B">
          <w:pPr>
            <w:pStyle w:val="FirstFooter"/>
            <w:tabs>
              <w:tab w:val="left" w:pos="1559"/>
              <w:tab w:val="left" w:pos="3828"/>
            </w:tabs>
            <w:rPr>
              <w:sz w:val="20"/>
              <w:lang w:val="en-US"/>
            </w:rPr>
          </w:pPr>
        </w:p>
      </w:tc>
      <w:tc>
        <w:tcPr>
          <w:tcW w:w="2410" w:type="dxa"/>
          <w:shd w:val="clear" w:color="auto" w:fill="auto"/>
        </w:tcPr>
        <w:p w14:paraId="65335E06" w14:textId="77777777" w:rsidR="0059420B" w:rsidRPr="004D495C" w:rsidRDefault="0059420B" w:rsidP="0059420B">
          <w:pPr>
            <w:pStyle w:val="FirstFooter"/>
            <w:tabs>
              <w:tab w:val="left" w:pos="2302"/>
            </w:tabs>
            <w:rPr>
              <w:sz w:val="18"/>
              <w:szCs w:val="18"/>
              <w:lang w:val="en-US"/>
            </w:rPr>
          </w:pPr>
          <w:r w:rsidRPr="004D495C">
            <w:rPr>
              <w:sz w:val="18"/>
              <w:szCs w:val="18"/>
              <w:lang w:val="en-US"/>
            </w:rPr>
            <w:t>E-mail:</w:t>
          </w:r>
        </w:p>
      </w:tc>
      <w:tc>
        <w:tcPr>
          <w:tcW w:w="5987" w:type="dxa"/>
        </w:tcPr>
        <w:p w14:paraId="7EAB0988" w14:textId="1336F9D9" w:rsidR="0059420B" w:rsidRPr="00AF7A97" w:rsidRDefault="002121F1" w:rsidP="0059420B">
          <w:pPr>
            <w:pStyle w:val="FirstFooter"/>
            <w:tabs>
              <w:tab w:val="left" w:pos="2302"/>
            </w:tabs>
            <w:rPr>
              <w:sz w:val="18"/>
              <w:szCs w:val="18"/>
              <w:lang w:val="en-US"/>
            </w:rPr>
          </w:pPr>
          <w:hyperlink r:id="rId1" w:history="1">
            <w:r w:rsidR="008479A8" w:rsidRPr="008E4FF0">
              <w:rPr>
                <w:rStyle w:val="Hyperlink"/>
                <w:sz w:val="18"/>
                <w:szCs w:val="18"/>
                <w:lang w:val="en-US"/>
              </w:rPr>
              <w:t>brizioagustina@gmail.com</w:t>
            </w:r>
          </w:hyperlink>
        </w:p>
      </w:tc>
      <w:bookmarkStart w:id="9" w:name="Email"/>
      <w:bookmarkEnd w:id="9"/>
    </w:tr>
  </w:tbl>
  <w:p w14:paraId="40A321D0" w14:textId="1C276101" w:rsidR="00721657" w:rsidRPr="004146FD"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FDBEF" w14:textId="77777777" w:rsidR="0049401D" w:rsidRDefault="0049401D">
      <w:r>
        <w:t>____________________</w:t>
      </w:r>
    </w:p>
  </w:footnote>
  <w:footnote w:type="continuationSeparator" w:id="0">
    <w:p w14:paraId="28D72D17" w14:textId="77777777" w:rsidR="0049401D" w:rsidRDefault="0049401D">
      <w:r>
        <w:continuationSeparator/>
      </w:r>
    </w:p>
  </w:footnote>
  <w:footnote w:type="continuationNotice" w:id="1">
    <w:p w14:paraId="57AD6C4A" w14:textId="77777777" w:rsidR="0049401D" w:rsidRDefault="0049401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4FE77" w14:textId="2F016687" w:rsidR="00721657" w:rsidRPr="00566BDC" w:rsidRDefault="00A525CC" w:rsidP="00307769">
    <w:pPr>
      <w:tabs>
        <w:tab w:val="clear" w:pos="794"/>
        <w:tab w:val="clear" w:pos="1191"/>
        <w:tab w:val="clear" w:pos="1588"/>
        <w:tab w:val="clear" w:pos="1985"/>
        <w:tab w:val="center" w:pos="4820"/>
        <w:tab w:val="right" w:pos="9639"/>
      </w:tabs>
      <w:ind w:right="1"/>
      <w:rPr>
        <w:rStyle w:val="PageNumber"/>
        <w:lang w:val="fr-FR"/>
      </w:rPr>
    </w:pPr>
    <w:r w:rsidRPr="00972BCD">
      <w:rPr>
        <w:sz w:val="22"/>
        <w:szCs w:val="22"/>
      </w:rPr>
      <w:tab/>
    </w:r>
    <w:r w:rsidR="000D241F" w:rsidRPr="000D241F">
      <w:rPr>
        <w:sz w:val="22"/>
        <w:szCs w:val="22"/>
        <w:lang w:val="de-CH"/>
      </w:rPr>
      <w:t>TDAG-ICG-GYS</w:t>
    </w:r>
    <w:r w:rsidRPr="006D4EA0">
      <w:rPr>
        <w:sz w:val="22"/>
        <w:szCs w:val="22"/>
        <w:lang w:val="de-CH"/>
      </w:rPr>
      <w:t>/</w:t>
    </w:r>
    <w:r w:rsidR="00AF384C">
      <w:rPr>
        <w:sz w:val="22"/>
        <w:szCs w:val="22"/>
        <w:lang w:val="de-CH"/>
      </w:rPr>
      <w:t>5</w:t>
    </w:r>
    <w:r w:rsidRPr="006D4EA0">
      <w:rPr>
        <w:sz w:val="22"/>
        <w:szCs w:val="22"/>
        <w:lang w:val="de-CH"/>
      </w:rPr>
      <w:t>-E</w:t>
    </w:r>
    <w:r w:rsidRPr="006D4EA0">
      <w:rPr>
        <w:sz w:val="22"/>
        <w:szCs w:val="22"/>
        <w:lang w:val="de-CH"/>
      </w:rPr>
      <w:tab/>
      <w:t xml:space="preserve">Page </w:t>
    </w:r>
    <w:r w:rsidRPr="006D4EA0">
      <w:rPr>
        <w:sz w:val="22"/>
        <w:szCs w:val="22"/>
      </w:rPr>
      <w:fldChar w:fldCharType="begin"/>
    </w:r>
    <w:r w:rsidRPr="006D4EA0">
      <w:rPr>
        <w:sz w:val="22"/>
        <w:szCs w:val="22"/>
        <w:lang w:val="de-CH"/>
      </w:rPr>
      <w:instrText xml:space="preserve"> PAGE </w:instrText>
    </w:r>
    <w:r w:rsidRPr="006D4EA0">
      <w:rPr>
        <w:sz w:val="22"/>
        <w:szCs w:val="22"/>
      </w:rPr>
      <w:fldChar w:fldCharType="separate"/>
    </w:r>
    <w:r w:rsidR="004D7DAB" w:rsidRPr="006D4EA0">
      <w:rPr>
        <w:noProof/>
        <w:sz w:val="22"/>
        <w:szCs w:val="22"/>
        <w:lang w:val="de-CH"/>
      </w:rPr>
      <w:t>2</w:t>
    </w:r>
    <w:r w:rsidRPr="006D4EA0">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17B9A"/>
    <w:multiLevelType w:val="hybridMultilevel"/>
    <w:tmpl w:val="C5249BE2"/>
    <w:lvl w:ilvl="0" w:tplc="78F6E2F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D185ED0"/>
    <w:multiLevelType w:val="multilevel"/>
    <w:tmpl w:val="C8FAA1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5D7D8C"/>
    <w:multiLevelType w:val="multilevel"/>
    <w:tmpl w:val="560A3144"/>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036E6"/>
    <w:multiLevelType w:val="multilevel"/>
    <w:tmpl w:val="9D86B1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074A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879C2"/>
    <w:multiLevelType w:val="hybridMultilevel"/>
    <w:tmpl w:val="89C85380"/>
    <w:lvl w:ilvl="0" w:tplc="3A789C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7" w15:restartNumberingAfterBreak="0">
    <w:nsid w:val="6488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D036C4"/>
    <w:multiLevelType w:val="multilevel"/>
    <w:tmpl w:val="6298F6A8"/>
    <w:lvl w:ilvl="0">
      <w:start w:val="1"/>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8D71E7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3808767">
    <w:abstractNumId w:val="6"/>
  </w:num>
  <w:num w:numId="2" w16cid:durableId="732234119">
    <w:abstractNumId w:val="1"/>
  </w:num>
  <w:num w:numId="3" w16cid:durableId="750663870">
    <w:abstractNumId w:val="9"/>
  </w:num>
  <w:num w:numId="4" w16cid:durableId="1521384781">
    <w:abstractNumId w:val="0"/>
  </w:num>
  <w:num w:numId="5" w16cid:durableId="510144302">
    <w:abstractNumId w:val="8"/>
  </w:num>
  <w:num w:numId="6" w16cid:durableId="1865749457">
    <w:abstractNumId w:val="4"/>
  </w:num>
  <w:num w:numId="7" w16cid:durableId="580794071">
    <w:abstractNumId w:val="2"/>
  </w:num>
  <w:num w:numId="8" w16cid:durableId="1713992530">
    <w:abstractNumId w:val="3"/>
  </w:num>
  <w:num w:numId="9" w16cid:durableId="1131627214">
    <w:abstractNumId w:val="5"/>
  </w:num>
  <w:num w:numId="10" w16cid:durableId="1020543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063ED"/>
    <w:rsid w:val="00006A56"/>
    <w:rsid w:val="00010827"/>
    <w:rsid w:val="00013D5C"/>
    <w:rsid w:val="00015089"/>
    <w:rsid w:val="0001565A"/>
    <w:rsid w:val="00015D20"/>
    <w:rsid w:val="00021196"/>
    <w:rsid w:val="0002520B"/>
    <w:rsid w:val="000274B2"/>
    <w:rsid w:val="00030397"/>
    <w:rsid w:val="00032046"/>
    <w:rsid w:val="000351D5"/>
    <w:rsid w:val="00037A9E"/>
    <w:rsid w:val="00037F91"/>
    <w:rsid w:val="00044970"/>
    <w:rsid w:val="000539F1"/>
    <w:rsid w:val="00054747"/>
    <w:rsid w:val="00055A2A"/>
    <w:rsid w:val="000615C1"/>
    <w:rsid w:val="00061675"/>
    <w:rsid w:val="00062836"/>
    <w:rsid w:val="00066C60"/>
    <w:rsid w:val="00071BC0"/>
    <w:rsid w:val="00072B54"/>
    <w:rsid w:val="000743AA"/>
    <w:rsid w:val="00083BC5"/>
    <w:rsid w:val="0009076F"/>
    <w:rsid w:val="0009225C"/>
    <w:rsid w:val="00092741"/>
    <w:rsid w:val="00094834"/>
    <w:rsid w:val="000A17C4"/>
    <w:rsid w:val="000A36A4"/>
    <w:rsid w:val="000A7F71"/>
    <w:rsid w:val="000B2352"/>
    <w:rsid w:val="000B7C10"/>
    <w:rsid w:val="000C6BEE"/>
    <w:rsid w:val="000C7B84"/>
    <w:rsid w:val="000D241F"/>
    <w:rsid w:val="000D261B"/>
    <w:rsid w:val="000D506B"/>
    <w:rsid w:val="000D58A3"/>
    <w:rsid w:val="000E2EA5"/>
    <w:rsid w:val="000E3ED4"/>
    <w:rsid w:val="000E3F9C"/>
    <w:rsid w:val="000F1550"/>
    <w:rsid w:val="000F251B"/>
    <w:rsid w:val="000F5FE8"/>
    <w:rsid w:val="000F6644"/>
    <w:rsid w:val="00100065"/>
    <w:rsid w:val="00100833"/>
    <w:rsid w:val="00102580"/>
    <w:rsid w:val="00102F72"/>
    <w:rsid w:val="00107E85"/>
    <w:rsid w:val="00113EE8"/>
    <w:rsid w:val="0011455A"/>
    <w:rsid w:val="00114A65"/>
    <w:rsid w:val="00117C82"/>
    <w:rsid w:val="00120185"/>
    <w:rsid w:val="00123776"/>
    <w:rsid w:val="0012449B"/>
    <w:rsid w:val="00125A16"/>
    <w:rsid w:val="00126F53"/>
    <w:rsid w:val="00133061"/>
    <w:rsid w:val="0013591E"/>
    <w:rsid w:val="00136389"/>
    <w:rsid w:val="00137704"/>
    <w:rsid w:val="00141699"/>
    <w:rsid w:val="0014193A"/>
    <w:rsid w:val="00147000"/>
    <w:rsid w:val="00151800"/>
    <w:rsid w:val="00155317"/>
    <w:rsid w:val="00162AD4"/>
    <w:rsid w:val="00163091"/>
    <w:rsid w:val="0016371B"/>
    <w:rsid w:val="001645CB"/>
    <w:rsid w:val="00165CCC"/>
    <w:rsid w:val="00165F0B"/>
    <w:rsid w:val="00166305"/>
    <w:rsid w:val="00167545"/>
    <w:rsid w:val="00167D9C"/>
    <w:rsid w:val="001703C6"/>
    <w:rsid w:val="00171C51"/>
    <w:rsid w:val="00173781"/>
    <w:rsid w:val="00175ADF"/>
    <w:rsid w:val="00175CAE"/>
    <w:rsid w:val="001768F7"/>
    <w:rsid w:val="00182646"/>
    <w:rsid w:val="001828DB"/>
    <w:rsid w:val="001850FE"/>
    <w:rsid w:val="00185135"/>
    <w:rsid w:val="0019037C"/>
    <w:rsid w:val="001905A9"/>
    <w:rsid w:val="00191273"/>
    <w:rsid w:val="00192562"/>
    <w:rsid w:val="0019303F"/>
    <w:rsid w:val="00193FDA"/>
    <w:rsid w:val="001942A7"/>
    <w:rsid w:val="0019587B"/>
    <w:rsid w:val="001A00DB"/>
    <w:rsid w:val="001A163D"/>
    <w:rsid w:val="001A441E"/>
    <w:rsid w:val="001A6733"/>
    <w:rsid w:val="001B357F"/>
    <w:rsid w:val="001B4B41"/>
    <w:rsid w:val="001B59B9"/>
    <w:rsid w:val="001C13F8"/>
    <w:rsid w:val="001C3444"/>
    <w:rsid w:val="001C3702"/>
    <w:rsid w:val="001C4656"/>
    <w:rsid w:val="001C46BC"/>
    <w:rsid w:val="001D1E06"/>
    <w:rsid w:val="001D5AD6"/>
    <w:rsid w:val="001D7C66"/>
    <w:rsid w:val="001F23E6"/>
    <w:rsid w:val="001F4238"/>
    <w:rsid w:val="001F5747"/>
    <w:rsid w:val="001F6F39"/>
    <w:rsid w:val="00200A38"/>
    <w:rsid w:val="00200A46"/>
    <w:rsid w:val="00203727"/>
    <w:rsid w:val="00207334"/>
    <w:rsid w:val="00210AC5"/>
    <w:rsid w:val="00211B6F"/>
    <w:rsid w:val="002121F1"/>
    <w:rsid w:val="00216F31"/>
    <w:rsid w:val="00217CC3"/>
    <w:rsid w:val="00220AB6"/>
    <w:rsid w:val="0022120F"/>
    <w:rsid w:val="00221AA9"/>
    <w:rsid w:val="00222973"/>
    <w:rsid w:val="00222F1B"/>
    <w:rsid w:val="00224107"/>
    <w:rsid w:val="0022754A"/>
    <w:rsid w:val="0023351B"/>
    <w:rsid w:val="002338CA"/>
    <w:rsid w:val="00234C2E"/>
    <w:rsid w:val="00236560"/>
    <w:rsid w:val="0023662E"/>
    <w:rsid w:val="00245D0F"/>
    <w:rsid w:val="0025296D"/>
    <w:rsid w:val="002548C3"/>
    <w:rsid w:val="00255010"/>
    <w:rsid w:val="00257ACD"/>
    <w:rsid w:val="00262908"/>
    <w:rsid w:val="002650F4"/>
    <w:rsid w:val="002715FD"/>
    <w:rsid w:val="00272369"/>
    <w:rsid w:val="00273181"/>
    <w:rsid w:val="00275359"/>
    <w:rsid w:val="002770B1"/>
    <w:rsid w:val="00285B33"/>
    <w:rsid w:val="00287A3C"/>
    <w:rsid w:val="002927B4"/>
    <w:rsid w:val="00295F79"/>
    <w:rsid w:val="002A2FC6"/>
    <w:rsid w:val="002A4963"/>
    <w:rsid w:val="002B57A2"/>
    <w:rsid w:val="002B5955"/>
    <w:rsid w:val="002C1EC7"/>
    <w:rsid w:val="002C3015"/>
    <w:rsid w:val="002C4342"/>
    <w:rsid w:val="002C71AB"/>
    <w:rsid w:val="002C7EA3"/>
    <w:rsid w:val="002D020B"/>
    <w:rsid w:val="002D20AE"/>
    <w:rsid w:val="002D223D"/>
    <w:rsid w:val="002D403E"/>
    <w:rsid w:val="002D6C61"/>
    <w:rsid w:val="002E2104"/>
    <w:rsid w:val="002E2DAC"/>
    <w:rsid w:val="002E6963"/>
    <w:rsid w:val="002E6F8F"/>
    <w:rsid w:val="002E7C81"/>
    <w:rsid w:val="002F05D8"/>
    <w:rsid w:val="002F0C55"/>
    <w:rsid w:val="002F2DE0"/>
    <w:rsid w:val="002F4058"/>
    <w:rsid w:val="002F5E25"/>
    <w:rsid w:val="00302C2B"/>
    <w:rsid w:val="0030353C"/>
    <w:rsid w:val="00307769"/>
    <w:rsid w:val="003125C3"/>
    <w:rsid w:val="00312AE6"/>
    <w:rsid w:val="00317D1A"/>
    <w:rsid w:val="003211FF"/>
    <w:rsid w:val="003242AB"/>
    <w:rsid w:val="0032471C"/>
    <w:rsid w:val="00327247"/>
    <w:rsid w:val="00327A9D"/>
    <w:rsid w:val="00331020"/>
    <w:rsid w:val="0033130E"/>
    <w:rsid w:val="00331402"/>
    <w:rsid w:val="0033184A"/>
    <w:rsid w:val="0033269C"/>
    <w:rsid w:val="0033715B"/>
    <w:rsid w:val="00341177"/>
    <w:rsid w:val="00341A9A"/>
    <w:rsid w:val="0034753D"/>
    <w:rsid w:val="00351C79"/>
    <w:rsid w:val="00352DBC"/>
    <w:rsid w:val="0035516C"/>
    <w:rsid w:val="00355A4C"/>
    <w:rsid w:val="003604FB"/>
    <w:rsid w:val="00360B73"/>
    <w:rsid w:val="00363CD5"/>
    <w:rsid w:val="0037368E"/>
    <w:rsid w:val="00375B5B"/>
    <w:rsid w:val="00375E1F"/>
    <w:rsid w:val="00376991"/>
    <w:rsid w:val="00377562"/>
    <w:rsid w:val="00380B71"/>
    <w:rsid w:val="0038365A"/>
    <w:rsid w:val="0038672F"/>
    <w:rsid w:val="00386A89"/>
    <w:rsid w:val="00392B11"/>
    <w:rsid w:val="003949D8"/>
    <w:rsid w:val="0039648E"/>
    <w:rsid w:val="00396503"/>
    <w:rsid w:val="003A053C"/>
    <w:rsid w:val="003A5AFE"/>
    <w:rsid w:val="003A5D5F"/>
    <w:rsid w:val="003A756B"/>
    <w:rsid w:val="003A7FFE"/>
    <w:rsid w:val="003B0A63"/>
    <w:rsid w:val="003B50E1"/>
    <w:rsid w:val="003C1081"/>
    <w:rsid w:val="003C1746"/>
    <w:rsid w:val="003C1AB0"/>
    <w:rsid w:val="003C2AA9"/>
    <w:rsid w:val="003C58BF"/>
    <w:rsid w:val="003C669D"/>
    <w:rsid w:val="003C7174"/>
    <w:rsid w:val="003D3597"/>
    <w:rsid w:val="003D451D"/>
    <w:rsid w:val="003E78FC"/>
    <w:rsid w:val="003F1E2F"/>
    <w:rsid w:val="003F2DD8"/>
    <w:rsid w:val="003F3F2D"/>
    <w:rsid w:val="003F479F"/>
    <w:rsid w:val="003F50B2"/>
    <w:rsid w:val="00400CCF"/>
    <w:rsid w:val="00401BFF"/>
    <w:rsid w:val="004027FF"/>
    <w:rsid w:val="00402D4D"/>
    <w:rsid w:val="00404424"/>
    <w:rsid w:val="00404F73"/>
    <w:rsid w:val="004060C5"/>
    <w:rsid w:val="004110CC"/>
    <w:rsid w:val="0041156B"/>
    <w:rsid w:val="004122C5"/>
    <w:rsid w:val="00413B78"/>
    <w:rsid w:val="004146FD"/>
    <w:rsid w:val="00416DDE"/>
    <w:rsid w:val="00416FED"/>
    <w:rsid w:val="00420650"/>
    <w:rsid w:val="00422ACF"/>
    <w:rsid w:val="00430D62"/>
    <w:rsid w:val="0043234E"/>
    <w:rsid w:val="0043598F"/>
    <w:rsid w:val="00443EEE"/>
    <w:rsid w:val="0044411E"/>
    <w:rsid w:val="00446D97"/>
    <w:rsid w:val="00452EBD"/>
    <w:rsid w:val="00453435"/>
    <w:rsid w:val="00453959"/>
    <w:rsid w:val="00460089"/>
    <w:rsid w:val="00464632"/>
    <w:rsid w:val="00466398"/>
    <w:rsid w:val="00467E67"/>
    <w:rsid w:val="004712A4"/>
    <w:rsid w:val="00471B4D"/>
    <w:rsid w:val="0047306D"/>
    <w:rsid w:val="00473791"/>
    <w:rsid w:val="00476144"/>
    <w:rsid w:val="00476E48"/>
    <w:rsid w:val="0048145D"/>
    <w:rsid w:val="00481DE9"/>
    <w:rsid w:val="004846BF"/>
    <w:rsid w:val="00490876"/>
    <w:rsid w:val="0049128B"/>
    <w:rsid w:val="00491D63"/>
    <w:rsid w:val="00493B49"/>
    <w:rsid w:val="0049401D"/>
    <w:rsid w:val="00495501"/>
    <w:rsid w:val="004A0067"/>
    <w:rsid w:val="004A070A"/>
    <w:rsid w:val="004A10A6"/>
    <w:rsid w:val="004A320E"/>
    <w:rsid w:val="004A3C16"/>
    <w:rsid w:val="004A4E9C"/>
    <w:rsid w:val="004A71B8"/>
    <w:rsid w:val="004B1A3C"/>
    <w:rsid w:val="004B5FC0"/>
    <w:rsid w:val="004B718B"/>
    <w:rsid w:val="004C341D"/>
    <w:rsid w:val="004C59B1"/>
    <w:rsid w:val="004C72B2"/>
    <w:rsid w:val="004D0AED"/>
    <w:rsid w:val="004D2CC3"/>
    <w:rsid w:val="004D35CB"/>
    <w:rsid w:val="004D7DAB"/>
    <w:rsid w:val="004E20E5"/>
    <w:rsid w:val="004E3994"/>
    <w:rsid w:val="004E47B0"/>
    <w:rsid w:val="004E59E8"/>
    <w:rsid w:val="004E64EA"/>
    <w:rsid w:val="004E7828"/>
    <w:rsid w:val="004F46AA"/>
    <w:rsid w:val="004F6A70"/>
    <w:rsid w:val="00500AD7"/>
    <w:rsid w:val="00502ABF"/>
    <w:rsid w:val="00504DB0"/>
    <w:rsid w:val="005078A4"/>
    <w:rsid w:val="00507C35"/>
    <w:rsid w:val="00510735"/>
    <w:rsid w:val="00514D2F"/>
    <w:rsid w:val="005172C2"/>
    <w:rsid w:val="00532D9B"/>
    <w:rsid w:val="00537B0D"/>
    <w:rsid w:val="0054420E"/>
    <w:rsid w:val="00544D1B"/>
    <w:rsid w:val="00545DC0"/>
    <w:rsid w:val="00545F6C"/>
    <w:rsid w:val="005477D9"/>
    <w:rsid w:val="0055720C"/>
    <w:rsid w:val="00561796"/>
    <w:rsid w:val="005632DD"/>
    <w:rsid w:val="00563F4A"/>
    <w:rsid w:val="0056423B"/>
    <w:rsid w:val="00566BDC"/>
    <w:rsid w:val="00570F14"/>
    <w:rsid w:val="00573424"/>
    <w:rsid w:val="00573B71"/>
    <w:rsid w:val="0057402F"/>
    <w:rsid w:val="005769A5"/>
    <w:rsid w:val="00576E8C"/>
    <w:rsid w:val="00577A93"/>
    <w:rsid w:val="00581653"/>
    <w:rsid w:val="005849D6"/>
    <w:rsid w:val="00585367"/>
    <w:rsid w:val="005871A1"/>
    <w:rsid w:val="0058737E"/>
    <w:rsid w:val="0059103B"/>
    <w:rsid w:val="0059151F"/>
    <w:rsid w:val="00592518"/>
    <w:rsid w:val="00592E87"/>
    <w:rsid w:val="00593817"/>
    <w:rsid w:val="0059420B"/>
    <w:rsid w:val="00594C4D"/>
    <w:rsid w:val="00595DF4"/>
    <w:rsid w:val="005A33B0"/>
    <w:rsid w:val="005A406D"/>
    <w:rsid w:val="005A4AB8"/>
    <w:rsid w:val="005A6201"/>
    <w:rsid w:val="005A6BE9"/>
    <w:rsid w:val="005A75AE"/>
    <w:rsid w:val="005A75D9"/>
    <w:rsid w:val="005B11F6"/>
    <w:rsid w:val="005B301E"/>
    <w:rsid w:val="005B55E4"/>
    <w:rsid w:val="005B645B"/>
    <w:rsid w:val="005B7930"/>
    <w:rsid w:val="005C0744"/>
    <w:rsid w:val="005C2DC2"/>
    <w:rsid w:val="005C304A"/>
    <w:rsid w:val="005C3D69"/>
    <w:rsid w:val="005C7C98"/>
    <w:rsid w:val="005D213E"/>
    <w:rsid w:val="005D2C3A"/>
    <w:rsid w:val="005D4B8A"/>
    <w:rsid w:val="005D537C"/>
    <w:rsid w:val="005D55A4"/>
    <w:rsid w:val="005D57C8"/>
    <w:rsid w:val="005D7761"/>
    <w:rsid w:val="005E0278"/>
    <w:rsid w:val="005E090D"/>
    <w:rsid w:val="005E3CA0"/>
    <w:rsid w:val="005E44B1"/>
    <w:rsid w:val="005E4617"/>
    <w:rsid w:val="005E67B0"/>
    <w:rsid w:val="005E7047"/>
    <w:rsid w:val="005E777F"/>
    <w:rsid w:val="005F1CA7"/>
    <w:rsid w:val="005F43DD"/>
    <w:rsid w:val="005F51A9"/>
    <w:rsid w:val="005F6BE1"/>
    <w:rsid w:val="005F7416"/>
    <w:rsid w:val="00600B26"/>
    <w:rsid w:val="00600C11"/>
    <w:rsid w:val="006022D1"/>
    <w:rsid w:val="00606B89"/>
    <w:rsid w:val="00611EAF"/>
    <w:rsid w:val="00612DD6"/>
    <w:rsid w:val="00616B46"/>
    <w:rsid w:val="0062302B"/>
    <w:rsid w:val="00623F30"/>
    <w:rsid w:val="00624B44"/>
    <w:rsid w:val="00625FB8"/>
    <w:rsid w:val="006261BD"/>
    <w:rsid w:val="00633018"/>
    <w:rsid w:val="00633398"/>
    <w:rsid w:val="00635EDB"/>
    <w:rsid w:val="00635F0A"/>
    <w:rsid w:val="00642C3C"/>
    <w:rsid w:val="00643F4F"/>
    <w:rsid w:val="006451C4"/>
    <w:rsid w:val="0064544C"/>
    <w:rsid w:val="0064734E"/>
    <w:rsid w:val="00650137"/>
    <w:rsid w:val="006509D7"/>
    <w:rsid w:val="00651CE8"/>
    <w:rsid w:val="0065521B"/>
    <w:rsid w:val="006610EB"/>
    <w:rsid w:val="00663A68"/>
    <w:rsid w:val="00665435"/>
    <w:rsid w:val="006666AB"/>
    <w:rsid w:val="00671EF6"/>
    <w:rsid w:val="0067205B"/>
    <w:rsid w:val="006748F8"/>
    <w:rsid w:val="00680489"/>
    <w:rsid w:val="00683C32"/>
    <w:rsid w:val="0068439E"/>
    <w:rsid w:val="006860C4"/>
    <w:rsid w:val="00690BB2"/>
    <w:rsid w:val="00693D09"/>
    <w:rsid w:val="00694E56"/>
    <w:rsid w:val="0069537D"/>
    <w:rsid w:val="006A6549"/>
    <w:rsid w:val="006A7710"/>
    <w:rsid w:val="006A7A61"/>
    <w:rsid w:val="006B1256"/>
    <w:rsid w:val="006B12F1"/>
    <w:rsid w:val="006B1E59"/>
    <w:rsid w:val="006B2FFB"/>
    <w:rsid w:val="006B4412"/>
    <w:rsid w:val="006B6041"/>
    <w:rsid w:val="006C075B"/>
    <w:rsid w:val="006C10A2"/>
    <w:rsid w:val="006C1F18"/>
    <w:rsid w:val="006C655A"/>
    <w:rsid w:val="006C6965"/>
    <w:rsid w:val="006C72B0"/>
    <w:rsid w:val="006D0A4B"/>
    <w:rsid w:val="006D40D5"/>
    <w:rsid w:val="006D4EA0"/>
    <w:rsid w:val="006D5E63"/>
    <w:rsid w:val="006E5533"/>
    <w:rsid w:val="006F009A"/>
    <w:rsid w:val="006F24AF"/>
    <w:rsid w:val="006F3D93"/>
    <w:rsid w:val="006F414B"/>
    <w:rsid w:val="006F55C3"/>
    <w:rsid w:val="007019B1"/>
    <w:rsid w:val="00704483"/>
    <w:rsid w:val="00706440"/>
    <w:rsid w:val="00707BA1"/>
    <w:rsid w:val="00715ED1"/>
    <w:rsid w:val="0071703D"/>
    <w:rsid w:val="00717CAA"/>
    <w:rsid w:val="00717DD8"/>
    <w:rsid w:val="00721657"/>
    <w:rsid w:val="007279A8"/>
    <w:rsid w:val="00727B1A"/>
    <w:rsid w:val="00727EF8"/>
    <w:rsid w:val="00741337"/>
    <w:rsid w:val="00752258"/>
    <w:rsid w:val="007529E1"/>
    <w:rsid w:val="007616D6"/>
    <w:rsid w:val="0076272A"/>
    <w:rsid w:val="00762880"/>
    <w:rsid w:val="00762AD6"/>
    <w:rsid w:val="00762E02"/>
    <w:rsid w:val="00767981"/>
    <w:rsid w:val="00770565"/>
    <w:rsid w:val="00772290"/>
    <w:rsid w:val="00773F1D"/>
    <w:rsid w:val="00777265"/>
    <w:rsid w:val="007805E7"/>
    <w:rsid w:val="0078222A"/>
    <w:rsid w:val="00784700"/>
    <w:rsid w:val="00787D48"/>
    <w:rsid w:val="00795294"/>
    <w:rsid w:val="00797E51"/>
    <w:rsid w:val="007A4E50"/>
    <w:rsid w:val="007A6054"/>
    <w:rsid w:val="007A6084"/>
    <w:rsid w:val="007B18A7"/>
    <w:rsid w:val="007B232C"/>
    <w:rsid w:val="007B250E"/>
    <w:rsid w:val="007B3027"/>
    <w:rsid w:val="007B3D55"/>
    <w:rsid w:val="007B54A3"/>
    <w:rsid w:val="007C0EF5"/>
    <w:rsid w:val="007C27FC"/>
    <w:rsid w:val="007C34EC"/>
    <w:rsid w:val="007C51FF"/>
    <w:rsid w:val="007D4EF5"/>
    <w:rsid w:val="007D50E4"/>
    <w:rsid w:val="007D5521"/>
    <w:rsid w:val="007E2DC5"/>
    <w:rsid w:val="007F065E"/>
    <w:rsid w:val="007F1CC7"/>
    <w:rsid w:val="007F22FF"/>
    <w:rsid w:val="0080271B"/>
    <w:rsid w:val="008027AC"/>
    <w:rsid w:val="008028CE"/>
    <w:rsid w:val="0080332E"/>
    <w:rsid w:val="00803C66"/>
    <w:rsid w:val="0080453B"/>
    <w:rsid w:val="00804C8F"/>
    <w:rsid w:val="00813A4E"/>
    <w:rsid w:val="008141E0"/>
    <w:rsid w:val="00816EE1"/>
    <w:rsid w:val="00816F88"/>
    <w:rsid w:val="00821996"/>
    <w:rsid w:val="00822323"/>
    <w:rsid w:val="00823F39"/>
    <w:rsid w:val="00826A3E"/>
    <w:rsid w:val="00827807"/>
    <w:rsid w:val="00827BC6"/>
    <w:rsid w:val="008300AD"/>
    <w:rsid w:val="00830B80"/>
    <w:rsid w:val="00833024"/>
    <w:rsid w:val="0083445B"/>
    <w:rsid w:val="00834ED6"/>
    <w:rsid w:val="008419B1"/>
    <w:rsid w:val="00843854"/>
    <w:rsid w:val="00844A56"/>
    <w:rsid w:val="00845B11"/>
    <w:rsid w:val="008475AA"/>
    <w:rsid w:val="008479A8"/>
    <w:rsid w:val="0085119E"/>
    <w:rsid w:val="00852081"/>
    <w:rsid w:val="008554B0"/>
    <w:rsid w:val="008604D0"/>
    <w:rsid w:val="00867E4A"/>
    <w:rsid w:val="00872B6E"/>
    <w:rsid w:val="00874DFD"/>
    <w:rsid w:val="008802F9"/>
    <w:rsid w:val="00881B9C"/>
    <w:rsid w:val="00883086"/>
    <w:rsid w:val="00886D4F"/>
    <w:rsid w:val="008879FD"/>
    <w:rsid w:val="00894C37"/>
    <w:rsid w:val="008A00EA"/>
    <w:rsid w:val="008A17EA"/>
    <w:rsid w:val="008A3F93"/>
    <w:rsid w:val="008A6236"/>
    <w:rsid w:val="008A6E1C"/>
    <w:rsid w:val="008A72FD"/>
    <w:rsid w:val="008B2EDF"/>
    <w:rsid w:val="008B47C7"/>
    <w:rsid w:val="008B54CB"/>
    <w:rsid w:val="008B58CD"/>
    <w:rsid w:val="008B5A3D"/>
    <w:rsid w:val="008B712B"/>
    <w:rsid w:val="008B783F"/>
    <w:rsid w:val="008C29D2"/>
    <w:rsid w:val="008C4010"/>
    <w:rsid w:val="008C4FDF"/>
    <w:rsid w:val="008C6B1F"/>
    <w:rsid w:val="008C7A35"/>
    <w:rsid w:val="008C7D64"/>
    <w:rsid w:val="008D4383"/>
    <w:rsid w:val="008D5E4F"/>
    <w:rsid w:val="008E261F"/>
    <w:rsid w:val="008E34F0"/>
    <w:rsid w:val="008E38AD"/>
    <w:rsid w:val="008E6AF8"/>
    <w:rsid w:val="008F14F5"/>
    <w:rsid w:val="008F71C1"/>
    <w:rsid w:val="00902D41"/>
    <w:rsid w:val="00902F49"/>
    <w:rsid w:val="00904230"/>
    <w:rsid w:val="009045E6"/>
    <w:rsid w:val="00907230"/>
    <w:rsid w:val="00910402"/>
    <w:rsid w:val="00910AF2"/>
    <w:rsid w:val="00914004"/>
    <w:rsid w:val="00922EC1"/>
    <w:rsid w:val="00923CF1"/>
    <w:rsid w:val="00924EF6"/>
    <w:rsid w:val="009278FB"/>
    <w:rsid w:val="009301F1"/>
    <w:rsid w:val="0093034A"/>
    <w:rsid w:val="009307DF"/>
    <w:rsid w:val="00933F28"/>
    <w:rsid w:val="009359B8"/>
    <w:rsid w:val="00935FF0"/>
    <w:rsid w:val="00942B86"/>
    <w:rsid w:val="009431F8"/>
    <w:rsid w:val="0094580C"/>
    <w:rsid w:val="00947A35"/>
    <w:rsid w:val="00947C73"/>
    <w:rsid w:val="0095222C"/>
    <w:rsid w:val="00952667"/>
    <w:rsid w:val="00952B23"/>
    <w:rsid w:val="00956328"/>
    <w:rsid w:val="0096201B"/>
    <w:rsid w:val="00962081"/>
    <w:rsid w:val="009654B4"/>
    <w:rsid w:val="00966CB5"/>
    <w:rsid w:val="00967811"/>
    <w:rsid w:val="009701FF"/>
    <w:rsid w:val="00970EB9"/>
    <w:rsid w:val="00975786"/>
    <w:rsid w:val="00981CB7"/>
    <w:rsid w:val="00982F4E"/>
    <w:rsid w:val="00983E1F"/>
    <w:rsid w:val="009842AD"/>
    <w:rsid w:val="00992320"/>
    <w:rsid w:val="00993F46"/>
    <w:rsid w:val="00994ED5"/>
    <w:rsid w:val="00997358"/>
    <w:rsid w:val="009A452B"/>
    <w:rsid w:val="009A4FD4"/>
    <w:rsid w:val="009B03A4"/>
    <w:rsid w:val="009B050C"/>
    <w:rsid w:val="009B087F"/>
    <w:rsid w:val="009B2AF4"/>
    <w:rsid w:val="009B3426"/>
    <w:rsid w:val="009B6D16"/>
    <w:rsid w:val="009C110B"/>
    <w:rsid w:val="009C3F42"/>
    <w:rsid w:val="009C429F"/>
    <w:rsid w:val="009C4530"/>
    <w:rsid w:val="009C5441"/>
    <w:rsid w:val="009C616D"/>
    <w:rsid w:val="009D119F"/>
    <w:rsid w:val="009D49A2"/>
    <w:rsid w:val="009F3940"/>
    <w:rsid w:val="009F3EB2"/>
    <w:rsid w:val="009F4EFC"/>
    <w:rsid w:val="009F6EB1"/>
    <w:rsid w:val="00A03D0E"/>
    <w:rsid w:val="00A04E75"/>
    <w:rsid w:val="00A054A3"/>
    <w:rsid w:val="00A10E8F"/>
    <w:rsid w:val="00A11D05"/>
    <w:rsid w:val="00A13162"/>
    <w:rsid w:val="00A14059"/>
    <w:rsid w:val="00A20267"/>
    <w:rsid w:val="00A26BB0"/>
    <w:rsid w:val="00A3158C"/>
    <w:rsid w:val="00A32DF3"/>
    <w:rsid w:val="00A33E32"/>
    <w:rsid w:val="00A35220"/>
    <w:rsid w:val="00A35E20"/>
    <w:rsid w:val="00A360A9"/>
    <w:rsid w:val="00A366DF"/>
    <w:rsid w:val="00A36F6D"/>
    <w:rsid w:val="00A47140"/>
    <w:rsid w:val="00A50CA0"/>
    <w:rsid w:val="00A525CC"/>
    <w:rsid w:val="00A52D52"/>
    <w:rsid w:val="00A53E56"/>
    <w:rsid w:val="00A53E7C"/>
    <w:rsid w:val="00A547C2"/>
    <w:rsid w:val="00A60087"/>
    <w:rsid w:val="00A659CC"/>
    <w:rsid w:val="00A702B0"/>
    <w:rsid w:val="00A705E8"/>
    <w:rsid w:val="00A717A5"/>
    <w:rsid w:val="00A721F4"/>
    <w:rsid w:val="00A72E35"/>
    <w:rsid w:val="00A762D7"/>
    <w:rsid w:val="00A9392C"/>
    <w:rsid w:val="00A9462B"/>
    <w:rsid w:val="00A96A94"/>
    <w:rsid w:val="00A97D59"/>
    <w:rsid w:val="00AA01D3"/>
    <w:rsid w:val="00AA3E09"/>
    <w:rsid w:val="00AA4BEF"/>
    <w:rsid w:val="00AB006C"/>
    <w:rsid w:val="00AB07A7"/>
    <w:rsid w:val="00AB1659"/>
    <w:rsid w:val="00AB4962"/>
    <w:rsid w:val="00AB5CFD"/>
    <w:rsid w:val="00AB734E"/>
    <w:rsid w:val="00AB7387"/>
    <w:rsid w:val="00AB740F"/>
    <w:rsid w:val="00AC0E35"/>
    <w:rsid w:val="00AC231B"/>
    <w:rsid w:val="00AC6F14"/>
    <w:rsid w:val="00AC7221"/>
    <w:rsid w:val="00AD4677"/>
    <w:rsid w:val="00AD7A6D"/>
    <w:rsid w:val="00AE53AE"/>
    <w:rsid w:val="00AE5961"/>
    <w:rsid w:val="00AE7D7A"/>
    <w:rsid w:val="00AF0745"/>
    <w:rsid w:val="00AF384C"/>
    <w:rsid w:val="00AF4971"/>
    <w:rsid w:val="00AF5276"/>
    <w:rsid w:val="00AF7C86"/>
    <w:rsid w:val="00AF7E2A"/>
    <w:rsid w:val="00B01046"/>
    <w:rsid w:val="00B074EB"/>
    <w:rsid w:val="00B143A4"/>
    <w:rsid w:val="00B2566F"/>
    <w:rsid w:val="00B25F26"/>
    <w:rsid w:val="00B30A66"/>
    <w:rsid w:val="00B310F9"/>
    <w:rsid w:val="00B37866"/>
    <w:rsid w:val="00B412FB"/>
    <w:rsid w:val="00B42A61"/>
    <w:rsid w:val="00B4471A"/>
    <w:rsid w:val="00B44BBE"/>
    <w:rsid w:val="00B45036"/>
    <w:rsid w:val="00B4505D"/>
    <w:rsid w:val="00B4576B"/>
    <w:rsid w:val="00B46350"/>
    <w:rsid w:val="00B46DF3"/>
    <w:rsid w:val="00B5794F"/>
    <w:rsid w:val="00B648C7"/>
    <w:rsid w:val="00B668F2"/>
    <w:rsid w:val="00B66E8F"/>
    <w:rsid w:val="00B70493"/>
    <w:rsid w:val="00B707F4"/>
    <w:rsid w:val="00B72F69"/>
    <w:rsid w:val="00B80157"/>
    <w:rsid w:val="00B83D5E"/>
    <w:rsid w:val="00B8460A"/>
    <w:rsid w:val="00B8650D"/>
    <w:rsid w:val="00B879B4"/>
    <w:rsid w:val="00B90F07"/>
    <w:rsid w:val="00B93F52"/>
    <w:rsid w:val="00B9539D"/>
    <w:rsid w:val="00B95804"/>
    <w:rsid w:val="00B97BB9"/>
    <w:rsid w:val="00BA0009"/>
    <w:rsid w:val="00BA5191"/>
    <w:rsid w:val="00BB02B5"/>
    <w:rsid w:val="00BB1091"/>
    <w:rsid w:val="00BB1863"/>
    <w:rsid w:val="00BB25EE"/>
    <w:rsid w:val="00BB363A"/>
    <w:rsid w:val="00BB3D32"/>
    <w:rsid w:val="00BB5C15"/>
    <w:rsid w:val="00BB7B45"/>
    <w:rsid w:val="00BC019E"/>
    <w:rsid w:val="00BC10A0"/>
    <w:rsid w:val="00BC3647"/>
    <w:rsid w:val="00BC505F"/>
    <w:rsid w:val="00BC7BA2"/>
    <w:rsid w:val="00BD18C9"/>
    <w:rsid w:val="00BD1C8D"/>
    <w:rsid w:val="00BD426B"/>
    <w:rsid w:val="00BD79F0"/>
    <w:rsid w:val="00BE2B4D"/>
    <w:rsid w:val="00BE580B"/>
    <w:rsid w:val="00BE7AC0"/>
    <w:rsid w:val="00C015F8"/>
    <w:rsid w:val="00C02C2A"/>
    <w:rsid w:val="00C073F4"/>
    <w:rsid w:val="00C07E26"/>
    <w:rsid w:val="00C1011C"/>
    <w:rsid w:val="00C12F94"/>
    <w:rsid w:val="00C15D53"/>
    <w:rsid w:val="00C176D5"/>
    <w:rsid w:val="00C177C5"/>
    <w:rsid w:val="00C21E55"/>
    <w:rsid w:val="00C32BC4"/>
    <w:rsid w:val="00C34EC3"/>
    <w:rsid w:val="00C3516D"/>
    <w:rsid w:val="00C402C2"/>
    <w:rsid w:val="00C4038C"/>
    <w:rsid w:val="00C4044A"/>
    <w:rsid w:val="00C40616"/>
    <w:rsid w:val="00C42BA2"/>
    <w:rsid w:val="00C44066"/>
    <w:rsid w:val="00C44E13"/>
    <w:rsid w:val="00C47B53"/>
    <w:rsid w:val="00C50751"/>
    <w:rsid w:val="00C603FB"/>
    <w:rsid w:val="00C60A41"/>
    <w:rsid w:val="00C616E0"/>
    <w:rsid w:val="00C62DE8"/>
    <w:rsid w:val="00C62DFB"/>
    <w:rsid w:val="00C630E6"/>
    <w:rsid w:val="00C63812"/>
    <w:rsid w:val="00C63AD4"/>
    <w:rsid w:val="00C64AF3"/>
    <w:rsid w:val="00C65EDA"/>
    <w:rsid w:val="00C66F4D"/>
    <w:rsid w:val="00C67BB5"/>
    <w:rsid w:val="00C72713"/>
    <w:rsid w:val="00C7431C"/>
    <w:rsid w:val="00C7547F"/>
    <w:rsid w:val="00C848EF"/>
    <w:rsid w:val="00C86600"/>
    <w:rsid w:val="00C87BCA"/>
    <w:rsid w:val="00C87EED"/>
    <w:rsid w:val="00C91088"/>
    <w:rsid w:val="00C94506"/>
    <w:rsid w:val="00C94CD7"/>
    <w:rsid w:val="00C94F22"/>
    <w:rsid w:val="00C954BC"/>
    <w:rsid w:val="00C95A6E"/>
    <w:rsid w:val="00C96D56"/>
    <w:rsid w:val="00CA1F0B"/>
    <w:rsid w:val="00CA2734"/>
    <w:rsid w:val="00CA791C"/>
    <w:rsid w:val="00CB110F"/>
    <w:rsid w:val="00CB2A2E"/>
    <w:rsid w:val="00CB338A"/>
    <w:rsid w:val="00CB6482"/>
    <w:rsid w:val="00CB79C5"/>
    <w:rsid w:val="00CC1FE1"/>
    <w:rsid w:val="00CC411F"/>
    <w:rsid w:val="00CC4B75"/>
    <w:rsid w:val="00CC67D5"/>
    <w:rsid w:val="00CC732E"/>
    <w:rsid w:val="00CD2A98"/>
    <w:rsid w:val="00CD2FCD"/>
    <w:rsid w:val="00CD4B0A"/>
    <w:rsid w:val="00CD7207"/>
    <w:rsid w:val="00CD797E"/>
    <w:rsid w:val="00CE0422"/>
    <w:rsid w:val="00CE0DBE"/>
    <w:rsid w:val="00CE3099"/>
    <w:rsid w:val="00CE5E4D"/>
    <w:rsid w:val="00CE6959"/>
    <w:rsid w:val="00CF02C4"/>
    <w:rsid w:val="00CF167F"/>
    <w:rsid w:val="00CF3288"/>
    <w:rsid w:val="00CF4368"/>
    <w:rsid w:val="00CF72E5"/>
    <w:rsid w:val="00D013EE"/>
    <w:rsid w:val="00D01F54"/>
    <w:rsid w:val="00D040E3"/>
    <w:rsid w:val="00D040F7"/>
    <w:rsid w:val="00D04A76"/>
    <w:rsid w:val="00D07D9B"/>
    <w:rsid w:val="00D07E2B"/>
    <w:rsid w:val="00D10FC7"/>
    <w:rsid w:val="00D1519F"/>
    <w:rsid w:val="00D1703C"/>
    <w:rsid w:val="00D20E99"/>
    <w:rsid w:val="00D21C83"/>
    <w:rsid w:val="00D35BDD"/>
    <w:rsid w:val="00D372AD"/>
    <w:rsid w:val="00D44407"/>
    <w:rsid w:val="00D466A3"/>
    <w:rsid w:val="00D522E1"/>
    <w:rsid w:val="00D572B5"/>
    <w:rsid w:val="00D63006"/>
    <w:rsid w:val="00D72301"/>
    <w:rsid w:val="00D7458B"/>
    <w:rsid w:val="00D84EFC"/>
    <w:rsid w:val="00D87452"/>
    <w:rsid w:val="00D911DE"/>
    <w:rsid w:val="00D91B97"/>
    <w:rsid w:val="00D92260"/>
    <w:rsid w:val="00D93ACC"/>
    <w:rsid w:val="00D93C08"/>
    <w:rsid w:val="00D94C09"/>
    <w:rsid w:val="00D95787"/>
    <w:rsid w:val="00D95887"/>
    <w:rsid w:val="00D95DAC"/>
    <w:rsid w:val="00DA0B53"/>
    <w:rsid w:val="00DA3184"/>
    <w:rsid w:val="00DB1171"/>
    <w:rsid w:val="00DB1519"/>
    <w:rsid w:val="00DB2840"/>
    <w:rsid w:val="00DC03F5"/>
    <w:rsid w:val="00DC1BD3"/>
    <w:rsid w:val="00DC2C1A"/>
    <w:rsid w:val="00DC5CB9"/>
    <w:rsid w:val="00DC7136"/>
    <w:rsid w:val="00DD341C"/>
    <w:rsid w:val="00DD411A"/>
    <w:rsid w:val="00DD505B"/>
    <w:rsid w:val="00DD66B4"/>
    <w:rsid w:val="00DE1972"/>
    <w:rsid w:val="00DE27AB"/>
    <w:rsid w:val="00DE3253"/>
    <w:rsid w:val="00DE6745"/>
    <w:rsid w:val="00DE6D0D"/>
    <w:rsid w:val="00DF1F7F"/>
    <w:rsid w:val="00DF2AB3"/>
    <w:rsid w:val="00DF7250"/>
    <w:rsid w:val="00E00CAA"/>
    <w:rsid w:val="00E03EBF"/>
    <w:rsid w:val="00E05209"/>
    <w:rsid w:val="00E05AC1"/>
    <w:rsid w:val="00E076C0"/>
    <w:rsid w:val="00E11BCF"/>
    <w:rsid w:val="00E1344C"/>
    <w:rsid w:val="00E2258E"/>
    <w:rsid w:val="00E25DA3"/>
    <w:rsid w:val="00E260C2"/>
    <w:rsid w:val="00E2703D"/>
    <w:rsid w:val="00E3246C"/>
    <w:rsid w:val="00E32596"/>
    <w:rsid w:val="00E368F7"/>
    <w:rsid w:val="00E36EB8"/>
    <w:rsid w:val="00E37FB8"/>
    <w:rsid w:val="00E40B07"/>
    <w:rsid w:val="00E42326"/>
    <w:rsid w:val="00E43544"/>
    <w:rsid w:val="00E44D89"/>
    <w:rsid w:val="00E46423"/>
    <w:rsid w:val="00E477EA"/>
    <w:rsid w:val="00E47D36"/>
    <w:rsid w:val="00E520DD"/>
    <w:rsid w:val="00E53753"/>
    <w:rsid w:val="00E5425A"/>
    <w:rsid w:val="00E55807"/>
    <w:rsid w:val="00E6010F"/>
    <w:rsid w:val="00E63B14"/>
    <w:rsid w:val="00E65CA0"/>
    <w:rsid w:val="00E70D9F"/>
    <w:rsid w:val="00E73986"/>
    <w:rsid w:val="00E83810"/>
    <w:rsid w:val="00E83F92"/>
    <w:rsid w:val="00E86933"/>
    <w:rsid w:val="00E95C87"/>
    <w:rsid w:val="00E9605B"/>
    <w:rsid w:val="00E97298"/>
    <w:rsid w:val="00E97753"/>
    <w:rsid w:val="00EA0C51"/>
    <w:rsid w:val="00EA7DE7"/>
    <w:rsid w:val="00EB6C99"/>
    <w:rsid w:val="00EB7135"/>
    <w:rsid w:val="00EB7A8A"/>
    <w:rsid w:val="00EC28F4"/>
    <w:rsid w:val="00EC4260"/>
    <w:rsid w:val="00EC4B0B"/>
    <w:rsid w:val="00EC6766"/>
    <w:rsid w:val="00EC6FED"/>
    <w:rsid w:val="00EC7F3B"/>
    <w:rsid w:val="00ED5299"/>
    <w:rsid w:val="00EE237E"/>
    <w:rsid w:val="00EE3A64"/>
    <w:rsid w:val="00EE50E5"/>
    <w:rsid w:val="00EE75FF"/>
    <w:rsid w:val="00EF01CF"/>
    <w:rsid w:val="00F03590"/>
    <w:rsid w:val="00F03622"/>
    <w:rsid w:val="00F077FD"/>
    <w:rsid w:val="00F204F3"/>
    <w:rsid w:val="00F218AB"/>
    <w:rsid w:val="00F238B3"/>
    <w:rsid w:val="00F24E95"/>
    <w:rsid w:val="00F24FED"/>
    <w:rsid w:val="00F25586"/>
    <w:rsid w:val="00F258BE"/>
    <w:rsid w:val="00F2651D"/>
    <w:rsid w:val="00F27362"/>
    <w:rsid w:val="00F30CEC"/>
    <w:rsid w:val="00F31498"/>
    <w:rsid w:val="00F32FEF"/>
    <w:rsid w:val="00F34011"/>
    <w:rsid w:val="00F37F78"/>
    <w:rsid w:val="00F41B1C"/>
    <w:rsid w:val="00F42387"/>
    <w:rsid w:val="00F42E13"/>
    <w:rsid w:val="00F42F1C"/>
    <w:rsid w:val="00F43B44"/>
    <w:rsid w:val="00F440E5"/>
    <w:rsid w:val="00F448F6"/>
    <w:rsid w:val="00F52741"/>
    <w:rsid w:val="00F53D8A"/>
    <w:rsid w:val="00F56477"/>
    <w:rsid w:val="00F606D4"/>
    <w:rsid w:val="00F61FF9"/>
    <w:rsid w:val="00F626F7"/>
    <w:rsid w:val="00F6445D"/>
    <w:rsid w:val="00F64CAD"/>
    <w:rsid w:val="00F65EFB"/>
    <w:rsid w:val="00F736F9"/>
    <w:rsid w:val="00F73833"/>
    <w:rsid w:val="00F74FD4"/>
    <w:rsid w:val="00F9211C"/>
    <w:rsid w:val="00F92994"/>
    <w:rsid w:val="00F94B72"/>
    <w:rsid w:val="00FA095D"/>
    <w:rsid w:val="00FA0DFF"/>
    <w:rsid w:val="00FA67C6"/>
    <w:rsid w:val="00FA6C8B"/>
    <w:rsid w:val="00FA6CDA"/>
    <w:rsid w:val="00FA7C89"/>
    <w:rsid w:val="00FB4139"/>
    <w:rsid w:val="00FB476E"/>
    <w:rsid w:val="00FB54B0"/>
    <w:rsid w:val="00FC0D90"/>
    <w:rsid w:val="00FC7D8C"/>
    <w:rsid w:val="00FD04D5"/>
    <w:rsid w:val="00FD2732"/>
    <w:rsid w:val="00FD3980"/>
    <w:rsid w:val="00FD431E"/>
    <w:rsid w:val="00FD5A2C"/>
    <w:rsid w:val="00FD6C5A"/>
    <w:rsid w:val="00FE0D47"/>
    <w:rsid w:val="00FE1D5C"/>
    <w:rsid w:val="00FE2F8B"/>
    <w:rsid w:val="00FE3669"/>
    <w:rsid w:val="00FE5204"/>
    <w:rsid w:val="00FE699B"/>
    <w:rsid w:val="00FF1BBD"/>
    <w:rsid w:val="00FF1D53"/>
    <w:rsid w:val="00FF287F"/>
    <w:rsid w:val="00FF74A8"/>
    <w:rsid w:val="1BD76674"/>
    <w:rsid w:val="1F0D6478"/>
    <w:rsid w:val="25A1FBDD"/>
    <w:rsid w:val="55042092"/>
    <w:rsid w:val="58FEA9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C0B37DB6-523B-4CB3-8A7F-0F64AAD3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167D9C"/>
    <w:rPr>
      <w:color w:val="605E5C"/>
      <w:shd w:val="clear" w:color="auto" w:fill="E1DFDD"/>
    </w:rPr>
  </w:style>
  <w:style w:type="paragraph" w:customStyle="1" w:styleId="CEONormal">
    <w:name w:val="CEO_Normal"/>
    <w:link w:val="CEONormalChar"/>
    <w:rsid w:val="00CE3099"/>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CE3099"/>
    <w:rPr>
      <w:rFonts w:ascii="Verdana" w:eastAsia="SimHei" w:hAnsi="Verdana" w:cs="Simplified Arabic"/>
      <w:sz w:val="19"/>
      <w:szCs w:val="28"/>
      <w:lang w:val="en-GB" w:eastAsia="en-US"/>
    </w:rPr>
  </w:style>
  <w:style w:type="paragraph" w:styleId="Revision">
    <w:name w:val="Revision"/>
    <w:hidden/>
    <w:uiPriority w:val="99"/>
    <w:semiHidden/>
    <w:rsid w:val="00595DF4"/>
    <w:rPr>
      <w:rFonts w:asciiTheme="minorHAnsi" w:hAnsiTheme="minorHAnsi"/>
      <w:sz w:val="24"/>
      <w:lang w:val="en-GB" w:eastAsia="en-US"/>
    </w:rPr>
  </w:style>
  <w:style w:type="character" w:customStyle="1" w:styleId="normaltextrun">
    <w:name w:val="normaltextrun"/>
    <w:basedOn w:val="DefaultParagraphFont"/>
    <w:rsid w:val="00E53753"/>
  </w:style>
  <w:style w:type="character" w:customStyle="1" w:styleId="superscript">
    <w:name w:val="superscript"/>
    <w:basedOn w:val="DefaultParagraphFont"/>
    <w:rsid w:val="00E53753"/>
  </w:style>
  <w:style w:type="character" w:customStyle="1" w:styleId="ListParagraphChar">
    <w:name w:val="List Paragraph Char"/>
    <w:link w:val="ListParagraph"/>
    <w:uiPriority w:val="34"/>
    <w:locked/>
    <w:rsid w:val="00100065"/>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893703">
      <w:bodyDiv w:val="1"/>
      <w:marLeft w:val="0"/>
      <w:marRight w:val="0"/>
      <w:marTop w:val="0"/>
      <w:marBottom w:val="0"/>
      <w:divBdr>
        <w:top w:val="none" w:sz="0" w:space="0" w:color="auto"/>
        <w:left w:val="none" w:sz="0" w:space="0" w:color="auto"/>
        <w:bottom w:val="none" w:sz="0" w:space="0" w:color="auto"/>
        <w:right w:val="none" w:sz="0" w:space="0" w:color="auto"/>
      </w:divBdr>
    </w:div>
    <w:div w:id="497117259">
      <w:bodyDiv w:val="1"/>
      <w:marLeft w:val="0"/>
      <w:marRight w:val="0"/>
      <w:marTop w:val="0"/>
      <w:marBottom w:val="0"/>
      <w:divBdr>
        <w:top w:val="none" w:sz="0" w:space="0" w:color="auto"/>
        <w:left w:val="none" w:sz="0" w:space="0" w:color="auto"/>
        <w:bottom w:val="none" w:sz="0" w:space="0" w:color="auto"/>
        <w:right w:val="none" w:sz="0" w:space="0" w:color="auto"/>
      </w:divBdr>
    </w:div>
    <w:div w:id="778180983">
      <w:bodyDiv w:val="1"/>
      <w:marLeft w:val="0"/>
      <w:marRight w:val="0"/>
      <w:marTop w:val="0"/>
      <w:marBottom w:val="0"/>
      <w:divBdr>
        <w:top w:val="none" w:sz="0" w:space="0" w:color="auto"/>
        <w:left w:val="none" w:sz="0" w:space="0" w:color="auto"/>
        <w:bottom w:val="none" w:sz="0" w:space="0" w:color="auto"/>
        <w:right w:val="none" w:sz="0" w:space="0" w:color="auto"/>
      </w:divBdr>
    </w:div>
    <w:div w:id="1192567113">
      <w:bodyDiv w:val="1"/>
      <w:marLeft w:val="0"/>
      <w:marRight w:val="0"/>
      <w:marTop w:val="0"/>
      <w:marBottom w:val="0"/>
      <w:divBdr>
        <w:top w:val="none" w:sz="0" w:space="0" w:color="auto"/>
        <w:left w:val="none" w:sz="0" w:space="0" w:color="auto"/>
        <w:bottom w:val="none" w:sz="0" w:space="0" w:color="auto"/>
        <w:right w:val="none" w:sz="0" w:space="0" w:color="auto"/>
      </w:divBdr>
    </w:div>
    <w:div w:id="1854999303">
      <w:bodyDiv w:val="1"/>
      <w:marLeft w:val="0"/>
      <w:marRight w:val="0"/>
      <w:marTop w:val="0"/>
      <w:marBottom w:val="0"/>
      <w:divBdr>
        <w:top w:val="none" w:sz="0" w:space="0" w:color="auto"/>
        <w:left w:val="none" w:sz="0" w:space="0" w:color="auto"/>
        <w:bottom w:val="none" w:sz="0" w:space="0" w:color="auto"/>
        <w:right w:val="none" w:sz="0" w:space="0" w:color="auto"/>
      </w:divBdr>
    </w:div>
    <w:div w:id="21403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meetingdoc.asp?lang=en&amp;parent=D22-TDAG.ICG.GYS-C-0003" TargetMode="External"/><Relationship Id="rId18" Type="http://schemas.openxmlformats.org/officeDocument/2006/relationships/hyperlink" Target="https://www.itu.int/dms_pub/itu-d/md/22/tdag.icg.gys/c/D22-TDAG.ICG.GYS-C-0004!R1!MSW-E.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tu.int/md/meetingdoc.asp?lang=en&amp;parent=D22-TDAG.ICG.GYS-C-0002" TargetMode="External"/><Relationship Id="rId17" Type="http://schemas.openxmlformats.org/officeDocument/2006/relationships/hyperlink" Target="https://www.itu.int/md/meetingdoc.asp?lang=en&amp;parent=D22-TDAG.ICG.GYS-C-0003" TargetMode="External"/><Relationship Id="rId2" Type="http://schemas.openxmlformats.org/officeDocument/2006/relationships/customXml" Target="../customXml/item2.xml"/><Relationship Id="rId16" Type="http://schemas.openxmlformats.org/officeDocument/2006/relationships/hyperlink" Target="https://www.itu.int/md/meetingdoc.asp?lang=en&amp;parent=D22-TDAG.ICG.GYS-C-00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meetingdoc.asp?lang=en&amp;parent=D22-TDAG.ICG.GYS-C-0001" TargetMode="External"/><Relationship Id="rId5" Type="http://schemas.openxmlformats.org/officeDocument/2006/relationships/styles" Target="styles.xml"/><Relationship Id="rId15" Type="http://schemas.openxmlformats.org/officeDocument/2006/relationships/hyperlink" Target="https://www.itu.int/md/meetingdoc.asp?lang=en&amp;parent=D22-TDAG.ICG.GYS-C-0001"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dms_pub/itu-d/md/22/tdag.icg.gys/c/D22-TDAG.ICG.GYS-C-0004!R1!MSW-E.doc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rizioagusti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2.xml><?xml version="1.0" encoding="utf-8"?>
<ds:datastoreItem xmlns:ds="http://schemas.openxmlformats.org/officeDocument/2006/customXml" ds:itemID="{0617E243-CB01-4DD2-9601-80AA209EE04B}">
  <ds:schemaRefs>
    <ds:schemaRef ds:uri="http://schemas.microsoft.com/sharepoint/v3/contenttype/forms"/>
  </ds:schemaRefs>
</ds:datastoreItem>
</file>

<file path=customXml/itemProps3.xml><?xml version="1.0" encoding="utf-8"?>
<ds:datastoreItem xmlns:ds="http://schemas.openxmlformats.org/officeDocument/2006/customXml" ds:itemID="{B53EAE31-7CC5-4472-8DEE-393CFC1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1991</Words>
  <Characters>12011</Characters>
  <Application>Microsoft Office Word</Application>
  <DocSecurity>0</DocSecurity>
  <Lines>100</Lines>
  <Paragraphs>27</Paragraphs>
  <ScaleCrop>false</ScaleCrop>
  <Manager>General Secretariat - Pool</Manager>
  <Company>International Telecommunication Union (ITU)</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Delmas, Nathalie</cp:lastModifiedBy>
  <cp:revision>297</cp:revision>
  <cp:lastPrinted>2014-11-04T09:22:00Z</cp:lastPrinted>
  <dcterms:created xsi:type="dcterms:W3CDTF">2024-09-19T15:19:00Z</dcterms:created>
  <dcterms:modified xsi:type="dcterms:W3CDTF">2024-10-07T12:29:00Z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