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1D5CC03B">
        <w:trPr>
          <w:cantSplit/>
          <w:trHeight w:val="1134"/>
        </w:trPr>
        <w:tc>
          <w:tcPr>
            <w:tcW w:w="6379" w:type="dxa"/>
          </w:tcPr>
          <w:p w14:paraId="50C51B23" w14:textId="77777777" w:rsidR="003847AA" w:rsidRPr="006D4EA0" w:rsidRDefault="003847AA" w:rsidP="003847AA">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34AEEE86" w:rsidR="00307769" w:rsidRPr="006D4EA0" w:rsidRDefault="003847AA" w:rsidP="003847AA">
            <w:pPr>
              <w:tabs>
                <w:tab w:val="clear" w:pos="1191"/>
                <w:tab w:val="clear" w:pos="1588"/>
                <w:tab w:val="clear" w:pos="1985"/>
              </w:tabs>
              <w:spacing w:after="120"/>
              <w:ind w:left="34"/>
              <w:rPr>
                <w:rFonts w:ascii="Verdana" w:hAnsi="Verdana"/>
                <w:sz w:val="28"/>
                <w:szCs w:val="28"/>
              </w:rPr>
            </w:pPr>
            <w:r w:rsidRPr="006D4EA0">
              <w:rPr>
                <w:b/>
                <w:bCs/>
                <w:sz w:val="26"/>
                <w:szCs w:val="26"/>
              </w:rPr>
              <w:t xml:space="preserve">Virtual, </w:t>
            </w:r>
            <w:r>
              <w:rPr>
                <w:b/>
                <w:bCs/>
                <w:sz w:val="26"/>
                <w:szCs w:val="26"/>
              </w:rPr>
              <w:t>23</w:t>
            </w:r>
            <w:r w:rsidRPr="006D4EA0">
              <w:rPr>
                <w:b/>
                <w:bCs/>
                <w:sz w:val="26"/>
                <w:szCs w:val="26"/>
              </w:rPr>
              <w:t xml:space="preserve"> </w:t>
            </w:r>
            <w:r>
              <w:rPr>
                <w:b/>
                <w:bCs/>
                <w:sz w:val="26"/>
                <w:szCs w:val="26"/>
              </w:rPr>
              <w:t>January</w:t>
            </w:r>
            <w:r w:rsidRPr="006D4EA0">
              <w:rPr>
                <w:b/>
                <w:bCs/>
                <w:sz w:val="26"/>
                <w:szCs w:val="26"/>
              </w:rPr>
              <w:t xml:space="preserve"> 202</w:t>
            </w:r>
            <w:r>
              <w:rPr>
                <w:b/>
                <w:bCs/>
                <w:sz w:val="26"/>
                <w:szCs w:val="26"/>
              </w:rPr>
              <w:t>5</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1D5CC03B">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683C32" w:rsidRPr="004B472B" w14:paraId="0BB3FBC4" w14:textId="77777777" w:rsidTr="1D5CC03B">
        <w:trPr>
          <w:cantSplit/>
        </w:trPr>
        <w:tc>
          <w:tcPr>
            <w:tcW w:w="6379" w:type="dxa"/>
          </w:tcPr>
          <w:p w14:paraId="43C54B3D" w14:textId="77777777" w:rsidR="00683C32" w:rsidRPr="006D4EA0" w:rsidRDefault="00683C32" w:rsidP="13044B26">
            <w:pPr>
              <w:pStyle w:val="Committee"/>
              <w:spacing w:before="0"/>
              <w:rPr>
                <w:b w:val="0"/>
              </w:rPr>
            </w:pPr>
          </w:p>
        </w:tc>
        <w:tc>
          <w:tcPr>
            <w:tcW w:w="3509" w:type="dxa"/>
          </w:tcPr>
          <w:p w14:paraId="02E44EE9" w14:textId="5B95B0C4" w:rsidR="00683C32" w:rsidRPr="00B90BBE" w:rsidRDefault="0096201B" w:rsidP="13044B26">
            <w:pPr>
              <w:spacing w:before="0"/>
              <w:jc w:val="both"/>
              <w:rPr>
                <w:lang w:val="it-IT"/>
              </w:rPr>
            </w:pPr>
            <w:r w:rsidRPr="00B90BBE">
              <w:rPr>
                <w:b/>
                <w:bCs/>
                <w:lang w:val="it-IT"/>
              </w:rPr>
              <w:t xml:space="preserve">Document </w:t>
            </w:r>
            <w:bookmarkStart w:id="0" w:name="DocRef1"/>
            <w:bookmarkEnd w:id="0"/>
            <w:r w:rsidR="00566BDC" w:rsidRPr="00B90BBE">
              <w:rPr>
                <w:b/>
                <w:bCs/>
                <w:lang w:val="it-IT"/>
              </w:rPr>
              <w:t>TDAG-</w:t>
            </w:r>
            <w:r w:rsidR="002B724C" w:rsidRPr="00B90BBE">
              <w:rPr>
                <w:b/>
                <w:bCs/>
                <w:lang w:val="it-IT"/>
              </w:rPr>
              <w:t>Extra</w:t>
            </w:r>
            <w:r w:rsidR="00566BDC" w:rsidRPr="00B90BBE">
              <w:rPr>
                <w:b/>
                <w:bCs/>
                <w:lang w:val="it-IT"/>
              </w:rPr>
              <w:t>/</w:t>
            </w:r>
            <w:r w:rsidR="004B472B">
              <w:rPr>
                <w:b/>
                <w:bCs/>
                <w:lang w:val="it-IT"/>
              </w:rPr>
              <w:t>2</w:t>
            </w:r>
            <w:r w:rsidRPr="00B90BBE">
              <w:rPr>
                <w:b/>
                <w:bCs/>
                <w:lang w:val="it-IT"/>
              </w:rPr>
              <w:t>-E</w:t>
            </w:r>
          </w:p>
        </w:tc>
      </w:tr>
      <w:tr w:rsidR="00683C32" w:rsidRPr="006D4EA0" w14:paraId="24D04936" w14:textId="77777777" w:rsidTr="1D5CC03B">
        <w:trPr>
          <w:cantSplit/>
        </w:trPr>
        <w:tc>
          <w:tcPr>
            <w:tcW w:w="6379" w:type="dxa"/>
          </w:tcPr>
          <w:p w14:paraId="12CE4DBF" w14:textId="77777777" w:rsidR="00683C32" w:rsidRPr="00B90BBE" w:rsidRDefault="00683C32" w:rsidP="13044B26">
            <w:pPr>
              <w:spacing w:before="0"/>
              <w:rPr>
                <w:b/>
                <w:bCs/>
                <w:smallCaps/>
                <w:lang w:val="it-IT"/>
              </w:rPr>
            </w:pPr>
          </w:p>
        </w:tc>
        <w:tc>
          <w:tcPr>
            <w:tcW w:w="3509" w:type="dxa"/>
          </w:tcPr>
          <w:p w14:paraId="0F89640F" w14:textId="6DAD1E15" w:rsidR="00683C32" w:rsidRPr="006D4EA0" w:rsidRDefault="003847AA" w:rsidP="13044B26">
            <w:pPr>
              <w:spacing w:before="0"/>
              <w:rPr>
                <w:b/>
                <w:bCs/>
              </w:rPr>
            </w:pPr>
            <w:bookmarkStart w:id="1" w:name="CreationDate"/>
            <w:bookmarkEnd w:id="1"/>
            <w:r>
              <w:rPr>
                <w:b/>
                <w:bCs/>
              </w:rPr>
              <w:t>13 December 2024</w:t>
            </w:r>
          </w:p>
        </w:tc>
      </w:tr>
      <w:tr w:rsidR="00683C32" w:rsidRPr="006D4EA0" w14:paraId="7B96545F" w14:textId="77777777" w:rsidTr="1D5CC03B">
        <w:trPr>
          <w:cantSplit/>
        </w:trPr>
        <w:tc>
          <w:tcPr>
            <w:tcW w:w="6379" w:type="dxa"/>
          </w:tcPr>
          <w:p w14:paraId="65956FD3" w14:textId="77777777" w:rsidR="00683C32" w:rsidRPr="006D4EA0" w:rsidRDefault="00683C32" w:rsidP="00400CCF">
            <w:pPr>
              <w:spacing w:before="0"/>
              <w:rPr>
                <w:b/>
                <w:bCs/>
                <w:smallCaps/>
                <w:szCs w:val="24"/>
              </w:rPr>
            </w:pPr>
          </w:p>
        </w:tc>
        <w:tc>
          <w:tcPr>
            <w:tcW w:w="3509" w:type="dxa"/>
          </w:tcPr>
          <w:p w14:paraId="30EFD39F" w14:textId="30763F1D" w:rsidR="00514D2F" w:rsidRPr="006D4EA0" w:rsidRDefault="00AD4677" w:rsidP="00400CCF">
            <w:pPr>
              <w:spacing w:before="0"/>
              <w:rPr>
                <w:szCs w:val="24"/>
              </w:rPr>
            </w:pPr>
            <w:bookmarkStart w:id="2" w:name="Original"/>
            <w:bookmarkEnd w:id="2"/>
            <w:r w:rsidRPr="006D4EA0">
              <w:rPr>
                <w:b/>
              </w:rPr>
              <w:t>English</w:t>
            </w:r>
            <w:r w:rsidR="00566BDC" w:rsidRPr="006D4EA0">
              <w:rPr>
                <w:b/>
              </w:rPr>
              <w:t xml:space="preserve"> only</w:t>
            </w:r>
          </w:p>
        </w:tc>
      </w:tr>
      <w:tr w:rsidR="002F48C5" w:rsidRPr="006D4EA0" w14:paraId="31656E31" w14:textId="77777777" w:rsidTr="1D5CC03B">
        <w:trPr>
          <w:cantSplit/>
          <w:trHeight w:val="852"/>
        </w:trPr>
        <w:tc>
          <w:tcPr>
            <w:tcW w:w="9888" w:type="dxa"/>
            <w:gridSpan w:val="2"/>
          </w:tcPr>
          <w:p w14:paraId="512FCA01" w14:textId="4948B99B" w:rsidR="002F48C5" w:rsidRPr="006D4EA0" w:rsidRDefault="002F48C5" w:rsidP="002F48C5">
            <w:pPr>
              <w:pStyle w:val="Source"/>
            </w:pPr>
            <w:bookmarkStart w:id="3" w:name="Source"/>
            <w:bookmarkEnd w:id="3"/>
            <w:r>
              <w:t xml:space="preserve">Chair, </w:t>
            </w:r>
            <w:r w:rsidRPr="00B90BBE">
              <w:t>TDAG-</w:t>
            </w:r>
            <w:r w:rsidR="1D47DAD7" w:rsidRPr="00B90BBE">
              <w:t>ICG</w:t>
            </w:r>
            <w:r w:rsidRPr="00B90BBE">
              <w:t>-</w:t>
            </w:r>
            <w:r w:rsidR="48860CAF" w:rsidRPr="00B90BBE">
              <w:t>GYS</w:t>
            </w:r>
          </w:p>
        </w:tc>
      </w:tr>
      <w:tr w:rsidR="002F48C5" w:rsidRPr="006D4EA0" w14:paraId="2CBD3A36" w14:textId="77777777" w:rsidTr="1D5CC03B">
        <w:trPr>
          <w:cantSplit/>
        </w:trPr>
        <w:tc>
          <w:tcPr>
            <w:tcW w:w="9888" w:type="dxa"/>
            <w:gridSpan w:val="2"/>
          </w:tcPr>
          <w:p w14:paraId="1B4121DF" w14:textId="059ACCE9" w:rsidR="002F48C5" w:rsidRPr="006D4EA0" w:rsidRDefault="002F48C5" w:rsidP="002F48C5">
            <w:pPr>
              <w:pStyle w:val="Title1"/>
              <w:rPr>
                <w:rFonts w:cs="Times New Roman"/>
                <w:bCs/>
              </w:rPr>
            </w:pPr>
            <w:bookmarkStart w:id="4" w:name="Title"/>
            <w:bookmarkEnd w:id="4"/>
            <w:r w:rsidRPr="00040299">
              <w:rPr>
                <w:rFonts w:cs="Times New Roman"/>
                <w:bCs/>
                <w:szCs w:val="28"/>
              </w:rPr>
              <w:t xml:space="preserve">Report </w:t>
            </w:r>
            <w:r>
              <w:rPr>
                <w:rFonts w:cs="Times New Roman"/>
                <w:bCs/>
                <w:szCs w:val="28"/>
              </w:rPr>
              <w:t>on progress of the</w:t>
            </w:r>
            <w:r>
              <w:t xml:space="preserve"> </w:t>
            </w:r>
            <w:r w:rsidRPr="00750D53">
              <w:rPr>
                <w:rFonts w:cs="Times New Roman"/>
                <w:bCs/>
                <w:szCs w:val="28"/>
              </w:rPr>
              <w:t xml:space="preserve">TDAG </w:t>
            </w:r>
            <w:r w:rsidR="002D18F4">
              <w:rPr>
                <w:rFonts w:cs="Times New Roman"/>
                <w:bCs/>
                <w:szCs w:val="28"/>
              </w:rPr>
              <w:t>Informal Coordination Group on the ITU Global Youth Summit 2025 and Global Youth Celebration (TDAG-ICG-GYS)</w:t>
            </w:r>
          </w:p>
        </w:tc>
      </w:tr>
      <w:tr w:rsidR="00A721F4" w:rsidRPr="006D4EA0" w14:paraId="23A30231" w14:textId="77777777" w:rsidTr="1D5CC03B">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D5CC03B">
        <w:trPr>
          <w:cantSplit/>
        </w:trPr>
        <w:tc>
          <w:tcPr>
            <w:tcW w:w="9888" w:type="dxa"/>
            <w:gridSpan w:val="2"/>
            <w:tcBorders>
              <w:top w:val="single" w:sz="4" w:space="0" w:color="auto"/>
              <w:left w:val="single" w:sz="4" w:space="0" w:color="auto"/>
              <w:bottom w:val="single" w:sz="4" w:space="0" w:color="auto"/>
              <w:right w:val="single" w:sz="4" w:space="0" w:color="auto"/>
            </w:tcBorders>
          </w:tcPr>
          <w:p w14:paraId="03876B07" w14:textId="5537B47D" w:rsidR="359E4A02" w:rsidRDefault="359E4A02" w:rsidP="1D5CC03B">
            <w:pPr>
              <w:spacing w:after="120"/>
              <w:rPr>
                <w:b/>
                <w:bCs/>
              </w:rPr>
            </w:pPr>
            <w:r w:rsidRPr="1D5CC03B">
              <w:rPr>
                <w:b/>
                <w:bCs/>
              </w:rPr>
              <w:t>Agenda item:</w:t>
            </w:r>
          </w:p>
          <w:p w14:paraId="740605D0" w14:textId="54FBB171" w:rsidR="359E4A02" w:rsidRDefault="359E4A02" w:rsidP="1D5CC03B">
            <w:pPr>
              <w:spacing w:after="120"/>
            </w:pPr>
            <w:r>
              <w:t>Item 2</w:t>
            </w:r>
          </w:p>
          <w:p w14:paraId="0035D82C" w14:textId="77777777" w:rsidR="00886F1F" w:rsidRPr="00D9621A" w:rsidRDefault="00886F1F" w:rsidP="00B431BF">
            <w:pPr>
              <w:spacing w:after="120"/>
              <w:rPr>
                <w:b/>
                <w:bCs/>
                <w:szCs w:val="24"/>
              </w:rPr>
            </w:pPr>
            <w:r w:rsidRPr="00D9621A">
              <w:rPr>
                <w:b/>
                <w:bCs/>
                <w:szCs w:val="24"/>
              </w:rPr>
              <w:t>Summary:</w:t>
            </w:r>
          </w:p>
          <w:p w14:paraId="2CB2BAB2" w14:textId="0A907438" w:rsidR="00886F1F" w:rsidRPr="00D9621A" w:rsidRDefault="00045F6B" w:rsidP="00B431BF">
            <w:pPr>
              <w:spacing w:after="120"/>
              <w:rPr>
                <w:szCs w:val="24"/>
              </w:rPr>
            </w:pPr>
            <w:r>
              <w:t xml:space="preserve">The document contains a summary of discussions and an update on </w:t>
            </w:r>
            <w:r w:rsidR="002D18F4">
              <w:t xml:space="preserve">the </w:t>
            </w:r>
            <w:r>
              <w:t>progress of the Group.</w:t>
            </w:r>
          </w:p>
          <w:p w14:paraId="5FB106AC" w14:textId="77777777" w:rsidR="00886F1F" w:rsidRPr="00D9621A" w:rsidRDefault="00886F1F" w:rsidP="00B431BF">
            <w:pPr>
              <w:spacing w:after="120"/>
              <w:rPr>
                <w:b/>
                <w:bCs/>
                <w:szCs w:val="24"/>
              </w:rPr>
            </w:pPr>
            <w:r w:rsidRPr="005E090D">
              <w:rPr>
                <w:b/>
                <w:bCs/>
              </w:rPr>
              <w:t>Action required:</w:t>
            </w:r>
          </w:p>
          <w:p w14:paraId="2559CBB4" w14:textId="3B09DBBE" w:rsidR="00886F1F" w:rsidRPr="00D9621A" w:rsidRDefault="00045F6B" w:rsidP="00B431BF">
            <w:pPr>
              <w:spacing w:after="120"/>
              <w:rPr>
                <w:szCs w:val="24"/>
              </w:rPr>
            </w:pPr>
            <w:r>
              <w:t>For information.</w:t>
            </w:r>
          </w:p>
          <w:p w14:paraId="00E87C5B" w14:textId="77777777" w:rsidR="00886F1F" w:rsidRPr="00D9621A" w:rsidRDefault="00886F1F" w:rsidP="00B431BF">
            <w:pPr>
              <w:spacing w:after="120"/>
              <w:rPr>
                <w:b/>
                <w:bCs/>
                <w:szCs w:val="24"/>
              </w:rPr>
            </w:pPr>
            <w:r w:rsidRPr="00D9621A">
              <w:rPr>
                <w:b/>
                <w:bCs/>
                <w:szCs w:val="24"/>
              </w:rPr>
              <w:t>References:</w:t>
            </w:r>
          </w:p>
          <w:p w14:paraId="14052E37" w14:textId="78A98348" w:rsidR="00556E1C" w:rsidRPr="00B431BF" w:rsidRDefault="00045F6B" w:rsidP="00B431BF">
            <w:pPr>
              <w:pStyle w:val="ListParagraph"/>
              <w:numPr>
                <w:ilvl w:val="0"/>
                <w:numId w:val="17"/>
              </w:numPr>
              <w:spacing w:after="120"/>
              <w:contextualSpacing w:val="0"/>
              <w:rPr>
                <w:rStyle w:val="Hyperlink"/>
                <w:color w:val="auto"/>
              </w:rPr>
            </w:pPr>
            <w:r>
              <w:t>Report of the first meeting of the TDAG</w:t>
            </w:r>
            <w:r w:rsidR="002D18F4">
              <w:t>-ICG-GYS</w:t>
            </w:r>
            <w:r w:rsidR="3BA7861F">
              <w:t>:</w:t>
            </w:r>
            <w:r>
              <w:t xml:space="preserve"> </w:t>
            </w:r>
            <w:hyperlink r:id="rId12" w:history="1">
              <w:r w:rsidR="00591480" w:rsidRPr="00B90BBE">
                <w:rPr>
                  <w:rStyle w:val="Hyperlink"/>
                </w:rPr>
                <w:t>TDAG-ICG-GYS/5</w:t>
              </w:r>
            </w:hyperlink>
          </w:p>
          <w:p w14:paraId="41C53AE2" w14:textId="53645F56" w:rsidR="00556E1C" w:rsidRDefault="00383ABB" w:rsidP="00B431BF">
            <w:pPr>
              <w:pStyle w:val="ListParagraph"/>
              <w:numPr>
                <w:ilvl w:val="0"/>
                <w:numId w:val="17"/>
              </w:numPr>
              <w:spacing w:after="120"/>
              <w:contextualSpacing w:val="0"/>
            </w:pPr>
            <w:r w:rsidRPr="00705168">
              <w:t>Report of the second meeting of the TDAG-</w:t>
            </w:r>
            <w:r w:rsidRPr="008A382A">
              <w:t xml:space="preserve">ICG-GYS: </w:t>
            </w:r>
            <w:hyperlink r:id="rId13" w:history="1">
              <w:r w:rsidR="00AB3193" w:rsidRPr="008A382A">
                <w:rPr>
                  <w:rStyle w:val="Hyperlink"/>
                </w:rPr>
                <w:t>TDAG-ICG-GYS/</w:t>
              </w:r>
              <w:r w:rsidR="008A382A" w:rsidRPr="008A382A">
                <w:rPr>
                  <w:rStyle w:val="Hyperlink"/>
                </w:rPr>
                <w:t>8</w:t>
              </w:r>
            </w:hyperlink>
          </w:p>
          <w:p w14:paraId="4BF786D7" w14:textId="1E8DFE57" w:rsidR="00556E1C" w:rsidRDefault="00C60D8B" w:rsidP="00B431BF">
            <w:pPr>
              <w:pStyle w:val="ListParagraph"/>
              <w:numPr>
                <w:ilvl w:val="0"/>
                <w:numId w:val="17"/>
              </w:numPr>
              <w:spacing w:after="120"/>
              <w:contextualSpacing w:val="0"/>
            </w:pPr>
            <w:r w:rsidRPr="00B431BF">
              <w:rPr>
                <w:rFonts w:cstheme="minorBidi"/>
                <w:color w:val="212121"/>
              </w:rPr>
              <w:t>Summary Report on the Regional Consultations held with Generation Connect Youth Envoys (GCYE) towards the ITU Global Youth Summit (GYS-25) and its Annexes:</w:t>
            </w:r>
            <w:r w:rsidR="00705168" w:rsidRPr="00B431BF">
              <w:rPr>
                <w:rFonts w:cstheme="minorBidi"/>
                <w:color w:val="212121"/>
              </w:rPr>
              <w:t xml:space="preserve"> </w:t>
            </w:r>
            <w:hyperlink r:id="rId14" w:history="1">
              <w:r w:rsidR="004006AD" w:rsidRPr="00B431BF">
                <w:rPr>
                  <w:rStyle w:val="Hyperlink"/>
                  <w:rFonts w:cstheme="minorBidi"/>
                </w:rPr>
                <w:t>See documents</w:t>
              </w:r>
            </w:hyperlink>
            <w:r w:rsidR="0039712A">
              <w:t xml:space="preserve"> </w:t>
            </w:r>
          </w:p>
          <w:p w14:paraId="1ECDD20E" w14:textId="0953D4FE" w:rsidR="006B0D3F" w:rsidRPr="006D4EA0" w:rsidRDefault="00A87012" w:rsidP="00B431BF">
            <w:pPr>
              <w:pStyle w:val="ListParagraph"/>
              <w:numPr>
                <w:ilvl w:val="0"/>
                <w:numId w:val="17"/>
              </w:numPr>
              <w:spacing w:after="120"/>
              <w:contextualSpacing w:val="0"/>
            </w:pPr>
            <w:r w:rsidRPr="00B431BF">
              <w:rPr>
                <w:rFonts w:cstheme="minorBidi"/>
                <w:color w:val="212121"/>
              </w:rPr>
              <w:t xml:space="preserve">Proposed calendar of meetings and Chair rotation: </w:t>
            </w:r>
            <w:hyperlink r:id="rId15" w:history="1">
              <w:r w:rsidR="00705168" w:rsidRPr="00B431BF">
                <w:rPr>
                  <w:rStyle w:val="Hyperlink"/>
                  <w:rFonts w:cstheme="minorBidi"/>
                </w:rPr>
                <w:t>TDAG-ICG-GYS/3</w:t>
              </w:r>
            </w:hyperlink>
          </w:p>
        </w:tc>
      </w:tr>
    </w:tbl>
    <w:p w14:paraId="72F5CF96" w14:textId="77777777" w:rsidR="00923CF1"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A12E4AE" w14:textId="170C2C1B" w:rsidR="00AA033B" w:rsidRPr="00196D57" w:rsidRDefault="00045F6B" w:rsidP="00355CC8">
      <w:pPr>
        <w:pStyle w:val="ListParagraph"/>
        <w:numPr>
          <w:ilvl w:val="0"/>
          <w:numId w:val="2"/>
        </w:numPr>
        <w:spacing w:after="120"/>
        <w:contextualSpacing w:val="0"/>
        <w:rPr>
          <w:b/>
          <w:bCs/>
        </w:rPr>
      </w:pPr>
      <w:r w:rsidRPr="13044B26">
        <w:rPr>
          <w:b/>
          <w:bCs/>
        </w:rPr>
        <w:lastRenderedPageBreak/>
        <w:t>Introduction</w:t>
      </w:r>
    </w:p>
    <w:p w14:paraId="0DB5C210" w14:textId="429EEE7A" w:rsidR="00AA033B" w:rsidRPr="00AA033B" w:rsidRDefault="00AA033B" w:rsidP="00355CC8">
      <w:pPr>
        <w:spacing w:after="120"/>
        <w:rPr>
          <w:rFonts w:ascii="Calibri" w:eastAsia="Calibri" w:hAnsi="Calibri" w:cs="Calibri"/>
          <w:szCs w:val="24"/>
          <w:lang w:val="en-US"/>
        </w:rPr>
      </w:pPr>
      <w:r w:rsidRPr="13044B26">
        <w:rPr>
          <w:lang w:val="en-US"/>
        </w:rPr>
        <w:t>T</w:t>
      </w:r>
      <w:r w:rsidRPr="00B90BBE">
        <w:rPr>
          <w:lang w:val="en-US"/>
        </w:rPr>
        <w:t>TDAG-ICG-GYS</w:t>
      </w:r>
      <w:r w:rsidRPr="13044B26">
        <w:rPr>
          <w:b/>
          <w:bCs/>
          <w:lang w:val="en-US"/>
        </w:rPr>
        <w:t xml:space="preserve"> </w:t>
      </w:r>
      <w:r w:rsidRPr="00B90BBE">
        <w:rPr>
          <w:lang w:val="en-US"/>
        </w:rPr>
        <w:t xml:space="preserve">was </w:t>
      </w:r>
      <w:r w:rsidR="62E75C1B" w:rsidRPr="13044B26">
        <w:rPr>
          <w:lang w:val="en-US"/>
        </w:rPr>
        <w:t>entrusted with</w:t>
      </w:r>
      <w:r w:rsidR="2F360CF2" w:rsidRPr="00B90BBE">
        <w:rPr>
          <w:lang w:val="en-US"/>
        </w:rPr>
        <w:t xml:space="preserve"> the task </w:t>
      </w:r>
      <w:r w:rsidR="2F360CF2" w:rsidRPr="13044B26">
        <w:rPr>
          <w:lang w:val="en-US"/>
        </w:rPr>
        <w:t>‘</w:t>
      </w:r>
      <w:r w:rsidR="2F360CF2" w:rsidRPr="13044B26">
        <w:rPr>
          <w:rFonts w:ascii="Calibri" w:eastAsia="Calibri" w:hAnsi="Calibri" w:cs="Calibri"/>
          <w:szCs w:val="24"/>
        </w:rPr>
        <w:t>to contribute their expertise and ideas to organize a successful Global Youth Summit and possible Youth Celebration’</w:t>
      </w:r>
      <w:r w:rsidR="656ABF35" w:rsidRPr="13044B26">
        <w:rPr>
          <w:rFonts w:ascii="Calibri" w:eastAsia="Calibri" w:hAnsi="Calibri" w:cs="Calibri"/>
          <w:szCs w:val="24"/>
        </w:rPr>
        <w:t xml:space="preserve"> and to ‘</w:t>
      </w:r>
      <w:r w:rsidR="656ABF35" w:rsidRPr="13044B26">
        <w:rPr>
          <w:rFonts w:ascii="Calibri" w:eastAsia="Calibri" w:hAnsi="Calibri" w:cs="Calibri"/>
          <w:szCs w:val="24"/>
          <w:lang w:val="en-US"/>
        </w:rPr>
        <w:t>consider the input documents on the Global Youth Summit and Youth Celebration presented at TDAG-2024 and provide advice to the BDT Director on the scope and programme of both events.</w:t>
      </w:r>
      <w:r w:rsidR="5C5386BE" w:rsidRPr="13044B26">
        <w:rPr>
          <w:rFonts w:ascii="Calibri" w:eastAsia="Calibri" w:hAnsi="Calibri" w:cs="Calibri"/>
          <w:szCs w:val="24"/>
          <w:lang w:val="en-US"/>
        </w:rPr>
        <w:t xml:space="preserve"> The Terms of Reference of the group can be consulted in Annex 1 of </w:t>
      </w:r>
      <w:r w:rsidR="5FA7779C" w:rsidRPr="13044B26">
        <w:rPr>
          <w:rFonts w:ascii="Calibri" w:eastAsia="Calibri" w:hAnsi="Calibri" w:cs="Calibri"/>
          <w:szCs w:val="24"/>
          <w:lang w:val="en-US"/>
        </w:rPr>
        <w:t xml:space="preserve">document </w:t>
      </w:r>
      <w:hyperlink r:id="rId16" w:history="1">
        <w:r w:rsidR="5FA7779C" w:rsidRPr="00955F81">
          <w:rPr>
            <w:rStyle w:val="Hyperlink"/>
            <w:rFonts w:ascii="Calibri" w:eastAsia="Calibri" w:hAnsi="Calibri" w:cs="Calibri"/>
            <w:szCs w:val="24"/>
          </w:rPr>
          <w:t>TDAG-ICG-GYS/5</w:t>
        </w:r>
      </w:hyperlink>
      <w:r w:rsidR="5FA7779C" w:rsidRPr="00B90BBE">
        <w:rPr>
          <w:rFonts w:ascii="Calibri" w:eastAsia="Calibri" w:hAnsi="Calibri" w:cs="Calibri"/>
          <w:b/>
          <w:bCs/>
          <w:szCs w:val="24"/>
        </w:rPr>
        <w:t>.</w:t>
      </w:r>
    </w:p>
    <w:p w14:paraId="23AA1C88" w14:textId="37F17549" w:rsidR="00AA033B" w:rsidRPr="00AA033B" w:rsidRDefault="40008472" w:rsidP="00355CC8">
      <w:pPr>
        <w:shd w:val="clear" w:color="auto" w:fill="FFFFFF" w:themeFill="background1"/>
        <w:tabs>
          <w:tab w:val="left" w:pos="567"/>
          <w:tab w:val="left" w:pos="1134"/>
          <w:tab w:val="left" w:pos="1701"/>
        </w:tabs>
        <w:spacing w:after="120"/>
        <w:rPr>
          <w:rFonts w:ascii="Calibri" w:eastAsia="Calibri" w:hAnsi="Calibri" w:cs="Calibri"/>
          <w:color w:val="000000" w:themeColor="text1"/>
          <w:szCs w:val="24"/>
        </w:rPr>
      </w:pPr>
      <w:r w:rsidRPr="13044B26">
        <w:rPr>
          <w:rFonts w:ascii="Calibri" w:eastAsia="Calibri" w:hAnsi="Calibri" w:cs="Calibri"/>
          <w:color w:val="000000" w:themeColor="text1"/>
          <w:szCs w:val="24"/>
        </w:rPr>
        <w:t>The coordinators of the informal group are Ms Agustina BRIZIO from Argentina, Ms Ke WANG from China, Mr Abdoulkarim OLOYEDE from Nigeria, and Ms Shahad ALBALAWI from Saudi Arabia.</w:t>
      </w:r>
    </w:p>
    <w:p w14:paraId="1292430F" w14:textId="2A5E68CD" w:rsidR="00AA033B" w:rsidRPr="00B90BBE" w:rsidRDefault="656ABF35" w:rsidP="00355CC8">
      <w:pPr>
        <w:spacing w:after="120"/>
        <w:rPr>
          <w:rFonts w:ascii="Calibri" w:eastAsia="Calibri" w:hAnsi="Calibri" w:cs="Calibri"/>
          <w:szCs w:val="24"/>
        </w:rPr>
      </w:pPr>
      <w:r w:rsidRPr="13044B26">
        <w:rPr>
          <w:rFonts w:ascii="Calibri" w:eastAsia="Calibri" w:hAnsi="Calibri" w:cs="Calibri"/>
          <w:szCs w:val="24"/>
        </w:rPr>
        <w:t>TDAG-ICG-GYS</w:t>
      </w:r>
      <w:r w:rsidR="69D5B17C" w:rsidRPr="13044B26">
        <w:rPr>
          <w:rFonts w:ascii="Calibri" w:eastAsia="Calibri" w:hAnsi="Calibri" w:cs="Calibri"/>
          <w:szCs w:val="24"/>
        </w:rPr>
        <w:t xml:space="preserve"> </w:t>
      </w:r>
      <w:r w:rsidR="00AA033B" w:rsidRPr="00B90BBE">
        <w:rPr>
          <w:lang w:val="en-US"/>
        </w:rPr>
        <w:t xml:space="preserve">held </w:t>
      </w:r>
      <w:r w:rsidR="70D95B35" w:rsidRPr="00B90BBE">
        <w:rPr>
          <w:lang w:val="en-US"/>
        </w:rPr>
        <w:t xml:space="preserve">its first meeting </w:t>
      </w:r>
      <w:r w:rsidR="00AA033B" w:rsidRPr="00B90BBE">
        <w:rPr>
          <w:lang w:val="en-US"/>
        </w:rPr>
        <w:t>on 25 September 2024</w:t>
      </w:r>
      <w:r w:rsidR="288F21BA" w:rsidRPr="13044B26">
        <w:rPr>
          <w:lang w:val="en-US"/>
        </w:rPr>
        <w:t>, chaired by Ms. Brizio</w:t>
      </w:r>
      <w:r w:rsidR="5DA31620" w:rsidRPr="00B90BBE">
        <w:rPr>
          <w:lang w:val="en-US"/>
        </w:rPr>
        <w:t xml:space="preserve"> and a second meeting on 6 December 2</w:t>
      </w:r>
      <w:r w:rsidR="5DA31620" w:rsidRPr="13044B26">
        <w:rPr>
          <w:lang w:val="en-US"/>
        </w:rPr>
        <w:t>024</w:t>
      </w:r>
      <w:r w:rsidR="7635197E" w:rsidRPr="13044B26">
        <w:rPr>
          <w:lang w:val="en-US"/>
        </w:rPr>
        <w:t>, chaired by Ms. Wang</w:t>
      </w:r>
      <w:r w:rsidR="00AA033B" w:rsidRPr="13044B26">
        <w:rPr>
          <w:lang w:val="en-US"/>
        </w:rPr>
        <w:t>.</w:t>
      </w:r>
      <w:r w:rsidR="63260E13" w:rsidRPr="13044B26">
        <w:rPr>
          <w:lang w:val="en-US"/>
        </w:rPr>
        <w:t xml:space="preserve"> </w:t>
      </w:r>
      <w:r w:rsidR="63260E13" w:rsidRPr="13044B26">
        <w:rPr>
          <w:rFonts w:ascii="Calibri" w:eastAsia="Calibri" w:hAnsi="Calibri" w:cs="Calibri"/>
          <w:szCs w:val="24"/>
        </w:rPr>
        <w:t xml:space="preserve">Reports of both meetings are available on the </w:t>
      </w:r>
      <w:hyperlink r:id="rId17" w:history="1">
        <w:r w:rsidR="63260E13" w:rsidRPr="13044B26">
          <w:rPr>
            <w:rStyle w:val="Hyperlink"/>
            <w:rFonts w:ascii="Calibri" w:eastAsia="Calibri" w:hAnsi="Calibri" w:cs="Calibri"/>
            <w:szCs w:val="24"/>
          </w:rPr>
          <w:t>Website of the TDAG-ICG-GYS</w:t>
        </w:r>
      </w:hyperlink>
      <w:r w:rsidR="63260E13" w:rsidRPr="13044B26">
        <w:rPr>
          <w:rFonts w:ascii="Calibri" w:eastAsia="Calibri" w:hAnsi="Calibri" w:cs="Calibri"/>
          <w:szCs w:val="24"/>
        </w:rPr>
        <w:t>.</w:t>
      </w:r>
    </w:p>
    <w:p w14:paraId="39041B67" w14:textId="217DC5E5" w:rsidR="00C56A2B" w:rsidRPr="00C56A2B" w:rsidRDefault="00714548" w:rsidP="00355CC8">
      <w:pPr>
        <w:pStyle w:val="ListParagraph"/>
        <w:numPr>
          <w:ilvl w:val="0"/>
          <w:numId w:val="2"/>
        </w:numPr>
        <w:spacing w:after="120"/>
        <w:contextualSpacing w:val="0"/>
        <w:rPr>
          <w:b/>
          <w:bCs/>
        </w:rPr>
      </w:pPr>
      <w:r w:rsidRPr="00C56A2B">
        <w:rPr>
          <w:b/>
          <w:bCs/>
        </w:rPr>
        <w:t xml:space="preserve">Global Youth Summit (GYS-25) </w:t>
      </w:r>
      <w:r w:rsidR="00B73156">
        <w:rPr>
          <w:b/>
          <w:bCs/>
        </w:rPr>
        <w:t>p</w:t>
      </w:r>
      <w:r w:rsidRPr="00C56A2B">
        <w:rPr>
          <w:b/>
          <w:bCs/>
        </w:rPr>
        <w:t>reparations</w:t>
      </w:r>
    </w:p>
    <w:p w14:paraId="334ADCE2" w14:textId="3B7269E3" w:rsidR="001A598C" w:rsidRPr="00DF6599" w:rsidRDefault="00B00907" w:rsidP="00355CC8">
      <w:pPr>
        <w:spacing w:after="120"/>
        <w:rPr>
          <w:i/>
          <w:iCs/>
          <w:u w:val="single"/>
        </w:rPr>
      </w:pPr>
      <w:r w:rsidRPr="00DF6599">
        <w:rPr>
          <w:i/>
          <w:iCs/>
          <w:u w:val="single"/>
        </w:rPr>
        <w:t>Logistics and Coordination with Host Country</w:t>
      </w:r>
    </w:p>
    <w:p w14:paraId="1A73A3C6" w14:textId="5F1C5352" w:rsidR="00B00907" w:rsidRDefault="00B00907" w:rsidP="00355CC8">
      <w:pPr>
        <w:spacing w:after="120"/>
        <w:rPr>
          <w:lang w:val="en-US"/>
        </w:rPr>
      </w:pPr>
      <w:r w:rsidRPr="00AA033B">
        <w:rPr>
          <w:lang w:val="en-US"/>
        </w:rPr>
        <w:t>The Secretariat provided the</w:t>
      </w:r>
      <w:r>
        <w:rPr>
          <w:lang w:val="en-US"/>
        </w:rPr>
        <w:t xml:space="preserve"> following </w:t>
      </w:r>
      <w:r w:rsidRPr="00AA033B">
        <w:rPr>
          <w:lang w:val="en-US"/>
        </w:rPr>
        <w:t>update</w:t>
      </w:r>
      <w:r>
        <w:rPr>
          <w:lang w:val="en-US"/>
        </w:rPr>
        <w:t>s</w:t>
      </w:r>
      <w:r w:rsidRPr="00AA033B">
        <w:rPr>
          <w:lang w:val="en-US"/>
        </w:rPr>
        <w:t xml:space="preserve"> on the preparations for the GYS</w:t>
      </w:r>
      <w:r>
        <w:rPr>
          <w:lang w:val="en-US"/>
        </w:rPr>
        <w:t xml:space="preserve">-25 during the first and second meetings of the group: </w:t>
      </w:r>
    </w:p>
    <w:p w14:paraId="615EA6D0" w14:textId="66E2FB79"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The Government of Cuba offered to host the GYS-25 from 11–13 March 2025.</w:t>
      </w:r>
    </w:p>
    <w:p w14:paraId="07326922" w14:textId="7AA6CC57"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Ongoing collaboration between BDT and the Cuban Government is on track.</w:t>
      </w:r>
    </w:p>
    <w:p w14:paraId="33F80296" w14:textId="6BFA2B80"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 xml:space="preserve">The Cuban Government has carefully selected a suitable venue in Varadero, Cuba, and has made significant progress in addressing logistical and facility requirements, with final formalities currently underway. </w:t>
      </w:r>
    </w:p>
    <w:p w14:paraId="0DEC8872" w14:textId="424078BF" w:rsidR="00B00907" w:rsidRPr="00DF6599" w:rsidRDefault="003063E7" w:rsidP="00355CC8">
      <w:pPr>
        <w:spacing w:after="120"/>
        <w:rPr>
          <w:i/>
          <w:iCs/>
          <w:u w:val="single"/>
        </w:rPr>
      </w:pPr>
      <w:r w:rsidRPr="00DF6599">
        <w:rPr>
          <w:i/>
          <w:iCs/>
          <w:u w:val="single"/>
        </w:rPr>
        <w:t>GYS-25 Agenda and Programme</w:t>
      </w:r>
    </w:p>
    <w:p w14:paraId="478057A8" w14:textId="6CB96E9A" w:rsidR="003063E7" w:rsidRDefault="00044186" w:rsidP="00355CC8">
      <w:pPr>
        <w:spacing w:after="120"/>
      </w:pPr>
      <w:r w:rsidRPr="00044186">
        <w:t>During its first meeting,</w:t>
      </w:r>
      <w:r>
        <w:t xml:space="preserve"> the group agreed to</w:t>
      </w:r>
      <w:r w:rsidRPr="00044186">
        <w:t xml:space="preserve"> improve the agenda and programme of the GYS through a co-creation and validation process with the GCYE community.</w:t>
      </w:r>
      <w:r>
        <w:t xml:space="preserve"> </w:t>
      </w:r>
      <w:r w:rsidRPr="00044186">
        <w:t>The discussions underscored the importance of maintaining a youth-centred approach to the Summit’s preparations while ensuring alignment with ITU’s and BDT’s mandate and work.</w:t>
      </w:r>
    </w:p>
    <w:p w14:paraId="20EC0FA4" w14:textId="514F41CC" w:rsidR="00044186" w:rsidRDefault="009966C4" w:rsidP="00355CC8">
      <w:pPr>
        <w:spacing w:after="120"/>
      </w:pPr>
      <w:r>
        <w:t>BDT put in motion a</w:t>
      </w:r>
      <w:r w:rsidRPr="009966C4">
        <w:t xml:space="preserve"> co-creation process aimed at identifying the key ICT topics, including perspectives and challenges for youth from among the six ITU regions. </w:t>
      </w:r>
      <w:r>
        <w:t>In</w:t>
      </w:r>
      <w:r w:rsidRPr="009966C4">
        <w:t xml:space="preserve">puts received through this co-creation process were developed by the regional GCYE youth exclusively, </w:t>
      </w:r>
      <w:r w:rsidR="00A64536">
        <w:t>with</w:t>
      </w:r>
      <w:r w:rsidRPr="009966C4">
        <w:t xml:space="preserve"> BDT </w:t>
      </w:r>
      <w:r w:rsidR="00A64536">
        <w:t xml:space="preserve">acting merely as </w:t>
      </w:r>
      <w:r w:rsidRPr="009966C4">
        <w:t>a facilitator.</w:t>
      </w:r>
    </w:p>
    <w:p w14:paraId="522A223E" w14:textId="2D67E31B" w:rsidR="001A598C" w:rsidRDefault="00A64536" w:rsidP="00355CC8">
      <w:pPr>
        <w:pStyle w:val="ListParagraph"/>
        <w:tabs>
          <w:tab w:val="left" w:pos="567"/>
        </w:tabs>
        <w:spacing w:after="120"/>
        <w:ind w:left="0"/>
        <w:contextualSpacing w:val="0"/>
      </w:pPr>
      <w:r>
        <w:t xml:space="preserve">At the second meeting of the group, BDT presented the </w:t>
      </w:r>
      <w:r w:rsidRPr="00A64536">
        <w:t>Summary Report on the Regional Consultations held with Generation Connect Youth Envoys (GCYE) towards the ITU Global Youth Summit (GYS-25) and its Annexes</w:t>
      </w:r>
      <w:r w:rsidR="00342882">
        <w:t xml:space="preserve"> (</w:t>
      </w:r>
      <w:hyperlink r:id="rId18" w:history="1">
        <w:r w:rsidR="00342882" w:rsidRPr="00BF3BF5">
          <w:rPr>
            <w:rStyle w:val="Hyperlink"/>
            <w:rFonts w:cstheme="minorHAnsi"/>
            <w:szCs w:val="24"/>
          </w:rPr>
          <w:t>TDAG-ICG-GYS/7 and its Annexes</w:t>
        </w:r>
        <w:r w:rsidR="00342882">
          <w:rPr>
            <w:rStyle w:val="Hyperlink"/>
            <w:rFonts w:cstheme="minorHAnsi"/>
            <w:szCs w:val="24"/>
          </w:rPr>
          <w:t>)</w:t>
        </w:r>
      </w:hyperlink>
      <w:r w:rsidR="00342882">
        <w:rPr>
          <w:rFonts w:cstheme="minorHAnsi"/>
          <w:color w:val="212121"/>
          <w:szCs w:val="24"/>
        </w:rPr>
        <w:t xml:space="preserve"> which </w:t>
      </w:r>
      <w:r w:rsidR="00342882">
        <w:t>encompasses the ICT related inputs and views received from each of the 6 Regional GCYEs</w:t>
      </w:r>
      <w:r w:rsidR="00160399">
        <w:t xml:space="preserve">. </w:t>
      </w:r>
      <w:r w:rsidR="00AA4698">
        <w:t>BDT</w:t>
      </w:r>
      <w:r w:rsidR="00160399" w:rsidRPr="00160399">
        <w:t xml:space="preserve"> also informed that in follow-up of the inputs received from the </w:t>
      </w:r>
      <w:r w:rsidR="0048650C">
        <w:t xml:space="preserve">6 </w:t>
      </w:r>
      <w:r w:rsidR="00160399" w:rsidRPr="00160399">
        <w:t xml:space="preserve">regional youth, it was noted that in addition to the topics of interest of youth </w:t>
      </w:r>
      <w:r w:rsidR="0048650C">
        <w:t xml:space="preserve">to be addressed at the GYS </w:t>
      </w:r>
      <w:r w:rsidR="00160399" w:rsidRPr="00160399">
        <w:t xml:space="preserve">presented in the </w:t>
      </w:r>
      <w:r w:rsidR="00342882">
        <w:rPr>
          <w:rFonts w:cstheme="minorBidi"/>
          <w:color w:val="212121"/>
        </w:rPr>
        <w:t xml:space="preserve">TDAG document 13 </w:t>
      </w:r>
      <w:hyperlink r:id="rId19" w:history="1">
        <w:r w:rsidR="00342882" w:rsidRPr="00BF3BF5">
          <w:rPr>
            <w:rStyle w:val="Hyperlink"/>
            <w:rFonts w:cstheme="minorBidi"/>
          </w:rPr>
          <w:t>Annex 1</w:t>
        </w:r>
      </w:hyperlink>
      <w:r w:rsidR="00342882">
        <w:rPr>
          <w:rFonts w:cstheme="minorBidi"/>
          <w:color w:val="212121"/>
        </w:rPr>
        <w:t>,</w:t>
      </w:r>
      <w:r w:rsidR="00355CC8">
        <w:rPr>
          <w:rFonts w:cstheme="minorBidi"/>
          <w:color w:val="212121"/>
        </w:rPr>
        <w:t xml:space="preserve"> </w:t>
      </w:r>
      <w:r w:rsidR="00160399" w:rsidRPr="00160399">
        <w:t>two additional topics: Connectivity (Last-mile connectivity) and Cybersecurity were identified as priorities across several regions. As a result, it was proposed that these topics be also included in the Agenda and Programme of the GYS-25.</w:t>
      </w:r>
    </w:p>
    <w:p w14:paraId="05F781CC" w14:textId="428D3847" w:rsidR="00955F81" w:rsidRDefault="00955F81" w:rsidP="00355CC8">
      <w:pPr>
        <w:spacing w:after="120"/>
      </w:pPr>
      <w:r w:rsidRPr="00955F81">
        <w:t xml:space="preserve">Two GCYE representatives from each ITU region </w:t>
      </w:r>
      <w:r>
        <w:t xml:space="preserve">were invited to </w:t>
      </w:r>
      <w:r w:rsidRPr="00955F81">
        <w:t>provide summaries of their regional input documents, highlighting ICT-related challenges, opportunities, and actionable solutions proposed by youth.</w:t>
      </w:r>
      <w:r w:rsidR="00FB1F0A">
        <w:t xml:space="preserve"> The </w:t>
      </w:r>
      <w:r w:rsidRPr="00955F81">
        <w:t>Delegates expressed strong appreciation for the</w:t>
      </w:r>
      <w:r w:rsidR="00342882">
        <w:t>se</w:t>
      </w:r>
      <w:r w:rsidRPr="00955F81">
        <w:t xml:space="preserve"> youth </w:t>
      </w:r>
      <w:r w:rsidR="00743248">
        <w:lastRenderedPageBreak/>
        <w:t xml:space="preserve">regional </w:t>
      </w:r>
      <w:r w:rsidRPr="00955F81">
        <w:t>contributions</w:t>
      </w:r>
      <w:r w:rsidR="00342882">
        <w:t>, which can be considered by ITU members</w:t>
      </w:r>
      <w:r w:rsidR="00743248">
        <w:t>,</w:t>
      </w:r>
      <w:r w:rsidR="00342882">
        <w:t xml:space="preserve"> if they wish so</w:t>
      </w:r>
      <w:r w:rsidR="00743248">
        <w:t>,</w:t>
      </w:r>
      <w:r w:rsidR="00342882">
        <w:t xml:space="preserve"> in shaping their national, regional digital agendas</w:t>
      </w:r>
      <w:r w:rsidR="004049FA">
        <w:t>.</w:t>
      </w:r>
    </w:p>
    <w:p w14:paraId="5F97E634" w14:textId="77777777" w:rsidR="00355CC8" w:rsidRDefault="0094241F" w:rsidP="00355CC8">
      <w:pPr>
        <w:spacing w:after="120"/>
        <w:rPr>
          <w:rFonts w:ascii="Calibri" w:eastAsia="Calibri" w:hAnsi="Calibri" w:cs="Calibri"/>
          <w:szCs w:val="24"/>
        </w:rPr>
      </w:pPr>
      <w:r w:rsidRPr="00F00DDF">
        <w:t>It was noted that t</w:t>
      </w:r>
      <w:r w:rsidR="005B2CB6" w:rsidRPr="00F00DDF">
        <w:t xml:space="preserve">he GYS25 </w:t>
      </w:r>
      <w:r w:rsidRPr="00F00DDF">
        <w:t xml:space="preserve">is expected to </w:t>
      </w:r>
      <w:r w:rsidR="005B2CB6" w:rsidRPr="00F00DDF">
        <w:t xml:space="preserve">produce an Outcome Document </w:t>
      </w:r>
      <w:r w:rsidR="0061344F" w:rsidRPr="00F00DDF">
        <w:t xml:space="preserve">for information to ITU members </w:t>
      </w:r>
      <w:r w:rsidR="005B2CB6" w:rsidRPr="00F00DDF">
        <w:t>focusing on ICT development</w:t>
      </w:r>
      <w:r w:rsidR="009701BC">
        <w:t xml:space="preserve"> youth</w:t>
      </w:r>
      <w:r w:rsidR="005B2CB6" w:rsidRPr="00F00DDF">
        <w:t xml:space="preserve">-related topics, reflecting the views of youth and outcomes from the </w:t>
      </w:r>
      <w:r w:rsidR="00D168EA">
        <w:t>Summit’</w:t>
      </w:r>
      <w:r w:rsidR="00D168EA" w:rsidRPr="00F00DDF">
        <w:t xml:space="preserve"> sessions</w:t>
      </w:r>
      <w:r w:rsidR="005B2CB6" w:rsidRPr="00F00DDF">
        <w:t>. This document can be used by ITU Members</w:t>
      </w:r>
      <w:r w:rsidR="00033764" w:rsidRPr="00F00DDF">
        <w:t xml:space="preserve">, </w:t>
      </w:r>
      <w:r w:rsidR="00FF30D4">
        <w:t>as</w:t>
      </w:r>
      <w:r w:rsidR="00F00DDF" w:rsidRPr="00F00DDF">
        <w:t xml:space="preserve"> they wish,</w:t>
      </w:r>
      <w:r w:rsidR="005B2CB6" w:rsidRPr="00F00DDF">
        <w:t xml:space="preserve"> for Regional Preparatory Meetings or in their WTDC-25 submissions</w:t>
      </w:r>
      <w:r w:rsidR="00950851">
        <w:t xml:space="preserve"> within the required </w:t>
      </w:r>
      <w:r w:rsidR="005B2CB6" w:rsidRPr="00F00DDF">
        <w:t>deadlines. The Director emphasized that, as with other BDT events, the document will be acknowledged and included in official records</w:t>
      </w:r>
      <w:r w:rsidR="00ED7114" w:rsidRPr="00F00DDF">
        <w:rPr>
          <w:rFonts w:ascii="Calibri" w:eastAsia="Calibri" w:hAnsi="Calibri" w:cs="Calibri"/>
          <w:szCs w:val="24"/>
        </w:rPr>
        <w:t>.</w:t>
      </w:r>
      <w:r w:rsidR="00E67601">
        <w:rPr>
          <w:rFonts w:ascii="Calibri" w:eastAsia="Calibri" w:hAnsi="Calibri" w:cs="Calibri"/>
          <w:szCs w:val="24"/>
        </w:rPr>
        <w:t xml:space="preserve"> </w:t>
      </w:r>
    </w:p>
    <w:p w14:paraId="2E0763F7" w14:textId="77777777" w:rsidR="00355CC8" w:rsidRDefault="00E67601" w:rsidP="00355CC8">
      <w:pPr>
        <w:spacing w:after="120"/>
      </w:pPr>
      <w:r>
        <w:rPr>
          <w:rFonts w:ascii="Calibri" w:eastAsia="Calibri" w:hAnsi="Calibri" w:cs="Calibri"/>
          <w:szCs w:val="24"/>
        </w:rPr>
        <w:t>T</w:t>
      </w:r>
      <w:r w:rsidR="00F507BD">
        <w:rPr>
          <w:rFonts w:ascii="Calibri" w:eastAsia="Calibri" w:hAnsi="Calibri" w:cs="Calibri"/>
          <w:szCs w:val="24"/>
        </w:rPr>
        <w:t xml:space="preserve">he </w:t>
      </w:r>
      <w:r w:rsidR="00AA033B" w:rsidRPr="00AA033B">
        <w:t xml:space="preserve">Youth Celebration </w:t>
      </w:r>
      <w:r w:rsidR="00671519">
        <w:t xml:space="preserve">towards the </w:t>
      </w:r>
      <w:r w:rsidR="00AA033B" w:rsidRPr="00AA033B">
        <w:t>WTDC-25 is intended to be a social event</w:t>
      </w:r>
      <w:r w:rsidR="004F3CF0">
        <w:t xml:space="preserve">, </w:t>
      </w:r>
      <w:r w:rsidR="00EB2247">
        <w:t xml:space="preserve">previous to </w:t>
      </w:r>
      <w:r w:rsidR="004F3CF0">
        <w:t>the Conference, aiming</w:t>
      </w:r>
      <w:r w:rsidR="00AA033B" w:rsidRPr="00AA033B">
        <w:t xml:space="preserve"> to celebrate youth</w:t>
      </w:r>
      <w:r w:rsidR="00AC7B03">
        <w:t xml:space="preserve"> </w:t>
      </w:r>
      <w:r w:rsidR="00D21496">
        <w:t xml:space="preserve">within </w:t>
      </w:r>
      <w:r w:rsidR="00AC7B03">
        <w:t xml:space="preserve">the </w:t>
      </w:r>
      <w:r w:rsidR="00D240C5">
        <w:t xml:space="preserve">global </w:t>
      </w:r>
      <w:r w:rsidR="00AC7B03">
        <w:t xml:space="preserve">digital </w:t>
      </w:r>
      <w:r w:rsidR="006426A1">
        <w:t>development agenda</w:t>
      </w:r>
      <w:r w:rsidR="00AA033B" w:rsidRPr="00AA033B">
        <w:t>.</w:t>
      </w:r>
    </w:p>
    <w:p w14:paraId="7B23DCC9" w14:textId="395286BA" w:rsidR="003F380E" w:rsidRPr="00DF6599" w:rsidRDefault="003F380E" w:rsidP="00355CC8">
      <w:pPr>
        <w:spacing w:after="120"/>
        <w:rPr>
          <w:i/>
          <w:iCs/>
          <w:u w:val="single"/>
        </w:rPr>
      </w:pPr>
      <w:r w:rsidRPr="00DF6599">
        <w:rPr>
          <w:i/>
          <w:iCs/>
          <w:u w:val="single"/>
        </w:rPr>
        <w:t>Sponsorship and Fellowship Support</w:t>
      </w:r>
    </w:p>
    <w:p w14:paraId="2B78E674" w14:textId="30A435C2" w:rsidR="00992DDC" w:rsidRDefault="003F380E" w:rsidP="00355CC8">
      <w:pPr>
        <w:spacing w:after="120"/>
      </w:pPr>
      <w:r>
        <w:t>During both meetings,</w:t>
      </w:r>
      <w:r w:rsidR="00297E4A">
        <w:t xml:space="preserve"> ITU Member</w:t>
      </w:r>
      <w:r w:rsidR="001C22B1">
        <w:t xml:space="preserve"> States were</w:t>
      </w:r>
      <w:r w:rsidR="00297E4A">
        <w:t xml:space="preserve"> called </w:t>
      </w:r>
      <w:r w:rsidR="00F94C57" w:rsidRPr="002E6637">
        <w:rPr>
          <w:rFonts w:cstheme="minorBidi"/>
          <w:color w:val="212121"/>
        </w:rPr>
        <w:t xml:space="preserve">to facilitate the participation of </w:t>
      </w:r>
      <w:r w:rsidR="00F94C57">
        <w:rPr>
          <w:rFonts w:cstheme="minorBidi"/>
          <w:color w:val="212121"/>
        </w:rPr>
        <w:t xml:space="preserve">their national </w:t>
      </w:r>
      <w:r w:rsidR="00F94C57" w:rsidRPr="002E6637">
        <w:rPr>
          <w:rFonts w:cstheme="minorBidi"/>
          <w:color w:val="212121"/>
        </w:rPr>
        <w:t>GCYE</w:t>
      </w:r>
      <w:r w:rsidR="00C409C1">
        <w:rPr>
          <w:rFonts w:cstheme="minorBidi"/>
          <w:color w:val="212121"/>
        </w:rPr>
        <w:t>. Th</w:t>
      </w:r>
      <w:r w:rsidR="00C409C1" w:rsidRPr="00AA033B">
        <w:rPr>
          <w:lang w:val="en-US"/>
        </w:rPr>
        <w:t xml:space="preserve">e group </w:t>
      </w:r>
      <w:r w:rsidR="00C409C1">
        <w:rPr>
          <w:lang w:val="en-US"/>
        </w:rPr>
        <w:t xml:space="preserve">further </w:t>
      </w:r>
      <w:r w:rsidR="001C22B1">
        <w:rPr>
          <w:lang w:val="en-US"/>
        </w:rPr>
        <w:t xml:space="preserve">encouraged all ITU members </w:t>
      </w:r>
      <w:r w:rsidRPr="00AA033B">
        <w:rPr>
          <w:lang w:val="en-US"/>
        </w:rPr>
        <w:t xml:space="preserve">to support the participation </w:t>
      </w:r>
      <w:r w:rsidR="00A12A1A">
        <w:rPr>
          <w:lang w:val="en-US"/>
        </w:rPr>
        <w:t xml:space="preserve">in GYS </w:t>
      </w:r>
      <w:r w:rsidRPr="00AA033B">
        <w:rPr>
          <w:lang w:val="en-US"/>
        </w:rPr>
        <w:t>of GCYE from LDCs, LLDCs, and SIDS, including securing sponsorships either directly or by identifying potential donors</w:t>
      </w:r>
      <w:r w:rsidR="00C645D7">
        <w:t xml:space="preserve">, and to </w:t>
      </w:r>
      <w:r w:rsidR="00C645D7" w:rsidRPr="00FF0E3B">
        <w:t>cover the operational costs of the event</w:t>
      </w:r>
      <w:r w:rsidR="00C645D7">
        <w:t>. A s</w:t>
      </w:r>
      <w:r w:rsidR="00C645D7" w:rsidRPr="00FF0E3B">
        <w:t xml:space="preserve">ponsorship package </w:t>
      </w:r>
      <w:r w:rsidR="00C645D7">
        <w:t>has been</w:t>
      </w:r>
      <w:r w:rsidR="00C645D7" w:rsidRPr="00FF0E3B">
        <w:t xml:space="preserve"> developed</w:t>
      </w:r>
      <w:r w:rsidR="00C645D7">
        <w:t xml:space="preserve"> </w:t>
      </w:r>
      <w:r w:rsidR="006D566E">
        <w:t xml:space="preserve">by BDT </w:t>
      </w:r>
      <w:r w:rsidR="00C645D7">
        <w:t>to this effect</w:t>
      </w:r>
      <w:r w:rsidR="006D566E">
        <w:t xml:space="preserve"> </w:t>
      </w:r>
      <w:hyperlink r:id="rId20" w:history="1">
        <w:r w:rsidR="006D566E" w:rsidRPr="006D566E">
          <w:rPr>
            <w:rStyle w:val="Hyperlink"/>
          </w:rPr>
          <w:t>ITU-GYS-2025-Sponsorship-Package.pdf</w:t>
        </w:r>
      </w:hyperlink>
      <w:r w:rsidR="00C645D7">
        <w:t>.</w:t>
      </w:r>
    </w:p>
    <w:p w14:paraId="006B020A" w14:textId="1C44C8A9" w:rsidR="003F380E" w:rsidRDefault="00992DDC" w:rsidP="00355CC8">
      <w:pPr>
        <w:spacing w:after="120"/>
      </w:pPr>
      <w:r>
        <w:t xml:space="preserve">BDT </w:t>
      </w:r>
      <w:r w:rsidR="00202F2D">
        <w:t xml:space="preserve">indicated that </w:t>
      </w:r>
      <w:r>
        <w:t>Mem</w:t>
      </w:r>
      <w:r w:rsidRPr="00992DDC">
        <w:t>ber States c</w:t>
      </w:r>
      <w:r w:rsidR="00202F2D">
        <w:t>oul</w:t>
      </w:r>
      <w:r w:rsidRPr="00992DDC">
        <w:t xml:space="preserve">d bring additional youth </w:t>
      </w:r>
      <w:r w:rsidR="00A16A50" w:rsidRPr="00992DDC">
        <w:t>participants</w:t>
      </w:r>
      <w:r w:rsidR="00A16A50">
        <w:t xml:space="preserve"> within their delegations</w:t>
      </w:r>
      <w:r w:rsidRPr="00992DDC">
        <w:t xml:space="preserve">, provided the necessary registration and validation processes were followed. Although the event remains open to all youth delegates, for individuals not affiliated with ITU, the registration would undergo a due diligence process to ensure compliance with ITU event standards. The inclusion of additional delegates, while encouraged, would be managed within the logistical capacity of the host country. </w:t>
      </w:r>
    </w:p>
    <w:p w14:paraId="237D4800" w14:textId="3F348D3F" w:rsidR="00497FC6" w:rsidRPr="00DF6599" w:rsidRDefault="00497FC6" w:rsidP="00355CC8">
      <w:pPr>
        <w:spacing w:after="120"/>
        <w:rPr>
          <w:i/>
          <w:iCs/>
          <w:u w:val="single"/>
        </w:rPr>
      </w:pPr>
      <w:r w:rsidRPr="00DF6599">
        <w:rPr>
          <w:i/>
          <w:iCs/>
          <w:u w:val="single"/>
        </w:rPr>
        <w:t>Youth Celebration prior to WTDC-25</w:t>
      </w:r>
    </w:p>
    <w:p w14:paraId="37C41385" w14:textId="0FBD9E2B" w:rsidR="00497FC6" w:rsidRDefault="00497FC6" w:rsidP="00355CC8">
      <w:pPr>
        <w:spacing w:after="120"/>
      </w:pPr>
      <w:r>
        <w:rPr>
          <w:lang w:val="en-US"/>
        </w:rPr>
        <w:t>E</w:t>
      </w:r>
      <w:r w:rsidRPr="00AA033B">
        <w:rPr>
          <w:lang w:val="en-US"/>
        </w:rPr>
        <w:t xml:space="preserve">fforts are underway to ensure a Youth Celebration </w:t>
      </w:r>
      <w:r>
        <w:rPr>
          <w:lang w:val="en-US"/>
        </w:rPr>
        <w:t>prior to</w:t>
      </w:r>
      <w:r w:rsidRPr="00AA033B">
        <w:rPr>
          <w:lang w:val="en-US"/>
        </w:rPr>
        <w:t xml:space="preserve"> WTDC-25 in Azerbaijan.</w:t>
      </w:r>
      <w:r w:rsidR="00DF6599">
        <w:rPr>
          <w:lang w:val="en-US"/>
        </w:rPr>
        <w:t xml:space="preserve"> N</w:t>
      </w:r>
      <w:r w:rsidR="00DF6599" w:rsidRPr="00DF6599">
        <w:rPr>
          <w:lang w:val="en-US"/>
        </w:rPr>
        <w:t>o side events are planned during the WTDC-25 itself, considering that some delegations only consist of one or two members. This approach avoids potential conflicts with the work of Working Groups or Ad Hoc Groups, ensuring uninterrupted progress of the Conference.</w:t>
      </w:r>
    </w:p>
    <w:p w14:paraId="113A0C9B" w14:textId="31AE5ABF" w:rsidR="00AA033B" w:rsidRPr="001B19F0" w:rsidRDefault="00252245" w:rsidP="00355CC8">
      <w:pPr>
        <w:pStyle w:val="ListParagraph"/>
        <w:numPr>
          <w:ilvl w:val="0"/>
          <w:numId w:val="2"/>
        </w:numPr>
        <w:spacing w:after="120"/>
        <w:contextualSpacing w:val="0"/>
        <w:rPr>
          <w:b/>
          <w:bCs/>
        </w:rPr>
      </w:pPr>
      <w:r w:rsidRPr="001B19F0">
        <w:rPr>
          <w:b/>
          <w:bCs/>
        </w:rPr>
        <w:t>Next steps</w:t>
      </w:r>
    </w:p>
    <w:p w14:paraId="5A585DAD" w14:textId="337C83AA" w:rsidR="00B61E0B" w:rsidRPr="00A44586" w:rsidRDefault="00744A3D" w:rsidP="00355CC8">
      <w:pPr>
        <w:pStyle w:val="ListParagraph"/>
        <w:numPr>
          <w:ilvl w:val="0"/>
          <w:numId w:val="13"/>
        </w:numPr>
        <w:spacing w:after="120"/>
        <w:contextualSpacing w:val="0"/>
        <w:rPr>
          <w:rFonts w:cstheme="minorBidi"/>
          <w:color w:val="212121"/>
        </w:rPr>
      </w:pPr>
      <w:r w:rsidRPr="00A44586">
        <w:rPr>
          <w:rFonts w:cstheme="minorBidi"/>
          <w:b/>
          <w:bCs/>
          <w:color w:val="212121"/>
        </w:rPr>
        <w:t xml:space="preserve">GYS Agenda Updates: </w:t>
      </w:r>
      <w:r w:rsidR="00AA033B" w:rsidRPr="00AA033B">
        <w:t xml:space="preserve">The Secretariat </w:t>
      </w:r>
      <w:r w:rsidR="00541042">
        <w:t>will</w:t>
      </w:r>
      <w:r w:rsidR="00AA033B" w:rsidRPr="00AA033B">
        <w:t xml:space="preserve"> </w:t>
      </w:r>
      <w:r w:rsidR="00313534" w:rsidRPr="00A44586">
        <w:rPr>
          <w:rFonts w:cstheme="minorBidi"/>
          <w:color w:val="212121"/>
        </w:rPr>
        <w:t>incorporate the two additional approved topics, identified as of interest of youth: connectivity (last mile) and cybersecurity and present the final GYS-25 agenda for the TDAG-ICT-GYS meeting on 22 January 2025.</w:t>
      </w:r>
    </w:p>
    <w:p w14:paraId="3C50482D" w14:textId="536A9C79" w:rsidR="00AA033B" w:rsidRPr="003454B8" w:rsidRDefault="00ED57E3" w:rsidP="00355CC8">
      <w:pPr>
        <w:pStyle w:val="ListParagraph"/>
        <w:numPr>
          <w:ilvl w:val="0"/>
          <w:numId w:val="13"/>
        </w:numPr>
        <w:spacing w:after="120"/>
        <w:contextualSpacing w:val="0"/>
      </w:pPr>
      <w:r w:rsidRPr="003454B8">
        <w:rPr>
          <w:b/>
          <w:bCs/>
        </w:rPr>
        <w:t>Calendar of Upcoming Meetings:</w:t>
      </w:r>
      <w:r w:rsidR="00B61E0B" w:rsidRPr="003454B8">
        <w:rPr>
          <w:b/>
          <w:bCs/>
        </w:rPr>
        <w:t xml:space="preserve"> </w:t>
      </w:r>
      <w:r w:rsidRPr="003454B8">
        <w:t>Two additional TDAG Informal Coordination Group meetings are scheduled for January 22 and February 15, 2025, to support finalization of GYS-25 preparations and Youth Celebration side event, held in conjunction with the WTDC-25.</w:t>
      </w:r>
    </w:p>
    <w:p w14:paraId="6918B5A6" w14:textId="66B07946" w:rsidR="00AA033B" w:rsidRPr="000C2424" w:rsidRDefault="00552481" w:rsidP="00B61E0B">
      <w:pPr>
        <w:jc w:val="center"/>
      </w:pPr>
      <w:r>
        <w:t>---------------------------------------</w:t>
      </w:r>
    </w:p>
    <w:sectPr w:rsidR="00AA033B" w:rsidRPr="000C2424" w:rsidSect="00473791">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1FD2" w14:textId="77777777" w:rsidR="00C37531" w:rsidRDefault="00C37531">
      <w:r>
        <w:separator/>
      </w:r>
    </w:p>
  </w:endnote>
  <w:endnote w:type="continuationSeparator" w:id="0">
    <w:p w14:paraId="136CD101" w14:textId="77777777" w:rsidR="00C37531" w:rsidRDefault="00C37531">
      <w:r>
        <w:continuationSeparator/>
      </w:r>
    </w:p>
  </w:endnote>
  <w:endnote w:type="continuationNotice" w:id="1">
    <w:p w14:paraId="609C4BCE" w14:textId="77777777" w:rsidR="00C37531" w:rsidRDefault="00C375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3366" w14:textId="77777777" w:rsidR="00D634C8" w:rsidRDefault="00D63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B57F" w14:textId="77777777" w:rsidR="00D634C8" w:rsidRDefault="00D63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59420B" w:rsidRPr="00385F4A" w14:paraId="695D1810" w14:textId="77777777" w:rsidTr="001846A8">
      <w:tc>
        <w:tcPr>
          <w:tcW w:w="1526" w:type="dxa"/>
          <w:tcBorders>
            <w:top w:val="single" w:sz="4" w:space="0" w:color="000000"/>
          </w:tcBorders>
          <w:shd w:val="clear" w:color="auto" w:fill="auto"/>
        </w:tcPr>
        <w:p w14:paraId="746E5A61" w14:textId="77777777" w:rsidR="0059420B" w:rsidRPr="00385F4A" w:rsidRDefault="0059420B" w:rsidP="0059420B">
          <w:pPr>
            <w:pStyle w:val="FirstFooter"/>
            <w:tabs>
              <w:tab w:val="left" w:pos="1559"/>
              <w:tab w:val="left" w:pos="3828"/>
            </w:tabs>
            <w:rPr>
              <w:sz w:val="18"/>
              <w:szCs w:val="18"/>
            </w:rPr>
          </w:pPr>
          <w:r w:rsidRPr="00385F4A">
            <w:rPr>
              <w:sz w:val="18"/>
              <w:szCs w:val="18"/>
              <w:lang w:val="en-US"/>
            </w:rPr>
            <w:t>Contact:</w:t>
          </w:r>
        </w:p>
      </w:tc>
      <w:tc>
        <w:tcPr>
          <w:tcW w:w="2410" w:type="dxa"/>
          <w:tcBorders>
            <w:top w:val="single" w:sz="4" w:space="0" w:color="000000"/>
          </w:tcBorders>
          <w:shd w:val="clear" w:color="auto" w:fill="auto"/>
        </w:tcPr>
        <w:p w14:paraId="488E41E2" w14:textId="77777777" w:rsidR="0059420B" w:rsidRPr="00385F4A" w:rsidRDefault="0059420B" w:rsidP="0059420B">
          <w:pPr>
            <w:pStyle w:val="FirstFooter"/>
            <w:tabs>
              <w:tab w:val="left" w:pos="2302"/>
            </w:tabs>
            <w:ind w:left="2302" w:hanging="2302"/>
            <w:rPr>
              <w:sz w:val="18"/>
              <w:szCs w:val="18"/>
              <w:lang w:val="en-US"/>
            </w:rPr>
          </w:pPr>
          <w:r w:rsidRPr="00385F4A">
            <w:rPr>
              <w:sz w:val="18"/>
              <w:szCs w:val="18"/>
              <w:lang w:val="en-US"/>
            </w:rPr>
            <w:t>Name/Organization/Entity:</w:t>
          </w:r>
        </w:p>
      </w:tc>
      <w:tc>
        <w:tcPr>
          <w:tcW w:w="5987" w:type="dxa"/>
          <w:tcBorders>
            <w:top w:val="single" w:sz="4" w:space="0" w:color="000000"/>
          </w:tcBorders>
        </w:tcPr>
        <w:p w14:paraId="148264AE" w14:textId="4AEA917F" w:rsidR="0059420B" w:rsidRPr="00385F4A" w:rsidRDefault="0027069A" w:rsidP="0059420B">
          <w:pPr>
            <w:pStyle w:val="FirstFooter"/>
            <w:tabs>
              <w:tab w:val="left" w:pos="2302"/>
            </w:tabs>
            <w:rPr>
              <w:sz w:val="18"/>
              <w:szCs w:val="18"/>
              <w:lang w:val="en-US"/>
            </w:rPr>
          </w:pPr>
          <w:r w:rsidRPr="00385F4A">
            <w:rPr>
              <w:sz w:val="18"/>
              <w:szCs w:val="18"/>
              <w:lang w:val="en-US"/>
            </w:rPr>
            <w:t xml:space="preserve">Ms Ke Wang, Chair, </w:t>
          </w:r>
          <w:r w:rsidR="00D95FB2" w:rsidRPr="00385F4A">
            <w:rPr>
              <w:sz w:val="18"/>
              <w:szCs w:val="18"/>
              <w:lang w:val="en-US"/>
            </w:rPr>
            <w:t>TDAG Informal Coordination Group on the Youth Summit and the Global Celebration</w:t>
          </w:r>
          <w:r w:rsidRPr="00385F4A">
            <w:rPr>
              <w:sz w:val="18"/>
              <w:szCs w:val="18"/>
              <w:lang w:val="en-US"/>
            </w:rPr>
            <w:t>, China</w:t>
          </w:r>
        </w:p>
      </w:tc>
      <w:bookmarkStart w:id="5" w:name="OrgName"/>
      <w:bookmarkEnd w:id="5"/>
    </w:tr>
    <w:tr w:rsidR="0059420B" w:rsidRPr="00385F4A" w14:paraId="61167678" w14:textId="77777777" w:rsidTr="001846A8">
      <w:tc>
        <w:tcPr>
          <w:tcW w:w="1526" w:type="dxa"/>
          <w:shd w:val="clear" w:color="auto" w:fill="auto"/>
        </w:tcPr>
        <w:p w14:paraId="33710823"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385F4A" w:rsidRDefault="0059420B" w:rsidP="0059420B">
          <w:pPr>
            <w:pStyle w:val="FirstFooter"/>
            <w:tabs>
              <w:tab w:val="left" w:pos="2302"/>
            </w:tabs>
            <w:rPr>
              <w:sz w:val="18"/>
              <w:szCs w:val="18"/>
              <w:lang w:val="en-US"/>
            </w:rPr>
          </w:pPr>
          <w:r w:rsidRPr="00385F4A">
            <w:rPr>
              <w:sz w:val="18"/>
              <w:szCs w:val="18"/>
              <w:lang w:val="en-US"/>
            </w:rPr>
            <w:t>Phone number:</w:t>
          </w:r>
        </w:p>
      </w:tc>
      <w:tc>
        <w:tcPr>
          <w:tcW w:w="5987" w:type="dxa"/>
        </w:tcPr>
        <w:p w14:paraId="6D7949F0" w14:textId="70F80BDD" w:rsidR="0059420B" w:rsidRPr="00385F4A" w:rsidRDefault="0027069A" w:rsidP="0059420B">
          <w:pPr>
            <w:pStyle w:val="FirstFooter"/>
            <w:tabs>
              <w:tab w:val="left" w:pos="2302"/>
            </w:tabs>
            <w:rPr>
              <w:sz w:val="18"/>
              <w:szCs w:val="18"/>
              <w:lang w:val="en-US"/>
            </w:rPr>
          </w:pPr>
          <w:r w:rsidRPr="00385F4A">
            <w:rPr>
              <w:sz w:val="18"/>
              <w:szCs w:val="18"/>
              <w:lang w:val="en-US"/>
            </w:rPr>
            <w:t>n/a</w:t>
          </w:r>
        </w:p>
      </w:tc>
      <w:bookmarkStart w:id="6" w:name="PhoneNo"/>
      <w:bookmarkEnd w:id="6"/>
    </w:tr>
    <w:tr w:rsidR="0059420B" w:rsidRPr="00385F4A" w14:paraId="0299A231" w14:textId="77777777" w:rsidTr="001846A8">
      <w:tc>
        <w:tcPr>
          <w:tcW w:w="1526" w:type="dxa"/>
          <w:shd w:val="clear" w:color="auto" w:fill="auto"/>
        </w:tcPr>
        <w:p w14:paraId="35CBC438"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385F4A" w:rsidRDefault="0059420B" w:rsidP="0059420B">
          <w:pPr>
            <w:pStyle w:val="FirstFooter"/>
            <w:tabs>
              <w:tab w:val="left" w:pos="2302"/>
            </w:tabs>
            <w:rPr>
              <w:sz w:val="18"/>
              <w:szCs w:val="18"/>
              <w:lang w:val="en-US"/>
            </w:rPr>
          </w:pPr>
          <w:r w:rsidRPr="00385F4A">
            <w:rPr>
              <w:sz w:val="18"/>
              <w:szCs w:val="18"/>
              <w:lang w:val="en-US"/>
            </w:rPr>
            <w:t>E-mail:</w:t>
          </w:r>
        </w:p>
      </w:tc>
      <w:tc>
        <w:tcPr>
          <w:tcW w:w="5987" w:type="dxa"/>
        </w:tcPr>
        <w:p w14:paraId="7EAB0988" w14:textId="704FD639" w:rsidR="0059420B" w:rsidRPr="00385F4A" w:rsidRDefault="0022234D" w:rsidP="0059420B">
          <w:pPr>
            <w:pStyle w:val="FirstFooter"/>
            <w:tabs>
              <w:tab w:val="left" w:pos="2302"/>
            </w:tabs>
            <w:rPr>
              <w:sz w:val="18"/>
              <w:szCs w:val="18"/>
              <w:lang w:val="en-US"/>
            </w:rPr>
          </w:pPr>
          <w:hyperlink r:id="rId1" w:history="1">
            <w:r w:rsidRPr="00385F4A">
              <w:rPr>
                <w:rStyle w:val="Hyperlink"/>
                <w:sz w:val="18"/>
                <w:szCs w:val="18"/>
                <w:lang w:val="en-US"/>
              </w:rPr>
              <w:t>wangke@caict.ac.cn</w:t>
            </w:r>
          </w:hyperlink>
          <w:r w:rsidRPr="00385F4A">
            <w:rPr>
              <w:sz w:val="18"/>
              <w:szCs w:val="18"/>
              <w:lang w:val="en-US"/>
            </w:rPr>
            <w:t xml:space="preserve"> </w:t>
          </w:r>
        </w:p>
      </w:tc>
      <w:bookmarkStart w:id="7" w:name="Email"/>
      <w:bookmarkEnd w:id="7"/>
    </w:tr>
  </w:tbl>
  <w:p w14:paraId="40A321D0" w14:textId="0229252A" w:rsidR="00721657" w:rsidRPr="00385F4A"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5AAA" w14:textId="77777777" w:rsidR="00C37531" w:rsidRDefault="00C37531">
      <w:r>
        <w:t>____________________</w:t>
      </w:r>
    </w:p>
  </w:footnote>
  <w:footnote w:type="continuationSeparator" w:id="0">
    <w:p w14:paraId="63C284DF" w14:textId="77777777" w:rsidR="00C37531" w:rsidRDefault="00C37531">
      <w:r>
        <w:continuationSeparator/>
      </w:r>
    </w:p>
  </w:footnote>
  <w:footnote w:type="continuationNotice" w:id="1">
    <w:p w14:paraId="475B312C" w14:textId="77777777" w:rsidR="00C37531" w:rsidRDefault="00C375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5B82" w14:textId="77777777" w:rsidR="00D634C8" w:rsidRDefault="00D63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C99B6E7"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4B472B">
      <w:rPr>
        <w:sz w:val="22"/>
        <w:szCs w:val="22"/>
        <w:lang w:val="de-CH"/>
      </w:rPr>
      <w:t>2</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F1F1" w14:textId="77777777" w:rsidR="00D634C8" w:rsidRDefault="00D63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24A"/>
    <w:multiLevelType w:val="multilevel"/>
    <w:tmpl w:val="22E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103D8"/>
    <w:multiLevelType w:val="multilevel"/>
    <w:tmpl w:val="54CEE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D3392"/>
    <w:multiLevelType w:val="hybridMultilevel"/>
    <w:tmpl w:val="6D02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375A1"/>
    <w:multiLevelType w:val="multilevel"/>
    <w:tmpl w:val="2068B5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D44214"/>
    <w:multiLevelType w:val="multilevel"/>
    <w:tmpl w:val="876A7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51879"/>
    <w:multiLevelType w:val="hybridMultilevel"/>
    <w:tmpl w:val="445A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31FD3"/>
    <w:multiLevelType w:val="multilevel"/>
    <w:tmpl w:val="264EF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1C638E"/>
    <w:multiLevelType w:val="multilevel"/>
    <w:tmpl w:val="07FC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35B94"/>
    <w:multiLevelType w:val="multilevel"/>
    <w:tmpl w:val="065A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42B43"/>
    <w:multiLevelType w:val="hybridMultilevel"/>
    <w:tmpl w:val="D4CC560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10BA7"/>
    <w:multiLevelType w:val="multilevel"/>
    <w:tmpl w:val="8CE49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B43F9"/>
    <w:multiLevelType w:val="multilevel"/>
    <w:tmpl w:val="F65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093227C"/>
    <w:multiLevelType w:val="hybridMultilevel"/>
    <w:tmpl w:val="AE5EE496"/>
    <w:lvl w:ilvl="0" w:tplc="F9467F9A">
      <w:start w:val="1"/>
      <w:numFmt w:val="lowerLetter"/>
      <w:lvlText w:val="%1)"/>
      <w:lvlJc w:val="left"/>
      <w:pPr>
        <w:ind w:left="502" w:hanging="360"/>
      </w:pPr>
      <w:rPr>
        <w:rFonts w:asciiTheme="minorHAnsi" w:eastAsia="Times New Roman" w:hAnsiTheme="minorHAnsi" w:cstheme="minorBidi"/>
        <w:b/>
        <w:bCs/>
        <w:i w:val="0"/>
        <w:iCs w:val="0"/>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16" w15:restartNumberingAfterBreak="0">
    <w:nsid w:val="6D1D329C"/>
    <w:multiLevelType w:val="multilevel"/>
    <w:tmpl w:val="96D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C4A40"/>
    <w:multiLevelType w:val="multilevel"/>
    <w:tmpl w:val="55BEC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265857">
    <w:abstractNumId w:val="14"/>
  </w:num>
  <w:num w:numId="2" w16cid:durableId="1855608393">
    <w:abstractNumId w:val="3"/>
  </w:num>
  <w:num w:numId="3" w16cid:durableId="2042198495">
    <w:abstractNumId w:val="0"/>
  </w:num>
  <w:num w:numId="4" w16cid:durableId="2012491403">
    <w:abstractNumId w:val="16"/>
  </w:num>
  <w:num w:numId="5" w16cid:durableId="1714883065">
    <w:abstractNumId w:val="10"/>
  </w:num>
  <w:num w:numId="6" w16cid:durableId="1188375125">
    <w:abstractNumId w:val="17"/>
  </w:num>
  <w:num w:numId="7" w16cid:durableId="1944873884">
    <w:abstractNumId w:val="13"/>
  </w:num>
  <w:num w:numId="8" w16cid:durableId="1489587733">
    <w:abstractNumId w:val="9"/>
  </w:num>
  <w:num w:numId="9" w16cid:durableId="1501971685">
    <w:abstractNumId w:val="12"/>
  </w:num>
  <w:num w:numId="10" w16cid:durableId="1476951861">
    <w:abstractNumId w:val="7"/>
  </w:num>
  <w:num w:numId="11" w16cid:durableId="340350536">
    <w:abstractNumId w:val="4"/>
  </w:num>
  <w:num w:numId="12" w16cid:durableId="1232274257">
    <w:abstractNumId w:val="1"/>
  </w:num>
  <w:num w:numId="13" w16cid:durableId="374890059">
    <w:abstractNumId w:val="15"/>
  </w:num>
  <w:num w:numId="14" w16cid:durableId="1239242322">
    <w:abstractNumId w:val="5"/>
  </w:num>
  <w:num w:numId="15" w16cid:durableId="886989150">
    <w:abstractNumId w:val="2"/>
  </w:num>
  <w:num w:numId="16" w16cid:durableId="2142140758">
    <w:abstractNumId w:val="6"/>
  </w:num>
  <w:num w:numId="17" w16cid:durableId="1208488250">
    <w:abstractNumId w:val="8"/>
  </w:num>
  <w:num w:numId="18" w16cid:durableId="1539899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2F2"/>
    <w:rsid w:val="00010827"/>
    <w:rsid w:val="00015089"/>
    <w:rsid w:val="00021196"/>
    <w:rsid w:val="00023123"/>
    <w:rsid w:val="000235D9"/>
    <w:rsid w:val="0002520B"/>
    <w:rsid w:val="0002609E"/>
    <w:rsid w:val="00030397"/>
    <w:rsid w:val="00033399"/>
    <w:rsid w:val="00033764"/>
    <w:rsid w:val="00037A9E"/>
    <w:rsid w:val="00037F91"/>
    <w:rsid w:val="00044186"/>
    <w:rsid w:val="00045555"/>
    <w:rsid w:val="00045F6B"/>
    <w:rsid w:val="0005103A"/>
    <w:rsid w:val="000539F1"/>
    <w:rsid w:val="00054747"/>
    <w:rsid w:val="00055A2A"/>
    <w:rsid w:val="00056FFD"/>
    <w:rsid w:val="000615C1"/>
    <w:rsid w:val="00061675"/>
    <w:rsid w:val="00062CD7"/>
    <w:rsid w:val="00073A02"/>
    <w:rsid w:val="000743AA"/>
    <w:rsid w:val="00084D9D"/>
    <w:rsid w:val="0009076F"/>
    <w:rsid w:val="0009225C"/>
    <w:rsid w:val="000A05C6"/>
    <w:rsid w:val="000A17C4"/>
    <w:rsid w:val="000A36A4"/>
    <w:rsid w:val="000A3F30"/>
    <w:rsid w:val="000A6986"/>
    <w:rsid w:val="000B2352"/>
    <w:rsid w:val="000C2424"/>
    <w:rsid w:val="000C6BEE"/>
    <w:rsid w:val="000C7B84"/>
    <w:rsid w:val="000D261B"/>
    <w:rsid w:val="000D58A3"/>
    <w:rsid w:val="000E07A7"/>
    <w:rsid w:val="000E3ED4"/>
    <w:rsid w:val="000E3F9C"/>
    <w:rsid w:val="000F1550"/>
    <w:rsid w:val="000F251B"/>
    <w:rsid w:val="000F5FE8"/>
    <w:rsid w:val="000F6644"/>
    <w:rsid w:val="00100833"/>
    <w:rsid w:val="00102F72"/>
    <w:rsid w:val="001044F0"/>
    <w:rsid w:val="00105F4C"/>
    <w:rsid w:val="00107E85"/>
    <w:rsid w:val="00113EE8"/>
    <w:rsid w:val="0011455A"/>
    <w:rsid w:val="00114A65"/>
    <w:rsid w:val="00125A21"/>
    <w:rsid w:val="00127621"/>
    <w:rsid w:val="00133061"/>
    <w:rsid w:val="0013591E"/>
    <w:rsid w:val="00141699"/>
    <w:rsid w:val="00144AFC"/>
    <w:rsid w:val="00147000"/>
    <w:rsid w:val="00160399"/>
    <w:rsid w:val="00160E73"/>
    <w:rsid w:val="00163091"/>
    <w:rsid w:val="00163F48"/>
    <w:rsid w:val="001645CB"/>
    <w:rsid w:val="00166305"/>
    <w:rsid w:val="00167545"/>
    <w:rsid w:val="001703C6"/>
    <w:rsid w:val="00173781"/>
    <w:rsid w:val="00175ADF"/>
    <w:rsid w:val="00175CAE"/>
    <w:rsid w:val="001761E3"/>
    <w:rsid w:val="001828DB"/>
    <w:rsid w:val="001846A8"/>
    <w:rsid w:val="001850FE"/>
    <w:rsid w:val="00185135"/>
    <w:rsid w:val="0019037C"/>
    <w:rsid w:val="001905A9"/>
    <w:rsid w:val="00191273"/>
    <w:rsid w:val="001942A7"/>
    <w:rsid w:val="00195425"/>
    <w:rsid w:val="0019587B"/>
    <w:rsid w:val="00196D57"/>
    <w:rsid w:val="001A163D"/>
    <w:rsid w:val="001A441E"/>
    <w:rsid w:val="001A598C"/>
    <w:rsid w:val="001A6733"/>
    <w:rsid w:val="001B19F0"/>
    <w:rsid w:val="001B264E"/>
    <w:rsid w:val="001B357F"/>
    <w:rsid w:val="001B57FF"/>
    <w:rsid w:val="001C22B1"/>
    <w:rsid w:val="001C3444"/>
    <w:rsid w:val="001C3702"/>
    <w:rsid w:val="001C4656"/>
    <w:rsid w:val="001C46BC"/>
    <w:rsid w:val="001C6622"/>
    <w:rsid w:val="001D1941"/>
    <w:rsid w:val="001D1E06"/>
    <w:rsid w:val="001E56FA"/>
    <w:rsid w:val="001F23E6"/>
    <w:rsid w:val="001F2E4A"/>
    <w:rsid w:val="001F4238"/>
    <w:rsid w:val="00200A38"/>
    <w:rsid w:val="00200A46"/>
    <w:rsid w:val="00202F2D"/>
    <w:rsid w:val="00211B6F"/>
    <w:rsid w:val="00217CC3"/>
    <w:rsid w:val="00220AB6"/>
    <w:rsid w:val="0022120F"/>
    <w:rsid w:val="0022234D"/>
    <w:rsid w:val="002258FE"/>
    <w:rsid w:val="00226153"/>
    <w:rsid w:val="0022754A"/>
    <w:rsid w:val="00235CAB"/>
    <w:rsid w:val="00236560"/>
    <w:rsid w:val="0023662E"/>
    <w:rsid w:val="002414B0"/>
    <w:rsid w:val="00245D0F"/>
    <w:rsid w:val="002468FD"/>
    <w:rsid w:val="00250E7E"/>
    <w:rsid w:val="00252245"/>
    <w:rsid w:val="002548C3"/>
    <w:rsid w:val="00256599"/>
    <w:rsid w:val="00257ACD"/>
    <w:rsid w:val="00262908"/>
    <w:rsid w:val="002650F4"/>
    <w:rsid w:val="0027069A"/>
    <w:rsid w:val="00271204"/>
    <w:rsid w:val="002715FD"/>
    <w:rsid w:val="002728BF"/>
    <w:rsid w:val="002770B1"/>
    <w:rsid w:val="002856E8"/>
    <w:rsid w:val="00285B33"/>
    <w:rsid w:val="00287A3C"/>
    <w:rsid w:val="00297E4A"/>
    <w:rsid w:val="002A2FC6"/>
    <w:rsid w:val="002B724C"/>
    <w:rsid w:val="002C1EC7"/>
    <w:rsid w:val="002C3015"/>
    <w:rsid w:val="002C4342"/>
    <w:rsid w:val="002C79AD"/>
    <w:rsid w:val="002C7EA3"/>
    <w:rsid w:val="002D18F4"/>
    <w:rsid w:val="002D20AE"/>
    <w:rsid w:val="002D6C61"/>
    <w:rsid w:val="002E2104"/>
    <w:rsid w:val="002E2DAC"/>
    <w:rsid w:val="002E6963"/>
    <w:rsid w:val="002E6F8F"/>
    <w:rsid w:val="002F05D8"/>
    <w:rsid w:val="002F2DE0"/>
    <w:rsid w:val="002F48C5"/>
    <w:rsid w:val="002F5E25"/>
    <w:rsid w:val="00301246"/>
    <w:rsid w:val="0030353C"/>
    <w:rsid w:val="003063E7"/>
    <w:rsid w:val="00307769"/>
    <w:rsid w:val="00311645"/>
    <w:rsid w:val="003125C3"/>
    <w:rsid w:val="00312AE6"/>
    <w:rsid w:val="00313534"/>
    <w:rsid w:val="00317870"/>
    <w:rsid w:val="00317D1A"/>
    <w:rsid w:val="003211FF"/>
    <w:rsid w:val="003242AB"/>
    <w:rsid w:val="0032485A"/>
    <w:rsid w:val="00324BD6"/>
    <w:rsid w:val="00327247"/>
    <w:rsid w:val="00327A9D"/>
    <w:rsid w:val="0033130E"/>
    <w:rsid w:val="0033269C"/>
    <w:rsid w:val="003336E8"/>
    <w:rsid w:val="00342882"/>
    <w:rsid w:val="003454B8"/>
    <w:rsid w:val="00351C79"/>
    <w:rsid w:val="0035516C"/>
    <w:rsid w:val="00355A4C"/>
    <w:rsid w:val="00355CC8"/>
    <w:rsid w:val="003604FB"/>
    <w:rsid w:val="00360B73"/>
    <w:rsid w:val="00380B71"/>
    <w:rsid w:val="0038365A"/>
    <w:rsid w:val="00383ABB"/>
    <w:rsid w:val="003847AA"/>
    <w:rsid w:val="00385F4A"/>
    <w:rsid w:val="00386A89"/>
    <w:rsid w:val="0039648E"/>
    <w:rsid w:val="00396F17"/>
    <w:rsid w:val="0039712A"/>
    <w:rsid w:val="003A5AFE"/>
    <w:rsid w:val="003A5D5F"/>
    <w:rsid w:val="003A7FFE"/>
    <w:rsid w:val="003B0A63"/>
    <w:rsid w:val="003B146A"/>
    <w:rsid w:val="003B50E1"/>
    <w:rsid w:val="003B6FE1"/>
    <w:rsid w:val="003C1746"/>
    <w:rsid w:val="003C2AA9"/>
    <w:rsid w:val="003C58BF"/>
    <w:rsid w:val="003D451D"/>
    <w:rsid w:val="003F2DD8"/>
    <w:rsid w:val="003F380E"/>
    <w:rsid w:val="003F3F2D"/>
    <w:rsid w:val="003F50B2"/>
    <w:rsid w:val="004006AD"/>
    <w:rsid w:val="00400CCF"/>
    <w:rsid w:val="00401BFF"/>
    <w:rsid w:val="00404424"/>
    <w:rsid w:val="004049FA"/>
    <w:rsid w:val="0041156B"/>
    <w:rsid w:val="004122C5"/>
    <w:rsid w:val="00413B78"/>
    <w:rsid w:val="004146FD"/>
    <w:rsid w:val="00416DDE"/>
    <w:rsid w:val="00435C6C"/>
    <w:rsid w:val="00440CC2"/>
    <w:rsid w:val="00441999"/>
    <w:rsid w:val="0044411E"/>
    <w:rsid w:val="00453435"/>
    <w:rsid w:val="00460089"/>
    <w:rsid w:val="004611DA"/>
    <w:rsid w:val="00466398"/>
    <w:rsid w:val="004712A4"/>
    <w:rsid w:val="0047306D"/>
    <w:rsid w:val="00473791"/>
    <w:rsid w:val="00476E48"/>
    <w:rsid w:val="00481DE9"/>
    <w:rsid w:val="0048650C"/>
    <w:rsid w:val="0049128B"/>
    <w:rsid w:val="00493B49"/>
    <w:rsid w:val="00495501"/>
    <w:rsid w:val="00497FC6"/>
    <w:rsid w:val="004A070A"/>
    <w:rsid w:val="004A320E"/>
    <w:rsid w:val="004A4E9C"/>
    <w:rsid w:val="004A7FEF"/>
    <w:rsid w:val="004B1A3C"/>
    <w:rsid w:val="004B472B"/>
    <w:rsid w:val="004B7085"/>
    <w:rsid w:val="004D14BB"/>
    <w:rsid w:val="004D2CC3"/>
    <w:rsid w:val="004D35CB"/>
    <w:rsid w:val="004D7DAB"/>
    <w:rsid w:val="004E20E5"/>
    <w:rsid w:val="004E6420"/>
    <w:rsid w:val="004E64EA"/>
    <w:rsid w:val="004E6DAD"/>
    <w:rsid w:val="004E7828"/>
    <w:rsid w:val="004F3CF0"/>
    <w:rsid w:val="004F46AA"/>
    <w:rsid w:val="004F6A70"/>
    <w:rsid w:val="005000F4"/>
    <w:rsid w:val="00500AD7"/>
    <w:rsid w:val="00502ABF"/>
    <w:rsid w:val="00504213"/>
    <w:rsid w:val="00504DB0"/>
    <w:rsid w:val="005078A4"/>
    <w:rsid w:val="00507C35"/>
    <w:rsid w:val="00510735"/>
    <w:rsid w:val="00514D2F"/>
    <w:rsid w:val="00520F4A"/>
    <w:rsid w:val="00533CDD"/>
    <w:rsid w:val="00541042"/>
    <w:rsid w:val="0054420E"/>
    <w:rsid w:val="00544D1B"/>
    <w:rsid w:val="00545DC0"/>
    <w:rsid w:val="00545F6C"/>
    <w:rsid w:val="005477D9"/>
    <w:rsid w:val="00552481"/>
    <w:rsid w:val="00556E1C"/>
    <w:rsid w:val="0055720C"/>
    <w:rsid w:val="00561796"/>
    <w:rsid w:val="005632DD"/>
    <w:rsid w:val="0056387E"/>
    <w:rsid w:val="00563F4A"/>
    <w:rsid w:val="0056423B"/>
    <w:rsid w:val="00565D61"/>
    <w:rsid w:val="00566BDC"/>
    <w:rsid w:val="00573424"/>
    <w:rsid w:val="0057402F"/>
    <w:rsid w:val="00581653"/>
    <w:rsid w:val="005849D6"/>
    <w:rsid w:val="00585367"/>
    <w:rsid w:val="00585ED6"/>
    <w:rsid w:val="005871A1"/>
    <w:rsid w:val="0058737E"/>
    <w:rsid w:val="00590C3F"/>
    <w:rsid w:val="00591480"/>
    <w:rsid w:val="00592518"/>
    <w:rsid w:val="00592E87"/>
    <w:rsid w:val="0059420B"/>
    <w:rsid w:val="00594C4D"/>
    <w:rsid w:val="005A33B0"/>
    <w:rsid w:val="005A406D"/>
    <w:rsid w:val="005A4AB8"/>
    <w:rsid w:val="005B2CB6"/>
    <w:rsid w:val="005B7DBF"/>
    <w:rsid w:val="005C153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44F"/>
    <w:rsid w:val="00616143"/>
    <w:rsid w:val="00623F30"/>
    <w:rsid w:val="00625FB8"/>
    <w:rsid w:val="006261BD"/>
    <w:rsid w:val="00630018"/>
    <w:rsid w:val="00635EDB"/>
    <w:rsid w:val="006426A1"/>
    <w:rsid w:val="00642C3C"/>
    <w:rsid w:val="00646EFD"/>
    <w:rsid w:val="0064734E"/>
    <w:rsid w:val="00650137"/>
    <w:rsid w:val="006509D7"/>
    <w:rsid w:val="00651CE8"/>
    <w:rsid w:val="0065521B"/>
    <w:rsid w:val="00670717"/>
    <w:rsid w:val="00671519"/>
    <w:rsid w:val="00671EF6"/>
    <w:rsid w:val="0067205B"/>
    <w:rsid w:val="006748F8"/>
    <w:rsid w:val="00680489"/>
    <w:rsid w:val="00683C32"/>
    <w:rsid w:val="00690BB2"/>
    <w:rsid w:val="00693D09"/>
    <w:rsid w:val="006A6549"/>
    <w:rsid w:val="006A7710"/>
    <w:rsid w:val="006A7A61"/>
    <w:rsid w:val="006B0D3F"/>
    <w:rsid w:val="006B1E59"/>
    <w:rsid w:val="006B2FFB"/>
    <w:rsid w:val="006C075B"/>
    <w:rsid w:val="006C10A2"/>
    <w:rsid w:val="006C1F18"/>
    <w:rsid w:val="006D40D5"/>
    <w:rsid w:val="006D4EA0"/>
    <w:rsid w:val="006D566E"/>
    <w:rsid w:val="006F009A"/>
    <w:rsid w:val="006F24AF"/>
    <w:rsid w:val="006F33F1"/>
    <w:rsid w:val="006F3D93"/>
    <w:rsid w:val="007019B1"/>
    <w:rsid w:val="00704769"/>
    <w:rsid w:val="00705168"/>
    <w:rsid w:val="00714548"/>
    <w:rsid w:val="00714AC6"/>
    <w:rsid w:val="0071703D"/>
    <w:rsid w:val="00721657"/>
    <w:rsid w:val="007279A8"/>
    <w:rsid w:val="00727B1A"/>
    <w:rsid w:val="00741337"/>
    <w:rsid w:val="00741443"/>
    <w:rsid w:val="00743248"/>
    <w:rsid w:val="00744A3D"/>
    <w:rsid w:val="00752258"/>
    <w:rsid w:val="007529E1"/>
    <w:rsid w:val="0076272A"/>
    <w:rsid w:val="00762880"/>
    <w:rsid w:val="00762AD6"/>
    <w:rsid w:val="00762E02"/>
    <w:rsid w:val="00762F18"/>
    <w:rsid w:val="0076337C"/>
    <w:rsid w:val="00772290"/>
    <w:rsid w:val="0077245E"/>
    <w:rsid w:val="00777265"/>
    <w:rsid w:val="007805E7"/>
    <w:rsid w:val="0078222A"/>
    <w:rsid w:val="00787D48"/>
    <w:rsid w:val="00795294"/>
    <w:rsid w:val="007A4E50"/>
    <w:rsid w:val="007B18A7"/>
    <w:rsid w:val="007B250E"/>
    <w:rsid w:val="007C27FC"/>
    <w:rsid w:val="007C51FF"/>
    <w:rsid w:val="007D3028"/>
    <w:rsid w:val="007D50E4"/>
    <w:rsid w:val="007E2DC5"/>
    <w:rsid w:val="007F1CC7"/>
    <w:rsid w:val="007F6193"/>
    <w:rsid w:val="008027AC"/>
    <w:rsid w:val="008028CE"/>
    <w:rsid w:val="0080332E"/>
    <w:rsid w:val="00807862"/>
    <w:rsid w:val="008141E0"/>
    <w:rsid w:val="00816EE1"/>
    <w:rsid w:val="00816F88"/>
    <w:rsid w:val="00821996"/>
    <w:rsid w:val="00822323"/>
    <w:rsid w:val="00826A3E"/>
    <w:rsid w:val="00827BC6"/>
    <w:rsid w:val="008300AD"/>
    <w:rsid w:val="008313CC"/>
    <w:rsid w:val="00833024"/>
    <w:rsid w:val="008419B1"/>
    <w:rsid w:val="00844A56"/>
    <w:rsid w:val="00845B11"/>
    <w:rsid w:val="00852081"/>
    <w:rsid w:val="00864572"/>
    <w:rsid w:val="008711F3"/>
    <w:rsid w:val="00872B6E"/>
    <w:rsid w:val="008737B5"/>
    <w:rsid w:val="00874DFD"/>
    <w:rsid w:val="008802F9"/>
    <w:rsid w:val="00883086"/>
    <w:rsid w:val="00886F1F"/>
    <w:rsid w:val="008879FD"/>
    <w:rsid w:val="00894C37"/>
    <w:rsid w:val="008A00EA"/>
    <w:rsid w:val="008A382A"/>
    <w:rsid w:val="008A3F93"/>
    <w:rsid w:val="008A6236"/>
    <w:rsid w:val="008A6899"/>
    <w:rsid w:val="008A6E1C"/>
    <w:rsid w:val="008A72FD"/>
    <w:rsid w:val="008B2EDF"/>
    <w:rsid w:val="008B47C7"/>
    <w:rsid w:val="008B5129"/>
    <w:rsid w:val="008B54CB"/>
    <w:rsid w:val="008B5A3D"/>
    <w:rsid w:val="008C4010"/>
    <w:rsid w:val="008C447F"/>
    <w:rsid w:val="008C4FDF"/>
    <w:rsid w:val="008C6B1F"/>
    <w:rsid w:val="008D4388"/>
    <w:rsid w:val="008D5E4F"/>
    <w:rsid w:val="008E0E05"/>
    <w:rsid w:val="008E34F0"/>
    <w:rsid w:val="008F0B15"/>
    <w:rsid w:val="008F1211"/>
    <w:rsid w:val="008F14F5"/>
    <w:rsid w:val="008F71C1"/>
    <w:rsid w:val="00902D41"/>
    <w:rsid w:val="00902F49"/>
    <w:rsid w:val="00904230"/>
    <w:rsid w:val="00911DCF"/>
    <w:rsid w:val="00914004"/>
    <w:rsid w:val="00922EC1"/>
    <w:rsid w:val="00923CF1"/>
    <w:rsid w:val="009301F1"/>
    <w:rsid w:val="009307DF"/>
    <w:rsid w:val="00933ACB"/>
    <w:rsid w:val="009359B8"/>
    <w:rsid w:val="00935FF0"/>
    <w:rsid w:val="00937F56"/>
    <w:rsid w:val="0094241F"/>
    <w:rsid w:val="009431F8"/>
    <w:rsid w:val="00947A35"/>
    <w:rsid w:val="00950851"/>
    <w:rsid w:val="00952667"/>
    <w:rsid w:val="00955F81"/>
    <w:rsid w:val="0096201B"/>
    <w:rsid w:val="00962081"/>
    <w:rsid w:val="0096295F"/>
    <w:rsid w:val="00966CB5"/>
    <w:rsid w:val="009701BC"/>
    <w:rsid w:val="00975786"/>
    <w:rsid w:val="00981CB7"/>
    <w:rsid w:val="00983E1F"/>
    <w:rsid w:val="009842AD"/>
    <w:rsid w:val="00992DDC"/>
    <w:rsid w:val="00993F46"/>
    <w:rsid w:val="009966C4"/>
    <w:rsid w:val="00997358"/>
    <w:rsid w:val="009A452B"/>
    <w:rsid w:val="009B050C"/>
    <w:rsid w:val="009B087F"/>
    <w:rsid w:val="009B2AF4"/>
    <w:rsid w:val="009C110B"/>
    <w:rsid w:val="009C371E"/>
    <w:rsid w:val="009C5441"/>
    <w:rsid w:val="009D119F"/>
    <w:rsid w:val="009D49A2"/>
    <w:rsid w:val="009D593D"/>
    <w:rsid w:val="009F3940"/>
    <w:rsid w:val="009F3EB2"/>
    <w:rsid w:val="009F6EB1"/>
    <w:rsid w:val="00A11D05"/>
    <w:rsid w:val="00A12A1A"/>
    <w:rsid w:val="00A13162"/>
    <w:rsid w:val="00A16A50"/>
    <w:rsid w:val="00A20267"/>
    <w:rsid w:val="00A22AF7"/>
    <w:rsid w:val="00A2671B"/>
    <w:rsid w:val="00A3158C"/>
    <w:rsid w:val="00A32DF3"/>
    <w:rsid w:val="00A33E32"/>
    <w:rsid w:val="00A3409C"/>
    <w:rsid w:val="00A34954"/>
    <w:rsid w:val="00A35E20"/>
    <w:rsid w:val="00A36F6D"/>
    <w:rsid w:val="00A44586"/>
    <w:rsid w:val="00A50CA0"/>
    <w:rsid w:val="00A51708"/>
    <w:rsid w:val="00A525CC"/>
    <w:rsid w:val="00A53E7C"/>
    <w:rsid w:val="00A57216"/>
    <w:rsid w:val="00A60087"/>
    <w:rsid w:val="00A64536"/>
    <w:rsid w:val="00A702B0"/>
    <w:rsid w:val="00A705E8"/>
    <w:rsid w:val="00A721F4"/>
    <w:rsid w:val="00A87012"/>
    <w:rsid w:val="00A900F7"/>
    <w:rsid w:val="00A9392C"/>
    <w:rsid w:val="00A9462B"/>
    <w:rsid w:val="00A952D7"/>
    <w:rsid w:val="00A97D59"/>
    <w:rsid w:val="00AA033B"/>
    <w:rsid w:val="00AA0C2A"/>
    <w:rsid w:val="00AA3E09"/>
    <w:rsid w:val="00AA4698"/>
    <w:rsid w:val="00AA4BEF"/>
    <w:rsid w:val="00AB1659"/>
    <w:rsid w:val="00AB3193"/>
    <w:rsid w:val="00AB4962"/>
    <w:rsid w:val="00AB6C88"/>
    <w:rsid w:val="00AB734E"/>
    <w:rsid w:val="00AB740F"/>
    <w:rsid w:val="00AC1997"/>
    <w:rsid w:val="00AC682A"/>
    <w:rsid w:val="00AC6F14"/>
    <w:rsid w:val="00AC7221"/>
    <w:rsid w:val="00AC7B03"/>
    <w:rsid w:val="00AD4677"/>
    <w:rsid w:val="00AE47CE"/>
    <w:rsid w:val="00AE5961"/>
    <w:rsid w:val="00AE648B"/>
    <w:rsid w:val="00AF0745"/>
    <w:rsid w:val="00AF4971"/>
    <w:rsid w:val="00AF5276"/>
    <w:rsid w:val="00AF53D6"/>
    <w:rsid w:val="00AF7C86"/>
    <w:rsid w:val="00B00907"/>
    <w:rsid w:val="00B01046"/>
    <w:rsid w:val="00B10A24"/>
    <w:rsid w:val="00B310F9"/>
    <w:rsid w:val="00B37866"/>
    <w:rsid w:val="00B412FB"/>
    <w:rsid w:val="00B431BF"/>
    <w:rsid w:val="00B4576B"/>
    <w:rsid w:val="00B46350"/>
    <w:rsid w:val="00B46DF3"/>
    <w:rsid w:val="00B52EDD"/>
    <w:rsid w:val="00B5794F"/>
    <w:rsid w:val="00B61E0B"/>
    <w:rsid w:val="00B648C7"/>
    <w:rsid w:val="00B66E8F"/>
    <w:rsid w:val="00B73156"/>
    <w:rsid w:val="00B80157"/>
    <w:rsid w:val="00B83D5E"/>
    <w:rsid w:val="00B8460A"/>
    <w:rsid w:val="00B8650D"/>
    <w:rsid w:val="00B879B4"/>
    <w:rsid w:val="00B90BBE"/>
    <w:rsid w:val="00B90F07"/>
    <w:rsid w:val="00B97402"/>
    <w:rsid w:val="00B97BB9"/>
    <w:rsid w:val="00BA0009"/>
    <w:rsid w:val="00BB02B5"/>
    <w:rsid w:val="00BB1863"/>
    <w:rsid w:val="00BB25EE"/>
    <w:rsid w:val="00BB363A"/>
    <w:rsid w:val="00BC10A0"/>
    <w:rsid w:val="00BC6912"/>
    <w:rsid w:val="00BC7BA2"/>
    <w:rsid w:val="00BD426B"/>
    <w:rsid w:val="00BD79F0"/>
    <w:rsid w:val="00BE2B4D"/>
    <w:rsid w:val="00BE3F90"/>
    <w:rsid w:val="00C015F8"/>
    <w:rsid w:val="00C02C2A"/>
    <w:rsid w:val="00C055F9"/>
    <w:rsid w:val="00C07E26"/>
    <w:rsid w:val="00C1011C"/>
    <w:rsid w:val="00C1039E"/>
    <w:rsid w:val="00C12F94"/>
    <w:rsid w:val="00C177C5"/>
    <w:rsid w:val="00C17ADF"/>
    <w:rsid w:val="00C34EC3"/>
    <w:rsid w:val="00C37531"/>
    <w:rsid w:val="00C4038C"/>
    <w:rsid w:val="00C409C1"/>
    <w:rsid w:val="00C42BA2"/>
    <w:rsid w:val="00C44066"/>
    <w:rsid w:val="00C44E13"/>
    <w:rsid w:val="00C537A7"/>
    <w:rsid w:val="00C54902"/>
    <w:rsid w:val="00C56A2B"/>
    <w:rsid w:val="00C60A41"/>
    <w:rsid w:val="00C60D8B"/>
    <w:rsid w:val="00C62DE8"/>
    <w:rsid w:val="00C62DFB"/>
    <w:rsid w:val="00C630E6"/>
    <w:rsid w:val="00C63812"/>
    <w:rsid w:val="00C645D7"/>
    <w:rsid w:val="00C64AF3"/>
    <w:rsid w:val="00C66F4D"/>
    <w:rsid w:val="00C67BB5"/>
    <w:rsid w:val="00C72713"/>
    <w:rsid w:val="00C83472"/>
    <w:rsid w:val="00C848EF"/>
    <w:rsid w:val="00C86600"/>
    <w:rsid w:val="00C87BCA"/>
    <w:rsid w:val="00C87EED"/>
    <w:rsid w:val="00C90982"/>
    <w:rsid w:val="00C92F18"/>
    <w:rsid w:val="00C94506"/>
    <w:rsid w:val="00C954BC"/>
    <w:rsid w:val="00CA1F0B"/>
    <w:rsid w:val="00CA7C46"/>
    <w:rsid w:val="00CB110F"/>
    <w:rsid w:val="00CB2A2E"/>
    <w:rsid w:val="00CB338A"/>
    <w:rsid w:val="00CB79C5"/>
    <w:rsid w:val="00CC411F"/>
    <w:rsid w:val="00CC4B75"/>
    <w:rsid w:val="00CC732E"/>
    <w:rsid w:val="00CD2FCD"/>
    <w:rsid w:val="00CD66FC"/>
    <w:rsid w:val="00CD7207"/>
    <w:rsid w:val="00CE0422"/>
    <w:rsid w:val="00CE0DBE"/>
    <w:rsid w:val="00CE3A8B"/>
    <w:rsid w:val="00CE5E4D"/>
    <w:rsid w:val="00CF02C4"/>
    <w:rsid w:val="00CF167F"/>
    <w:rsid w:val="00CF4519"/>
    <w:rsid w:val="00CF72E5"/>
    <w:rsid w:val="00D013EE"/>
    <w:rsid w:val="00D01F54"/>
    <w:rsid w:val="00D040F7"/>
    <w:rsid w:val="00D04A76"/>
    <w:rsid w:val="00D10FC7"/>
    <w:rsid w:val="00D13CC1"/>
    <w:rsid w:val="00D1519F"/>
    <w:rsid w:val="00D168EA"/>
    <w:rsid w:val="00D1703C"/>
    <w:rsid w:val="00D17745"/>
    <w:rsid w:val="00D1788C"/>
    <w:rsid w:val="00D20E99"/>
    <w:rsid w:val="00D21496"/>
    <w:rsid w:val="00D21C83"/>
    <w:rsid w:val="00D22611"/>
    <w:rsid w:val="00D240C5"/>
    <w:rsid w:val="00D35BDD"/>
    <w:rsid w:val="00D364B3"/>
    <w:rsid w:val="00D37227"/>
    <w:rsid w:val="00D43A5F"/>
    <w:rsid w:val="00D63006"/>
    <w:rsid w:val="00D634C8"/>
    <w:rsid w:val="00D72301"/>
    <w:rsid w:val="00D7779E"/>
    <w:rsid w:val="00D80491"/>
    <w:rsid w:val="00D911DE"/>
    <w:rsid w:val="00D91B97"/>
    <w:rsid w:val="00D93ACC"/>
    <w:rsid w:val="00D93C08"/>
    <w:rsid w:val="00D95DAC"/>
    <w:rsid w:val="00D95FB2"/>
    <w:rsid w:val="00DA0B53"/>
    <w:rsid w:val="00DB1171"/>
    <w:rsid w:val="00DB1519"/>
    <w:rsid w:val="00DB2840"/>
    <w:rsid w:val="00DC1BD3"/>
    <w:rsid w:val="00DC2C1A"/>
    <w:rsid w:val="00DC488E"/>
    <w:rsid w:val="00DD66B4"/>
    <w:rsid w:val="00DE1972"/>
    <w:rsid w:val="00DE27AB"/>
    <w:rsid w:val="00DF2AB3"/>
    <w:rsid w:val="00DF4993"/>
    <w:rsid w:val="00DF6599"/>
    <w:rsid w:val="00DF7250"/>
    <w:rsid w:val="00E0069C"/>
    <w:rsid w:val="00E00CAA"/>
    <w:rsid w:val="00E03EBF"/>
    <w:rsid w:val="00E05209"/>
    <w:rsid w:val="00E05AC1"/>
    <w:rsid w:val="00E11BCF"/>
    <w:rsid w:val="00E178EC"/>
    <w:rsid w:val="00E2258E"/>
    <w:rsid w:val="00E260C2"/>
    <w:rsid w:val="00E32596"/>
    <w:rsid w:val="00E36594"/>
    <w:rsid w:val="00E368F7"/>
    <w:rsid w:val="00E36EB8"/>
    <w:rsid w:val="00E37FB8"/>
    <w:rsid w:val="00E40B07"/>
    <w:rsid w:val="00E42326"/>
    <w:rsid w:val="00E43544"/>
    <w:rsid w:val="00E440CC"/>
    <w:rsid w:val="00E44D89"/>
    <w:rsid w:val="00E477EA"/>
    <w:rsid w:val="00E546D3"/>
    <w:rsid w:val="00E55807"/>
    <w:rsid w:val="00E63B14"/>
    <w:rsid w:val="00E65338"/>
    <w:rsid w:val="00E65CA0"/>
    <w:rsid w:val="00E67601"/>
    <w:rsid w:val="00E70D9F"/>
    <w:rsid w:val="00E83810"/>
    <w:rsid w:val="00E86933"/>
    <w:rsid w:val="00E9605B"/>
    <w:rsid w:val="00E97298"/>
    <w:rsid w:val="00E97753"/>
    <w:rsid w:val="00EA0C51"/>
    <w:rsid w:val="00EA15D7"/>
    <w:rsid w:val="00EA7DE7"/>
    <w:rsid w:val="00EB2247"/>
    <w:rsid w:val="00EB7A8A"/>
    <w:rsid w:val="00EC6FED"/>
    <w:rsid w:val="00EC7F3B"/>
    <w:rsid w:val="00ED0AF5"/>
    <w:rsid w:val="00ED5299"/>
    <w:rsid w:val="00ED5309"/>
    <w:rsid w:val="00ED57E3"/>
    <w:rsid w:val="00ED7114"/>
    <w:rsid w:val="00EE3A64"/>
    <w:rsid w:val="00EE50E5"/>
    <w:rsid w:val="00EF01CF"/>
    <w:rsid w:val="00EF0D68"/>
    <w:rsid w:val="00F00DDF"/>
    <w:rsid w:val="00F03590"/>
    <w:rsid w:val="00F03622"/>
    <w:rsid w:val="00F077FD"/>
    <w:rsid w:val="00F12278"/>
    <w:rsid w:val="00F17674"/>
    <w:rsid w:val="00F204F3"/>
    <w:rsid w:val="00F20A68"/>
    <w:rsid w:val="00F218AB"/>
    <w:rsid w:val="00F238B3"/>
    <w:rsid w:val="00F24FED"/>
    <w:rsid w:val="00F25586"/>
    <w:rsid w:val="00F2651D"/>
    <w:rsid w:val="00F27362"/>
    <w:rsid w:val="00F31498"/>
    <w:rsid w:val="00F32FEF"/>
    <w:rsid w:val="00F33C54"/>
    <w:rsid w:val="00F36699"/>
    <w:rsid w:val="00F41B1C"/>
    <w:rsid w:val="00F42E13"/>
    <w:rsid w:val="00F42F1C"/>
    <w:rsid w:val="00F43B44"/>
    <w:rsid w:val="00F440E5"/>
    <w:rsid w:val="00F448F6"/>
    <w:rsid w:val="00F507BD"/>
    <w:rsid w:val="00F52741"/>
    <w:rsid w:val="00F53544"/>
    <w:rsid w:val="00F53D8A"/>
    <w:rsid w:val="00F626F7"/>
    <w:rsid w:val="00F736F9"/>
    <w:rsid w:val="00F73833"/>
    <w:rsid w:val="00F9211C"/>
    <w:rsid w:val="00F9287C"/>
    <w:rsid w:val="00F94C57"/>
    <w:rsid w:val="00FA095D"/>
    <w:rsid w:val="00FA6C8B"/>
    <w:rsid w:val="00FA6CDA"/>
    <w:rsid w:val="00FA7C89"/>
    <w:rsid w:val="00FB17AA"/>
    <w:rsid w:val="00FB18E0"/>
    <w:rsid w:val="00FB1F0A"/>
    <w:rsid w:val="00FB409B"/>
    <w:rsid w:val="00FB4139"/>
    <w:rsid w:val="00FB476E"/>
    <w:rsid w:val="00FC0D90"/>
    <w:rsid w:val="00FC7D8C"/>
    <w:rsid w:val="00FD1651"/>
    <w:rsid w:val="00FD3980"/>
    <w:rsid w:val="00FD431E"/>
    <w:rsid w:val="00FD5A2C"/>
    <w:rsid w:val="00FE0D47"/>
    <w:rsid w:val="00FE1D5C"/>
    <w:rsid w:val="00FE2F8B"/>
    <w:rsid w:val="00FE3669"/>
    <w:rsid w:val="00FE5204"/>
    <w:rsid w:val="00FF0E3B"/>
    <w:rsid w:val="00FF287F"/>
    <w:rsid w:val="00FF30D4"/>
    <w:rsid w:val="00FF477F"/>
    <w:rsid w:val="00FF74A8"/>
    <w:rsid w:val="01A13A23"/>
    <w:rsid w:val="06E06496"/>
    <w:rsid w:val="0860C5DC"/>
    <w:rsid w:val="0E052229"/>
    <w:rsid w:val="1211E653"/>
    <w:rsid w:val="13044B26"/>
    <w:rsid w:val="18107D88"/>
    <w:rsid w:val="18CFF545"/>
    <w:rsid w:val="1CF3BD9B"/>
    <w:rsid w:val="1D47DAD7"/>
    <w:rsid w:val="1D5CC03B"/>
    <w:rsid w:val="1FFAE30B"/>
    <w:rsid w:val="27200971"/>
    <w:rsid w:val="288F21BA"/>
    <w:rsid w:val="2D0BD1E5"/>
    <w:rsid w:val="2D4C51B8"/>
    <w:rsid w:val="2F360CF2"/>
    <w:rsid w:val="33305F3B"/>
    <w:rsid w:val="359E4A02"/>
    <w:rsid w:val="38BCC263"/>
    <w:rsid w:val="3BA7861F"/>
    <w:rsid w:val="40008472"/>
    <w:rsid w:val="45DA1AEC"/>
    <w:rsid w:val="48860CAF"/>
    <w:rsid w:val="4E72A68A"/>
    <w:rsid w:val="58BEE34A"/>
    <w:rsid w:val="5C1E4CEB"/>
    <w:rsid w:val="5C5386BE"/>
    <w:rsid w:val="5DA31620"/>
    <w:rsid w:val="5FA7779C"/>
    <w:rsid w:val="62343AFA"/>
    <w:rsid w:val="62E75C1B"/>
    <w:rsid w:val="63260E13"/>
    <w:rsid w:val="656ABF35"/>
    <w:rsid w:val="69D5B17C"/>
    <w:rsid w:val="7006B96C"/>
    <w:rsid w:val="70D95B35"/>
    <w:rsid w:val="72DF24A7"/>
    <w:rsid w:val="7518D40C"/>
    <w:rsid w:val="7635197E"/>
    <w:rsid w:val="7A441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768D6E8-ED5A-44B8-B1B2-E514F4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012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456265594">
      <w:bodyDiv w:val="1"/>
      <w:marLeft w:val="0"/>
      <w:marRight w:val="0"/>
      <w:marTop w:val="0"/>
      <w:marBottom w:val="0"/>
      <w:divBdr>
        <w:top w:val="none" w:sz="0" w:space="0" w:color="auto"/>
        <w:left w:val="none" w:sz="0" w:space="0" w:color="auto"/>
        <w:bottom w:val="none" w:sz="0" w:space="0" w:color="auto"/>
        <w:right w:val="none" w:sz="0" w:space="0" w:color="auto"/>
      </w:divBdr>
      <w:divsChild>
        <w:div w:id="14816964">
          <w:marLeft w:val="0"/>
          <w:marRight w:val="0"/>
          <w:marTop w:val="0"/>
          <w:marBottom w:val="0"/>
          <w:divBdr>
            <w:top w:val="none" w:sz="0" w:space="0" w:color="auto"/>
            <w:left w:val="none" w:sz="0" w:space="0" w:color="auto"/>
            <w:bottom w:val="none" w:sz="0" w:space="0" w:color="auto"/>
            <w:right w:val="none" w:sz="0" w:space="0" w:color="auto"/>
          </w:divBdr>
        </w:div>
        <w:div w:id="48041366">
          <w:marLeft w:val="0"/>
          <w:marRight w:val="0"/>
          <w:marTop w:val="0"/>
          <w:marBottom w:val="0"/>
          <w:divBdr>
            <w:top w:val="none" w:sz="0" w:space="0" w:color="auto"/>
            <w:left w:val="none" w:sz="0" w:space="0" w:color="auto"/>
            <w:bottom w:val="none" w:sz="0" w:space="0" w:color="auto"/>
            <w:right w:val="none" w:sz="0" w:space="0" w:color="auto"/>
          </w:divBdr>
        </w:div>
        <w:div w:id="80831517">
          <w:marLeft w:val="0"/>
          <w:marRight w:val="0"/>
          <w:marTop w:val="0"/>
          <w:marBottom w:val="0"/>
          <w:divBdr>
            <w:top w:val="none" w:sz="0" w:space="0" w:color="auto"/>
            <w:left w:val="none" w:sz="0" w:space="0" w:color="auto"/>
            <w:bottom w:val="none" w:sz="0" w:space="0" w:color="auto"/>
            <w:right w:val="none" w:sz="0" w:space="0" w:color="auto"/>
          </w:divBdr>
        </w:div>
        <w:div w:id="82726098">
          <w:marLeft w:val="0"/>
          <w:marRight w:val="0"/>
          <w:marTop w:val="0"/>
          <w:marBottom w:val="0"/>
          <w:divBdr>
            <w:top w:val="none" w:sz="0" w:space="0" w:color="auto"/>
            <w:left w:val="none" w:sz="0" w:space="0" w:color="auto"/>
            <w:bottom w:val="none" w:sz="0" w:space="0" w:color="auto"/>
            <w:right w:val="none" w:sz="0" w:space="0" w:color="auto"/>
          </w:divBdr>
        </w:div>
        <w:div w:id="142478032">
          <w:marLeft w:val="0"/>
          <w:marRight w:val="0"/>
          <w:marTop w:val="0"/>
          <w:marBottom w:val="0"/>
          <w:divBdr>
            <w:top w:val="none" w:sz="0" w:space="0" w:color="auto"/>
            <w:left w:val="none" w:sz="0" w:space="0" w:color="auto"/>
            <w:bottom w:val="none" w:sz="0" w:space="0" w:color="auto"/>
            <w:right w:val="none" w:sz="0" w:space="0" w:color="auto"/>
          </w:divBdr>
        </w:div>
        <w:div w:id="143855408">
          <w:marLeft w:val="0"/>
          <w:marRight w:val="0"/>
          <w:marTop w:val="0"/>
          <w:marBottom w:val="0"/>
          <w:divBdr>
            <w:top w:val="none" w:sz="0" w:space="0" w:color="auto"/>
            <w:left w:val="none" w:sz="0" w:space="0" w:color="auto"/>
            <w:bottom w:val="none" w:sz="0" w:space="0" w:color="auto"/>
            <w:right w:val="none" w:sz="0" w:space="0" w:color="auto"/>
          </w:divBdr>
        </w:div>
        <w:div w:id="272131921">
          <w:marLeft w:val="0"/>
          <w:marRight w:val="0"/>
          <w:marTop w:val="0"/>
          <w:marBottom w:val="0"/>
          <w:divBdr>
            <w:top w:val="none" w:sz="0" w:space="0" w:color="auto"/>
            <w:left w:val="none" w:sz="0" w:space="0" w:color="auto"/>
            <w:bottom w:val="none" w:sz="0" w:space="0" w:color="auto"/>
            <w:right w:val="none" w:sz="0" w:space="0" w:color="auto"/>
          </w:divBdr>
        </w:div>
        <w:div w:id="403258902">
          <w:marLeft w:val="0"/>
          <w:marRight w:val="0"/>
          <w:marTop w:val="0"/>
          <w:marBottom w:val="0"/>
          <w:divBdr>
            <w:top w:val="none" w:sz="0" w:space="0" w:color="auto"/>
            <w:left w:val="none" w:sz="0" w:space="0" w:color="auto"/>
            <w:bottom w:val="none" w:sz="0" w:space="0" w:color="auto"/>
            <w:right w:val="none" w:sz="0" w:space="0" w:color="auto"/>
          </w:divBdr>
        </w:div>
        <w:div w:id="459224640">
          <w:marLeft w:val="0"/>
          <w:marRight w:val="0"/>
          <w:marTop w:val="0"/>
          <w:marBottom w:val="0"/>
          <w:divBdr>
            <w:top w:val="none" w:sz="0" w:space="0" w:color="auto"/>
            <w:left w:val="none" w:sz="0" w:space="0" w:color="auto"/>
            <w:bottom w:val="none" w:sz="0" w:space="0" w:color="auto"/>
            <w:right w:val="none" w:sz="0" w:space="0" w:color="auto"/>
          </w:divBdr>
        </w:div>
        <w:div w:id="497383642">
          <w:marLeft w:val="0"/>
          <w:marRight w:val="0"/>
          <w:marTop w:val="0"/>
          <w:marBottom w:val="0"/>
          <w:divBdr>
            <w:top w:val="none" w:sz="0" w:space="0" w:color="auto"/>
            <w:left w:val="none" w:sz="0" w:space="0" w:color="auto"/>
            <w:bottom w:val="none" w:sz="0" w:space="0" w:color="auto"/>
            <w:right w:val="none" w:sz="0" w:space="0" w:color="auto"/>
          </w:divBdr>
        </w:div>
        <w:div w:id="497960592">
          <w:marLeft w:val="0"/>
          <w:marRight w:val="0"/>
          <w:marTop w:val="0"/>
          <w:marBottom w:val="0"/>
          <w:divBdr>
            <w:top w:val="none" w:sz="0" w:space="0" w:color="auto"/>
            <w:left w:val="none" w:sz="0" w:space="0" w:color="auto"/>
            <w:bottom w:val="none" w:sz="0" w:space="0" w:color="auto"/>
            <w:right w:val="none" w:sz="0" w:space="0" w:color="auto"/>
          </w:divBdr>
        </w:div>
        <w:div w:id="522864747">
          <w:marLeft w:val="0"/>
          <w:marRight w:val="0"/>
          <w:marTop w:val="0"/>
          <w:marBottom w:val="0"/>
          <w:divBdr>
            <w:top w:val="none" w:sz="0" w:space="0" w:color="auto"/>
            <w:left w:val="none" w:sz="0" w:space="0" w:color="auto"/>
            <w:bottom w:val="none" w:sz="0" w:space="0" w:color="auto"/>
            <w:right w:val="none" w:sz="0" w:space="0" w:color="auto"/>
          </w:divBdr>
        </w:div>
        <w:div w:id="549002083">
          <w:marLeft w:val="0"/>
          <w:marRight w:val="0"/>
          <w:marTop w:val="0"/>
          <w:marBottom w:val="0"/>
          <w:divBdr>
            <w:top w:val="none" w:sz="0" w:space="0" w:color="auto"/>
            <w:left w:val="none" w:sz="0" w:space="0" w:color="auto"/>
            <w:bottom w:val="none" w:sz="0" w:space="0" w:color="auto"/>
            <w:right w:val="none" w:sz="0" w:space="0" w:color="auto"/>
          </w:divBdr>
        </w:div>
        <w:div w:id="636300800">
          <w:marLeft w:val="0"/>
          <w:marRight w:val="0"/>
          <w:marTop w:val="0"/>
          <w:marBottom w:val="0"/>
          <w:divBdr>
            <w:top w:val="none" w:sz="0" w:space="0" w:color="auto"/>
            <w:left w:val="none" w:sz="0" w:space="0" w:color="auto"/>
            <w:bottom w:val="none" w:sz="0" w:space="0" w:color="auto"/>
            <w:right w:val="none" w:sz="0" w:space="0" w:color="auto"/>
          </w:divBdr>
        </w:div>
        <w:div w:id="658919470">
          <w:marLeft w:val="0"/>
          <w:marRight w:val="0"/>
          <w:marTop w:val="0"/>
          <w:marBottom w:val="0"/>
          <w:divBdr>
            <w:top w:val="none" w:sz="0" w:space="0" w:color="auto"/>
            <w:left w:val="none" w:sz="0" w:space="0" w:color="auto"/>
            <w:bottom w:val="none" w:sz="0" w:space="0" w:color="auto"/>
            <w:right w:val="none" w:sz="0" w:space="0" w:color="auto"/>
          </w:divBdr>
        </w:div>
        <w:div w:id="676882169">
          <w:marLeft w:val="0"/>
          <w:marRight w:val="0"/>
          <w:marTop w:val="0"/>
          <w:marBottom w:val="0"/>
          <w:divBdr>
            <w:top w:val="none" w:sz="0" w:space="0" w:color="auto"/>
            <w:left w:val="none" w:sz="0" w:space="0" w:color="auto"/>
            <w:bottom w:val="none" w:sz="0" w:space="0" w:color="auto"/>
            <w:right w:val="none" w:sz="0" w:space="0" w:color="auto"/>
          </w:divBdr>
        </w:div>
        <w:div w:id="709040318">
          <w:marLeft w:val="0"/>
          <w:marRight w:val="0"/>
          <w:marTop w:val="0"/>
          <w:marBottom w:val="0"/>
          <w:divBdr>
            <w:top w:val="none" w:sz="0" w:space="0" w:color="auto"/>
            <w:left w:val="none" w:sz="0" w:space="0" w:color="auto"/>
            <w:bottom w:val="none" w:sz="0" w:space="0" w:color="auto"/>
            <w:right w:val="none" w:sz="0" w:space="0" w:color="auto"/>
          </w:divBdr>
        </w:div>
        <w:div w:id="723138463">
          <w:marLeft w:val="0"/>
          <w:marRight w:val="0"/>
          <w:marTop w:val="0"/>
          <w:marBottom w:val="0"/>
          <w:divBdr>
            <w:top w:val="none" w:sz="0" w:space="0" w:color="auto"/>
            <w:left w:val="none" w:sz="0" w:space="0" w:color="auto"/>
            <w:bottom w:val="none" w:sz="0" w:space="0" w:color="auto"/>
            <w:right w:val="none" w:sz="0" w:space="0" w:color="auto"/>
          </w:divBdr>
        </w:div>
        <w:div w:id="762148211">
          <w:marLeft w:val="0"/>
          <w:marRight w:val="0"/>
          <w:marTop w:val="0"/>
          <w:marBottom w:val="0"/>
          <w:divBdr>
            <w:top w:val="none" w:sz="0" w:space="0" w:color="auto"/>
            <w:left w:val="none" w:sz="0" w:space="0" w:color="auto"/>
            <w:bottom w:val="none" w:sz="0" w:space="0" w:color="auto"/>
            <w:right w:val="none" w:sz="0" w:space="0" w:color="auto"/>
          </w:divBdr>
        </w:div>
        <w:div w:id="806817402">
          <w:marLeft w:val="0"/>
          <w:marRight w:val="0"/>
          <w:marTop w:val="0"/>
          <w:marBottom w:val="0"/>
          <w:divBdr>
            <w:top w:val="none" w:sz="0" w:space="0" w:color="auto"/>
            <w:left w:val="none" w:sz="0" w:space="0" w:color="auto"/>
            <w:bottom w:val="none" w:sz="0" w:space="0" w:color="auto"/>
            <w:right w:val="none" w:sz="0" w:space="0" w:color="auto"/>
          </w:divBdr>
        </w:div>
        <w:div w:id="843862383">
          <w:marLeft w:val="0"/>
          <w:marRight w:val="0"/>
          <w:marTop w:val="0"/>
          <w:marBottom w:val="0"/>
          <w:divBdr>
            <w:top w:val="none" w:sz="0" w:space="0" w:color="auto"/>
            <w:left w:val="none" w:sz="0" w:space="0" w:color="auto"/>
            <w:bottom w:val="none" w:sz="0" w:space="0" w:color="auto"/>
            <w:right w:val="none" w:sz="0" w:space="0" w:color="auto"/>
          </w:divBdr>
        </w:div>
        <w:div w:id="848642393">
          <w:marLeft w:val="0"/>
          <w:marRight w:val="0"/>
          <w:marTop w:val="0"/>
          <w:marBottom w:val="0"/>
          <w:divBdr>
            <w:top w:val="none" w:sz="0" w:space="0" w:color="auto"/>
            <w:left w:val="none" w:sz="0" w:space="0" w:color="auto"/>
            <w:bottom w:val="none" w:sz="0" w:space="0" w:color="auto"/>
            <w:right w:val="none" w:sz="0" w:space="0" w:color="auto"/>
          </w:divBdr>
        </w:div>
        <w:div w:id="863250083">
          <w:marLeft w:val="0"/>
          <w:marRight w:val="0"/>
          <w:marTop w:val="0"/>
          <w:marBottom w:val="0"/>
          <w:divBdr>
            <w:top w:val="none" w:sz="0" w:space="0" w:color="auto"/>
            <w:left w:val="none" w:sz="0" w:space="0" w:color="auto"/>
            <w:bottom w:val="none" w:sz="0" w:space="0" w:color="auto"/>
            <w:right w:val="none" w:sz="0" w:space="0" w:color="auto"/>
          </w:divBdr>
        </w:div>
        <w:div w:id="934676705">
          <w:marLeft w:val="0"/>
          <w:marRight w:val="0"/>
          <w:marTop w:val="0"/>
          <w:marBottom w:val="0"/>
          <w:divBdr>
            <w:top w:val="none" w:sz="0" w:space="0" w:color="auto"/>
            <w:left w:val="none" w:sz="0" w:space="0" w:color="auto"/>
            <w:bottom w:val="none" w:sz="0" w:space="0" w:color="auto"/>
            <w:right w:val="none" w:sz="0" w:space="0" w:color="auto"/>
          </w:divBdr>
        </w:div>
        <w:div w:id="1029843715">
          <w:marLeft w:val="0"/>
          <w:marRight w:val="0"/>
          <w:marTop w:val="0"/>
          <w:marBottom w:val="0"/>
          <w:divBdr>
            <w:top w:val="none" w:sz="0" w:space="0" w:color="auto"/>
            <w:left w:val="none" w:sz="0" w:space="0" w:color="auto"/>
            <w:bottom w:val="none" w:sz="0" w:space="0" w:color="auto"/>
            <w:right w:val="none" w:sz="0" w:space="0" w:color="auto"/>
          </w:divBdr>
        </w:div>
        <w:div w:id="1039665065">
          <w:marLeft w:val="0"/>
          <w:marRight w:val="0"/>
          <w:marTop w:val="0"/>
          <w:marBottom w:val="0"/>
          <w:divBdr>
            <w:top w:val="none" w:sz="0" w:space="0" w:color="auto"/>
            <w:left w:val="none" w:sz="0" w:space="0" w:color="auto"/>
            <w:bottom w:val="none" w:sz="0" w:space="0" w:color="auto"/>
            <w:right w:val="none" w:sz="0" w:space="0" w:color="auto"/>
          </w:divBdr>
        </w:div>
        <w:div w:id="1189611609">
          <w:marLeft w:val="0"/>
          <w:marRight w:val="0"/>
          <w:marTop w:val="0"/>
          <w:marBottom w:val="0"/>
          <w:divBdr>
            <w:top w:val="none" w:sz="0" w:space="0" w:color="auto"/>
            <w:left w:val="none" w:sz="0" w:space="0" w:color="auto"/>
            <w:bottom w:val="none" w:sz="0" w:space="0" w:color="auto"/>
            <w:right w:val="none" w:sz="0" w:space="0" w:color="auto"/>
          </w:divBdr>
        </w:div>
        <w:div w:id="1357923531">
          <w:marLeft w:val="0"/>
          <w:marRight w:val="0"/>
          <w:marTop w:val="0"/>
          <w:marBottom w:val="0"/>
          <w:divBdr>
            <w:top w:val="none" w:sz="0" w:space="0" w:color="auto"/>
            <w:left w:val="none" w:sz="0" w:space="0" w:color="auto"/>
            <w:bottom w:val="none" w:sz="0" w:space="0" w:color="auto"/>
            <w:right w:val="none" w:sz="0" w:space="0" w:color="auto"/>
          </w:divBdr>
        </w:div>
        <w:div w:id="1369524764">
          <w:marLeft w:val="0"/>
          <w:marRight w:val="0"/>
          <w:marTop w:val="0"/>
          <w:marBottom w:val="0"/>
          <w:divBdr>
            <w:top w:val="none" w:sz="0" w:space="0" w:color="auto"/>
            <w:left w:val="none" w:sz="0" w:space="0" w:color="auto"/>
            <w:bottom w:val="none" w:sz="0" w:space="0" w:color="auto"/>
            <w:right w:val="none" w:sz="0" w:space="0" w:color="auto"/>
          </w:divBdr>
        </w:div>
        <w:div w:id="1482503852">
          <w:marLeft w:val="0"/>
          <w:marRight w:val="0"/>
          <w:marTop w:val="0"/>
          <w:marBottom w:val="0"/>
          <w:divBdr>
            <w:top w:val="none" w:sz="0" w:space="0" w:color="auto"/>
            <w:left w:val="none" w:sz="0" w:space="0" w:color="auto"/>
            <w:bottom w:val="none" w:sz="0" w:space="0" w:color="auto"/>
            <w:right w:val="none" w:sz="0" w:space="0" w:color="auto"/>
          </w:divBdr>
        </w:div>
        <w:div w:id="1564293736">
          <w:marLeft w:val="0"/>
          <w:marRight w:val="0"/>
          <w:marTop w:val="0"/>
          <w:marBottom w:val="0"/>
          <w:divBdr>
            <w:top w:val="none" w:sz="0" w:space="0" w:color="auto"/>
            <w:left w:val="none" w:sz="0" w:space="0" w:color="auto"/>
            <w:bottom w:val="none" w:sz="0" w:space="0" w:color="auto"/>
            <w:right w:val="none" w:sz="0" w:space="0" w:color="auto"/>
          </w:divBdr>
        </w:div>
        <w:div w:id="1610237844">
          <w:marLeft w:val="0"/>
          <w:marRight w:val="0"/>
          <w:marTop w:val="0"/>
          <w:marBottom w:val="0"/>
          <w:divBdr>
            <w:top w:val="none" w:sz="0" w:space="0" w:color="auto"/>
            <w:left w:val="none" w:sz="0" w:space="0" w:color="auto"/>
            <w:bottom w:val="none" w:sz="0" w:space="0" w:color="auto"/>
            <w:right w:val="none" w:sz="0" w:space="0" w:color="auto"/>
          </w:divBdr>
        </w:div>
        <w:div w:id="1664508191">
          <w:marLeft w:val="0"/>
          <w:marRight w:val="0"/>
          <w:marTop w:val="0"/>
          <w:marBottom w:val="0"/>
          <w:divBdr>
            <w:top w:val="none" w:sz="0" w:space="0" w:color="auto"/>
            <w:left w:val="none" w:sz="0" w:space="0" w:color="auto"/>
            <w:bottom w:val="none" w:sz="0" w:space="0" w:color="auto"/>
            <w:right w:val="none" w:sz="0" w:space="0" w:color="auto"/>
          </w:divBdr>
        </w:div>
        <w:div w:id="1667442337">
          <w:marLeft w:val="0"/>
          <w:marRight w:val="0"/>
          <w:marTop w:val="0"/>
          <w:marBottom w:val="0"/>
          <w:divBdr>
            <w:top w:val="none" w:sz="0" w:space="0" w:color="auto"/>
            <w:left w:val="none" w:sz="0" w:space="0" w:color="auto"/>
            <w:bottom w:val="none" w:sz="0" w:space="0" w:color="auto"/>
            <w:right w:val="none" w:sz="0" w:space="0" w:color="auto"/>
          </w:divBdr>
        </w:div>
        <w:div w:id="1760980156">
          <w:marLeft w:val="0"/>
          <w:marRight w:val="0"/>
          <w:marTop w:val="0"/>
          <w:marBottom w:val="0"/>
          <w:divBdr>
            <w:top w:val="none" w:sz="0" w:space="0" w:color="auto"/>
            <w:left w:val="none" w:sz="0" w:space="0" w:color="auto"/>
            <w:bottom w:val="none" w:sz="0" w:space="0" w:color="auto"/>
            <w:right w:val="none" w:sz="0" w:space="0" w:color="auto"/>
          </w:divBdr>
        </w:div>
        <w:div w:id="1781416952">
          <w:marLeft w:val="0"/>
          <w:marRight w:val="0"/>
          <w:marTop w:val="0"/>
          <w:marBottom w:val="0"/>
          <w:divBdr>
            <w:top w:val="none" w:sz="0" w:space="0" w:color="auto"/>
            <w:left w:val="none" w:sz="0" w:space="0" w:color="auto"/>
            <w:bottom w:val="none" w:sz="0" w:space="0" w:color="auto"/>
            <w:right w:val="none" w:sz="0" w:space="0" w:color="auto"/>
          </w:divBdr>
        </w:div>
        <w:div w:id="1926112637">
          <w:marLeft w:val="0"/>
          <w:marRight w:val="0"/>
          <w:marTop w:val="0"/>
          <w:marBottom w:val="0"/>
          <w:divBdr>
            <w:top w:val="none" w:sz="0" w:space="0" w:color="auto"/>
            <w:left w:val="none" w:sz="0" w:space="0" w:color="auto"/>
            <w:bottom w:val="none" w:sz="0" w:space="0" w:color="auto"/>
            <w:right w:val="none" w:sz="0" w:space="0" w:color="auto"/>
          </w:divBdr>
        </w:div>
        <w:div w:id="2026403112">
          <w:marLeft w:val="0"/>
          <w:marRight w:val="0"/>
          <w:marTop w:val="0"/>
          <w:marBottom w:val="0"/>
          <w:divBdr>
            <w:top w:val="none" w:sz="0" w:space="0" w:color="auto"/>
            <w:left w:val="none" w:sz="0" w:space="0" w:color="auto"/>
            <w:bottom w:val="none" w:sz="0" w:space="0" w:color="auto"/>
            <w:right w:val="none" w:sz="0" w:space="0" w:color="auto"/>
          </w:divBdr>
        </w:div>
        <w:div w:id="2030250535">
          <w:marLeft w:val="0"/>
          <w:marRight w:val="0"/>
          <w:marTop w:val="0"/>
          <w:marBottom w:val="0"/>
          <w:divBdr>
            <w:top w:val="none" w:sz="0" w:space="0" w:color="auto"/>
            <w:left w:val="none" w:sz="0" w:space="0" w:color="auto"/>
            <w:bottom w:val="none" w:sz="0" w:space="0" w:color="auto"/>
            <w:right w:val="none" w:sz="0" w:space="0" w:color="auto"/>
          </w:divBdr>
        </w:div>
        <w:div w:id="2078017664">
          <w:marLeft w:val="0"/>
          <w:marRight w:val="0"/>
          <w:marTop w:val="0"/>
          <w:marBottom w:val="0"/>
          <w:divBdr>
            <w:top w:val="none" w:sz="0" w:space="0" w:color="auto"/>
            <w:left w:val="none" w:sz="0" w:space="0" w:color="auto"/>
            <w:bottom w:val="none" w:sz="0" w:space="0" w:color="auto"/>
            <w:right w:val="none" w:sz="0" w:space="0" w:color="auto"/>
          </w:divBdr>
        </w:div>
        <w:div w:id="2104572703">
          <w:marLeft w:val="0"/>
          <w:marRight w:val="0"/>
          <w:marTop w:val="0"/>
          <w:marBottom w:val="0"/>
          <w:divBdr>
            <w:top w:val="none" w:sz="0" w:space="0" w:color="auto"/>
            <w:left w:val="none" w:sz="0" w:space="0" w:color="auto"/>
            <w:bottom w:val="none" w:sz="0" w:space="0" w:color="auto"/>
            <w:right w:val="none" w:sz="0" w:space="0" w:color="auto"/>
          </w:divBdr>
        </w:div>
      </w:divsChild>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797606111">
      <w:bodyDiv w:val="1"/>
      <w:marLeft w:val="0"/>
      <w:marRight w:val="0"/>
      <w:marTop w:val="0"/>
      <w:marBottom w:val="0"/>
      <w:divBdr>
        <w:top w:val="none" w:sz="0" w:space="0" w:color="auto"/>
        <w:left w:val="none" w:sz="0" w:space="0" w:color="auto"/>
        <w:bottom w:val="none" w:sz="0" w:space="0" w:color="auto"/>
        <w:right w:val="none" w:sz="0" w:space="0" w:color="auto"/>
      </w:divBdr>
      <w:divsChild>
        <w:div w:id="12462387">
          <w:marLeft w:val="0"/>
          <w:marRight w:val="0"/>
          <w:marTop w:val="0"/>
          <w:marBottom w:val="0"/>
          <w:divBdr>
            <w:top w:val="none" w:sz="0" w:space="0" w:color="auto"/>
            <w:left w:val="none" w:sz="0" w:space="0" w:color="auto"/>
            <w:bottom w:val="none" w:sz="0" w:space="0" w:color="auto"/>
            <w:right w:val="none" w:sz="0" w:space="0" w:color="auto"/>
          </w:divBdr>
        </w:div>
        <w:div w:id="49155359">
          <w:marLeft w:val="0"/>
          <w:marRight w:val="0"/>
          <w:marTop w:val="0"/>
          <w:marBottom w:val="0"/>
          <w:divBdr>
            <w:top w:val="none" w:sz="0" w:space="0" w:color="auto"/>
            <w:left w:val="none" w:sz="0" w:space="0" w:color="auto"/>
            <w:bottom w:val="none" w:sz="0" w:space="0" w:color="auto"/>
            <w:right w:val="none" w:sz="0" w:space="0" w:color="auto"/>
          </w:divBdr>
        </w:div>
        <w:div w:id="50883022">
          <w:marLeft w:val="0"/>
          <w:marRight w:val="0"/>
          <w:marTop w:val="0"/>
          <w:marBottom w:val="0"/>
          <w:divBdr>
            <w:top w:val="none" w:sz="0" w:space="0" w:color="auto"/>
            <w:left w:val="none" w:sz="0" w:space="0" w:color="auto"/>
            <w:bottom w:val="none" w:sz="0" w:space="0" w:color="auto"/>
            <w:right w:val="none" w:sz="0" w:space="0" w:color="auto"/>
          </w:divBdr>
        </w:div>
        <w:div w:id="145516370">
          <w:marLeft w:val="0"/>
          <w:marRight w:val="0"/>
          <w:marTop w:val="0"/>
          <w:marBottom w:val="0"/>
          <w:divBdr>
            <w:top w:val="none" w:sz="0" w:space="0" w:color="auto"/>
            <w:left w:val="none" w:sz="0" w:space="0" w:color="auto"/>
            <w:bottom w:val="none" w:sz="0" w:space="0" w:color="auto"/>
            <w:right w:val="none" w:sz="0" w:space="0" w:color="auto"/>
          </w:divBdr>
        </w:div>
        <w:div w:id="387413269">
          <w:marLeft w:val="0"/>
          <w:marRight w:val="0"/>
          <w:marTop w:val="0"/>
          <w:marBottom w:val="0"/>
          <w:divBdr>
            <w:top w:val="none" w:sz="0" w:space="0" w:color="auto"/>
            <w:left w:val="none" w:sz="0" w:space="0" w:color="auto"/>
            <w:bottom w:val="none" w:sz="0" w:space="0" w:color="auto"/>
            <w:right w:val="none" w:sz="0" w:space="0" w:color="auto"/>
          </w:divBdr>
        </w:div>
        <w:div w:id="454059372">
          <w:marLeft w:val="0"/>
          <w:marRight w:val="0"/>
          <w:marTop w:val="0"/>
          <w:marBottom w:val="0"/>
          <w:divBdr>
            <w:top w:val="none" w:sz="0" w:space="0" w:color="auto"/>
            <w:left w:val="none" w:sz="0" w:space="0" w:color="auto"/>
            <w:bottom w:val="none" w:sz="0" w:space="0" w:color="auto"/>
            <w:right w:val="none" w:sz="0" w:space="0" w:color="auto"/>
          </w:divBdr>
        </w:div>
        <w:div w:id="528226571">
          <w:marLeft w:val="0"/>
          <w:marRight w:val="0"/>
          <w:marTop w:val="0"/>
          <w:marBottom w:val="0"/>
          <w:divBdr>
            <w:top w:val="none" w:sz="0" w:space="0" w:color="auto"/>
            <w:left w:val="none" w:sz="0" w:space="0" w:color="auto"/>
            <w:bottom w:val="none" w:sz="0" w:space="0" w:color="auto"/>
            <w:right w:val="none" w:sz="0" w:space="0" w:color="auto"/>
          </w:divBdr>
        </w:div>
        <w:div w:id="568425425">
          <w:marLeft w:val="0"/>
          <w:marRight w:val="0"/>
          <w:marTop w:val="0"/>
          <w:marBottom w:val="0"/>
          <w:divBdr>
            <w:top w:val="none" w:sz="0" w:space="0" w:color="auto"/>
            <w:left w:val="none" w:sz="0" w:space="0" w:color="auto"/>
            <w:bottom w:val="none" w:sz="0" w:space="0" w:color="auto"/>
            <w:right w:val="none" w:sz="0" w:space="0" w:color="auto"/>
          </w:divBdr>
        </w:div>
        <w:div w:id="592127366">
          <w:marLeft w:val="0"/>
          <w:marRight w:val="0"/>
          <w:marTop w:val="0"/>
          <w:marBottom w:val="0"/>
          <w:divBdr>
            <w:top w:val="none" w:sz="0" w:space="0" w:color="auto"/>
            <w:left w:val="none" w:sz="0" w:space="0" w:color="auto"/>
            <w:bottom w:val="none" w:sz="0" w:space="0" w:color="auto"/>
            <w:right w:val="none" w:sz="0" w:space="0" w:color="auto"/>
          </w:divBdr>
        </w:div>
        <w:div w:id="606885949">
          <w:marLeft w:val="0"/>
          <w:marRight w:val="0"/>
          <w:marTop w:val="0"/>
          <w:marBottom w:val="0"/>
          <w:divBdr>
            <w:top w:val="none" w:sz="0" w:space="0" w:color="auto"/>
            <w:left w:val="none" w:sz="0" w:space="0" w:color="auto"/>
            <w:bottom w:val="none" w:sz="0" w:space="0" w:color="auto"/>
            <w:right w:val="none" w:sz="0" w:space="0" w:color="auto"/>
          </w:divBdr>
        </w:div>
        <w:div w:id="671683681">
          <w:marLeft w:val="0"/>
          <w:marRight w:val="0"/>
          <w:marTop w:val="0"/>
          <w:marBottom w:val="0"/>
          <w:divBdr>
            <w:top w:val="none" w:sz="0" w:space="0" w:color="auto"/>
            <w:left w:val="none" w:sz="0" w:space="0" w:color="auto"/>
            <w:bottom w:val="none" w:sz="0" w:space="0" w:color="auto"/>
            <w:right w:val="none" w:sz="0" w:space="0" w:color="auto"/>
          </w:divBdr>
        </w:div>
        <w:div w:id="692607341">
          <w:marLeft w:val="0"/>
          <w:marRight w:val="0"/>
          <w:marTop w:val="0"/>
          <w:marBottom w:val="0"/>
          <w:divBdr>
            <w:top w:val="none" w:sz="0" w:space="0" w:color="auto"/>
            <w:left w:val="none" w:sz="0" w:space="0" w:color="auto"/>
            <w:bottom w:val="none" w:sz="0" w:space="0" w:color="auto"/>
            <w:right w:val="none" w:sz="0" w:space="0" w:color="auto"/>
          </w:divBdr>
        </w:div>
        <w:div w:id="899441997">
          <w:marLeft w:val="0"/>
          <w:marRight w:val="0"/>
          <w:marTop w:val="0"/>
          <w:marBottom w:val="0"/>
          <w:divBdr>
            <w:top w:val="none" w:sz="0" w:space="0" w:color="auto"/>
            <w:left w:val="none" w:sz="0" w:space="0" w:color="auto"/>
            <w:bottom w:val="none" w:sz="0" w:space="0" w:color="auto"/>
            <w:right w:val="none" w:sz="0" w:space="0" w:color="auto"/>
          </w:divBdr>
        </w:div>
        <w:div w:id="934174168">
          <w:marLeft w:val="0"/>
          <w:marRight w:val="0"/>
          <w:marTop w:val="0"/>
          <w:marBottom w:val="0"/>
          <w:divBdr>
            <w:top w:val="none" w:sz="0" w:space="0" w:color="auto"/>
            <w:left w:val="none" w:sz="0" w:space="0" w:color="auto"/>
            <w:bottom w:val="none" w:sz="0" w:space="0" w:color="auto"/>
            <w:right w:val="none" w:sz="0" w:space="0" w:color="auto"/>
          </w:divBdr>
        </w:div>
        <w:div w:id="1037776920">
          <w:marLeft w:val="0"/>
          <w:marRight w:val="0"/>
          <w:marTop w:val="0"/>
          <w:marBottom w:val="0"/>
          <w:divBdr>
            <w:top w:val="none" w:sz="0" w:space="0" w:color="auto"/>
            <w:left w:val="none" w:sz="0" w:space="0" w:color="auto"/>
            <w:bottom w:val="none" w:sz="0" w:space="0" w:color="auto"/>
            <w:right w:val="none" w:sz="0" w:space="0" w:color="auto"/>
          </w:divBdr>
        </w:div>
        <w:div w:id="1137526291">
          <w:marLeft w:val="0"/>
          <w:marRight w:val="0"/>
          <w:marTop w:val="0"/>
          <w:marBottom w:val="0"/>
          <w:divBdr>
            <w:top w:val="none" w:sz="0" w:space="0" w:color="auto"/>
            <w:left w:val="none" w:sz="0" w:space="0" w:color="auto"/>
            <w:bottom w:val="none" w:sz="0" w:space="0" w:color="auto"/>
            <w:right w:val="none" w:sz="0" w:space="0" w:color="auto"/>
          </w:divBdr>
        </w:div>
        <w:div w:id="1147283187">
          <w:marLeft w:val="0"/>
          <w:marRight w:val="0"/>
          <w:marTop w:val="0"/>
          <w:marBottom w:val="0"/>
          <w:divBdr>
            <w:top w:val="none" w:sz="0" w:space="0" w:color="auto"/>
            <w:left w:val="none" w:sz="0" w:space="0" w:color="auto"/>
            <w:bottom w:val="none" w:sz="0" w:space="0" w:color="auto"/>
            <w:right w:val="none" w:sz="0" w:space="0" w:color="auto"/>
          </w:divBdr>
        </w:div>
        <w:div w:id="1182477187">
          <w:marLeft w:val="0"/>
          <w:marRight w:val="0"/>
          <w:marTop w:val="0"/>
          <w:marBottom w:val="0"/>
          <w:divBdr>
            <w:top w:val="none" w:sz="0" w:space="0" w:color="auto"/>
            <w:left w:val="none" w:sz="0" w:space="0" w:color="auto"/>
            <w:bottom w:val="none" w:sz="0" w:space="0" w:color="auto"/>
            <w:right w:val="none" w:sz="0" w:space="0" w:color="auto"/>
          </w:divBdr>
        </w:div>
        <w:div w:id="1185368304">
          <w:marLeft w:val="0"/>
          <w:marRight w:val="0"/>
          <w:marTop w:val="0"/>
          <w:marBottom w:val="0"/>
          <w:divBdr>
            <w:top w:val="none" w:sz="0" w:space="0" w:color="auto"/>
            <w:left w:val="none" w:sz="0" w:space="0" w:color="auto"/>
            <w:bottom w:val="none" w:sz="0" w:space="0" w:color="auto"/>
            <w:right w:val="none" w:sz="0" w:space="0" w:color="auto"/>
          </w:divBdr>
        </w:div>
        <w:div w:id="1192845265">
          <w:marLeft w:val="0"/>
          <w:marRight w:val="0"/>
          <w:marTop w:val="0"/>
          <w:marBottom w:val="0"/>
          <w:divBdr>
            <w:top w:val="none" w:sz="0" w:space="0" w:color="auto"/>
            <w:left w:val="none" w:sz="0" w:space="0" w:color="auto"/>
            <w:bottom w:val="none" w:sz="0" w:space="0" w:color="auto"/>
            <w:right w:val="none" w:sz="0" w:space="0" w:color="auto"/>
          </w:divBdr>
        </w:div>
        <w:div w:id="1205219018">
          <w:marLeft w:val="0"/>
          <w:marRight w:val="0"/>
          <w:marTop w:val="0"/>
          <w:marBottom w:val="0"/>
          <w:divBdr>
            <w:top w:val="none" w:sz="0" w:space="0" w:color="auto"/>
            <w:left w:val="none" w:sz="0" w:space="0" w:color="auto"/>
            <w:bottom w:val="none" w:sz="0" w:space="0" w:color="auto"/>
            <w:right w:val="none" w:sz="0" w:space="0" w:color="auto"/>
          </w:divBdr>
        </w:div>
        <w:div w:id="1226070398">
          <w:marLeft w:val="0"/>
          <w:marRight w:val="0"/>
          <w:marTop w:val="0"/>
          <w:marBottom w:val="0"/>
          <w:divBdr>
            <w:top w:val="none" w:sz="0" w:space="0" w:color="auto"/>
            <w:left w:val="none" w:sz="0" w:space="0" w:color="auto"/>
            <w:bottom w:val="none" w:sz="0" w:space="0" w:color="auto"/>
            <w:right w:val="none" w:sz="0" w:space="0" w:color="auto"/>
          </w:divBdr>
        </w:div>
        <w:div w:id="1272056688">
          <w:marLeft w:val="0"/>
          <w:marRight w:val="0"/>
          <w:marTop w:val="0"/>
          <w:marBottom w:val="0"/>
          <w:divBdr>
            <w:top w:val="none" w:sz="0" w:space="0" w:color="auto"/>
            <w:left w:val="none" w:sz="0" w:space="0" w:color="auto"/>
            <w:bottom w:val="none" w:sz="0" w:space="0" w:color="auto"/>
            <w:right w:val="none" w:sz="0" w:space="0" w:color="auto"/>
          </w:divBdr>
        </w:div>
        <w:div w:id="1272589776">
          <w:marLeft w:val="0"/>
          <w:marRight w:val="0"/>
          <w:marTop w:val="0"/>
          <w:marBottom w:val="0"/>
          <w:divBdr>
            <w:top w:val="none" w:sz="0" w:space="0" w:color="auto"/>
            <w:left w:val="none" w:sz="0" w:space="0" w:color="auto"/>
            <w:bottom w:val="none" w:sz="0" w:space="0" w:color="auto"/>
            <w:right w:val="none" w:sz="0" w:space="0" w:color="auto"/>
          </w:divBdr>
        </w:div>
        <w:div w:id="1278097227">
          <w:marLeft w:val="0"/>
          <w:marRight w:val="0"/>
          <w:marTop w:val="0"/>
          <w:marBottom w:val="0"/>
          <w:divBdr>
            <w:top w:val="none" w:sz="0" w:space="0" w:color="auto"/>
            <w:left w:val="none" w:sz="0" w:space="0" w:color="auto"/>
            <w:bottom w:val="none" w:sz="0" w:space="0" w:color="auto"/>
            <w:right w:val="none" w:sz="0" w:space="0" w:color="auto"/>
          </w:divBdr>
        </w:div>
        <w:div w:id="1330988079">
          <w:marLeft w:val="0"/>
          <w:marRight w:val="0"/>
          <w:marTop w:val="0"/>
          <w:marBottom w:val="0"/>
          <w:divBdr>
            <w:top w:val="none" w:sz="0" w:space="0" w:color="auto"/>
            <w:left w:val="none" w:sz="0" w:space="0" w:color="auto"/>
            <w:bottom w:val="none" w:sz="0" w:space="0" w:color="auto"/>
            <w:right w:val="none" w:sz="0" w:space="0" w:color="auto"/>
          </w:divBdr>
        </w:div>
        <w:div w:id="1353990339">
          <w:marLeft w:val="0"/>
          <w:marRight w:val="0"/>
          <w:marTop w:val="0"/>
          <w:marBottom w:val="0"/>
          <w:divBdr>
            <w:top w:val="none" w:sz="0" w:space="0" w:color="auto"/>
            <w:left w:val="none" w:sz="0" w:space="0" w:color="auto"/>
            <w:bottom w:val="none" w:sz="0" w:space="0" w:color="auto"/>
            <w:right w:val="none" w:sz="0" w:space="0" w:color="auto"/>
          </w:divBdr>
        </w:div>
        <w:div w:id="1368139940">
          <w:marLeft w:val="0"/>
          <w:marRight w:val="0"/>
          <w:marTop w:val="0"/>
          <w:marBottom w:val="0"/>
          <w:divBdr>
            <w:top w:val="none" w:sz="0" w:space="0" w:color="auto"/>
            <w:left w:val="none" w:sz="0" w:space="0" w:color="auto"/>
            <w:bottom w:val="none" w:sz="0" w:space="0" w:color="auto"/>
            <w:right w:val="none" w:sz="0" w:space="0" w:color="auto"/>
          </w:divBdr>
        </w:div>
        <w:div w:id="1391029461">
          <w:marLeft w:val="0"/>
          <w:marRight w:val="0"/>
          <w:marTop w:val="0"/>
          <w:marBottom w:val="0"/>
          <w:divBdr>
            <w:top w:val="none" w:sz="0" w:space="0" w:color="auto"/>
            <w:left w:val="none" w:sz="0" w:space="0" w:color="auto"/>
            <w:bottom w:val="none" w:sz="0" w:space="0" w:color="auto"/>
            <w:right w:val="none" w:sz="0" w:space="0" w:color="auto"/>
          </w:divBdr>
        </w:div>
        <w:div w:id="1444182282">
          <w:marLeft w:val="0"/>
          <w:marRight w:val="0"/>
          <w:marTop w:val="0"/>
          <w:marBottom w:val="0"/>
          <w:divBdr>
            <w:top w:val="none" w:sz="0" w:space="0" w:color="auto"/>
            <w:left w:val="none" w:sz="0" w:space="0" w:color="auto"/>
            <w:bottom w:val="none" w:sz="0" w:space="0" w:color="auto"/>
            <w:right w:val="none" w:sz="0" w:space="0" w:color="auto"/>
          </w:divBdr>
        </w:div>
        <w:div w:id="1471746678">
          <w:marLeft w:val="0"/>
          <w:marRight w:val="0"/>
          <w:marTop w:val="0"/>
          <w:marBottom w:val="0"/>
          <w:divBdr>
            <w:top w:val="none" w:sz="0" w:space="0" w:color="auto"/>
            <w:left w:val="none" w:sz="0" w:space="0" w:color="auto"/>
            <w:bottom w:val="none" w:sz="0" w:space="0" w:color="auto"/>
            <w:right w:val="none" w:sz="0" w:space="0" w:color="auto"/>
          </w:divBdr>
        </w:div>
        <w:div w:id="1479609597">
          <w:marLeft w:val="0"/>
          <w:marRight w:val="0"/>
          <w:marTop w:val="0"/>
          <w:marBottom w:val="0"/>
          <w:divBdr>
            <w:top w:val="none" w:sz="0" w:space="0" w:color="auto"/>
            <w:left w:val="none" w:sz="0" w:space="0" w:color="auto"/>
            <w:bottom w:val="none" w:sz="0" w:space="0" w:color="auto"/>
            <w:right w:val="none" w:sz="0" w:space="0" w:color="auto"/>
          </w:divBdr>
        </w:div>
        <w:div w:id="1492409806">
          <w:marLeft w:val="0"/>
          <w:marRight w:val="0"/>
          <w:marTop w:val="0"/>
          <w:marBottom w:val="0"/>
          <w:divBdr>
            <w:top w:val="none" w:sz="0" w:space="0" w:color="auto"/>
            <w:left w:val="none" w:sz="0" w:space="0" w:color="auto"/>
            <w:bottom w:val="none" w:sz="0" w:space="0" w:color="auto"/>
            <w:right w:val="none" w:sz="0" w:space="0" w:color="auto"/>
          </w:divBdr>
        </w:div>
        <w:div w:id="1572540052">
          <w:marLeft w:val="0"/>
          <w:marRight w:val="0"/>
          <w:marTop w:val="0"/>
          <w:marBottom w:val="0"/>
          <w:divBdr>
            <w:top w:val="none" w:sz="0" w:space="0" w:color="auto"/>
            <w:left w:val="none" w:sz="0" w:space="0" w:color="auto"/>
            <w:bottom w:val="none" w:sz="0" w:space="0" w:color="auto"/>
            <w:right w:val="none" w:sz="0" w:space="0" w:color="auto"/>
          </w:divBdr>
        </w:div>
        <w:div w:id="1575167468">
          <w:marLeft w:val="0"/>
          <w:marRight w:val="0"/>
          <w:marTop w:val="0"/>
          <w:marBottom w:val="0"/>
          <w:divBdr>
            <w:top w:val="none" w:sz="0" w:space="0" w:color="auto"/>
            <w:left w:val="none" w:sz="0" w:space="0" w:color="auto"/>
            <w:bottom w:val="none" w:sz="0" w:space="0" w:color="auto"/>
            <w:right w:val="none" w:sz="0" w:space="0" w:color="auto"/>
          </w:divBdr>
        </w:div>
        <w:div w:id="1652825950">
          <w:marLeft w:val="0"/>
          <w:marRight w:val="0"/>
          <w:marTop w:val="0"/>
          <w:marBottom w:val="0"/>
          <w:divBdr>
            <w:top w:val="none" w:sz="0" w:space="0" w:color="auto"/>
            <w:left w:val="none" w:sz="0" w:space="0" w:color="auto"/>
            <w:bottom w:val="none" w:sz="0" w:space="0" w:color="auto"/>
            <w:right w:val="none" w:sz="0" w:space="0" w:color="auto"/>
          </w:divBdr>
        </w:div>
        <w:div w:id="1713505618">
          <w:marLeft w:val="0"/>
          <w:marRight w:val="0"/>
          <w:marTop w:val="0"/>
          <w:marBottom w:val="0"/>
          <w:divBdr>
            <w:top w:val="none" w:sz="0" w:space="0" w:color="auto"/>
            <w:left w:val="none" w:sz="0" w:space="0" w:color="auto"/>
            <w:bottom w:val="none" w:sz="0" w:space="0" w:color="auto"/>
            <w:right w:val="none" w:sz="0" w:space="0" w:color="auto"/>
          </w:divBdr>
        </w:div>
        <w:div w:id="1761372556">
          <w:marLeft w:val="0"/>
          <w:marRight w:val="0"/>
          <w:marTop w:val="0"/>
          <w:marBottom w:val="0"/>
          <w:divBdr>
            <w:top w:val="none" w:sz="0" w:space="0" w:color="auto"/>
            <w:left w:val="none" w:sz="0" w:space="0" w:color="auto"/>
            <w:bottom w:val="none" w:sz="0" w:space="0" w:color="auto"/>
            <w:right w:val="none" w:sz="0" w:space="0" w:color="auto"/>
          </w:divBdr>
        </w:div>
        <w:div w:id="1876042848">
          <w:marLeft w:val="0"/>
          <w:marRight w:val="0"/>
          <w:marTop w:val="0"/>
          <w:marBottom w:val="0"/>
          <w:divBdr>
            <w:top w:val="none" w:sz="0" w:space="0" w:color="auto"/>
            <w:left w:val="none" w:sz="0" w:space="0" w:color="auto"/>
            <w:bottom w:val="none" w:sz="0" w:space="0" w:color="auto"/>
            <w:right w:val="none" w:sz="0" w:space="0" w:color="auto"/>
          </w:divBdr>
        </w:div>
        <w:div w:id="1935165018">
          <w:marLeft w:val="0"/>
          <w:marRight w:val="0"/>
          <w:marTop w:val="0"/>
          <w:marBottom w:val="0"/>
          <w:divBdr>
            <w:top w:val="none" w:sz="0" w:space="0" w:color="auto"/>
            <w:left w:val="none" w:sz="0" w:space="0" w:color="auto"/>
            <w:bottom w:val="none" w:sz="0" w:space="0" w:color="auto"/>
            <w:right w:val="none" w:sz="0" w:space="0" w:color="auto"/>
          </w:divBdr>
        </w:div>
        <w:div w:id="2126801160">
          <w:marLeft w:val="0"/>
          <w:marRight w:val="0"/>
          <w:marTop w:val="0"/>
          <w:marBottom w:val="0"/>
          <w:divBdr>
            <w:top w:val="none" w:sz="0" w:space="0" w:color="auto"/>
            <w:left w:val="none" w:sz="0" w:space="0" w:color="auto"/>
            <w:bottom w:val="none" w:sz="0" w:space="0" w:color="auto"/>
            <w:right w:val="none" w:sz="0" w:space="0" w:color="auto"/>
          </w:divBdr>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ICG.GYS-C-0008/" TargetMode="External"/><Relationship Id="rId18" Type="http://schemas.openxmlformats.org/officeDocument/2006/relationships/hyperlink" Target="https://www.itu.int/md/D22-TDAG.ICG.GYS-C-000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D22-TDAG.ICG.GYS-C-0005/" TargetMode="External"/><Relationship Id="rId17" Type="http://schemas.openxmlformats.org/officeDocument/2006/relationships/hyperlink" Target="https://www.itu.int/en/ITU-D/Conferences/TDAG/Pages/2024/TDAG_ICG_GYS.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22-TDAG.ICG.GYS-C-0005/" TargetMode="External"/><Relationship Id="rId20" Type="http://schemas.openxmlformats.org/officeDocument/2006/relationships/hyperlink" Target="https://www.itu.int/itu-d/meetings/global-youth-summit-25/wp-content/uploads/sites/34/2024/12/ITU-GYS-2025-Sponsorship-Packa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22-TDAG.ICG.GYS-C-000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dms_pub/itu-d/md/22/tdag31/c/D22-TDAG31-C-0013!N1!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ICG.GYS-C-0007/"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wangke@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3185B-64F7-4854-8428-C3D86E8D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658BCBA6-4DC1-4B9D-9116-DB2079BB3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6481</Characters>
  <Application>Microsoft Office Word</Application>
  <DocSecurity>0</DocSecurity>
  <Lines>54</Lines>
  <Paragraphs>14</Paragraphs>
  <ScaleCrop>false</ScaleCrop>
  <Manager>General Secretariat - Pool</Manager>
  <Company>International Telecommunication Union (ITU)</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74</cp:revision>
  <cp:lastPrinted>2014-11-04T18:22:00Z</cp:lastPrinted>
  <dcterms:created xsi:type="dcterms:W3CDTF">2024-12-13T16:18:00Z</dcterms:created>
  <dcterms:modified xsi:type="dcterms:W3CDTF">2024-12-17T09:45:00Z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