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330E00" w:rsidRPr="00D8041C" w14:paraId="73EDB74E" w14:textId="77777777" w:rsidTr="00952667">
        <w:trPr>
          <w:cantSplit/>
          <w:trHeight w:val="1134"/>
        </w:trPr>
        <w:tc>
          <w:tcPr>
            <w:tcW w:w="6379" w:type="dxa"/>
          </w:tcPr>
          <w:p w14:paraId="57CB159F" w14:textId="77777777" w:rsidR="00330E00" w:rsidRPr="001854A3" w:rsidRDefault="00330E00" w:rsidP="00330E00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  <w:lang w:val="es-ES"/>
              </w:rPr>
            </w:pPr>
            <w:r w:rsidRPr="001854A3">
              <w:rPr>
                <w:b/>
                <w:bCs/>
                <w:sz w:val="32"/>
                <w:szCs w:val="32"/>
                <w:lang w:val="es-ES"/>
              </w:rPr>
              <w:t>Reunión Preparatoria Regional para Europa de la CMDT-25 (RPR-EUR)</w:t>
            </w:r>
          </w:p>
          <w:p w14:paraId="7BAD39E2" w14:textId="25095379" w:rsidR="00330E00" w:rsidRPr="00D8041C" w:rsidRDefault="00330E00" w:rsidP="00330E00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  <w:lang w:val="es-ES_tradnl"/>
              </w:rPr>
            </w:pPr>
            <w:r w:rsidRPr="00D97F12">
              <w:rPr>
                <w:b/>
                <w:bCs/>
                <w:sz w:val="26"/>
                <w:szCs w:val="26"/>
                <w:lang w:val="es-ES"/>
              </w:rPr>
              <w:t>Budapest (Hungría), 25-26 de febrero de 2025</w:t>
            </w:r>
          </w:p>
        </w:tc>
        <w:tc>
          <w:tcPr>
            <w:tcW w:w="3509" w:type="dxa"/>
          </w:tcPr>
          <w:p w14:paraId="3F928B10" w14:textId="77777777" w:rsidR="00330E00" w:rsidRPr="00D8041C" w:rsidRDefault="00330E00" w:rsidP="00330E00">
            <w:pPr>
              <w:spacing w:after="120"/>
              <w:ind w:right="142"/>
              <w:jc w:val="right"/>
              <w:rPr>
                <w:lang w:val="es-ES_tradnl"/>
              </w:rPr>
            </w:pPr>
            <w:r w:rsidRPr="00D8041C">
              <w:rPr>
                <w:noProof/>
                <w:lang w:val="es-ES_tradnl" w:eastAsia="fr-FR"/>
              </w:rPr>
              <w:drawing>
                <wp:inline distT="0" distB="0" distL="0" distR="0" wp14:anchorId="3DF5BA7A" wp14:editId="16FFB643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E00" w:rsidRPr="00D8041C" w14:paraId="0B32B8FF" w14:textId="77777777" w:rsidTr="0009076F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019E2B05" w14:textId="77777777" w:rsidR="00330E00" w:rsidRPr="00D8041C" w:rsidRDefault="00330E00" w:rsidP="00330E00">
            <w:pPr>
              <w:spacing w:before="0"/>
              <w:rPr>
                <w:rFonts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2BE4FFB6" w14:textId="77777777" w:rsidR="00330E00" w:rsidRPr="00D8041C" w:rsidRDefault="00330E00" w:rsidP="00330E00">
            <w:pPr>
              <w:spacing w:before="0"/>
              <w:rPr>
                <w:b/>
                <w:bCs/>
                <w:sz w:val="20"/>
                <w:lang w:val="es-ES_tradnl"/>
              </w:rPr>
            </w:pPr>
          </w:p>
        </w:tc>
      </w:tr>
      <w:tr w:rsidR="00330E00" w:rsidRPr="00D8041C" w14:paraId="4AFC45A2" w14:textId="77777777" w:rsidTr="0009076F">
        <w:trPr>
          <w:cantSplit/>
        </w:trPr>
        <w:tc>
          <w:tcPr>
            <w:tcW w:w="6379" w:type="dxa"/>
          </w:tcPr>
          <w:p w14:paraId="33EFBF61" w14:textId="77777777" w:rsidR="00330E00" w:rsidRPr="00D8041C" w:rsidRDefault="00330E00" w:rsidP="00330E00">
            <w:pPr>
              <w:pStyle w:val="Committee"/>
              <w:spacing w:before="0"/>
              <w:rPr>
                <w:b w:val="0"/>
                <w:szCs w:val="24"/>
                <w:lang w:val="es-ES_tradnl"/>
              </w:rPr>
            </w:pPr>
          </w:p>
        </w:tc>
        <w:tc>
          <w:tcPr>
            <w:tcW w:w="3509" w:type="dxa"/>
          </w:tcPr>
          <w:p w14:paraId="0F8DB8EE" w14:textId="1B75117B" w:rsidR="00330E00" w:rsidRPr="00D8041C" w:rsidRDefault="00330E00" w:rsidP="00330E00">
            <w:pPr>
              <w:spacing w:before="0"/>
              <w:jc w:val="both"/>
              <w:rPr>
                <w:bCs/>
                <w:szCs w:val="24"/>
                <w:lang w:val="es-ES_tradnl"/>
              </w:rPr>
            </w:pPr>
            <w:r>
              <w:rPr>
                <w:b/>
                <w:bCs/>
                <w:lang w:val="es-ES"/>
              </w:rPr>
              <w:t>Documento RPM-EUR25/7-S</w:t>
            </w:r>
          </w:p>
        </w:tc>
      </w:tr>
      <w:tr w:rsidR="00330E00" w:rsidRPr="00D8041C" w14:paraId="7EFFFBD4" w14:textId="77777777" w:rsidTr="0009076F">
        <w:trPr>
          <w:cantSplit/>
        </w:trPr>
        <w:tc>
          <w:tcPr>
            <w:tcW w:w="6379" w:type="dxa"/>
          </w:tcPr>
          <w:p w14:paraId="4B083EC4" w14:textId="77777777" w:rsidR="00330E00" w:rsidRPr="00D8041C" w:rsidRDefault="00330E00" w:rsidP="00330E00">
            <w:pPr>
              <w:spacing w:before="0"/>
              <w:rPr>
                <w:b/>
                <w:bCs/>
                <w:smallCaps/>
                <w:szCs w:val="24"/>
                <w:lang w:val="es-ES_tradnl"/>
              </w:rPr>
            </w:pPr>
          </w:p>
        </w:tc>
        <w:tc>
          <w:tcPr>
            <w:tcW w:w="3509" w:type="dxa"/>
          </w:tcPr>
          <w:p w14:paraId="165CBE5F" w14:textId="3F0861E9" w:rsidR="00330E00" w:rsidRPr="00D8041C" w:rsidRDefault="00330E00" w:rsidP="00330E00">
            <w:pPr>
              <w:spacing w:before="0"/>
              <w:rPr>
                <w:b/>
                <w:szCs w:val="24"/>
                <w:lang w:val="es-ES_tradnl"/>
              </w:rPr>
            </w:pPr>
            <w:bookmarkStart w:id="0" w:name="CreationDate"/>
            <w:bookmarkEnd w:id="0"/>
            <w:r>
              <w:rPr>
                <w:b/>
                <w:bCs/>
                <w:lang w:val="es-ES"/>
              </w:rPr>
              <w:t>13 de diciembre de 2025</w:t>
            </w:r>
          </w:p>
        </w:tc>
      </w:tr>
      <w:tr w:rsidR="00330E00" w:rsidRPr="00D8041C" w14:paraId="6622215B" w14:textId="77777777" w:rsidTr="0009076F">
        <w:trPr>
          <w:cantSplit/>
        </w:trPr>
        <w:tc>
          <w:tcPr>
            <w:tcW w:w="6379" w:type="dxa"/>
          </w:tcPr>
          <w:p w14:paraId="3D6CF27F" w14:textId="77777777" w:rsidR="00330E00" w:rsidRPr="00D8041C" w:rsidRDefault="00330E00" w:rsidP="00330E00">
            <w:pPr>
              <w:spacing w:before="0"/>
              <w:rPr>
                <w:b/>
                <w:bCs/>
                <w:smallCaps/>
                <w:szCs w:val="24"/>
                <w:lang w:val="es-ES_tradnl"/>
              </w:rPr>
            </w:pPr>
          </w:p>
        </w:tc>
        <w:tc>
          <w:tcPr>
            <w:tcW w:w="3509" w:type="dxa"/>
          </w:tcPr>
          <w:p w14:paraId="179FBCFE" w14:textId="1F8BFAAB" w:rsidR="00330E00" w:rsidRPr="00D8041C" w:rsidRDefault="00330E00" w:rsidP="00330E00">
            <w:pPr>
              <w:spacing w:before="0"/>
              <w:rPr>
                <w:szCs w:val="24"/>
                <w:lang w:val="es-ES_tradnl"/>
              </w:rPr>
            </w:pPr>
            <w:r>
              <w:rPr>
                <w:b/>
                <w:bCs/>
                <w:lang w:val="es-ES"/>
              </w:rPr>
              <w:t>Original: inglés</w:t>
            </w:r>
          </w:p>
        </w:tc>
      </w:tr>
      <w:tr w:rsidR="00330E00" w:rsidRPr="00330E00" w14:paraId="6716DEED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46668C08" w14:textId="312CF49D" w:rsidR="00330E00" w:rsidRPr="00D8041C" w:rsidRDefault="00330E00" w:rsidP="00330E00">
            <w:pPr>
              <w:pStyle w:val="Source"/>
              <w:rPr>
                <w:lang w:val="es-ES_tradnl"/>
              </w:rPr>
            </w:pPr>
            <w:bookmarkStart w:id="1" w:name="Source"/>
            <w:bookmarkEnd w:id="1"/>
            <w:r>
              <w:rPr>
                <w:bCs/>
                <w:lang w:val="es-ES"/>
              </w:rPr>
              <w:t>Presidente del GT-GADT-DEC</w:t>
            </w:r>
          </w:p>
        </w:tc>
      </w:tr>
      <w:tr w:rsidR="00330E00" w:rsidRPr="00330E00" w14:paraId="241F1E2A" w14:textId="77777777" w:rsidTr="00107E85">
        <w:trPr>
          <w:cantSplit/>
        </w:trPr>
        <w:tc>
          <w:tcPr>
            <w:tcW w:w="9888" w:type="dxa"/>
            <w:gridSpan w:val="2"/>
          </w:tcPr>
          <w:p w14:paraId="737329FF" w14:textId="33463761" w:rsidR="00330E00" w:rsidRPr="00D8041C" w:rsidRDefault="00330E00" w:rsidP="00330E00">
            <w:pPr>
              <w:pStyle w:val="Title1"/>
              <w:rPr>
                <w:lang w:val="es-ES_tradnl"/>
              </w:rPr>
            </w:pPr>
            <w:bookmarkStart w:id="2" w:name="Title"/>
            <w:bookmarkEnd w:id="2"/>
            <w:r w:rsidRPr="00011FBB">
              <w:rPr>
                <w:lang w:val="es-ES"/>
              </w:rPr>
              <w:t>Informe sobre los progresos del Grupo de Trabajo del GADT sobre la Declaración</w:t>
            </w:r>
          </w:p>
        </w:tc>
      </w:tr>
      <w:tr w:rsidR="00330E00" w:rsidRPr="00330E00" w14:paraId="7CC4B608" w14:textId="77777777" w:rsidTr="00A721F4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58D4F4EB" w14:textId="77777777" w:rsidR="00330E00" w:rsidRPr="00D8041C" w:rsidRDefault="00330E00" w:rsidP="00330E00">
            <w:pPr>
              <w:rPr>
                <w:lang w:val="es-ES_tradnl"/>
              </w:rPr>
            </w:pPr>
          </w:p>
        </w:tc>
      </w:tr>
      <w:tr w:rsidR="00330E00" w:rsidRPr="00492065" w14:paraId="7B57CFC9" w14:textId="77777777" w:rsidTr="00A721F4">
        <w:trPr>
          <w:cantSplit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16BB" w14:textId="77777777" w:rsidR="00330E00" w:rsidRPr="00BD3CD2" w:rsidRDefault="00330E00" w:rsidP="00330E00">
            <w:pPr>
              <w:spacing w:after="12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Punto del orden del día:</w:t>
            </w:r>
          </w:p>
          <w:p w14:paraId="2B56FAEC" w14:textId="77777777" w:rsidR="00330E00" w:rsidRPr="00BD3CD2" w:rsidRDefault="00330E00" w:rsidP="00330E00">
            <w:pPr>
              <w:spacing w:after="120"/>
              <w:rPr>
                <w:lang w:val="es-ES"/>
              </w:rPr>
            </w:pPr>
            <w:r>
              <w:rPr>
                <w:lang w:val="es-ES"/>
              </w:rPr>
              <w:t>Punto 7.3 del orden del día</w:t>
            </w:r>
          </w:p>
          <w:p w14:paraId="218848DE" w14:textId="71FBACF3" w:rsidR="00330E00" w:rsidRPr="00D8041C" w:rsidRDefault="00330E00" w:rsidP="00330E00">
            <w:pPr>
              <w:spacing w:after="120"/>
              <w:rPr>
                <w:b/>
                <w:bCs/>
                <w:szCs w:val="24"/>
                <w:lang w:val="es-ES_tradnl"/>
              </w:rPr>
            </w:pPr>
            <w:r w:rsidRPr="00D8041C">
              <w:rPr>
                <w:b/>
                <w:bCs/>
                <w:szCs w:val="24"/>
                <w:lang w:val="es-ES_tradnl"/>
              </w:rPr>
              <w:t>Resumen:</w:t>
            </w:r>
          </w:p>
          <w:p w14:paraId="04603F26" w14:textId="3A6CFFD2" w:rsidR="00330E00" w:rsidRPr="00D8041C" w:rsidRDefault="00330E00" w:rsidP="00330E00">
            <w:pPr>
              <w:spacing w:after="120"/>
              <w:rPr>
                <w:szCs w:val="24"/>
                <w:lang w:val="es-ES_tradnl"/>
              </w:rPr>
            </w:pPr>
            <w:r>
              <w:rPr>
                <w:lang w:val="es-ES"/>
              </w:rPr>
              <w:t>El documento contiene un resumen de los debates y una actualización de los progresos del Grupo.</w:t>
            </w:r>
          </w:p>
          <w:p w14:paraId="7B6347C1" w14:textId="77777777" w:rsidR="00330E00" w:rsidRPr="00D8041C" w:rsidRDefault="00330E00" w:rsidP="00330E00">
            <w:pPr>
              <w:spacing w:after="120"/>
              <w:rPr>
                <w:b/>
                <w:bCs/>
                <w:szCs w:val="24"/>
                <w:lang w:val="es-ES_tradnl"/>
              </w:rPr>
            </w:pPr>
            <w:r w:rsidRPr="00D8041C">
              <w:rPr>
                <w:b/>
                <w:bCs/>
                <w:lang w:val="es-ES_tradnl"/>
              </w:rPr>
              <w:t>Acción solicitada:</w:t>
            </w:r>
          </w:p>
          <w:p w14:paraId="2AC4A4BC" w14:textId="65831B02" w:rsidR="00330E00" w:rsidRPr="00D8041C" w:rsidRDefault="00330E00" w:rsidP="00330E00">
            <w:pPr>
              <w:spacing w:after="120"/>
              <w:rPr>
                <w:szCs w:val="24"/>
                <w:lang w:val="es-ES_tradnl"/>
              </w:rPr>
            </w:pPr>
            <w:r>
              <w:rPr>
                <w:lang w:val="es-ES"/>
              </w:rPr>
              <w:t>A título informativo.</w:t>
            </w:r>
          </w:p>
          <w:p w14:paraId="54F0903F" w14:textId="77777777" w:rsidR="00330E00" w:rsidRPr="00D8041C" w:rsidRDefault="00330E00" w:rsidP="00330E00">
            <w:pPr>
              <w:spacing w:after="120"/>
              <w:rPr>
                <w:b/>
                <w:bCs/>
                <w:szCs w:val="24"/>
                <w:lang w:val="es-ES_tradnl"/>
              </w:rPr>
            </w:pPr>
            <w:r w:rsidRPr="00D8041C">
              <w:rPr>
                <w:b/>
                <w:bCs/>
                <w:szCs w:val="24"/>
                <w:lang w:val="es-ES_tradnl"/>
              </w:rPr>
              <w:t>Referencias:</w:t>
            </w:r>
          </w:p>
          <w:p w14:paraId="2C512EA3" w14:textId="69ACDE5D" w:rsidR="00330E00" w:rsidRPr="00BD3CD2" w:rsidRDefault="00F775BE" w:rsidP="00330E00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lang w:val="es-ES"/>
              </w:rPr>
            </w:pPr>
            <w:r>
              <w:rPr>
                <w:lang w:val="es-ES"/>
              </w:rPr>
              <w:t>Mandato del GT-GADT-DEC (</w:t>
            </w:r>
            <w:hyperlink r:id="rId11" w:history="1">
              <w:r w:rsidRPr="000729D8">
                <w:rPr>
                  <w:rStyle w:val="Hyperlink"/>
                  <w:lang w:val="es-ES"/>
                </w:rPr>
                <w:t>TDAG-24/DT/4</w:t>
              </w:r>
            </w:hyperlink>
            <w:r>
              <w:rPr>
                <w:lang w:val="es-ES"/>
              </w:rPr>
              <w:t>)</w:t>
            </w:r>
          </w:p>
          <w:p w14:paraId="4176EB5F" w14:textId="4C3593F0" w:rsidR="00330E00" w:rsidRPr="00BD3CD2" w:rsidRDefault="00330E00" w:rsidP="00330E00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lang w:val="es-ES"/>
              </w:rPr>
            </w:pPr>
            <w:r>
              <w:rPr>
                <w:lang w:val="es-ES"/>
              </w:rPr>
              <w:t>Informe de la primera reunión del Grupo de Trabajo del GADT sobre la Declaración (</w:t>
            </w:r>
            <w:hyperlink r:id="rId12" w:history="1">
              <w:r w:rsidRPr="00735A42">
                <w:rPr>
                  <w:rStyle w:val="Hyperlink"/>
                  <w:lang w:val="es-ES"/>
                </w:rPr>
                <w:t>TDAG</w:t>
              </w:r>
              <w:r w:rsidR="00F775BE">
                <w:rPr>
                  <w:rStyle w:val="Hyperlink"/>
                  <w:lang w:val="es-ES"/>
                </w:rPr>
                <w:noBreakHyphen/>
              </w:r>
              <w:r w:rsidRPr="00735A42">
                <w:rPr>
                  <w:rStyle w:val="Hyperlink"/>
                  <w:lang w:val="es-ES"/>
                </w:rPr>
                <w:t>WG</w:t>
              </w:r>
              <w:r w:rsidR="00F775BE">
                <w:rPr>
                  <w:rStyle w:val="Hyperlink"/>
                  <w:lang w:val="es-ES"/>
                </w:rPr>
                <w:noBreakHyphen/>
              </w:r>
              <w:r w:rsidRPr="00735A42">
                <w:rPr>
                  <w:rStyle w:val="Hyperlink"/>
                  <w:lang w:val="es-ES"/>
                </w:rPr>
                <w:t>DEC/2</w:t>
              </w:r>
            </w:hyperlink>
            <w:r>
              <w:rPr>
                <w:lang w:val="es-ES"/>
              </w:rPr>
              <w:t>)</w:t>
            </w:r>
          </w:p>
          <w:p w14:paraId="0A307248" w14:textId="060C0FCC" w:rsidR="00330E00" w:rsidRPr="00BD3CD2" w:rsidRDefault="00330E00" w:rsidP="00330E00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lang w:val="es-ES"/>
              </w:rPr>
            </w:pPr>
            <w:r>
              <w:rPr>
                <w:lang w:val="es-ES"/>
              </w:rPr>
              <w:t>Informe de la segunda reunión del Grupo de Trabajo del GADT sobre la Declaración (</w:t>
            </w:r>
            <w:hyperlink r:id="rId13" w:history="1">
              <w:r w:rsidRPr="00C67B2C">
                <w:rPr>
                  <w:rStyle w:val="Hyperlink"/>
                  <w:lang w:val="es-ES"/>
                </w:rPr>
                <w:t>TDAG</w:t>
              </w:r>
              <w:r w:rsidR="00F775BE">
                <w:rPr>
                  <w:rStyle w:val="Hyperlink"/>
                  <w:lang w:val="es-ES"/>
                </w:rPr>
                <w:noBreakHyphen/>
              </w:r>
              <w:r w:rsidRPr="00C67B2C">
                <w:rPr>
                  <w:rStyle w:val="Hyperlink"/>
                  <w:lang w:val="es-ES"/>
                </w:rPr>
                <w:t>WG</w:t>
              </w:r>
              <w:r w:rsidR="00F775BE">
                <w:rPr>
                  <w:rStyle w:val="Hyperlink"/>
                  <w:lang w:val="es-ES"/>
                </w:rPr>
                <w:noBreakHyphen/>
              </w:r>
              <w:r w:rsidRPr="00C67B2C">
                <w:rPr>
                  <w:rStyle w:val="Hyperlink"/>
                  <w:lang w:val="es-ES"/>
                </w:rPr>
                <w:t>DEC/6</w:t>
              </w:r>
            </w:hyperlink>
            <w:r>
              <w:rPr>
                <w:lang w:val="es-ES"/>
              </w:rPr>
              <w:t>)</w:t>
            </w:r>
          </w:p>
          <w:p w14:paraId="7F9CF4AA" w14:textId="6FB39ACB" w:rsidR="00330E00" w:rsidRPr="00BD3CD2" w:rsidRDefault="00330E00" w:rsidP="00330E00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lang w:val="es-ES"/>
              </w:rPr>
            </w:pPr>
            <w:r w:rsidRPr="005B2ADE">
              <w:rPr>
                <w:lang w:val="es-ES"/>
              </w:rPr>
              <w:t xml:space="preserve">Esbozo revisado de la Declaración de Bakú </w:t>
            </w:r>
            <w:r>
              <w:rPr>
                <w:lang w:val="es-ES"/>
              </w:rPr>
              <w:t xml:space="preserve">de </w:t>
            </w:r>
            <w:r w:rsidRPr="005B2ADE">
              <w:rPr>
                <w:lang w:val="es-ES"/>
              </w:rPr>
              <w:t>2025</w:t>
            </w:r>
            <w:r w:rsidR="00492065">
              <w:rPr>
                <w:lang w:val="es-ES"/>
              </w:rPr>
              <w:t xml:space="preserve"> </w:t>
            </w:r>
            <w:r>
              <w:rPr>
                <w:lang w:val="es-ES"/>
              </w:rPr>
              <w:t>(</w:t>
            </w:r>
            <w:hyperlink r:id="rId14" w:history="1">
              <w:r w:rsidRPr="006064C5">
                <w:rPr>
                  <w:rStyle w:val="Hyperlink"/>
                  <w:lang w:val="es-ES"/>
                </w:rPr>
                <w:t>TDAG-WG-DEC/7</w:t>
              </w:r>
            </w:hyperlink>
            <w:r>
              <w:rPr>
                <w:lang w:val="es-ES"/>
              </w:rPr>
              <w:t>)</w:t>
            </w:r>
          </w:p>
          <w:p w14:paraId="43632D05" w14:textId="77777777" w:rsidR="00330E00" w:rsidRPr="00BD3CD2" w:rsidRDefault="00330E00" w:rsidP="00330E00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lang w:val="es-ES"/>
              </w:rPr>
            </w:pPr>
            <w:r>
              <w:rPr>
                <w:lang w:val="es-ES"/>
              </w:rPr>
              <w:t xml:space="preserve">Correspondencia entre los temas de la Declaración de Kigali y los temas nuevos e incipientes (Documento </w:t>
            </w:r>
            <w:hyperlink r:id="rId15" w:history="1">
              <w:r w:rsidRPr="00B567D9">
                <w:rPr>
                  <w:rStyle w:val="Hyperlink"/>
                  <w:lang w:val="es-ES"/>
                </w:rPr>
                <w:t>TDAG-WG-DEC/INF/1</w:t>
              </w:r>
            </w:hyperlink>
            <w:r>
              <w:rPr>
                <w:lang w:val="es-ES"/>
              </w:rPr>
              <w:t>)</w:t>
            </w:r>
          </w:p>
          <w:p w14:paraId="2BDA9376" w14:textId="2F5BF506" w:rsidR="00330E00" w:rsidRPr="00D8041C" w:rsidRDefault="00330E00" w:rsidP="00492065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lang w:val="es-ES_tradnl"/>
              </w:rPr>
            </w:pPr>
            <w:hyperlink r:id="rId16" w:anchor="/es" w:history="1">
              <w:r w:rsidRPr="00742F4F">
                <w:rPr>
                  <w:rStyle w:val="Hyperlink"/>
                  <w:lang w:val="es-ES"/>
                </w:rPr>
                <w:t>Sitio web del GT-GADT-DEC</w:t>
              </w:r>
            </w:hyperlink>
          </w:p>
        </w:tc>
      </w:tr>
    </w:tbl>
    <w:p w14:paraId="77F1BF30" w14:textId="77777777" w:rsidR="00923CF1" w:rsidRPr="00D8041C" w:rsidRDefault="00923CF1" w:rsidP="00935FF0">
      <w:pPr>
        <w:rPr>
          <w:lang w:val="es-ES_tradnl"/>
        </w:rPr>
      </w:pPr>
    </w:p>
    <w:p w14:paraId="1040795F" w14:textId="77777777" w:rsidR="00923CF1" w:rsidRPr="00D8041C" w:rsidRDefault="00923CF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s-ES_tradnl"/>
        </w:rPr>
      </w:pPr>
      <w:r w:rsidRPr="00D8041C">
        <w:rPr>
          <w:lang w:val="es-ES_tradnl"/>
        </w:rPr>
        <w:br w:type="page"/>
      </w:r>
    </w:p>
    <w:p w14:paraId="702956B2" w14:textId="2CFA517B" w:rsidR="00F775BE" w:rsidRPr="00F775BE" w:rsidRDefault="00F775BE" w:rsidP="00F775BE">
      <w:pPr>
        <w:pStyle w:val="Heading1"/>
        <w:rPr>
          <w:sz w:val="24"/>
          <w:szCs w:val="24"/>
        </w:rPr>
      </w:pPr>
      <w:bookmarkStart w:id="3" w:name="Proposal"/>
      <w:bookmarkEnd w:id="3"/>
      <w:r w:rsidRPr="00F775BE">
        <w:rPr>
          <w:sz w:val="24"/>
          <w:szCs w:val="24"/>
          <w:lang w:val="es-ES"/>
        </w:rPr>
        <w:lastRenderedPageBreak/>
        <w:t>1</w:t>
      </w:r>
      <w:r w:rsidRPr="00F775BE">
        <w:rPr>
          <w:sz w:val="24"/>
          <w:szCs w:val="24"/>
          <w:lang w:val="es-ES"/>
        </w:rPr>
        <w:tab/>
        <w:t>Introducción</w:t>
      </w:r>
    </w:p>
    <w:p w14:paraId="7CEFDA87" w14:textId="77777777" w:rsidR="00F775BE" w:rsidRDefault="00F775BE" w:rsidP="00F775BE">
      <w:pPr>
        <w:rPr>
          <w:lang w:val="es-ES"/>
        </w:rPr>
      </w:pPr>
      <w:r>
        <w:rPr>
          <w:lang w:val="es-ES"/>
        </w:rPr>
        <w:t xml:space="preserve">Se encomendó al GT-GADT-DEC la tarea de "proponer elementos y formular recomendaciones a los miembros de la UIT para el futuro proyecto de Declaración" de la Conferencia Mundial de Desarrollo de las Telecomunicaciones de 2025 (CMDT-25) (mandato del Grupo </w:t>
      </w:r>
      <w:hyperlink r:id="rId17" w:history="1">
        <w:r w:rsidRPr="002405AC">
          <w:rPr>
            <w:rStyle w:val="Hyperlink"/>
            <w:b/>
            <w:bCs/>
            <w:lang w:val="es-ES"/>
          </w:rPr>
          <w:t>TDAG-24/DT/4</w:t>
        </w:r>
      </w:hyperlink>
      <w:r>
        <w:rPr>
          <w:lang w:val="es-ES"/>
        </w:rPr>
        <w:t>). Los resultados del GT-GADT-DEC s</w:t>
      </w:r>
      <w:r w:rsidRPr="00AE6D7E">
        <w:rPr>
          <w:lang w:val="es-ES"/>
        </w:rPr>
        <w:t>ervirán como contribución para que los miembros los analicen tanto en la fase preparatoria como durante la Conferencia, mientras trabajan en la Declaración de la CMDT-25.</w:t>
      </w:r>
    </w:p>
    <w:p w14:paraId="189F7497" w14:textId="77777777" w:rsidR="00F775BE" w:rsidRDefault="00F775BE" w:rsidP="00F775BE">
      <w:pPr>
        <w:rPr>
          <w:lang w:val="es-ES"/>
        </w:rPr>
      </w:pPr>
      <w:r w:rsidRPr="006371B7">
        <w:rPr>
          <w:lang w:val="es-ES"/>
        </w:rPr>
        <w:t>El Dr. Abdulkarim Oloyede, de Nigeria, fue designado Presidente, mientras que el Sr. Ahmed Abd El-Aziz, de Egipto, y la Sra. Ke Wang, de China, fueron nombrados Vicepresidentes.</w:t>
      </w:r>
    </w:p>
    <w:p w14:paraId="38488EF6" w14:textId="13E0DE52" w:rsidR="00F775BE" w:rsidRPr="00BD3CD2" w:rsidRDefault="00F775BE" w:rsidP="00F775BE">
      <w:pPr>
        <w:rPr>
          <w:lang w:val="es-ES"/>
        </w:rPr>
      </w:pPr>
      <w:r>
        <w:rPr>
          <w:lang w:val="es-ES"/>
        </w:rPr>
        <w:t xml:space="preserve">El GT-GADT-DEC celebró su primera reunión el 6 de septiembre de 2024 y la segunda el 2 de diciembre de 2024. Los informes de ambas reuniones pueden consultarse en el </w:t>
      </w:r>
      <w:hyperlink r:id="rId18" w:anchor="/es" w:history="1">
        <w:r w:rsidRPr="00F1761D">
          <w:rPr>
            <w:rStyle w:val="Hyperlink"/>
            <w:lang w:val="es-ES"/>
          </w:rPr>
          <w:t>sitio web del GT</w:t>
        </w:r>
        <w:r w:rsidR="008247AE">
          <w:rPr>
            <w:rStyle w:val="Hyperlink"/>
            <w:lang w:val="es-ES"/>
          </w:rPr>
          <w:noBreakHyphen/>
        </w:r>
        <w:r w:rsidRPr="00F1761D">
          <w:rPr>
            <w:rStyle w:val="Hyperlink"/>
            <w:lang w:val="es-ES"/>
          </w:rPr>
          <w:t>GADT-DEC</w:t>
        </w:r>
      </w:hyperlink>
      <w:r>
        <w:rPr>
          <w:lang w:val="es-ES"/>
        </w:rPr>
        <w:t>.</w:t>
      </w:r>
    </w:p>
    <w:p w14:paraId="52A13F7E" w14:textId="4EDF1602" w:rsidR="00F775BE" w:rsidRPr="00F775BE" w:rsidRDefault="00F775BE" w:rsidP="00F775BE">
      <w:pPr>
        <w:pStyle w:val="Heading1"/>
        <w:rPr>
          <w:b w:val="0"/>
          <w:bCs/>
          <w:sz w:val="24"/>
          <w:szCs w:val="24"/>
          <w:lang w:val="es-ES"/>
        </w:rPr>
      </w:pPr>
      <w:r w:rsidRPr="00F775BE">
        <w:rPr>
          <w:bCs/>
          <w:sz w:val="24"/>
          <w:szCs w:val="24"/>
          <w:lang w:val="es-ES"/>
        </w:rPr>
        <w:t>2</w:t>
      </w:r>
      <w:r w:rsidRPr="00F775BE">
        <w:rPr>
          <w:bCs/>
          <w:sz w:val="24"/>
          <w:szCs w:val="24"/>
          <w:lang w:val="es-ES"/>
        </w:rPr>
        <w:tab/>
        <w:t>Perspectiva y enfoque del proyecto de Declaración de la CMDT-25</w:t>
      </w:r>
    </w:p>
    <w:p w14:paraId="0F0DB398" w14:textId="77777777" w:rsidR="00F775BE" w:rsidRPr="00BD3CD2" w:rsidRDefault="00F775BE" w:rsidP="00F775BE">
      <w:pPr>
        <w:rPr>
          <w:lang w:val="es-ES"/>
        </w:rPr>
      </w:pPr>
      <w:r>
        <w:rPr>
          <w:lang w:val="es-ES"/>
        </w:rPr>
        <w:t>En cuanto a los temas clave que se abordarán en la Declaración, el Grupo prestó especial atención a la necesidad de coordinarse con los demás grupos de trabajo del GADT, en particular con el encargado de las prioridades del UIT-D (GT-GADT-PUITD).</w:t>
      </w:r>
    </w:p>
    <w:p w14:paraId="1BAF9A80" w14:textId="77777777" w:rsidR="00F775BE" w:rsidRPr="00BD3CD2" w:rsidRDefault="00F775BE" w:rsidP="00F775BE">
      <w:pPr>
        <w:rPr>
          <w:lang w:val="es-ES"/>
        </w:rPr>
      </w:pPr>
      <w:r>
        <w:rPr>
          <w:lang w:val="es-ES"/>
        </w:rPr>
        <w:t>En su primera reunión, el Grupo acordó mantener una estructura similar a la de la Declaración de Kigali y ser concisa, sencilla y con un lenguaje claro y práctico, que aborde tanto los retos del desarrollo digital mundial como las posibles soluciones.</w:t>
      </w:r>
    </w:p>
    <w:p w14:paraId="3AC6D088" w14:textId="77777777" w:rsidR="00F775BE" w:rsidRPr="00BD3CD2" w:rsidRDefault="00F775BE" w:rsidP="00F775BE">
      <w:pPr>
        <w:rPr>
          <w:rFonts w:cstheme="minorHAnsi"/>
          <w:szCs w:val="24"/>
          <w:lang w:val="es-ES"/>
        </w:rPr>
      </w:pPr>
      <w:r>
        <w:rPr>
          <w:lang w:val="es-ES"/>
        </w:rPr>
        <w:t xml:space="preserve">Sobre la base de los debates mantenidos durante la primera reunión del GT-GADT-DEC y de las consultas informales, el Presidente propuso a la segunda reunión el título de la Declaración, "Conectividad universal y efectiva para un futuro digital equitativo", que figura en el Documento </w:t>
      </w:r>
      <w:hyperlink r:id="rId19" w:history="1">
        <w:r w:rsidRPr="00146C83">
          <w:rPr>
            <w:rStyle w:val="Hyperlink"/>
            <w:lang w:val="es-ES"/>
          </w:rPr>
          <w:t>TDAG-WG-DEC/4 (Rev.1</w:t>
        </w:r>
      </w:hyperlink>
      <w:r>
        <w:rPr>
          <w:lang w:val="es-ES"/>
        </w:rPr>
        <w:t xml:space="preserve">). Tras los debates celebrados durante la segunda reunión, el Grupo acordó que el título de la Declaración se revisaría para que pasara a ser "Conectividad universal, significativa y asequible para un futuro digital inclusivo y sostenible". Algunos representantes de los Estados Miembros expresaron su preferencia por un título más corto, mientras que otros se mostraron partidarios de uno más amplio. </w:t>
      </w:r>
    </w:p>
    <w:p w14:paraId="783AB570" w14:textId="77777777" w:rsidR="00F775BE" w:rsidRPr="00BD3CD2" w:rsidRDefault="00F775BE" w:rsidP="00F775BE">
      <w:pPr>
        <w:rPr>
          <w:rFonts w:cstheme="minorHAnsi"/>
          <w:szCs w:val="24"/>
          <w:lang w:val="es-ES"/>
        </w:rPr>
      </w:pPr>
      <w:r>
        <w:rPr>
          <w:lang w:val="es-ES"/>
        </w:rPr>
        <w:t>Durante la segunda reunión del Grupo, el Presidente del GT-GADT-DEC también presentó un proyecto de esbozo anotado de la Declaración de Bakú (</w:t>
      </w:r>
      <w:hyperlink r:id="rId20" w:history="1">
        <w:r w:rsidRPr="00D21E50">
          <w:rPr>
            <w:rStyle w:val="Hyperlink"/>
            <w:lang w:val="es-ES"/>
          </w:rPr>
          <w:t>Documento TDAG-WG-DEC/4(Rev.1)</w:t>
        </w:r>
      </w:hyperlink>
      <w:r>
        <w:rPr>
          <w:lang w:val="es-ES"/>
        </w:rPr>
        <w:t xml:space="preserve">) que consta de cuatro secciones principales, a saber, Introducción, "Declaramos", "Nos comprometemos" y Llamamiento a la acción, para estimular el debate sobre la estructura y los posibles temas de la Declaración. También destacó la lógica y el proceso de reflexión que subyacían en el documento, explicando que el anteproyecto se basaba en la correspondencia original de los temas de la Declaración de Kigali y los temas nuevos e incipientes que figuraban en el Documento </w:t>
      </w:r>
      <w:hyperlink r:id="rId21" w:history="1">
        <w:r w:rsidRPr="00D565EA">
          <w:rPr>
            <w:rStyle w:val="Hyperlink"/>
            <w:lang w:val="es-ES"/>
          </w:rPr>
          <w:t>TDAG-WG-DEC/INF/1</w:t>
        </w:r>
      </w:hyperlink>
      <w:r>
        <w:rPr>
          <w:lang w:val="es-ES"/>
        </w:rPr>
        <w:t>.</w:t>
      </w:r>
    </w:p>
    <w:p w14:paraId="7F4F8730" w14:textId="77777777" w:rsidR="00F775BE" w:rsidRPr="00BD3CD2" w:rsidRDefault="00F775BE" w:rsidP="00F775BE">
      <w:pPr>
        <w:rPr>
          <w:rFonts w:cstheme="minorHAnsi"/>
          <w:szCs w:val="24"/>
          <w:lang w:val="es-ES"/>
        </w:rPr>
      </w:pPr>
      <w:r>
        <w:rPr>
          <w:lang w:val="es-ES"/>
        </w:rPr>
        <w:t xml:space="preserve">Sobre la base de los comentarios recibidos durante la segunda reunión del GT-GADT-DEC, el Presidente preparará una propuesta inicial de narrativa para la Declaración para la tercera reunión del Grupo. </w:t>
      </w:r>
    </w:p>
    <w:p w14:paraId="2902463B" w14:textId="4C20F812" w:rsidR="00F775BE" w:rsidRPr="00F775BE" w:rsidRDefault="00F775BE" w:rsidP="00F775BE">
      <w:pPr>
        <w:pStyle w:val="Heading1"/>
        <w:rPr>
          <w:bCs/>
          <w:sz w:val="24"/>
          <w:szCs w:val="24"/>
          <w:lang w:val="es-ES"/>
        </w:rPr>
      </w:pPr>
      <w:r w:rsidRPr="00F775BE">
        <w:rPr>
          <w:bCs/>
          <w:sz w:val="24"/>
          <w:szCs w:val="24"/>
          <w:lang w:val="es-ES"/>
        </w:rPr>
        <w:t>3</w:t>
      </w:r>
      <w:r w:rsidRPr="00F775BE">
        <w:rPr>
          <w:bCs/>
          <w:sz w:val="24"/>
          <w:szCs w:val="24"/>
          <w:lang w:val="es-ES"/>
        </w:rPr>
        <w:tab/>
        <w:t>Informes sobre los avances de los trabajos de las organizaciones regionales de telecomunicaciones</w:t>
      </w:r>
    </w:p>
    <w:p w14:paraId="574D20C5" w14:textId="77777777" w:rsidR="00F775BE" w:rsidRPr="00BD3CD2" w:rsidRDefault="00F775BE" w:rsidP="00F775BE">
      <w:pPr>
        <w:rPr>
          <w:szCs w:val="24"/>
          <w:lang w:val="es-ES"/>
        </w:rPr>
      </w:pPr>
      <w:r>
        <w:rPr>
          <w:lang w:val="es-ES"/>
        </w:rPr>
        <w:t>Se ha invitado a las organizaciones regionales de telecomunicaciones a que proporcionen informes sobre la marcha de sus preparativos para la CMDT-25.</w:t>
      </w:r>
    </w:p>
    <w:p w14:paraId="44EF0F84" w14:textId="6A9364F5" w:rsidR="00F775BE" w:rsidRPr="00F775BE" w:rsidRDefault="00F775BE" w:rsidP="00F775BE">
      <w:pPr>
        <w:pStyle w:val="Heading1"/>
        <w:rPr>
          <w:b w:val="0"/>
          <w:bCs/>
          <w:sz w:val="24"/>
          <w:szCs w:val="24"/>
        </w:rPr>
      </w:pPr>
      <w:r w:rsidRPr="00F775BE">
        <w:rPr>
          <w:bCs/>
          <w:sz w:val="24"/>
          <w:szCs w:val="24"/>
          <w:lang w:val="es-ES"/>
        </w:rPr>
        <w:lastRenderedPageBreak/>
        <w:t>4</w:t>
      </w:r>
      <w:r w:rsidRPr="00F775BE">
        <w:rPr>
          <w:bCs/>
          <w:sz w:val="24"/>
          <w:szCs w:val="24"/>
          <w:lang w:val="es-ES"/>
        </w:rPr>
        <w:tab/>
        <w:t>Fechas y plazos clave</w:t>
      </w:r>
    </w:p>
    <w:p w14:paraId="22330EA6" w14:textId="77777777" w:rsidR="00F775BE" w:rsidRPr="00BD3CD2" w:rsidRDefault="00F775BE" w:rsidP="00F775BE">
      <w:pPr>
        <w:rPr>
          <w:lang w:val="es-ES"/>
        </w:rPr>
      </w:pPr>
      <w:r>
        <w:rPr>
          <w:lang w:val="es-ES"/>
        </w:rPr>
        <w:t>La tercera reunión del GT-GADT-DEC se celebrará durante la próxima serie de reuniones del Grupo de Trabajo del GADT el 5 de marzo de 2025. También habrá posibilidad de celebrar una reunión presencial durante el GADT-25 para concluir los debates del Grupo.</w:t>
      </w:r>
    </w:p>
    <w:p w14:paraId="1BC5CC06" w14:textId="77777777" w:rsidR="00F775BE" w:rsidRPr="00BD3CD2" w:rsidRDefault="00F775BE" w:rsidP="00F775BE">
      <w:pPr>
        <w:rPr>
          <w:lang w:val="es-ES"/>
        </w:rPr>
      </w:pPr>
      <w:r>
        <w:rPr>
          <w:lang w:val="es-ES"/>
        </w:rPr>
        <w:t xml:space="preserve">Además, el Presidente del GT-GADT-DEC presentará informes sobre los avances de los trabajos del Grupo a las próximas Reuniones Preparatorias Regionales (RPR) previas a la CMDT-25. </w:t>
      </w:r>
    </w:p>
    <w:p w14:paraId="0E30D43B" w14:textId="77777777" w:rsidR="00F775BE" w:rsidRPr="00BD3CD2" w:rsidRDefault="00F775BE" w:rsidP="00F775BE">
      <w:pPr>
        <w:rPr>
          <w:lang w:val="es-ES"/>
        </w:rPr>
      </w:pPr>
      <w:r>
        <w:rPr>
          <w:lang w:val="es-ES"/>
        </w:rPr>
        <w:t>La versión final de la descripción acordada por el Grupo de Trabajo se someterá a la consideración del GADT-25/2 y posiblemente se presentará como contribución a la CMDT-25, donde se finalizará y se adoptará la Declaración de Bakú definitiva.</w:t>
      </w:r>
    </w:p>
    <w:p w14:paraId="6A13BEF9" w14:textId="77777777" w:rsidR="00F775BE" w:rsidRDefault="00F775BE" w:rsidP="00411C49">
      <w:pPr>
        <w:pStyle w:val="Reasons"/>
      </w:pPr>
    </w:p>
    <w:p w14:paraId="1292583C" w14:textId="77777777" w:rsidR="00F775BE" w:rsidRDefault="00F775BE">
      <w:pPr>
        <w:jc w:val="center"/>
      </w:pPr>
      <w:r>
        <w:t>______________</w:t>
      </w:r>
    </w:p>
    <w:sectPr w:rsidR="00F775BE" w:rsidSect="00473791">
      <w:headerReference w:type="default" r:id="rId22"/>
      <w:footerReference w:type="first" r:id="rId23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AEAB" w14:textId="77777777" w:rsidR="00330E00" w:rsidRDefault="00330E00">
      <w:r>
        <w:separator/>
      </w:r>
    </w:p>
  </w:endnote>
  <w:endnote w:type="continuationSeparator" w:id="0">
    <w:p w14:paraId="374EE6D3" w14:textId="77777777" w:rsidR="00330E00" w:rsidRDefault="0033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330E00" w:rsidRPr="00330E00" w14:paraId="28DE4DC8" w14:textId="77777777" w:rsidTr="00330E00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26318B59" w14:textId="77777777" w:rsidR="00330E00" w:rsidRPr="00842E57" w:rsidRDefault="00330E00" w:rsidP="00330E0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_tradnl"/>
            </w:rPr>
          </w:pPr>
          <w:r w:rsidRPr="00842E57">
            <w:rPr>
              <w:sz w:val="18"/>
              <w:szCs w:val="18"/>
              <w:lang w:val="es-ES_tradnl"/>
            </w:rPr>
            <w:t>Contacto: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55BBAB80" w14:textId="77777777" w:rsidR="00330E00" w:rsidRPr="00842E57" w:rsidRDefault="00330E00" w:rsidP="00330E00">
          <w:pPr>
            <w:pStyle w:val="FirstFooter"/>
            <w:tabs>
              <w:tab w:val="left" w:pos="2302"/>
            </w:tabs>
            <w:ind w:left="2302" w:hanging="2302"/>
            <w:rPr>
              <w:szCs w:val="16"/>
              <w:lang w:val="es-ES_tradnl"/>
            </w:rPr>
          </w:pPr>
          <w:r w:rsidRPr="00842E57">
            <w:rPr>
              <w:szCs w:val="16"/>
              <w:lang w:val="es-ES_tradnl"/>
            </w:rPr>
            <w:t>Nombre/Organización/Entidad: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55A3F986" w14:textId="24CB348A" w:rsidR="00330E00" w:rsidRPr="00842E57" w:rsidRDefault="00330E00" w:rsidP="00330E00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>
            <w:rPr>
              <w:lang w:val="es-ES"/>
            </w:rPr>
            <w:t>Sr. Abdulkarim Oloyede, Presidente del Grupo de Trabajo del GADT sobre la Declaración, Nigeria</w:t>
          </w:r>
        </w:p>
      </w:tc>
      <w:bookmarkStart w:id="6" w:name="OrgName"/>
      <w:bookmarkEnd w:id="6"/>
    </w:tr>
    <w:tr w:rsidR="00330E00" w:rsidRPr="00842E57" w14:paraId="0C63DBCB" w14:textId="77777777" w:rsidTr="00330E00">
      <w:tc>
        <w:tcPr>
          <w:tcW w:w="1526" w:type="dxa"/>
          <w:shd w:val="clear" w:color="auto" w:fill="auto"/>
        </w:tcPr>
        <w:p w14:paraId="735AAD85" w14:textId="77777777" w:rsidR="00330E00" w:rsidRPr="00842E57" w:rsidRDefault="00330E00" w:rsidP="00330E00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410" w:type="dxa"/>
          <w:shd w:val="clear" w:color="auto" w:fill="auto"/>
        </w:tcPr>
        <w:p w14:paraId="78BFCC89" w14:textId="77777777" w:rsidR="00330E00" w:rsidRPr="00842E57" w:rsidRDefault="00330E00" w:rsidP="00330E00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842E57">
            <w:rPr>
              <w:sz w:val="18"/>
              <w:szCs w:val="18"/>
              <w:lang w:val="es-ES_tradnl"/>
            </w:rPr>
            <w:t>Tel.:</w:t>
          </w:r>
        </w:p>
      </w:tc>
      <w:tc>
        <w:tcPr>
          <w:tcW w:w="5987" w:type="dxa"/>
        </w:tcPr>
        <w:p w14:paraId="6F8B39A1" w14:textId="22AB47C9" w:rsidR="00330E00" w:rsidRPr="00842E57" w:rsidRDefault="00330E00" w:rsidP="00330E00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>
            <w:rPr>
              <w:lang w:val="es-ES"/>
            </w:rPr>
            <w:t>n.a.</w:t>
          </w:r>
        </w:p>
      </w:tc>
      <w:bookmarkStart w:id="7" w:name="PhoneNo"/>
      <w:bookmarkEnd w:id="7"/>
    </w:tr>
    <w:tr w:rsidR="00330E00" w:rsidRPr="00330E00" w14:paraId="3DF04BB5" w14:textId="77777777" w:rsidTr="00330E00">
      <w:tc>
        <w:tcPr>
          <w:tcW w:w="1526" w:type="dxa"/>
          <w:shd w:val="clear" w:color="auto" w:fill="auto"/>
        </w:tcPr>
        <w:p w14:paraId="6DF3BA82" w14:textId="77777777" w:rsidR="00330E00" w:rsidRPr="00842E57" w:rsidRDefault="00330E00" w:rsidP="00330E00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410" w:type="dxa"/>
          <w:shd w:val="clear" w:color="auto" w:fill="auto"/>
        </w:tcPr>
        <w:p w14:paraId="3A46FD2C" w14:textId="77777777" w:rsidR="00330E00" w:rsidRPr="00842E57" w:rsidRDefault="00330E00" w:rsidP="00330E00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842E57">
            <w:rPr>
              <w:sz w:val="18"/>
              <w:szCs w:val="18"/>
              <w:lang w:val="es-ES_tradnl"/>
            </w:rPr>
            <w:t>Correo-e:</w:t>
          </w:r>
        </w:p>
      </w:tc>
      <w:tc>
        <w:tcPr>
          <w:tcW w:w="5987" w:type="dxa"/>
        </w:tcPr>
        <w:p w14:paraId="5C813339" w14:textId="1FED9F98" w:rsidR="00330E00" w:rsidRPr="00842E57" w:rsidRDefault="00330E00" w:rsidP="00330E00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hyperlink r:id="rId1" w:history="1">
            <w:r>
              <w:rPr>
                <w:u w:val="single"/>
              </w:rPr>
              <w:t>oloyede.aa@unilorin.edu.ng</w:t>
            </w:r>
            <w:r>
              <w:t xml:space="preserve">; </w:t>
            </w:r>
            <w:r>
              <w:rPr>
                <w:u w:val="single"/>
              </w:rPr>
              <w:t>TDAG-WG-DEC@lists.itu.int</w:t>
            </w:r>
          </w:hyperlink>
        </w:p>
      </w:tc>
      <w:bookmarkStart w:id="8" w:name="Email"/>
      <w:bookmarkEnd w:id="8"/>
    </w:tr>
  </w:tbl>
  <w:p w14:paraId="67BF98D5" w14:textId="4B2FF5F8" w:rsidR="00721657" w:rsidRPr="00F775BE" w:rsidRDefault="00721657" w:rsidP="00F77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DB00" w14:textId="77777777" w:rsidR="00330E00" w:rsidRDefault="00330E00">
      <w:r>
        <w:t>____________________</w:t>
      </w:r>
    </w:p>
  </w:footnote>
  <w:footnote w:type="continuationSeparator" w:id="0">
    <w:p w14:paraId="73CD5172" w14:textId="77777777" w:rsidR="00330E00" w:rsidRDefault="0033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D836" w14:textId="2DFEFF06" w:rsidR="00721657" w:rsidRPr="00F775BE" w:rsidRDefault="00F775BE" w:rsidP="00F775B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smallCaps/>
        <w:spacing w:val="24"/>
        <w:sz w:val="22"/>
        <w:szCs w:val="22"/>
        <w:lang w:val="es-ES"/>
      </w:rPr>
    </w:pPr>
    <w:r w:rsidRPr="00B1433A">
      <w:rPr>
        <w:sz w:val="22"/>
        <w:szCs w:val="22"/>
        <w:lang w:val="es-ES"/>
      </w:rPr>
      <w:tab/>
      <w:t>ITU-D/</w:t>
    </w:r>
    <w:bookmarkStart w:id="4" w:name="DocRef2"/>
    <w:bookmarkEnd w:id="4"/>
    <w:r w:rsidRPr="00B1433A">
      <w:rPr>
        <w:sz w:val="22"/>
        <w:szCs w:val="22"/>
        <w:lang w:val="es-ES"/>
      </w:rPr>
      <w:t>RPM-EUR25/</w:t>
    </w:r>
    <w:bookmarkStart w:id="5" w:name="DocNo2"/>
    <w:bookmarkEnd w:id="5"/>
    <w:r w:rsidRPr="00B1433A">
      <w:rPr>
        <w:sz w:val="22"/>
        <w:szCs w:val="22"/>
        <w:lang w:val="es-ES"/>
      </w:rPr>
      <w:t>7-S</w:t>
    </w:r>
    <w:r w:rsidRPr="00B1433A">
      <w:rPr>
        <w:sz w:val="22"/>
        <w:szCs w:val="22"/>
        <w:lang w:val="es-ES"/>
      </w:rPr>
      <w:tab/>
      <w:t xml:space="preserve">Página </w:t>
    </w:r>
    <w:r w:rsidRPr="00B1433A">
      <w:rPr>
        <w:sz w:val="22"/>
        <w:szCs w:val="22"/>
        <w:lang w:val="es-ES"/>
      </w:rPr>
      <w:fldChar w:fldCharType="begin"/>
    </w:r>
    <w:r w:rsidRPr="00B1433A">
      <w:rPr>
        <w:sz w:val="22"/>
        <w:szCs w:val="22"/>
        <w:lang w:val="es-ES"/>
      </w:rPr>
      <w:instrText xml:space="preserve"> PAGE </w:instrText>
    </w:r>
    <w:r w:rsidRPr="00B1433A">
      <w:rPr>
        <w:sz w:val="22"/>
        <w:szCs w:val="22"/>
        <w:lang w:val="es-ES"/>
      </w:rPr>
      <w:fldChar w:fldCharType="separate"/>
    </w:r>
    <w:r>
      <w:rPr>
        <w:sz w:val="22"/>
        <w:szCs w:val="22"/>
        <w:lang w:val="es-ES"/>
      </w:rPr>
      <w:t>2</w:t>
    </w:r>
    <w:r w:rsidRPr="00B1433A">
      <w:rPr>
        <w:sz w:val="22"/>
        <w:szCs w:val="22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F24C5"/>
    <w:multiLevelType w:val="hybridMultilevel"/>
    <w:tmpl w:val="BB4E51A4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543589892">
    <w:abstractNumId w:val="2"/>
  </w:num>
  <w:num w:numId="2" w16cid:durableId="1397433681">
    <w:abstractNumId w:val="1"/>
  </w:num>
  <w:num w:numId="3" w16cid:durableId="214107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36A4"/>
    <w:rsid w:val="000B2352"/>
    <w:rsid w:val="000B5DD1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26EBF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7769"/>
    <w:rsid w:val="003125C3"/>
    <w:rsid w:val="00312AE6"/>
    <w:rsid w:val="00317D1A"/>
    <w:rsid w:val="003211FF"/>
    <w:rsid w:val="003242AB"/>
    <w:rsid w:val="00327247"/>
    <w:rsid w:val="00327A9D"/>
    <w:rsid w:val="00330E00"/>
    <w:rsid w:val="0033130E"/>
    <w:rsid w:val="0033269C"/>
    <w:rsid w:val="00341DA6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C6C09"/>
    <w:rsid w:val="003D451D"/>
    <w:rsid w:val="003F2DD8"/>
    <w:rsid w:val="003F3F2D"/>
    <w:rsid w:val="003F50B2"/>
    <w:rsid w:val="00400CCF"/>
    <w:rsid w:val="00401BFF"/>
    <w:rsid w:val="00404424"/>
    <w:rsid w:val="004103B2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2065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4879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D6582"/>
    <w:rsid w:val="006F009A"/>
    <w:rsid w:val="006F3D93"/>
    <w:rsid w:val="007019B1"/>
    <w:rsid w:val="00721657"/>
    <w:rsid w:val="007279A8"/>
    <w:rsid w:val="00727B1A"/>
    <w:rsid w:val="00741337"/>
    <w:rsid w:val="00750580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47AE"/>
    <w:rsid w:val="00827BC6"/>
    <w:rsid w:val="008300AD"/>
    <w:rsid w:val="00833024"/>
    <w:rsid w:val="008419B1"/>
    <w:rsid w:val="00842E57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E34F0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061EF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2366"/>
    <w:rsid w:val="00B4576B"/>
    <w:rsid w:val="00B46350"/>
    <w:rsid w:val="00B46DF3"/>
    <w:rsid w:val="00B648C7"/>
    <w:rsid w:val="00B66E8F"/>
    <w:rsid w:val="00B67C62"/>
    <w:rsid w:val="00B80157"/>
    <w:rsid w:val="00B82FB3"/>
    <w:rsid w:val="00B83D5E"/>
    <w:rsid w:val="00B8460A"/>
    <w:rsid w:val="00B8650D"/>
    <w:rsid w:val="00B879B4"/>
    <w:rsid w:val="00B90F07"/>
    <w:rsid w:val="00B9710C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130C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63006"/>
    <w:rsid w:val="00D72301"/>
    <w:rsid w:val="00D8041C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775BE"/>
    <w:rsid w:val="00F82120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D9665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C0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330E00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D22-TDAG.WG.DEC-C-0006/es" TargetMode="External"/><Relationship Id="rId18" Type="http://schemas.openxmlformats.org/officeDocument/2006/relationships/hyperlink" Target="https://www.itu.int/en/ITU-D/Conferences/TDAG/Pages/2024/TDAG_WG_DEC.aspx" TargetMode="External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22-TDAG.WG.DEC-INF-0001/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D22-TDAG.WG.DEC-C-0002/es" TargetMode="External"/><Relationship Id="rId17" Type="http://schemas.openxmlformats.org/officeDocument/2006/relationships/hyperlink" Target="https://www.itu.int/md/D22-TDAG31-240520-TD-0004/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D/Conferences/TDAG/Pages/2024/TDAG_WG_DEC.aspx" TargetMode="External"/><Relationship Id="rId20" Type="http://schemas.openxmlformats.org/officeDocument/2006/relationships/hyperlink" Target="https://www.itu.int/md/D22-TDAG.WG.DEC-C-0004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D22-TDAG31-240520-TD-0004/e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tu.int/md/D22-TDAG.WG.DEC-INF-0001/e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itu.int/md/D22-TDAG.WG.DEC-C-0004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D22-TDAG.WG.DEC-C-0007/es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loyede.aa@unilori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3" ma:contentTypeDescription="Create a new document." ma:contentTypeScope="" ma:versionID="3a0cf771f9badaa4fa24f738c9cd27d9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d8a32cf20eb18a88c3c1d8d3b3c057d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D7588576-57E3-465E-ACA0-9E07B9621ADF}"/>
</file>

<file path=customXml/itemProps2.xml><?xml version="1.0" encoding="utf-8"?>
<ds:datastoreItem xmlns:ds="http://schemas.openxmlformats.org/officeDocument/2006/customXml" ds:itemID="{ED21F839-2C53-4882-948E-2EDABA10E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C5EBE-B1C0-4B7E-B65B-A85F3815F6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19BC6C-CA5D-4FB1-923F-AD1ECC35C7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Spanish</dc:creator>
  <cp:lastModifiedBy>BDT</cp:lastModifiedBy>
  <cp:revision>2</cp:revision>
  <cp:lastPrinted>2014-11-04T09:22:00Z</cp:lastPrinted>
  <dcterms:created xsi:type="dcterms:W3CDTF">2025-01-31T07:30:00Z</dcterms:created>
  <dcterms:modified xsi:type="dcterms:W3CDTF">2025-01-31T07:30:00Z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</Properties>
</file>