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Y="-492"/>
        <w:tblW w:w="9888" w:type="dxa"/>
        <w:tblLayout w:type="fixed"/>
        <w:tblCellMar>
          <w:left w:w="107" w:type="dxa"/>
          <w:right w:w="107" w:type="dxa"/>
        </w:tblCellMar>
        <w:tblLook w:val="0000" w:firstRow="0" w:lastRow="0" w:firstColumn="0" w:lastColumn="0" w:noHBand="0" w:noVBand="0"/>
        <w:tblCaption w:val="Document metadata (Study Group, meeting, Question, source, title)"/>
        <w:tblDescription w:val="Document metadata (Study Group, meeting, document number, Question, source, title)"/>
      </w:tblPr>
      <w:tblGrid>
        <w:gridCol w:w="6379"/>
        <w:gridCol w:w="3509"/>
      </w:tblGrid>
      <w:tr w:rsidR="00307769" w:rsidRPr="00215418" w14:paraId="3F0E9EC4" w14:textId="77777777" w:rsidTr="53F88FED">
        <w:trPr>
          <w:cantSplit/>
          <w:trHeight w:val="1134"/>
        </w:trPr>
        <w:tc>
          <w:tcPr>
            <w:tcW w:w="6379" w:type="dxa"/>
          </w:tcPr>
          <w:p w14:paraId="4209EAD7" w14:textId="77777777" w:rsidR="00FB742A" w:rsidRPr="00215418" w:rsidRDefault="00FB742A" w:rsidP="00FB742A">
            <w:pPr>
              <w:tabs>
                <w:tab w:val="clear" w:pos="1191"/>
                <w:tab w:val="clear" w:pos="1588"/>
                <w:tab w:val="clear" w:pos="1985"/>
              </w:tabs>
              <w:ind w:left="34"/>
              <w:rPr>
                <w:b/>
                <w:bCs/>
                <w:sz w:val="32"/>
                <w:szCs w:val="32"/>
              </w:rPr>
            </w:pPr>
            <w:r w:rsidRPr="00215418">
              <w:rPr>
                <w:b/>
                <w:bCs/>
                <w:sz w:val="32"/>
                <w:szCs w:val="32"/>
              </w:rPr>
              <w:t xml:space="preserve">Regional Preparatory Meeting </w:t>
            </w:r>
            <w:r w:rsidRPr="00215418">
              <w:rPr>
                <w:b/>
                <w:bCs/>
                <w:sz w:val="32"/>
                <w:szCs w:val="32"/>
              </w:rPr>
              <w:br/>
              <w:t>for Europe for WTDC-25 (RPM-EUR)</w:t>
            </w:r>
          </w:p>
          <w:p w14:paraId="5F5F590A" w14:textId="11831A8B" w:rsidR="00307769" w:rsidRPr="00215418" w:rsidRDefault="00FB742A" w:rsidP="00FB742A">
            <w:pPr>
              <w:tabs>
                <w:tab w:val="clear" w:pos="1191"/>
                <w:tab w:val="clear" w:pos="1588"/>
                <w:tab w:val="clear" w:pos="1985"/>
              </w:tabs>
              <w:spacing w:after="120"/>
              <w:ind w:left="34"/>
              <w:rPr>
                <w:rFonts w:ascii="Verdana" w:hAnsi="Verdana"/>
                <w:sz w:val="28"/>
                <w:szCs w:val="28"/>
              </w:rPr>
            </w:pPr>
            <w:r w:rsidRPr="00215418">
              <w:rPr>
                <w:b/>
                <w:bCs/>
                <w:sz w:val="26"/>
                <w:szCs w:val="26"/>
              </w:rPr>
              <w:t>Budapest, Hungary, 25-26 February 2025</w:t>
            </w:r>
          </w:p>
        </w:tc>
        <w:tc>
          <w:tcPr>
            <w:tcW w:w="3509" w:type="dxa"/>
          </w:tcPr>
          <w:p w14:paraId="67E7B4C4" w14:textId="0F52E4CC" w:rsidR="00307769" w:rsidRPr="00215418" w:rsidRDefault="00307769" w:rsidP="00952667">
            <w:pPr>
              <w:spacing w:after="120"/>
              <w:ind w:right="142"/>
              <w:jc w:val="right"/>
            </w:pPr>
            <w:r w:rsidRPr="00215418">
              <w:rPr>
                <w:noProof/>
                <w:lang w:eastAsia="fr-FR"/>
              </w:rPr>
              <w:drawing>
                <wp:inline distT="0" distB="0" distL="0" distR="0" wp14:anchorId="7A20172F" wp14:editId="3C26654E">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683C32" w:rsidRPr="00215418" w14:paraId="3C13197B" w14:textId="77777777" w:rsidTr="53F88FED">
        <w:trPr>
          <w:cantSplit/>
        </w:trPr>
        <w:tc>
          <w:tcPr>
            <w:tcW w:w="6379" w:type="dxa"/>
            <w:tcBorders>
              <w:top w:val="single" w:sz="12" w:space="0" w:color="auto"/>
            </w:tcBorders>
          </w:tcPr>
          <w:p w14:paraId="2EED9DB2" w14:textId="77777777" w:rsidR="00683C32" w:rsidRPr="00215418" w:rsidRDefault="00683C32" w:rsidP="00107E85">
            <w:pPr>
              <w:spacing w:before="0"/>
              <w:rPr>
                <w:rFonts w:cs="Arial"/>
                <w:b/>
                <w:bCs/>
                <w:sz w:val="20"/>
              </w:rPr>
            </w:pPr>
          </w:p>
        </w:tc>
        <w:tc>
          <w:tcPr>
            <w:tcW w:w="3509" w:type="dxa"/>
            <w:tcBorders>
              <w:top w:val="single" w:sz="12" w:space="0" w:color="auto"/>
            </w:tcBorders>
          </w:tcPr>
          <w:p w14:paraId="6CC77CFE" w14:textId="77777777" w:rsidR="00683C32" w:rsidRPr="00215418" w:rsidRDefault="00683C32" w:rsidP="00107E85">
            <w:pPr>
              <w:spacing w:before="0"/>
              <w:rPr>
                <w:b/>
                <w:bCs/>
                <w:sz w:val="20"/>
              </w:rPr>
            </w:pPr>
          </w:p>
        </w:tc>
      </w:tr>
      <w:tr w:rsidR="00706440" w:rsidRPr="00215418" w14:paraId="0BB3FBC4" w14:textId="77777777" w:rsidTr="53F88FED">
        <w:trPr>
          <w:cantSplit/>
        </w:trPr>
        <w:tc>
          <w:tcPr>
            <w:tcW w:w="6379" w:type="dxa"/>
          </w:tcPr>
          <w:p w14:paraId="43C54B3D" w14:textId="77777777" w:rsidR="00706440" w:rsidRPr="00215418" w:rsidRDefault="00706440" w:rsidP="00706440">
            <w:pPr>
              <w:pStyle w:val="Committee"/>
              <w:spacing w:before="0"/>
              <w:rPr>
                <w:b w:val="0"/>
                <w:szCs w:val="24"/>
              </w:rPr>
            </w:pPr>
          </w:p>
        </w:tc>
        <w:tc>
          <w:tcPr>
            <w:tcW w:w="3509" w:type="dxa"/>
          </w:tcPr>
          <w:p w14:paraId="02E44EE9" w14:textId="0CE12AE6" w:rsidR="00706440" w:rsidRPr="00215418" w:rsidRDefault="00706440" w:rsidP="00706440">
            <w:pPr>
              <w:spacing w:before="0"/>
              <w:jc w:val="both"/>
              <w:rPr>
                <w:bCs/>
                <w:szCs w:val="24"/>
              </w:rPr>
            </w:pPr>
            <w:r w:rsidRPr="00215418">
              <w:rPr>
                <w:b/>
                <w:bCs/>
              </w:rPr>
              <w:t xml:space="preserve">Document </w:t>
            </w:r>
            <w:bookmarkStart w:id="0" w:name="DocRef1"/>
            <w:bookmarkEnd w:id="0"/>
            <w:r w:rsidR="00121846" w:rsidRPr="00215418">
              <w:rPr>
                <w:b/>
                <w:bCs/>
              </w:rPr>
              <w:t>RPM-</w:t>
            </w:r>
            <w:r w:rsidR="00FB742A" w:rsidRPr="00215418">
              <w:rPr>
                <w:b/>
                <w:bCs/>
              </w:rPr>
              <w:t>EUR</w:t>
            </w:r>
            <w:r w:rsidR="00121846" w:rsidRPr="00215418">
              <w:rPr>
                <w:b/>
                <w:bCs/>
              </w:rPr>
              <w:t>25</w:t>
            </w:r>
            <w:r w:rsidRPr="00215418">
              <w:rPr>
                <w:b/>
                <w:bCs/>
              </w:rPr>
              <w:t>/</w:t>
            </w:r>
            <w:r w:rsidR="008A596B">
              <w:rPr>
                <w:b/>
                <w:bCs/>
              </w:rPr>
              <w:t>3</w:t>
            </w:r>
            <w:r w:rsidRPr="00215418">
              <w:rPr>
                <w:b/>
                <w:bCs/>
              </w:rPr>
              <w:t>-E</w:t>
            </w:r>
          </w:p>
        </w:tc>
      </w:tr>
      <w:tr w:rsidR="00706440" w:rsidRPr="00215418" w14:paraId="24D04936" w14:textId="77777777" w:rsidTr="53F88FED">
        <w:trPr>
          <w:cantSplit/>
        </w:trPr>
        <w:tc>
          <w:tcPr>
            <w:tcW w:w="6379" w:type="dxa"/>
          </w:tcPr>
          <w:p w14:paraId="12CE4DBF" w14:textId="77777777" w:rsidR="00706440" w:rsidRPr="00215418" w:rsidRDefault="00706440" w:rsidP="00706440">
            <w:pPr>
              <w:spacing w:before="0"/>
              <w:rPr>
                <w:b/>
                <w:bCs/>
                <w:smallCaps/>
                <w:szCs w:val="24"/>
              </w:rPr>
            </w:pPr>
          </w:p>
        </w:tc>
        <w:tc>
          <w:tcPr>
            <w:tcW w:w="3509" w:type="dxa"/>
          </w:tcPr>
          <w:p w14:paraId="0F89640F" w14:textId="313453AE" w:rsidR="00706440" w:rsidRPr="00215418" w:rsidRDefault="00553718" w:rsidP="00706440">
            <w:pPr>
              <w:spacing w:before="0"/>
              <w:rPr>
                <w:b/>
                <w:szCs w:val="24"/>
              </w:rPr>
            </w:pPr>
            <w:bookmarkStart w:id="1" w:name="CreationDate"/>
            <w:bookmarkEnd w:id="1"/>
            <w:r w:rsidRPr="00215418">
              <w:rPr>
                <w:b/>
                <w:bCs/>
                <w:szCs w:val="28"/>
              </w:rPr>
              <w:t>17 January 2025</w:t>
            </w:r>
          </w:p>
        </w:tc>
      </w:tr>
      <w:tr w:rsidR="00706440" w:rsidRPr="00215418" w14:paraId="7B96545F" w14:textId="77777777" w:rsidTr="53F88FED">
        <w:trPr>
          <w:cantSplit/>
        </w:trPr>
        <w:tc>
          <w:tcPr>
            <w:tcW w:w="6379" w:type="dxa"/>
          </w:tcPr>
          <w:p w14:paraId="65956FD3" w14:textId="77777777" w:rsidR="00706440" w:rsidRPr="00215418" w:rsidRDefault="00706440" w:rsidP="00706440">
            <w:pPr>
              <w:spacing w:before="0"/>
              <w:rPr>
                <w:b/>
                <w:bCs/>
                <w:smallCaps/>
                <w:szCs w:val="24"/>
              </w:rPr>
            </w:pPr>
          </w:p>
        </w:tc>
        <w:tc>
          <w:tcPr>
            <w:tcW w:w="3509" w:type="dxa"/>
          </w:tcPr>
          <w:p w14:paraId="30EFD39F" w14:textId="7F09BA89" w:rsidR="00706440" w:rsidRPr="00215418" w:rsidRDefault="00211AA5" w:rsidP="00706440">
            <w:pPr>
              <w:spacing w:before="0"/>
              <w:rPr>
                <w:szCs w:val="24"/>
              </w:rPr>
            </w:pPr>
            <w:bookmarkStart w:id="2" w:name="Original"/>
            <w:bookmarkEnd w:id="2"/>
            <w:r w:rsidRPr="00215418">
              <w:rPr>
                <w:b/>
              </w:rPr>
              <w:t xml:space="preserve">Original: </w:t>
            </w:r>
            <w:r w:rsidR="00706440" w:rsidRPr="00215418">
              <w:rPr>
                <w:b/>
              </w:rPr>
              <w:t>Englis</w:t>
            </w:r>
            <w:r w:rsidRPr="00215418">
              <w:rPr>
                <w:b/>
              </w:rPr>
              <w:t>h</w:t>
            </w:r>
          </w:p>
        </w:tc>
      </w:tr>
      <w:tr w:rsidR="00A13162" w:rsidRPr="00215418" w14:paraId="31656E31" w14:textId="77777777" w:rsidTr="53F88FED">
        <w:trPr>
          <w:cantSplit/>
          <w:trHeight w:val="852"/>
        </w:trPr>
        <w:tc>
          <w:tcPr>
            <w:tcW w:w="9888" w:type="dxa"/>
            <w:gridSpan w:val="2"/>
          </w:tcPr>
          <w:p w14:paraId="512FCA01" w14:textId="2F8B68F3" w:rsidR="00A13162" w:rsidRPr="00215418" w:rsidRDefault="002D0346" w:rsidP="0030353C">
            <w:pPr>
              <w:pStyle w:val="Source"/>
            </w:pPr>
            <w:bookmarkStart w:id="3" w:name="Source"/>
            <w:bookmarkEnd w:id="3"/>
            <w:r w:rsidRPr="00215418">
              <w:t>Director, Telecommunication Development Bureau</w:t>
            </w:r>
          </w:p>
        </w:tc>
      </w:tr>
      <w:tr w:rsidR="00AC6F14" w:rsidRPr="00215418" w14:paraId="2CBD3A36" w14:textId="77777777" w:rsidTr="53F88FED">
        <w:trPr>
          <w:cantSplit/>
        </w:trPr>
        <w:tc>
          <w:tcPr>
            <w:tcW w:w="9888" w:type="dxa"/>
            <w:gridSpan w:val="2"/>
          </w:tcPr>
          <w:p w14:paraId="1B4121DF" w14:textId="603C6CF4" w:rsidR="00AC6F14" w:rsidRPr="00215418" w:rsidRDefault="00511FF3" w:rsidP="005C28A7">
            <w:pPr>
              <w:pStyle w:val="Title1"/>
              <w:rPr>
                <w:rFonts w:cs="Times New Roman"/>
                <w:bCs/>
              </w:rPr>
            </w:pPr>
            <w:bookmarkStart w:id="4" w:name="Title"/>
            <w:bookmarkEnd w:id="4"/>
            <w:r w:rsidRPr="00215418">
              <w:rPr>
                <w:rFonts w:cs="Times New Roman"/>
                <w:bCs/>
              </w:rPr>
              <w:t xml:space="preserve">State of digital development and trends in </w:t>
            </w:r>
            <w:r w:rsidR="71B06D44" w:rsidRPr="487E46B2">
              <w:rPr>
                <w:rFonts w:cs="Times New Roman"/>
              </w:rPr>
              <w:t xml:space="preserve">the </w:t>
            </w:r>
            <w:r w:rsidR="00FB742A" w:rsidRPr="00215418">
              <w:rPr>
                <w:rFonts w:cs="Times New Roman"/>
                <w:bCs/>
              </w:rPr>
              <w:t>Europe</w:t>
            </w:r>
            <w:r w:rsidR="7E564001" w:rsidRPr="487E46B2">
              <w:rPr>
                <w:rFonts w:cs="Times New Roman"/>
              </w:rPr>
              <w:t xml:space="preserve"> Region</w:t>
            </w:r>
            <w:r w:rsidRPr="00215418">
              <w:rPr>
                <w:rFonts w:cs="Times New Roman"/>
                <w:bCs/>
              </w:rPr>
              <w:t xml:space="preserve">: </w:t>
            </w:r>
            <w:r w:rsidR="005C28A7">
              <w:br/>
            </w:r>
            <w:r w:rsidRPr="00215418">
              <w:rPr>
                <w:rFonts w:cs="Times New Roman"/>
                <w:bCs/>
              </w:rPr>
              <w:t>Challenges and opportunities</w:t>
            </w:r>
          </w:p>
        </w:tc>
      </w:tr>
      <w:tr w:rsidR="00A721F4" w:rsidRPr="00215418" w14:paraId="23A30231" w14:textId="77777777" w:rsidTr="53F88FED">
        <w:trPr>
          <w:cantSplit/>
        </w:trPr>
        <w:tc>
          <w:tcPr>
            <w:tcW w:w="9888" w:type="dxa"/>
            <w:gridSpan w:val="2"/>
            <w:tcBorders>
              <w:bottom w:val="single" w:sz="4" w:space="0" w:color="auto"/>
            </w:tcBorders>
          </w:tcPr>
          <w:p w14:paraId="726EE70E" w14:textId="77777777" w:rsidR="00A721F4" w:rsidRPr="00215418" w:rsidRDefault="00A721F4" w:rsidP="0030353C"/>
        </w:tc>
      </w:tr>
      <w:tr w:rsidR="00A721F4" w:rsidRPr="00215418" w14:paraId="590033C8" w14:textId="77777777" w:rsidTr="53F88FED">
        <w:trPr>
          <w:cantSplit/>
        </w:trPr>
        <w:tc>
          <w:tcPr>
            <w:tcW w:w="9888" w:type="dxa"/>
            <w:gridSpan w:val="2"/>
            <w:tcBorders>
              <w:top w:val="single" w:sz="4" w:space="0" w:color="auto"/>
              <w:left w:val="single" w:sz="4" w:space="0" w:color="auto"/>
              <w:bottom w:val="single" w:sz="4" w:space="0" w:color="auto"/>
              <w:right w:val="single" w:sz="4" w:space="0" w:color="auto"/>
            </w:tcBorders>
          </w:tcPr>
          <w:p w14:paraId="2E9C8590" w14:textId="77777777" w:rsidR="008D1CCB" w:rsidRPr="00215418" w:rsidRDefault="008D1CCB" w:rsidP="008D1CCB">
            <w:pPr>
              <w:pStyle w:val="Title1"/>
              <w:jc w:val="left"/>
              <w:rPr>
                <w:rFonts w:cstheme="minorHAnsi"/>
                <w:b/>
                <w:bCs/>
                <w:caps/>
                <w:sz w:val="24"/>
                <w:szCs w:val="24"/>
              </w:rPr>
            </w:pPr>
            <w:r w:rsidRPr="00215418">
              <w:rPr>
                <w:rFonts w:cstheme="minorHAnsi"/>
                <w:b/>
                <w:bCs/>
                <w:sz w:val="24"/>
                <w:szCs w:val="24"/>
              </w:rPr>
              <w:t>Agenda item:</w:t>
            </w:r>
          </w:p>
          <w:p w14:paraId="45BC9F9B" w14:textId="7560DA85" w:rsidR="008D1CCB" w:rsidRPr="00215418" w:rsidRDefault="002178A0" w:rsidP="008D1CCB">
            <w:pPr>
              <w:pStyle w:val="Title1"/>
              <w:jc w:val="left"/>
              <w:rPr>
                <w:rFonts w:cstheme="minorHAnsi"/>
                <w:caps/>
                <w:sz w:val="24"/>
                <w:szCs w:val="24"/>
              </w:rPr>
            </w:pPr>
            <w:r w:rsidRPr="00215418">
              <w:rPr>
                <w:rFonts w:cstheme="minorHAnsi"/>
                <w:sz w:val="24"/>
                <w:szCs w:val="24"/>
              </w:rPr>
              <w:t>Item 5</w:t>
            </w:r>
          </w:p>
          <w:p w14:paraId="7043E349" w14:textId="77777777" w:rsidR="008D1CCB" w:rsidRPr="00215418" w:rsidRDefault="008D1CCB" w:rsidP="008D1CCB">
            <w:pPr>
              <w:pStyle w:val="Title1"/>
              <w:jc w:val="left"/>
              <w:rPr>
                <w:rFonts w:cstheme="minorHAnsi"/>
                <w:b/>
                <w:bCs/>
                <w:caps/>
                <w:sz w:val="24"/>
                <w:szCs w:val="24"/>
              </w:rPr>
            </w:pPr>
            <w:r w:rsidRPr="00215418">
              <w:rPr>
                <w:rFonts w:cstheme="minorHAnsi"/>
                <w:b/>
                <w:bCs/>
                <w:sz w:val="24"/>
                <w:szCs w:val="24"/>
              </w:rPr>
              <w:t xml:space="preserve">Summary: </w:t>
            </w:r>
          </w:p>
          <w:p w14:paraId="19ACDF5B" w14:textId="5F32754A" w:rsidR="0072774E" w:rsidRPr="00215418" w:rsidRDefault="0072774E" w:rsidP="0072774E">
            <w:r w:rsidRPr="00215418">
              <w:t>This document, prepared for the RPM for</w:t>
            </w:r>
            <w:r w:rsidR="00445FA4">
              <w:t xml:space="preserve"> the</w:t>
            </w:r>
            <w:r w:rsidRPr="00215418">
              <w:t xml:space="preserve"> </w:t>
            </w:r>
            <w:r w:rsidR="00CB3037" w:rsidRPr="00215418">
              <w:t>Europe</w:t>
            </w:r>
            <w:r w:rsidR="00445FA4">
              <w:t xml:space="preserve"> region</w:t>
            </w:r>
            <w:r w:rsidRPr="00215418">
              <w:t xml:space="preserve">, aims to </w:t>
            </w:r>
            <w:r w:rsidR="00511FF3" w:rsidRPr="00215418">
              <w:t xml:space="preserve">inform </w:t>
            </w:r>
            <w:r w:rsidRPr="00215418">
              <w:t>participants and stakeholders in setting the region’s digital agenda.</w:t>
            </w:r>
            <w:r w:rsidRPr="00215418">
              <w:rPr>
                <w:rStyle w:val="CommentReference"/>
              </w:rPr>
              <w:t xml:space="preserve"> </w:t>
            </w:r>
            <w:r w:rsidRPr="00215418">
              <w:t xml:space="preserve"> It is structured into two parts: the first provides an overview of the state of digital connectivity in </w:t>
            </w:r>
            <w:r w:rsidR="00CB3037" w:rsidRPr="00215418">
              <w:t xml:space="preserve">Europe </w:t>
            </w:r>
            <w:r w:rsidRPr="00215418">
              <w:t>through key indicators, and the second highlights impactful case studies from the region.</w:t>
            </w:r>
          </w:p>
          <w:p w14:paraId="1CD88A00" w14:textId="77777777" w:rsidR="008D1CCB" w:rsidRPr="00215418" w:rsidRDefault="008D1CCB" w:rsidP="008D1CCB">
            <w:pPr>
              <w:pStyle w:val="Title1"/>
              <w:jc w:val="left"/>
              <w:rPr>
                <w:rFonts w:cstheme="minorHAnsi"/>
                <w:b/>
                <w:bCs/>
                <w:caps/>
                <w:sz w:val="24"/>
                <w:szCs w:val="24"/>
              </w:rPr>
            </w:pPr>
            <w:r w:rsidRPr="00215418">
              <w:rPr>
                <w:rFonts w:cstheme="minorHAnsi"/>
                <w:b/>
                <w:bCs/>
                <w:sz w:val="24"/>
                <w:szCs w:val="24"/>
              </w:rPr>
              <w:t>Expected results:</w:t>
            </w:r>
          </w:p>
          <w:p w14:paraId="5C751A3F" w14:textId="68B08B9E" w:rsidR="002D0346" w:rsidRPr="00215418" w:rsidRDefault="79C24AE6" w:rsidP="53F88FED">
            <w:pPr>
              <w:pStyle w:val="Title1"/>
              <w:jc w:val="left"/>
              <w:rPr>
                <w:rFonts w:cstheme="minorBidi"/>
                <w:sz w:val="24"/>
                <w:szCs w:val="24"/>
              </w:rPr>
            </w:pPr>
            <w:r w:rsidRPr="00215418">
              <w:rPr>
                <w:rFonts w:cstheme="minorBidi"/>
                <w:sz w:val="24"/>
                <w:szCs w:val="24"/>
              </w:rPr>
              <w:t>R</w:t>
            </w:r>
            <w:r w:rsidR="002D0346" w:rsidRPr="00215418">
              <w:rPr>
                <w:rFonts w:cstheme="minorBidi"/>
                <w:sz w:val="24"/>
                <w:szCs w:val="24"/>
              </w:rPr>
              <w:t>PM-</w:t>
            </w:r>
            <w:r w:rsidR="00CB3037" w:rsidRPr="00215418">
              <w:rPr>
                <w:rFonts w:cstheme="minorBidi"/>
                <w:sz w:val="24"/>
                <w:szCs w:val="24"/>
              </w:rPr>
              <w:t>EUR</w:t>
            </w:r>
            <w:r w:rsidR="002D0346" w:rsidRPr="00215418">
              <w:rPr>
                <w:rFonts w:cstheme="minorBidi"/>
                <w:sz w:val="24"/>
                <w:szCs w:val="24"/>
              </w:rPr>
              <w:t xml:space="preserve"> is invited to note this document</w:t>
            </w:r>
            <w:r w:rsidR="00D3652C" w:rsidRPr="00215418">
              <w:rPr>
                <w:rFonts w:cstheme="minorBidi"/>
                <w:sz w:val="24"/>
                <w:szCs w:val="24"/>
              </w:rPr>
              <w:t>.</w:t>
            </w:r>
          </w:p>
          <w:p w14:paraId="4CD2685E" w14:textId="3B80EF9C" w:rsidR="008D1CCB" w:rsidRPr="00215418" w:rsidRDefault="008D1CCB" w:rsidP="008D1CCB">
            <w:pPr>
              <w:pStyle w:val="Title1"/>
              <w:jc w:val="left"/>
              <w:rPr>
                <w:rFonts w:cstheme="minorHAnsi"/>
                <w:b/>
                <w:bCs/>
                <w:caps/>
                <w:sz w:val="24"/>
                <w:szCs w:val="24"/>
              </w:rPr>
            </w:pPr>
            <w:r w:rsidRPr="00215418">
              <w:rPr>
                <w:rFonts w:cstheme="minorHAnsi"/>
                <w:b/>
                <w:bCs/>
                <w:sz w:val="24"/>
                <w:szCs w:val="24"/>
              </w:rPr>
              <w:t>References:</w:t>
            </w:r>
          </w:p>
          <w:p w14:paraId="1ECDD20E" w14:textId="55031060" w:rsidR="00A721F4" w:rsidRPr="00215418" w:rsidRDefault="002D0346" w:rsidP="008D1CCB">
            <w:pPr>
              <w:spacing w:after="120"/>
            </w:pPr>
            <w:r w:rsidRPr="00215418">
              <w:t>N/A</w:t>
            </w:r>
          </w:p>
        </w:tc>
      </w:tr>
    </w:tbl>
    <w:p w14:paraId="76DECBE4" w14:textId="77777777" w:rsidR="00EA2854" w:rsidRPr="00215418" w:rsidRDefault="00EA2854" w:rsidP="00EA2854"/>
    <w:p w14:paraId="66A31481" w14:textId="5ED0AC40" w:rsidR="006C41B5" w:rsidRPr="00215418" w:rsidRDefault="00923CF1" w:rsidP="006C41B5">
      <w:pPr>
        <w:pStyle w:val="Title"/>
        <w:rPr>
          <w:rFonts w:ascii="Aptos Display" w:eastAsia="Yu Gothic Light" w:hAnsi="Aptos Display"/>
          <w:sz w:val="48"/>
          <w14:ligatures w14:val="standardContextual"/>
        </w:rPr>
      </w:pPr>
      <w:r w:rsidRPr="00215418">
        <w:br w:type="page"/>
      </w:r>
      <w:r w:rsidR="006C41B5" w:rsidRPr="00215418">
        <w:rPr>
          <w:rFonts w:ascii="Aptos Display" w:eastAsia="Yu Gothic Light" w:hAnsi="Aptos Display"/>
          <w:sz w:val="48"/>
          <w14:ligatures w14:val="standardContextual"/>
        </w:rPr>
        <w:lastRenderedPageBreak/>
        <w:t xml:space="preserve">State of digital development and trends in </w:t>
      </w:r>
      <w:r w:rsidR="00171DAA">
        <w:rPr>
          <w:rFonts w:ascii="Aptos Display" w:eastAsia="Yu Gothic Light" w:hAnsi="Aptos Display"/>
          <w:sz w:val="48"/>
          <w14:ligatures w14:val="standardContextual"/>
        </w:rPr>
        <w:t xml:space="preserve">the </w:t>
      </w:r>
      <w:r w:rsidR="00CF6D86" w:rsidRPr="00215418">
        <w:rPr>
          <w:rFonts w:ascii="Aptos Display" w:eastAsia="Yu Gothic Light" w:hAnsi="Aptos Display"/>
          <w:sz w:val="48"/>
          <w14:ligatures w14:val="standardContextual"/>
        </w:rPr>
        <w:t>Europe</w:t>
      </w:r>
      <w:r w:rsidR="00171DAA">
        <w:rPr>
          <w:rFonts w:ascii="Aptos Display" w:eastAsia="Yu Gothic Light" w:hAnsi="Aptos Display"/>
          <w:sz w:val="48"/>
          <w14:ligatures w14:val="standardContextual"/>
        </w:rPr>
        <w:t xml:space="preserve"> region</w:t>
      </w:r>
      <w:r w:rsidR="006C41B5" w:rsidRPr="00215418">
        <w:rPr>
          <w:rFonts w:ascii="Aptos Display" w:eastAsia="Yu Gothic Light" w:hAnsi="Aptos Display"/>
          <w:sz w:val="48"/>
          <w14:ligatures w14:val="standardContextual"/>
        </w:rPr>
        <w:t xml:space="preserve">: Challenges and opportunities </w:t>
      </w:r>
    </w:p>
    <w:p w14:paraId="195698D8" w14:textId="3B2924DA" w:rsidR="006C41B5" w:rsidRPr="00215418" w:rsidRDefault="00E42551"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Display" w:eastAsia="Aptos" w:hAnsi="Aptos Display" w:cs="Arial"/>
          <w:kern w:val="2"/>
          <w:sz w:val="28"/>
          <w:szCs w:val="28"/>
          <w14:ligatures w14:val="standardContextual"/>
        </w:rPr>
      </w:pPr>
      <w:r w:rsidRPr="00215418">
        <w:rPr>
          <w:rFonts w:ascii="Aptos Display" w:eastAsia="Aptos" w:hAnsi="Aptos Display" w:cs="Arial"/>
          <w:kern w:val="2"/>
          <w:sz w:val="28"/>
          <w:szCs w:val="28"/>
          <w14:ligatures w14:val="standardContextual"/>
        </w:rPr>
        <w:t>January</w:t>
      </w:r>
      <w:r w:rsidR="00CF6D86" w:rsidRPr="00215418">
        <w:rPr>
          <w:rFonts w:ascii="Aptos Display" w:eastAsia="Aptos" w:hAnsi="Aptos Display" w:cs="Arial"/>
          <w:kern w:val="2"/>
          <w:sz w:val="28"/>
          <w:szCs w:val="28"/>
          <w14:ligatures w14:val="standardContextual"/>
        </w:rPr>
        <w:t xml:space="preserve"> </w:t>
      </w:r>
      <w:r w:rsidR="006C41B5" w:rsidRPr="00215418">
        <w:rPr>
          <w:rFonts w:ascii="Aptos Display" w:eastAsia="Aptos" w:hAnsi="Aptos Display" w:cs="Arial"/>
          <w:kern w:val="2"/>
          <w:sz w:val="28"/>
          <w:szCs w:val="28"/>
          <w14:ligatures w14:val="standardContextual"/>
        </w:rPr>
        <w:t>202</w:t>
      </w:r>
      <w:r w:rsidR="00CF6D86" w:rsidRPr="00215418">
        <w:rPr>
          <w:rFonts w:ascii="Aptos Display" w:eastAsia="Aptos" w:hAnsi="Aptos Display" w:cs="Arial"/>
          <w:kern w:val="2"/>
          <w:sz w:val="28"/>
          <w:szCs w:val="28"/>
          <w14:ligatures w14:val="standardContextual"/>
        </w:rPr>
        <w:t>5</w:t>
      </w:r>
    </w:p>
    <w:p w14:paraId="2A32533D" w14:textId="77777777" w:rsidR="006C41B5" w:rsidRPr="00215418" w:rsidRDefault="006C41B5" w:rsidP="006C41B5">
      <w:pPr>
        <w:keepNext/>
        <w:keepLines/>
        <w:tabs>
          <w:tab w:val="clear" w:pos="794"/>
          <w:tab w:val="clear" w:pos="1191"/>
          <w:tab w:val="clear" w:pos="1588"/>
          <w:tab w:val="clear" w:pos="1985"/>
        </w:tabs>
        <w:overflowPunct/>
        <w:autoSpaceDE/>
        <w:autoSpaceDN/>
        <w:adjustRightInd/>
        <w:spacing w:before="360" w:after="80" w:line="259" w:lineRule="auto"/>
        <w:textAlignment w:val="auto"/>
        <w:outlineLvl w:val="0"/>
        <w:rPr>
          <w:rFonts w:ascii="Aptos Display" w:eastAsia="Yu Gothic Light" w:hAnsi="Aptos Display"/>
          <w:color w:val="0F4761"/>
          <w:kern w:val="2"/>
          <w:sz w:val="40"/>
          <w:szCs w:val="40"/>
          <w14:ligatures w14:val="standardContextual"/>
        </w:rPr>
      </w:pPr>
      <w:bookmarkStart w:id="5" w:name="_Toc187749106"/>
      <w:r w:rsidRPr="00215418">
        <w:rPr>
          <w:rFonts w:ascii="Aptos Display" w:eastAsia="Yu Gothic Light" w:hAnsi="Aptos Display"/>
          <w:color w:val="0F4761"/>
          <w:kern w:val="2"/>
          <w:sz w:val="40"/>
          <w:szCs w:val="40"/>
          <w14:ligatures w14:val="standardContextual"/>
        </w:rPr>
        <w:t>Contents</w:t>
      </w:r>
      <w:bookmarkEnd w:id="5"/>
    </w:p>
    <w:p w14:paraId="6B8D134B" w14:textId="298E08C8" w:rsidR="009A67B5" w:rsidRPr="00215418" w:rsidRDefault="00203A56">
      <w:pPr>
        <w:pStyle w:val="TOC1"/>
        <w:tabs>
          <w:tab w:val="right" w:leader="dot" w:pos="9629"/>
        </w:tabs>
        <w:rPr>
          <w:rFonts w:eastAsiaTheme="minorEastAsia" w:cstheme="minorBidi"/>
          <w:b w:val="0"/>
          <w:bCs w:val="0"/>
          <w:noProof/>
          <w:kern w:val="2"/>
          <w:sz w:val="24"/>
          <w:szCs w:val="24"/>
          <w:lang w:eastAsia="en-GB"/>
          <w14:ligatures w14:val="standardContextual"/>
        </w:rPr>
      </w:pPr>
      <w:r w:rsidRPr="00215418">
        <w:rPr>
          <w:rFonts w:ascii="Aptos" w:eastAsia="Aptos" w:hAnsi="Aptos" w:cs="Arial"/>
          <w:kern w:val="2"/>
          <w:sz w:val="22"/>
          <w:szCs w:val="22"/>
          <w14:ligatures w14:val="standardContextual"/>
        </w:rPr>
        <w:fldChar w:fldCharType="begin"/>
      </w:r>
      <w:r w:rsidRPr="00215418">
        <w:rPr>
          <w:rFonts w:ascii="Aptos" w:eastAsia="Aptos" w:hAnsi="Aptos" w:cs="Arial"/>
          <w:kern w:val="2"/>
          <w:sz w:val="22"/>
          <w:szCs w:val="22"/>
          <w14:ligatures w14:val="standardContextual"/>
        </w:rPr>
        <w:instrText xml:space="preserve"> TOC \t "Part title,1,Section,2" </w:instrText>
      </w:r>
      <w:r w:rsidRPr="00215418">
        <w:rPr>
          <w:rFonts w:ascii="Aptos" w:eastAsia="Aptos" w:hAnsi="Aptos" w:cs="Arial"/>
          <w:kern w:val="2"/>
          <w:sz w:val="22"/>
          <w:szCs w:val="22"/>
          <w14:ligatures w14:val="standardContextual"/>
        </w:rPr>
        <w:fldChar w:fldCharType="separate"/>
      </w:r>
      <w:r w:rsidR="009A67B5" w:rsidRPr="00215418">
        <w:rPr>
          <w:noProof/>
        </w:rPr>
        <w:t>Introduction</w:t>
      </w:r>
      <w:r w:rsidR="009A67B5" w:rsidRPr="00215418">
        <w:rPr>
          <w:noProof/>
        </w:rPr>
        <w:tab/>
      </w:r>
      <w:r w:rsidR="009A67B5" w:rsidRPr="00215418">
        <w:rPr>
          <w:noProof/>
        </w:rPr>
        <w:fldChar w:fldCharType="begin"/>
      </w:r>
      <w:r w:rsidR="009A67B5" w:rsidRPr="00215418">
        <w:rPr>
          <w:noProof/>
        </w:rPr>
        <w:instrText xml:space="preserve"> PAGEREF _Toc188001381 \h </w:instrText>
      </w:r>
      <w:r w:rsidR="009A67B5" w:rsidRPr="00215418">
        <w:rPr>
          <w:noProof/>
        </w:rPr>
      </w:r>
      <w:r w:rsidR="009A67B5" w:rsidRPr="00215418">
        <w:rPr>
          <w:noProof/>
        </w:rPr>
        <w:fldChar w:fldCharType="separate"/>
      </w:r>
      <w:r w:rsidR="007F43D1">
        <w:rPr>
          <w:noProof/>
        </w:rPr>
        <w:t>3</w:t>
      </w:r>
      <w:r w:rsidR="009A67B5" w:rsidRPr="00215418">
        <w:rPr>
          <w:noProof/>
        </w:rPr>
        <w:fldChar w:fldCharType="end"/>
      </w:r>
    </w:p>
    <w:p w14:paraId="1E2A0727" w14:textId="094E0B36" w:rsidR="009A67B5" w:rsidRPr="00215418" w:rsidRDefault="009A67B5">
      <w:pPr>
        <w:pStyle w:val="TOC1"/>
        <w:tabs>
          <w:tab w:val="right" w:leader="dot" w:pos="9629"/>
        </w:tabs>
        <w:rPr>
          <w:rFonts w:eastAsiaTheme="minorEastAsia" w:cstheme="minorBidi"/>
          <w:b w:val="0"/>
          <w:bCs w:val="0"/>
          <w:noProof/>
          <w:kern w:val="2"/>
          <w:sz w:val="24"/>
          <w:szCs w:val="24"/>
          <w:lang w:eastAsia="en-GB"/>
          <w14:ligatures w14:val="standardContextual"/>
        </w:rPr>
      </w:pPr>
      <w:r w:rsidRPr="00215418">
        <w:rPr>
          <w:noProof/>
        </w:rPr>
        <w:t xml:space="preserve">Part 1. The state of digital connectivity in </w:t>
      </w:r>
      <w:r w:rsidR="007F43D1">
        <w:rPr>
          <w:noProof/>
        </w:rPr>
        <w:t xml:space="preserve">the </w:t>
      </w:r>
      <w:r w:rsidRPr="00215418">
        <w:rPr>
          <w:noProof/>
        </w:rPr>
        <w:t xml:space="preserve">Europe </w:t>
      </w:r>
      <w:r w:rsidR="007F43D1">
        <w:rPr>
          <w:noProof/>
        </w:rPr>
        <w:t xml:space="preserve">region </w:t>
      </w:r>
      <w:r w:rsidRPr="00215418">
        <w:rPr>
          <w:noProof/>
        </w:rPr>
        <w:t>and recent trends</w:t>
      </w:r>
      <w:r w:rsidRPr="00215418">
        <w:rPr>
          <w:noProof/>
        </w:rPr>
        <w:tab/>
      </w:r>
      <w:r w:rsidRPr="00215418">
        <w:rPr>
          <w:noProof/>
        </w:rPr>
        <w:fldChar w:fldCharType="begin"/>
      </w:r>
      <w:r w:rsidRPr="00215418">
        <w:rPr>
          <w:noProof/>
        </w:rPr>
        <w:instrText xml:space="preserve"> PAGEREF _Toc188001382 \h </w:instrText>
      </w:r>
      <w:r w:rsidRPr="00215418">
        <w:rPr>
          <w:noProof/>
        </w:rPr>
      </w:r>
      <w:r w:rsidRPr="00215418">
        <w:rPr>
          <w:noProof/>
        </w:rPr>
        <w:fldChar w:fldCharType="separate"/>
      </w:r>
      <w:r w:rsidR="007F43D1">
        <w:rPr>
          <w:noProof/>
        </w:rPr>
        <w:t>5</w:t>
      </w:r>
      <w:r w:rsidRPr="00215418">
        <w:rPr>
          <w:noProof/>
        </w:rPr>
        <w:fldChar w:fldCharType="end"/>
      </w:r>
    </w:p>
    <w:p w14:paraId="4D613404" w14:textId="4039E6A9" w:rsidR="009A67B5" w:rsidRPr="00215418" w:rsidRDefault="009A67B5">
      <w:pPr>
        <w:pStyle w:val="TOC2"/>
        <w:tabs>
          <w:tab w:val="right" w:leader="dot" w:pos="9629"/>
        </w:tabs>
        <w:rPr>
          <w:rFonts w:eastAsiaTheme="minorEastAsia" w:cstheme="minorBidi"/>
          <w:i w:val="0"/>
          <w:iCs w:val="0"/>
          <w:noProof/>
          <w:kern w:val="2"/>
          <w:sz w:val="24"/>
          <w:szCs w:val="24"/>
          <w:lang w:eastAsia="en-GB"/>
          <w14:ligatures w14:val="standardContextual"/>
        </w:rPr>
      </w:pPr>
      <w:r w:rsidRPr="00215418">
        <w:rPr>
          <w:noProof/>
        </w:rPr>
        <w:t>ICT regulation and digital policy frameworks</w:t>
      </w:r>
      <w:r w:rsidRPr="00215418">
        <w:rPr>
          <w:noProof/>
        </w:rPr>
        <w:tab/>
      </w:r>
      <w:r w:rsidRPr="00215418">
        <w:rPr>
          <w:noProof/>
        </w:rPr>
        <w:fldChar w:fldCharType="begin"/>
      </w:r>
      <w:r w:rsidRPr="00215418">
        <w:rPr>
          <w:noProof/>
        </w:rPr>
        <w:instrText xml:space="preserve"> PAGEREF _Toc188001383 \h </w:instrText>
      </w:r>
      <w:r w:rsidRPr="00215418">
        <w:rPr>
          <w:noProof/>
        </w:rPr>
      </w:r>
      <w:r w:rsidRPr="00215418">
        <w:rPr>
          <w:noProof/>
        </w:rPr>
        <w:fldChar w:fldCharType="separate"/>
      </w:r>
      <w:r w:rsidR="007F43D1">
        <w:rPr>
          <w:noProof/>
        </w:rPr>
        <w:t>5</w:t>
      </w:r>
      <w:r w:rsidRPr="00215418">
        <w:rPr>
          <w:noProof/>
        </w:rPr>
        <w:fldChar w:fldCharType="end"/>
      </w:r>
    </w:p>
    <w:p w14:paraId="251556EB" w14:textId="6A7B0C3B" w:rsidR="009A67B5" w:rsidRPr="00215418" w:rsidRDefault="009A67B5">
      <w:pPr>
        <w:pStyle w:val="TOC2"/>
        <w:tabs>
          <w:tab w:val="right" w:leader="dot" w:pos="9629"/>
        </w:tabs>
        <w:rPr>
          <w:rFonts w:eastAsiaTheme="minorEastAsia" w:cstheme="minorBidi"/>
          <w:i w:val="0"/>
          <w:iCs w:val="0"/>
          <w:noProof/>
          <w:kern w:val="2"/>
          <w:sz w:val="24"/>
          <w:szCs w:val="24"/>
          <w:lang w:eastAsia="en-GB"/>
          <w14:ligatures w14:val="standardContextual"/>
        </w:rPr>
      </w:pPr>
      <w:r w:rsidRPr="00215418">
        <w:rPr>
          <w:noProof/>
        </w:rPr>
        <w:t>Internet use</w:t>
      </w:r>
      <w:r w:rsidRPr="00215418">
        <w:rPr>
          <w:noProof/>
        </w:rPr>
        <w:tab/>
      </w:r>
      <w:r w:rsidRPr="00215418">
        <w:rPr>
          <w:noProof/>
        </w:rPr>
        <w:fldChar w:fldCharType="begin"/>
      </w:r>
      <w:r w:rsidRPr="00215418">
        <w:rPr>
          <w:noProof/>
        </w:rPr>
        <w:instrText xml:space="preserve"> PAGEREF _Toc188001384 \h </w:instrText>
      </w:r>
      <w:r w:rsidRPr="00215418">
        <w:rPr>
          <w:noProof/>
        </w:rPr>
      </w:r>
      <w:r w:rsidRPr="00215418">
        <w:rPr>
          <w:noProof/>
        </w:rPr>
        <w:fldChar w:fldCharType="separate"/>
      </w:r>
      <w:r w:rsidR="007F43D1">
        <w:rPr>
          <w:noProof/>
        </w:rPr>
        <w:t>11</w:t>
      </w:r>
      <w:r w:rsidRPr="00215418">
        <w:rPr>
          <w:noProof/>
        </w:rPr>
        <w:fldChar w:fldCharType="end"/>
      </w:r>
    </w:p>
    <w:p w14:paraId="3EB44A91" w14:textId="158DF05D" w:rsidR="009A67B5" w:rsidRPr="00215418" w:rsidRDefault="009A67B5">
      <w:pPr>
        <w:pStyle w:val="TOC2"/>
        <w:tabs>
          <w:tab w:val="right" w:leader="dot" w:pos="9629"/>
        </w:tabs>
        <w:rPr>
          <w:rFonts w:eastAsiaTheme="minorEastAsia" w:cstheme="minorBidi"/>
          <w:i w:val="0"/>
          <w:iCs w:val="0"/>
          <w:noProof/>
          <w:kern w:val="2"/>
          <w:sz w:val="24"/>
          <w:szCs w:val="24"/>
          <w:lang w:eastAsia="en-GB"/>
          <w14:ligatures w14:val="standardContextual"/>
        </w:rPr>
      </w:pPr>
      <w:r w:rsidRPr="00215418">
        <w:rPr>
          <w:noProof/>
        </w:rPr>
        <w:t>Broadband subscriptions</w:t>
      </w:r>
      <w:r w:rsidRPr="00215418">
        <w:rPr>
          <w:noProof/>
        </w:rPr>
        <w:tab/>
      </w:r>
      <w:r w:rsidRPr="00215418">
        <w:rPr>
          <w:noProof/>
        </w:rPr>
        <w:fldChar w:fldCharType="begin"/>
      </w:r>
      <w:r w:rsidRPr="00215418">
        <w:rPr>
          <w:noProof/>
        </w:rPr>
        <w:instrText xml:space="preserve"> PAGEREF _Toc188001385 \h </w:instrText>
      </w:r>
      <w:r w:rsidRPr="00215418">
        <w:rPr>
          <w:noProof/>
        </w:rPr>
      </w:r>
      <w:r w:rsidRPr="00215418">
        <w:rPr>
          <w:noProof/>
        </w:rPr>
        <w:fldChar w:fldCharType="separate"/>
      </w:r>
      <w:r w:rsidR="007F43D1">
        <w:rPr>
          <w:noProof/>
        </w:rPr>
        <w:t>17</w:t>
      </w:r>
      <w:r w:rsidRPr="00215418">
        <w:rPr>
          <w:noProof/>
        </w:rPr>
        <w:fldChar w:fldCharType="end"/>
      </w:r>
    </w:p>
    <w:p w14:paraId="259D644F" w14:textId="328E355C" w:rsidR="009A67B5" w:rsidRPr="00215418" w:rsidRDefault="009A67B5">
      <w:pPr>
        <w:pStyle w:val="TOC2"/>
        <w:tabs>
          <w:tab w:val="right" w:leader="dot" w:pos="9629"/>
        </w:tabs>
        <w:rPr>
          <w:rFonts w:eastAsiaTheme="minorEastAsia" w:cstheme="minorBidi"/>
          <w:i w:val="0"/>
          <w:iCs w:val="0"/>
          <w:noProof/>
          <w:kern w:val="2"/>
          <w:sz w:val="24"/>
          <w:szCs w:val="24"/>
          <w:lang w:eastAsia="en-GB"/>
          <w14:ligatures w14:val="standardContextual"/>
        </w:rPr>
      </w:pPr>
      <w:r w:rsidRPr="00215418">
        <w:rPr>
          <w:noProof/>
        </w:rPr>
        <w:t>Mobile network coverage</w:t>
      </w:r>
      <w:r w:rsidRPr="00215418">
        <w:rPr>
          <w:noProof/>
        </w:rPr>
        <w:tab/>
      </w:r>
      <w:r w:rsidRPr="00215418">
        <w:rPr>
          <w:noProof/>
        </w:rPr>
        <w:fldChar w:fldCharType="begin"/>
      </w:r>
      <w:r w:rsidRPr="00215418">
        <w:rPr>
          <w:noProof/>
        </w:rPr>
        <w:instrText xml:space="preserve"> PAGEREF _Toc188001386 \h </w:instrText>
      </w:r>
      <w:r w:rsidRPr="00215418">
        <w:rPr>
          <w:noProof/>
        </w:rPr>
      </w:r>
      <w:r w:rsidRPr="00215418">
        <w:rPr>
          <w:noProof/>
        </w:rPr>
        <w:fldChar w:fldCharType="separate"/>
      </w:r>
      <w:r w:rsidR="007F43D1">
        <w:rPr>
          <w:noProof/>
        </w:rPr>
        <w:t>19</w:t>
      </w:r>
      <w:r w:rsidRPr="00215418">
        <w:rPr>
          <w:noProof/>
        </w:rPr>
        <w:fldChar w:fldCharType="end"/>
      </w:r>
    </w:p>
    <w:p w14:paraId="221DF70E" w14:textId="222356FD" w:rsidR="009A67B5" w:rsidRPr="00215418" w:rsidRDefault="009A67B5">
      <w:pPr>
        <w:pStyle w:val="TOC2"/>
        <w:tabs>
          <w:tab w:val="right" w:leader="dot" w:pos="9629"/>
        </w:tabs>
        <w:rPr>
          <w:rFonts w:eastAsiaTheme="minorEastAsia" w:cstheme="minorBidi"/>
          <w:i w:val="0"/>
          <w:iCs w:val="0"/>
          <w:noProof/>
          <w:kern w:val="2"/>
          <w:sz w:val="24"/>
          <w:szCs w:val="24"/>
          <w:lang w:eastAsia="en-GB"/>
          <w14:ligatures w14:val="standardContextual"/>
        </w:rPr>
      </w:pPr>
      <w:r w:rsidRPr="00215418">
        <w:rPr>
          <w:noProof/>
        </w:rPr>
        <w:t>Availability of fixed-broadband infrastructure</w:t>
      </w:r>
      <w:r w:rsidRPr="00215418">
        <w:rPr>
          <w:noProof/>
        </w:rPr>
        <w:tab/>
      </w:r>
      <w:r w:rsidRPr="00215418">
        <w:rPr>
          <w:noProof/>
        </w:rPr>
        <w:fldChar w:fldCharType="begin"/>
      </w:r>
      <w:r w:rsidRPr="00215418">
        <w:rPr>
          <w:noProof/>
        </w:rPr>
        <w:instrText xml:space="preserve"> PAGEREF _Toc188001387 \h </w:instrText>
      </w:r>
      <w:r w:rsidRPr="00215418">
        <w:rPr>
          <w:noProof/>
        </w:rPr>
      </w:r>
      <w:r w:rsidRPr="00215418">
        <w:rPr>
          <w:noProof/>
        </w:rPr>
        <w:fldChar w:fldCharType="separate"/>
      </w:r>
      <w:r w:rsidR="007F43D1">
        <w:rPr>
          <w:noProof/>
        </w:rPr>
        <w:t>21</w:t>
      </w:r>
      <w:r w:rsidRPr="00215418">
        <w:rPr>
          <w:noProof/>
        </w:rPr>
        <w:fldChar w:fldCharType="end"/>
      </w:r>
    </w:p>
    <w:p w14:paraId="729B8B15" w14:textId="118B7E3A" w:rsidR="009A67B5" w:rsidRPr="00215418" w:rsidRDefault="009A67B5">
      <w:pPr>
        <w:pStyle w:val="TOC2"/>
        <w:tabs>
          <w:tab w:val="right" w:leader="dot" w:pos="9629"/>
        </w:tabs>
        <w:rPr>
          <w:rFonts w:eastAsiaTheme="minorEastAsia" w:cstheme="minorBidi"/>
          <w:i w:val="0"/>
          <w:iCs w:val="0"/>
          <w:noProof/>
          <w:kern w:val="2"/>
          <w:sz w:val="24"/>
          <w:szCs w:val="24"/>
          <w:lang w:eastAsia="en-GB"/>
          <w14:ligatures w14:val="standardContextual"/>
        </w:rPr>
      </w:pPr>
      <w:r w:rsidRPr="00215418">
        <w:rPr>
          <w:noProof/>
        </w:rPr>
        <w:t>Internet traffic</w:t>
      </w:r>
      <w:r w:rsidRPr="00215418">
        <w:rPr>
          <w:noProof/>
        </w:rPr>
        <w:tab/>
      </w:r>
      <w:r w:rsidRPr="00215418">
        <w:rPr>
          <w:noProof/>
        </w:rPr>
        <w:fldChar w:fldCharType="begin"/>
      </w:r>
      <w:r w:rsidRPr="00215418">
        <w:rPr>
          <w:noProof/>
        </w:rPr>
        <w:instrText xml:space="preserve"> PAGEREF _Toc188001388 \h </w:instrText>
      </w:r>
      <w:r w:rsidRPr="00215418">
        <w:rPr>
          <w:noProof/>
        </w:rPr>
      </w:r>
      <w:r w:rsidRPr="00215418">
        <w:rPr>
          <w:noProof/>
        </w:rPr>
        <w:fldChar w:fldCharType="separate"/>
      </w:r>
      <w:r w:rsidR="007F43D1">
        <w:rPr>
          <w:noProof/>
        </w:rPr>
        <w:t>23</w:t>
      </w:r>
      <w:r w:rsidRPr="00215418">
        <w:rPr>
          <w:noProof/>
        </w:rPr>
        <w:fldChar w:fldCharType="end"/>
      </w:r>
    </w:p>
    <w:p w14:paraId="54338AE8" w14:textId="62D533D5" w:rsidR="009A67B5" w:rsidRPr="00215418" w:rsidRDefault="009A67B5">
      <w:pPr>
        <w:pStyle w:val="TOC2"/>
        <w:tabs>
          <w:tab w:val="right" w:leader="dot" w:pos="9629"/>
        </w:tabs>
        <w:rPr>
          <w:rFonts w:eastAsiaTheme="minorEastAsia" w:cstheme="minorBidi"/>
          <w:i w:val="0"/>
          <w:iCs w:val="0"/>
          <w:noProof/>
          <w:kern w:val="2"/>
          <w:sz w:val="24"/>
          <w:szCs w:val="24"/>
          <w:lang w:eastAsia="en-GB"/>
          <w14:ligatures w14:val="standardContextual"/>
        </w:rPr>
      </w:pPr>
      <w:r w:rsidRPr="00215418">
        <w:rPr>
          <w:noProof/>
        </w:rPr>
        <w:t>Affordability of ICT services</w:t>
      </w:r>
      <w:r w:rsidRPr="00215418">
        <w:rPr>
          <w:noProof/>
        </w:rPr>
        <w:tab/>
      </w:r>
      <w:r w:rsidRPr="00215418">
        <w:rPr>
          <w:noProof/>
        </w:rPr>
        <w:fldChar w:fldCharType="begin"/>
      </w:r>
      <w:r w:rsidRPr="00215418">
        <w:rPr>
          <w:noProof/>
        </w:rPr>
        <w:instrText xml:space="preserve"> PAGEREF _Toc188001389 \h </w:instrText>
      </w:r>
      <w:r w:rsidRPr="00215418">
        <w:rPr>
          <w:noProof/>
        </w:rPr>
      </w:r>
      <w:r w:rsidRPr="00215418">
        <w:rPr>
          <w:noProof/>
        </w:rPr>
        <w:fldChar w:fldCharType="separate"/>
      </w:r>
      <w:r w:rsidR="007F43D1">
        <w:rPr>
          <w:noProof/>
        </w:rPr>
        <w:t>25</w:t>
      </w:r>
      <w:r w:rsidRPr="00215418">
        <w:rPr>
          <w:noProof/>
        </w:rPr>
        <w:fldChar w:fldCharType="end"/>
      </w:r>
    </w:p>
    <w:p w14:paraId="5864BDDF" w14:textId="2EE49806" w:rsidR="009A67B5" w:rsidRPr="00215418" w:rsidRDefault="009A67B5">
      <w:pPr>
        <w:pStyle w:val="TOC2"/>
        <w:tabs>
          <w:tab w:val="right" w:leader="dot" w:pos="9629"/>
        </w:tabs>
        <w:rPr>
          <w:rFonts w:eastAsiaTheme="minorEastAsia" w:cstheme="minorBidi"/>
          <w:i w:val="0"/>
          <w:iCs w:val="0"/>
          <w:noProof/>
          <w:kern w:val="2"/>
          <w:sz w:val="24"/>
          <w:szCs w:val="24"/>
          <w:lang w:eastAsia="en-GB"/>
          <w14:ligatures w14:val="standardContextual"/>
        </w:rPr>
      </w:pPr>
      <w:r w:rsidRPr="00215418">
        <w:rPr>
          <w:noProof/>
        </w:rPr>
        <w:t>Mobile phone ownership and subscriptions</w:t>
      </w:r>
      <w:r w:rsidRPr="00215418">
        <w:rPr>
          <w:noProof/>
        </w:rPr>
        <w:tab/>
      </w:r>
      <w:r w:rsidRPr="00215418">
        <w:rPr>
          <w:noProof/>
        </w:rPr>
        <w:fldChar w:fldCharType="begin"/>
      </w:r>
      <w:r w:rsidRPr="00215418">
        <w:rPr>
          <w:noProof/>
        </w:rPr>
        <w:instrText xml:space="preserve"> PAGEREF _Toc188001390 \h </w:instrText>
      </w:r>
      <w:r w:rsidRPr="00215418">
        <w:rPr>
          <w:noProof/>
        </w:rPr>
      </w:r>
      <w:r w:rsidRPr="00215418">
        <w:rPr>
          <w:noProof/>
        </w:rPr>
        <w:fldChar w:fldCharType="separate"/>
      </w:r>
      <w:r w:rsidR="007F43D1">
        <w:rPr>
          <w:noProof/>
        </w:rPr>
        <w:t>27</w:t>
      </w:r>
      <w:r w:rsidRPr="00215418">
        <w:rPr>
          <w:noProof/>
        </w:rPr>
        <w:fldChar w:fldCharType="end"/>
      </w:r>
    </w:p>
    <w:p w14:paraId="2BD4FAD1" w14:textId="73C77172" w:rsidR="009A67B5" w:rsidRPr="00215418" w:rsidRDefault="009A67B5">
      <w:pPr>
        <w:pStyle w:val="TOC2"/>
        <w:tabs>
          <w:tab w:val="right" w:leader="dot" w:pos="9629"/>
        </w:tabs>
        <w:rPr>
          <w:rFonts w:eastAsiaTheme="minorEastAsia" w:cstheme="minorBidi"/>
          <w:i w:val="0"/>
          <w:iCs w:val="0"/>
          <w:noProof/>
          <w:kern w:val="2"/>
          <w:sz w:val="24"/>
          <w:szCs w:val="24"/>
          <w:lang w:eastAsia="en-GB"/>
          <w14:ligatures w14:val="standardContextual"/>
        </w:rPr>
      </w:pPr>
      <w:r w:rsidRPr="00215418">
        <w:rPr>
          <w:noProof/>
        </w:rPr>
        <w:t>ICT skills</w:t>
      </w:r>
      <w:r w:rsidRPr="00215418">
        <w:rPr>
          <w:noProof/>
        </w:rPr>
        <w:tab/>
      </w:r>
      <w:r w:rsidRPr="00215418">
        <w:rPr>
          <w:noProof/>
        </w:rPr>
        <w:fldChar w:fldCharType="begin"/>
      </w:r>
      <w:r w:rsidRPr="00215418">
        <w:rPr>
          <w:noProof/>
        </w:rPr>
        <w:instrText xml:space="preserve"> PAGEREF _Toc188001391 \h </w:instrText>
      </w:r>
      <w:r w:rsidRPr="00215418">
        <w:rPr>
          <w:noProof/>
        </w:rPr>
      </w:r>
      <w:r w:rsidRPr="00215418">
        <w:rPr>
          <w:noProof/>
        </w:rPr>
        <w:fldChar w:fldCharType="separate"/>
      </w:r>
      <w:r w:rsidR="007F43D1">
        <w:rPr>
          <w:noProof/>
        </w:rPr>
        <w:t>29</w:t>
      </w:r>
      <w:r w:rsidRPr="00215418">
        <w:rPr>
          <w:noProof/>
        </w:rPr>
        <w:fldChar w:fldCharType="end"/>
      </w:r>
    </w:p>
    <w:p w14:paraId="24A6DF7F" w14:textId="62402D0B" w:rsidR="009A67B5" w:rsidRPr="00215418" w:rsidRDefault="009A67B5">
      <w:pPr>
        <w:pStyle w:val="TOC2"/>
        <w:tabs>
          <w:tab w:val="right" w:leader="dot" w:pos="9629"/>
        </w:tabs>
        <w:rPr>
          <w:rFonts w:eastAsiaTheme="minorEastAsia" w:cstheme="minorBidi"/>
          <w:i w:val="0"/>
          <w:iCs w:val="0"/>
          <w:noProof/>
          <w:kern w:val="2"/>
          <w:sz w:val="24"/>
          <w:szCs w:val="24"/>
          <w:lang w:eastAsia="en-GB"/>
          <w14:ligatures w14:val="standardContextual"/>
        </w:rPr>
      </w:pPr>
      <w:r w:rsidRPr="00215418">
        <w:rPr>
          <w:noProof/>
        </w:rPr>
        <w:t>Revenues and investment</w:t>
      </w:r>
      <w:r w:rsidRPr="00215418">
        <w:rPr>
          <w:noProof/>
        </w:rPr>
        <w:tab/>
      </w:r>
      <w:r w:rsidRPr="00215418">
        <w:rPr>
          <w:noProof/>
        </w:rPr>
        <w:fldChar w:fldCharType="begin"/>
      </w:r>
      <w:r w:rsidRPr="00215418">
        <w:rPr>
          <w:noProof/>
        </w:rPr>
        <w:instrText xml:space="preserve"> PAGEREF _Toc188001392 \h </w:instrText>
      </w:r>
      <w:r w:rsidRPr="00215418">
        <w:rPr>
          <w:noProof/>
        </w:rPr>
      </w:r>
      <w:r w:rsidRPr="00215418">
        <w:rPr>
          <w:noProof/>
        </w:rPr>
        <w:fldChar w:fldCharType="separate"/>
      </w:r>
      <w:r w:rsidR="007F43D1">
        <w:rPr>
          <w:noProof/>
        </w:rPr>
        <w:t>33</w:t>
      </w:r>
      <w:r w:rsidRPr="00215418">
        <w:rPr>
          <w:noProof/>
        </w:rPr>
        <w:fldChar w:fldCharType="end"/>
      </w:r>
    </w:p>
    <w:p w14:paraId="30D8CE20" w14:textId="2EE47B8B" w:rsidR="009A67B5" w:rsidRPr="00215418" w:rsidRDefault="009A67B5">
      <w:pPr>
        <w:pStyle w:val="TOC2"/>
        <w:tabs>
          <w:tab w:val="right" w:leader="dot" w:pos="9629"/>
        </w:tabs>
        <w:rPr>
          <w:rFonts w:eastAsiaTheme="minorEastAsia" w:cstheme="minorBidi"/>
          <w:i w:val="0"/>
          <w:iCs w:val="0"/>
          <w:noProof/>
          <w:kern w:val="2"/>
          <w:sz w:val="24"/>
          <w:szCs w:val="24"/>
          <w:lang w:eastAsia="en-GB"/>
          <w14:ligatures w14:val="standardContextual"/>
        </w:rPr>
      </w:pPr>
      <w:r w:rsidRPr="00215418">
        <w:rPr>
          <w:noProof/>
        </w:rPr>
        <w:t>Cybersecurity</w:t>
      </w:r>
      <w:r w:rsidRPr="00215418">
        <w:rPr>
          <w:noProof/>
        </w:rPr>
        <w:tab/>
      </w:r>
      <w:r w:rsidRPr="00215418">
        <w:rPr>
          <w:noProof/>
        </w:rPr>
        <w:fldChar w:fldCharType="begin"/>
      </w:r>
      <w:r w:rsidRPr="00215418">
        <w:rPr>
          <w:noProof/>
        </w:rPr>
        <w:instrText xml:space="preserve"> PAGEREF _Toc188001393 \h </w:instrText>
      </w:r>
      <w:r w:rsidRPr="00215418">
        <w:rPr>
          <w:noProof/>
        </w:rPr>
      </w:r>
      <w:r w:rsidRPr="00215418">
        <w:rPr>
          <w:noProof/>
        </w:rPr>
        <w:fldChar w:fldCharType="separate"/>
      </w:r>
      <w:r w:rsidR="007F43D1">
        <w:rPr>
          <w:noProof/>
        </w:rPr>
        <w:t>35</w:t>
      </w:r>
      <w:r w:rsidRPr="00215418">
        <w:rPr>
          <w:noProof/>
        </w:rPr>
        <w:fldChar w:fldCharType="end"/>
      </w:r>
    </w:p>
    <w:p w14:paraId="086863F1" w14:textId="3BEA5794" w:rsidR="009A67B5" w:rsidRPr="00215418" w:rsidRDefault="009A67B5">
      <w:pPr>
        <w:pStyle w:val="TOC2"/>
        <w:tabs>
          <w:tab w:val="right" w:leader="dot" w:pos="9629"/>
        </w:tabs>
        <w:rPr>
          <w:rFonts w:eastAsiaTheme="minorEastAsia" w:cstheme="minorBidi"/>
          <w:i w:val="0"/>
          <w:iCs w:val="0"/>
          <w:noProof/>
          <w:kern w:val="2"/>
          <w:sz w:val="24"/>
          <w:szCs w:val="24"/>
          <w:lang w:eastAsia="en-GB"/>
          <w14:ligatures w14:val="standardContextual"/>
        </w:rPr>
      </w:pPr>
      <w:r w:rsidRPr="00215418">
        <w:rPr>
          <w:noProof/>
        </w:rPr>
        <w:t>E-waste management</w:t>
      </w:r>
      <w:r w:rsidRPr="00215418">
        <w:rPr>
          <w:noProof/>
        </w:rPr>
        <w:tab/>
      </w:r>
      <w:r w:rsidRPr="00215418">
        <w:rPr>
          <w:noProof/>
        </w:rPr>
        <w:fldChar w:fldCharType="begin"/>
      </w:r>
      <w:r w:rsidRPr="00215418">
        <w:rPr>
          <w:noProof/>
        </w:rPr>
        <w:instrText xml:space="preserve"> PAGEREF _Toc188001394 \h </w:instrText>
      </w:r>
      <w:r w:rsidRPr="00215418">
        <w:rPr>
          <w:noProof/>
        </w:rPr>
      </w:r>
      <w:r w:rsidRPr="00215418">
        <w:rPr>
          <w:noProof/>
        </w:rPr>
        <w:fldChar w:fldCharType="separate"/>
      </w:r>
      <w:r w:rsidR="007F43D1">
        <w:rPr>
          <w:noProof/>
        </w:rPr>
        <w:t>37</w:t>
      </w:r>
      <w:r w:rsidRPr="00215418">
        <w:rPr>
          <w:noProof/>
        </w:rPr>
        <w:fldChar w:fldCharType="end"/>
      </w:r>
    </w:p>
    <w:p w14:paraId="27CEBE83" w14:textId="1E8B9838" w:rsidR="009A67B5" w:rsidRPr="00215418" w:rsidRDefault="009A67B5">
      <w:pPr>
        <w:pStyle w:val="TOC2"/>
        <w:tabs>
          <w:tab w:val="right" w:leader="dot" w:pos="9629"/>
        </w:tabs>
        <w:rPr>
          <w:rFonts w:eastAsiaTheme="minorEastAsia" w:cstheme="minorBidi"/>
          <w:i w:val="0"/>
          <w:iCs w:val="0"/>
          <w:noProof/>
          <w:kern w:val="2"/>
          <w:sz w:val="24"/>
          <w:szCs w:val="24"/>
          <w:lang w:eastAsia="en-GB"/>
          <w14:ligatures w14:val="standardContextual"/>
        </w:rPr>
      </w:pPr>
      <w:r w:rsidRPr="00215418">
        <w:rPr>
          <w:noProof/>
        </w:rPr>
        <w:t>Disparities within the region</w:t>
      </w:r>
      <w:r w:rsidRPr="00215418">
        <w:rPr>
          <w:noProof/>
        </w:rPr>
        <w:tab/>
      </w:r>
      <w:r w:rsidRPr="00215418">
        <w:rPr>
          <w:noProof/>
        </w:rPr>
        <w:fldChar w:fldCharType="begin"/>
      </w:r>
      <w:r w:rsidRPr="00215418">
        <w:rPr>
          <w:noProof/>
        </w:rPr>
        <w:instrText xml:space="preserve"> PAGEREF _Toc188001395 \h </w:instrText>
      </w:r>
      <w:r w:rsidRPr="00215418">
        <w:rPr>
          <w:noProof/>
        </w:rPr>
      </w:r>
      <w:r w:rsidRPr="00215418">
        <w:rPr>
          <w:noProof/>
        </w:rPr>
        <w:fldChar w:fldCharType="separate"/>
      </w:r>
      <w:r w:rsidR="007F43D1">
        <w:rPr>
          <w:noProof/>
        </w:rPr>
        <w:t>41</w:t>
      </w:r>
      <w:r w:rsidRPr="00215418">
        <w:rPr>
          <w:noProof/>
        </w:rPr>
        <w:fldChar w:fldCharType="end"/>
      </w:r>
    </w:p>
    <w:p w14:paraId="416F76A4" w14:textId="06D8540B" w:rsidR="009A67B5" w:rsidRPr="00215418" w:rsidRDefault="009A67B5">
      <w:pPr>
        <w:pStyle w:val="TOC2"/>
        <w:tabs>
          <w:tab w:val="right" w:leader="dot" w:pos="9629"/>
        </w:tabs>
        <w:rPr>
          <w:rFonts w:eastAsiaTheme="minorEastAsia" w:cstheme="minorBidi"/>
          <w:i w:val="0"/>
          <w:iCs w:val="0"/>
          <w:noProof/>
          <w:kern w:val="2"/>
          <w:sz w:val="24"/>
          <w:szCs w:val="24"/>
          <w:lang w:eastAsia="en-GB"/>
          <w14:ligatures w14:val="standardContextual"/>
        </w:rPr>
      </w:pPr>
      <w:r w:rsidRPr="00215418">
        <w:rPr>
          <w:noProof/>
        </w:rPr>
        <w:t>Overview of data availability in Europe</w:t>
      </w:r>
      <w:r w:rsidRPr="00215418">
        <w:rPr>
          <w:noProof/>
        </w:rPr>
        <w:tab/>
      </w:r>
      <w:r w:rsidRPr="00215418">
        <w:rPr>
          <w:noProof/>
        </w:rPr>
        <w:fldChar w:fldCharType="begin"/>
      </w:r>
      <w:r w:rsidRPr="00215418">
        <w:rPr>
          <w:noProof/>
        </w:rPr>
        <w:instrText xml:space="preserve"> PAGEREF _Toc188001396 \h </w:instrText>
      </w:r>
      <w:r w:rsidRPr="00215418">
        <w:rPr>
          <w:noProof/>
        </w:rPr>
      </w:r>
      <w:r w:rsidRPr="00215418">
        <w:rPr>
          <w:noProof/>
        </w:rPr>
        <w:fldChar w:fldCharType="separate"/>
      </w:r>
      <w:r w:rsidR="007F43D1">
        <w:rPr>
          <w:noProof/>
        </w:rPr>
        <w:t>43</w:t>
      </w:r>
      <w:r w:rsidRPr="00215418">
        <w:rPr>
          <w:noProof/>
        </w:rPr>
        <w:fldChar w:fldCharType="end"/>
      </w:r>
    </w:p>
    <w:p w14:paraId="6C273D41" w14:textId="4FFC5890" w:rsidR="009A67B5" w:rsidRPr="00215418" w:rsidRDefault="009A67B5">
      <w:pPr>
        <w:pStyle w:val="TOC1"/>
        <w:tabs>
          <w:tab w:val="right" w:leader="dot" w:pos="9629"/>
        </w:tabs>
        <w:rPr>
          <w:rFonts w:eastAsiaTheme="minorEastAsia" w:cstheme="minorBidi"/>
          <w:b w:val="0"/>
          <w:bCs w:val="0"/>
          <w:noProof/>
          <w:kern w:val="2"/>
          <w:sz w:val="24"/>
          <w:szCs w:val="24"/>
          <w:lang w:eastAsia="en-GB"/>
          <w14:ligatures w14:val="standardContextual"/>
        </w:rPr>
      </w:pPr>
      <w:r w:rsidRPr="00215418">
        <w:rPr>
          <w:noProof/>
        </w:rPr>
        <w:t>Part 2. BDT4Impact: Selected case studies from Europe</w:t>
      </w:r>
      <w:r w:rsidRPr="00215418">
        <w:rPr>
          <w:noProof/>
        </w:rPr>
        <w:tab/>
      </w:r>
      <w:r w:rsidRPr="00215418">
        <w:rPr>
          <w:noProof/>
        </w:rPr>
        <w:fldChar w:fldCharType="begin"/>
      </w:r>
      <w:r w:rsidRPr="00215418">
        <w:rPr>
          <w:noProof/>
        </w:rPr>
        <w:instrText xml:space="preserve"> PAGEREF _Toc188001397 \h </w:instrText>
      </w:r>
      <w:r w:rsidRPr="00215418">
        <w:rPr>
          <w:noProof/>
        </w:rPr>
      </w:r>
      <w:r w:rsidRPr="00215418">
        <w:rPr>
          <w:noProof/>
        </w:rPr>
        <w:fldChar w:fldCharType="separate"/>
      </w:r>
      <w:r w:rsidR="007F43D1">
        <w:rPr>
          <w:noProof/>
        </w:rPr>
        <w:t>45</w:t>
      </w:r>
      <w:r w:rsidRPr="00215418">
        <w:rPr>
          <w:noProof/>
        </w:rPr>
        <w:fldChar w:fldCharType="end"/>
      </w:r>
    </w:p>
    <w:p w14:paraId="3865D1FC" w14:textId="561B6B2A" w:rsidR="009A67B5" w:rsidRPr="00215418" w:rsidRDefault="009A67B5">
      <w:pPr>
        <w:pStyle w:val="TOC2"/>
        <w:tabs>
          <w:tab w:val="right" w:leader="dot" w:pos="9629"/>
        </w:tabs>
        <w:rPr>
          <w:rFonts w:eastAsiaTheme="minorEastAsia" w:cstheme="minorBidi"/>
          <w:i w:val="0"/>
          <w:iCs w:val="0"/>
          <w:noProof/>
          <w:kern w:val="2"/>
          <w:sz w:val="24"/>
          <w:szCs w:val="24"/>
          <w:lang w:eastAsia="en-GB"/>
          <w14:ligatures w14:val="standardContextual"/>
        </w:rPr>
      </w:pPr>
      <w:r w:rsidRPr="00215418">
        <w:rPr>
          <w:noProof/>
        </w:rPr>
        <w:t>Promoting and measuring meaningful connectivity around the world</w:t>
      </w:r>
      <w:r w:rsidRPr="00215418">
        <w:rPr>
          <w:noProof/>
        </w:rPr>
        <w:tab/>
      </w:r>
      <w:r w:rsidRPr="00215418">
        <w:rPr>
          <w:noProof/>
        </w:rPr>
        <w:fldChar w:fldCharType="begin"/>
      </w:r>
      <w:r w:rsidRPr="00215418">
        <w:rPr>
          <w:noProof/>
        </w:rPr>
        <w:instrText xml:space="preserve"> PAGEREF _Toc188001398 \h </w:instrText>
      </w:r>
      <w:r w:rsidRPr="00215418">
        <w:rPr>
          <w:noProof/>
        </w:rPr>
      </w:r>
      <w:r w:rsidRPr="00215418">
        <w:rPr>
          <w:noProof/>
        </w:rPr>
        <w:fldChar w:fldCharType="separate"/>
      </w:r>
      <w:r w:rsidR="007F43D1">
        <w:rPr>
          <w:noProof/>
        </w:rPr>
        <w:t>45</w:t>
      </w:r>
      <w:r w:rsidRPr="00215418">
        <w:rPr>
          <w:noProof/>
        </w:rPr>
        <w:fldChar w:fldCharType="end"/>
      </w:r>
    </w:p>
    <w:p w14:paraId="353595A0" w14:textId="79AF663B" w:rsidR="009A67B5" w:rsidRPr="00215418" w:rsidRDefault="009A67B5">
      <w:pPr>
        <w:pStyle w:val="TOC2"/>
        <w:tabs>
          <w:tab w:val="right" w:leader="dot" w:pos="9629"/>
        </w:tabs>
        <w:rPr>
          <w:rFonts w:eastAsiaTheme="minorEastAsia" w:cstheme="minorBidi"/>
          <w:i w:val="0"/>
          <w:iCs w:val="0"/>
          <w:noProof/>
          <w:kern w:val="2"/>
          <w:sz w:val="24"/>
          <w:szCs w:val="24"/>
          <w:lang w:eastAsia="en-GB"/>
          <w14:ligatures w14:val="standardContextual"/>
        </w:rPr>
      </w:pPr>
      <w:r w:rsidRPr="00215418">
        <w:rPr>
          <w:noProof/>
        </w:rPr>
        <w:t>Promoting child online protection</w:t>
      </w:r>
      <w:r w:rsidR="004304EF">
        <w:rPr>
          <w:noProof/>
        </w:rPr>
        <w:t xml:space="preserve"> in Europe, e.g. Andorra, Malta, Serbia</w:t>
      </w:r>
      <w:r w:rsidRPr="00215418">
        <w:rPr>
          <w:noProof/>
        </w:rPr>
        <w:tab/>
      </w:r>
      <w:r w:rsidRPr="00215418">
        <w:rPr>
          <w:noProof/>
        </w:rPr>
        <w:fldChar w:fldCharType="begin"/>
      </w:r>
      <w:r w:rsidRPr="00215418">
        <w:rPr>
          <w:noProof/>
        </w:rPr>
        <w:instrText xml:space="preserve"> PAGEREF _Toc188001399 \h </w:instrText>
      </w:r>
      <w:r w:rsidRPr="00215418">
        <w:rPr>
          <w:noProof/>
        </w:rPr>
      </w:r>
      <w:r w:rsidRPr="00215418">
        <w:rPr>
          <w:noProof/>
        </w:rPr>
        <w:fldChar w:fldCharType="separate"/>
      </w:r>
      <w:r w:rsidR="007F43D1">
        <w:rPr>
          <w:noProof/>
        </w:rPr>
        <w:t>45</w:t>
      </w:r>
      <w:r w:rsidRPr="00215418">
        <w:rPr>
          <w:noProof/>
        </w:rPr>
        <w:fldChar w:fldCharType="end"/>
      </w:r>
    </w:p>
    <w:p w14:paraId="63B9F63C" w14:textId="50F287C2" w:rsidR="009A67B5" w:rsidRPr="00215418" w:rsidRDefault="009A67B5">
      <w:pPr>
        <w:pStyle w:val="TOC2"/>
        <w:tabs>
          <w:tab w:val="right" w:leader="dot" w:pos="9629"/>
        </w:tabs>
        <w:rPr>
          <w:rFonts w:eastAsiaTheme="minorEastAsia" w:cstheme="minorBidi"/>
          <w:i w:val="0"/>
          <w:iCs w:val="0"/>
          <w:noProof/>
          <w:kern w:val="2"/>
          <w:sz w:val="24"/>
          <w:szCs w:val="24"/>
          <w:lang w:eastAsia="en-GB"/>
          <w14:ligatures w14:val="standardContextual"/>
        </w:rPr>
      </w:pPr>
      <w:r w:rsidRPr="00215418">
        <w:rPr>
          <w:noProof/>
        </w:rPr>
        <w:t>IPv6 Laboratory in Montenegro</w:t>
      </w:r>
      <w:r w:rsidRPr="00215418">
        <w:rPr>
          <w:noProof/>
        </w:rPr>
        <w:tab/>
      </w:r>
      <w:r w:rsidRPr="00215418">
        <w:rPr>
          <w:noProof/>
        </w:rPr>
        <w:fldChar w:fldCharType="begin"/>
      </w:r>
      <w:r w:rsidRPr="00215418">
        <w:rPr>
          <w:noProof/>
        </w:rPr>
        <w:instrText xml:space="preserve"> PAGEREF _Toc188001400 \h </w:instrText>
      </w:r>
      <w:r w:rsidRPr="00215418">
        <w:rPr>
          <w:noProof/>
        </w:rPr>
      </w:r>
      <w:r w:rsidRPr="00215418">
        <w:rPr>
          <w:noProof/>
        </w:rPr>
        <w:fldChar w:fldCharType="separate"/>
      </w:r>
      <w:r w:rsidR="007F43D1">
        <w:rPr>
          <w:noProof/>
        </w:rPr>
        <w:t>45</w:t>
      </w:r>
      <w:r w:rsidRPr="00215418">
        <w:rPr>
          <w:noProof/>
        </w:rPr>
        <w:fldChar w:fldCharType="end"/>
      </w:r>
    </w:p>
    <w:p w14:paraId="70285733" w14:textId="0713D45F" w:rsidR="009A67B5" w:rsidRPr="00215418" w:rsidRDefault="009A67B5">
      <w:pPr>
        <w:pStyle w:val="TOC2"/>
        <w:tabs>
          <w:tab w:val="right" w:leader="dot" w:pos="9629"/>
        </w:tabs>
        <w:rPr>
          <w:rFonts w:eastAsiaTheme="minorEastAsia" w:cstheme="minorBidi"/>
          <w:i w:val="0"/>
          <w:iCs w:val="0"/>
          <w:noProof/>
          <w:kern w:val="2"/>
          <w:sz w:val="24"/>
          <w:szCs w:val="24"/>
          <w:lang w:eastAsia="en-GB"/>
          <w14:ligatures w14:val="standardContextual"/>
        </w:rPr>
      </w:pPr>
      <w:r w:rsidRPr="00215418">
        <w:rPr>
          <w:noProof/>
        </w:rPr>
        <w:t>Driving sustainable rural digital transformation in Albania</w:t>
      </w:r>
      <w:r w:rsidRPr="00215418">
        <w:rPr>
          <w:noProof/>
        </w:rPr>
        <w:tab/>
      </w:r>
      <w:r w:rsidRPr="00215418">
        <w:rPr>
          <w:noProof/>
        </w:rPr>
        <w:fldChar w:fldCharType="begin"/>
      </w:r>
      <w:r w:rsidRPr="00215418">
        <w:rPr>
          <w:noProof/>
        </w:rPr>
        <w:instrText xml:space="preserve"> PAGEREF _Toc188001401 \h </w:instrText>
      </w:r>
      <w:r w:rsidRPr="00215418">
        <w:rPr>
          <w:noProof/>
        </w:rPr>
      </w:r>
      <w:r w:rsidRPr="00215418">
        <w:rPr>
          <w:noProof/>
        </w:rPr>
        <w:fldChar w:fldCharType="separate"/>
      </w:r>
      <w:r w:rsidR="007F43D1">
        <w:rPr>
          <w:noProof/>
        </w:rPr>
        <w:t>46</w:t>
      </w:r>
      <w:r w:rsidRPr="00215418">
        <w:rPr>
          <w:noProof/>
        </w:rPr>
        <w:fldChar w:fldCharType="end"/>
      </w:r>
    </w:p>
    <w:p w14:paraId="56A645F3" w14:textId="4EDC187C" w:rsidR="009A67B5" w:rsidRPr="00215418" w:rsidRDefault="009A67B5">
      <w:pPr>
        <w:pStyle w:val="TOC2"/>
        <w:tabs>
          <w:tab w:val="right" w:leader="dot" w:pos="9629"/>
        </w:tabs>
        <w:rPr>
          <w:rFonts w:eastAsiaTheme="minorEastAsia" w:cstheme="minorBidi"/>
          <w:i w:val="0"/>
          <w:iCs w:val="0"/>
          <w:noProof/>
          <w:kern w:val="2"/>
          <w:sz w:val="24"/>
          <w:szCs w:val="24"/>
          <w:lang w:eastAsia="en-GB"/>
          <w14:ligatures w14:val="standardContextual"/>
        </w:rPr>
      </w:pPr>
      <w:r w:rsidRPr="00215418">
        <w:rPr>
          <w:noProof/>
        </w:rPr>
        <w:t>CyberDrills in Bulgaria and Cyprus enhance cybersecurity readiness in countries and across regions</w:t>
      </w:r>
      <w:r w:rsidRPr="00215418">
        <w:rPr>
          <w:noProof/>
        </w:rPr>
        <w:tab/>
      </w:r>
      <w:r w:rsidRPr="00215418">
        <w:rPr>
          <w:noProof/>
        </w:rPr>
        <w:fldChar w:fldCharType="begin"/>
      </w:r>
      <w:r w:rsidRPr="00215418">
        <w:rPr>
          <w:noProof/>
        </w:rPr>
        <w:instrText xml:space="preserve"> PAGEREF _Toc188001402 \h </w:instrText>
      </w:r>
      <w:r w:rsidRPr="00215418">
        <w:rPr>
          <w:noProof/>
        </w:rPr>
      </w:r>
      <w:r w:rsidRPr="00215418">
        <w:rPr>
          <w:noProof/>
        </w:rPr>
        <w:fldChar w:fldCharType="separate"/>
      </w:r>
      <w:r w:rsidR="007F43D1">
        <w:rPr>
          <w:noProof/>
        </w:rPr>
        <w:t>46</w:t>
      </w:r>
      <w:r w:rsidRPr="00215418">
        <w:rPr>
          <w:noProof/>
        </w:rPr>
        <w:fldChar w:fldCharType="end"/>
      </w:r>
    </w:p>
    <w:p w14:paraId="43D65005" w14:textId="709E5239" w:rsidR="009A67B5" w:rsidRPr="00215418" w:rsidRDefault="009A67B5">
      <w:pPr>
        <w:pStyle w:val="TOC2"/>
        <w:tabs>
          <w:tab w:val="right" w:leader="dot" w:pos="9629"/>
        </w:tabs>
        <w:rPr>
          <w:rFonts w:eastAsiaTheme="minorEastAsia" w:cstheme="minorBidi"/>
          <w:i w:val="0"/>
          <w:iCs w:val="0"/>
          <w:noProof/>
          <w:kern w:val="2"/>
          <w:sz w:val="24"/>
          <w:szCs w:val="24"/>
          <w:lang w:eastAsia="en-GB"/>
          <w14:ligatures w14:val="standardContextual"/>
        </w:rPr>
      </w:pPr>
      <w:r w:rsidRPr="00215418">
        <w:rPr>
          <w:noProof/>
        </w:rPr>
        <w:t>Supporting broadband mapping systems in Albania, Bosnia and Herzegovina, and Moldova</w:t>
      </w:r>
      <w:r w:rsidRPr="00215418">
        <w:rPr>
          <w:noProof/>
        </w:rPr>
        <w:tab/>
      </w:r>
      <w:r w:rsidRPr="00215418">
        <w:rPr>
          <w:noProof/>
        </w:rPr>
        <w:fldChar w:fldCharType="begin"/>
      </w:r>
      <w:r w:rsidRPr="00215418">
        <w:rPr>
          <w:noProof/>
        </w:rPr>
        <w:instrText xml:space="preserve"> PAGEREF _Toc188001403 \h </w:instrText>
      </w:r>
      <w:r w:rsidRPr="00215418">
        <w:rPr>
          <w:noProof/>
        </w:rPr>
      </w:r>
      <w:r w:rsidRPr="00215418">
        <w:rPr>
          <w:noProof/>
        </w:rPr>
        <w:fldChar w:fldCharType="separate"/>
      </w:r>
      <w:r w:rsidR="007F43D1">
        <w:rPr>
          <w:noProof/>
        </w:rPr>
        <w:t>47</w:t>
      </w:r>
      <w:r w:rsidRPr="00215418">
        <w:rPr>
          <w:noProof/>
        </w:rPr>
        <w:fldChar w:fldCharType="end"/>
      </w:r>
    </w:p>
    <w:p w14:paraId="0FC8BA5E" w14:textId="1D916BD9" w:rsidR="009A67B5" w:rsidRPr="00215418" w:rsidRDefault="009A67B5">
      <w:pPr>
        <w:pStyle w:val="TOC1"/>
        <w:tabs>
          <w:tab w:val="right" w:leader="dot" w:pos="9629"/>
        </w:tabs>
        <w:rPr>
          <w:rFonts w:eastAsiaTheme="minorEastAsia" w:cstheme="minorBidi"/>
          <w:b w:val="0"/>
          <w:bCs w:val="0"/>
          <w:noProof/>
          <w:kern w:val="2"/>
          <w:sz w:val="24"/>
          <w:szCs w:val="24"/>
          <w:lang w:eastAsia="en-GB"/>
          <w14:ligatures w14:val="standardContextual"/>
        </w:rPr>
      </w:pPr>
      <w:r w:rsidRPr="00215418">
        <w:rPr>
          <w:noProof/>
        </w:rPr>
        <w:t>Annex: Data resources</w:t>
      </w:r>
      <w:r w:rsidRPr="00215418">
        <w:rPr>
          <w:noProof/>
        </w:rPr>
        <w:tab/>
      </w:r>
      <w:r w:rsidRPr="00215418">
        <w:rPr>
          <w:noProof/>
        </w:rPr>
        <w:fldChar w:fldCharType="begin"/>
      </w:r>
      <w:r w:rsidRPr="00215418">
        <w:rPr>
          <w:noProof/>
        </w:rPr>
        <w:instrText xml:space="preserve"> PAGEREF _Toc188001404 \h </w:instrText>
      </w:r>
      <w:r w:rsidRPr="00215418">
        <w:rPr>
          <w:noProof/>
        </w:rPr>
      </w:r>
      <w:r w:rsidRPr="00215418">
        <w:rPr>
          <w:noProof/>
        </w:rPr>
        <w:fldChar w:fldCharType="separate"/>
      </w:r>
      <w:r w:rsidR="007F43D1">
        <w:rPr>
          <w:noProof/>
        </w:rPr>
        <w:t>48</w:t>
      </w:r>
      <w:r w:rsidRPr="00215418">
        <w:rPr>
          <w:noProof/>
        </w:rPr>
        <w:fldChar w:fldCharType="end"/>
      </w:r>
    </w:p>
    <w:p w14:paraId="095B8632" w14:textId="58B57ED9" w:rsidR="00394A30" w:rsidRPr="00215418" w:rsidRDefault="00203A56" w:rsidP="00E22751">
      <w:pPr>
        <w:rPr>
          <w:rFonts w:eastAsia="Yu Gothic Light"/>
        </w:rPr>
      </w:pPr>
      <w:r w:rsidRPr="00215418">
        <w:rPr>
          <w:rFonts w:ascii="Aptos" w:eastAsia="Aptos" w:hAnsi="Aptos" w:cs="Arial"/>
          <w:kern w:val="2"/>
          <w:sz w:val="22"/>
          <w:szCs w:val="22"/>
          <w14:ligatures w14:val="standardContextual"/>
        </w:rPr>
        <w:fldChar w:fldCharType="end"/>
      </w:r>
    </w:p>
    <w:p w14:paraId="55E4843D" w14:textId="77777777" w:rsidR="00394A30" w:rsidRPr="00215418" w:rsidRDefault="00394A30">
      <w:pPr>
        <w:tabs>
          <w:tab w:val="clear" w:pos="794"/>
          <w:tab w:val="clear" w:pos="1191"/>
          <w:tab w:val="clear" w:pos="1588"/>
          <w:tab w:val="clear" w:pos="1985"/>
        </w:tabs>
        <w:overflowPunct/>
        <w:autoSpaceDE/>
        <w:autoSpaceDN/>
        <w:adjustRightInd/>
        <w:spacing w:before="0"/>
        <w:textAlignment w:val="auto"/>
        <w:rPr>
          <w:rFonts w:eastAsia="Yu Gothic Light"/>
        </w:rPr>
      </w:pPr>
      <w:r w:rsidRPr="00215418">
        <w:rPr>
          <w:rFonts w:eastAsia="Yu Gothic Light"/>
        </w:rPr>
        <w:br w:type="page"/>
      </w:r>
    </w:p>
    <w:p w14:paraId="503B6FEE" w14:textId="595F546D" w:rsidR="00A6778B" w:rsidRPr="00215418" w:rsidRDefault="006C41B5" w:rsidP="00554ABD">
      <w:pPr>
        <w:pStyle w:val="Parttitle0"/>
      </w:pPr>
      <w:bookmarkStart w:id="6" w:name="_Toc188001381"/>
      <w:r w:rsidRPr="00215418">
        <w:lastRenderedPageBreak/>
        <w:t>Introduction</w:t>
      </w:r>
    </w:p>
    <w:bookmarkEnd w:id="6"/>
    <w:p w14:paraId="1183AF85" w14:textId="5C870A24" w:rsidR="006C41B5" w:rsidRPr="00215418" w:rsidRDefault="006C41B5" w:rsidP="00A6778B">
      <w:pPr>
        <w:rPr>
          <w:rFonts w:ascii="Aptos" w:eastAsia="Yu Gothic Light" w:hAnsi="Aptos"/>
          <w:color w:val="0F4761"/>
          <w:kern w:val="2"/>
          <w:sz w:val="22"/>
          <w:szCs w:val="22"/>
          <w14:ligatures w14:val="standardContextual"/>
        </w:rPr>
      </w:pPr>
      <w:r w:rsidRPr="00215418">
        <w:rPr>
          <w:rFonts w:ascii="Aptos" w:eastAsia="Aptos" w:hAnsi="Aptos" w:cs="Arial"/>
          <w:kern w:val="2"/>
          <w:sz w:val="22"/>
          <w:szCs w:val="22"/>
          <w14:ligatures w14:val="standardContextual"/>
        </w:rPr>
        <w:t xml:space="preserve">The Regional Preparatory Meetings (RPMs) aim at engaging the membership in the preparations of the World Telecommunication Development Conference 2025 (WTDC-25). </w:t>
      </w:r>
      <w:r w:rsidR="00EC106A" w:rsidRPr="00215418">
        <w:rPr>
          <w:rFonts w:ascii="Aptos" w:eastAsia="Aptos" w:hAnsi="Aptos" w:cs="Arial"/>
          <w:kern w:val="2"/>
          <w:sz w:val="22"/>
          <w:szCs w:val="22"/>
          <w14:ligatures w14:val="standardContextual"/>
        </w:rPr>
        <w:t>P</w:t>
      </w:r>
      <w:r w:rsidRPr="00215418">
        <w:rPr>
          <w:rFonts w:ascii="Aptos" w:eastAsia="Aptos" w:hAnsi="Aptos" w:cs="Arial"/>
          <w:kern w:val="2"/>
          <w:sz w:val="22"/>
          <w:szCs w:val="22"/>
          <w14:ligatures w14:val="standardContextual"/>
        </w:rPr>
        <w:t xml:space="preserve">repared for the RPM </w:t>
      </w:r>
      <w:r w:rsidR="00666F22">
        <w:rPr>
          <w:rFonts w:ascii="Aptos" w:eastAsia="Aptos" w:hAnsi="Aptos" w:cs="Arial"/>
          <w:kern w:val="2"/>
          <w:sz w:val="22"/>
          <w:szCs w:val="22"/>
          <w14:ligatures w14:val="standardContextual"/>
        </w:rPr>
        <w:t xml:space="preserve">for </w:t>
      </w:r>
      <w:r w:rsidR="00445FA4">
        <w:rPr>
          <w:rFonts w:ascii="Aptos" w:eastAsia="Aptos" w:hAnsi="Aptos" w:cs="Arial"/>
          <w:kern w:val="2"/>
          <w:sz w:val="22"/>
          <w:szCs w:val="22"/>
          <w14:ligatures w14:val="standardContextual"/>
        </w:rPr>
        <w:t xml:space="preserve">the </w:t>
      </w:r>
      <w:r w:rsidR="00CF6D86" w:rsidRPr="00215418">
        <w:rPr>
          <w:rFonts w:ascii="Aptos" w:eastAsia="Aptos" w:hAnsi="Aptos" w:cs="Arial"/>
          <w:kern w:val="2"/>
          <w:sz w:val="22"/>
          <w:szCs w:val="22"/>
          <w14:ligatures w14:val="standardContextual"/>
        </w:rPr>
        <w:t>Europe</w:t>
      </w:r>
      <w:r w:rsidRPr="00215418">
        <w:rPr>
          <w:rFonts w:ascii="Aptos" w:eastAsia="Aptos" w:hAnsi="Aptos" w:cs="Arial"/>
          <w:kern w:val="2"/>
          <w:sz w:val="22"/>
          <w:szCs w:val="22"/>
          <w14:ligatures w14:val="standardContextual"/>
        </w:rPr>
        <w:t xml:space="preserve"> </w:t>
      </w:r>
      <w:r w:rsidR="00445FA4">
        <w:rPr>
          <w:rFonts w:ascii="Aptos" w:eastAsia="Aptos" w:hAnsi="Aptos" w:cs="Arial"/>
          <w:kern w:val="2"/>
          <w:sz w:val="22"/>
          <w:szCs w:val="22"/>
          <w14:ligatures w14:val="standardContextual"/>
        </w:rPr>
        <w:t xml:space="preserve">region </w:t>
      </w:r>
      <w:r w:rsidRPr="00215418">
        <w:rPr>
          <w:rFonts w:ascii="Aptos" w:eastAsia="Aptos" w:hAnsi="Aptos" w:cs="Arial"/>
          <w:kern w:val="2"/>
          <w:sz w:val="22"/>
          <w:szCs w:val="22"/>
          <w14:ligatures w14:val="standardContextual"/>
        </w:rPr>
        <w:t xml:space="preserve">on </w:t>
      </w:r>
      <w:r w:rsidR="00CF6D86" w:rsidRPr="00215418">
        <w:rPr>
          <w:rFonts w:ascii="Aptos" w:eastAsia="Aptos" w:hAnsi="Aptos" w:cs="Arial"/>
          <w:kern w:val="2"/>
          <w:sz w:val="22"/>
          <w:szCs w:val="22"/>
          <w14:ligatures w14:val="standardContextual"/>
        </w:rPr>
        <w:t>25</w:t>
      </w:r>
      <w:r w:rsidRPr="00215418">
        <w:rPr>
          <w:rFonts w:ascii="Aptos" w:eastAsia="Aptos" w:hAnsi="Aptos" w:cs="Arial"/>
          <w:kern w:val="2"/>
          <w:sz w:val="22"/>
          <w:szCs w:val="22"/>
          <w14:ligatures w14:val="standardContextual"/>
        </w:rPr>
        <w:t>-</w:t>
      </w:r>
      <w:r w:rsidR="00CF6D86" w:rsidRPr="00215418">
        <w:rPr>
          <w:rFonts w:ascii="Aptos" w:eastAsia="Aptos" w:hAnsi="Aptos" w:cs="Arial"/>
          <w:kern w:val="2"/>
          <w:sz w:val="22"/>
          <w:szCs w:val="22"/>
          <w14:ligatures w14:val="standardContextual"/>
        </w:rPr>
        <w:t>26</w:t>
      </w:r>
      <w:r w:rsidRPr="00215418">
        <w:rPr>
          <w:rFonts w:ascii="Aptos" w:eastAsia="Aptos" w:hAnsi="Aptos" w:cs="Arial"/>
          <w:kern w:val="2"/>
          <w:sz w:val="22"/>
          <w:szCs w:val="22"/>
          <w14:ligatures w14:val="standardContextual"/>
        </w:rPr>
        <w:t xml:space="preserve"> February 2025, </w:t>
      </w:r>
      <w:r w:rsidR="00EC106A" w:rsidRPr="00215418">
        <w:rPr>
          <w:rFonts w:ascii="Aptos" w:eastAsia="Aptos" w:hAnsi="Aptos" w:cs="Arial"/>
          <w:kern w:val="2"/>
          <w:sz w:val="22"/>
          <w:szCs w:val="22"/>
          <w14:ligatures w14:val="standardContextual"/>
        </w:rPr>
        <w:t xml:space="preserve">this document </w:t>
      </w:r>
      <w:r w:rsidRPr="00215418">
        <w:rPr>
          <w:rFonts w:ascii="Aptos" w:eastAsia="Aptos" w:hAnsi="Aptos" w:cs="Arial"/>
          <w:kern w:val="2"/>
          <w:sz w:val="22"/>
          <w:szCs w:val="22"/>
          <w14:ligatures w14:val="standardContextual"/>
        </w:rPr>
        <w:t xml:space="preserve">seeks to inform participants and stakeholders as they </w:t>
      </w:r>
      <w:r w:rsidR="0089146F" w:rsidRPr="00215418">
        <w:rPr>
          <w:rFonts w:ascii="Aptos" w:eastAsia="Aptos" w:hAnsi="Aptos" w:cs="Arial"/>
          <w:kern w:val="2"/>
          <w:sz w:val="22"/>
          <w:szCs w:val="22"/>
          <w14:ligatures w14:val="standardContextual"/>
        </w:rPr>
        <w:t xml:space="preserve">discuss </w:t>
      </w:r>
      <w:r w:rsidRPr="00215418">
        <w:rPr>
          <w:rFonts w:ascii="Aptos" w:eastAsia="Aptos" w:hAnsi="Aptos" w:cs="Arial"/>
          <w:kern w:val="2"/>
          <w:sz w:val="22"/>
          <w:szCs w:val="22"/>
          <w14:ligatures w14:val="standardContextual"/>
        </w:rPr>
        <w:t>the region’s digital agenda.</w:t>
      </w:r>
      <w:r w:rsidRPr="00215418">
        <w:rPr>
          <w:rFonts w:ascii="Aptos" w:eastAsia="Aptos" w:hAnsi="Aptos" w:cs="Arial"/>
          <w:kern w:val="2"/>
          <w:sz w:val="22"/>
          <w:szCs w:val="22"/>
          <w:vertAlign w:val="superscript"/>
          <w14:ligatures w14:val="standardContextual"/>
        </w:rPr>
        <w:footnoteReference w:id="2"/>
      </w:r>
      <w:r w:rsidRPr="00215418">
        <w:rPr>
          <w:rFonts w:ascii="Aptos" w:eastAsia="Aptos" w:hAnsi="Aptos" w:cs="Arial"/>
          <w:kern w:val="2"/>
          <w:sz w:val="22"/>
          <w:szCs w:val="22"/>
          <w14:ligatures w14:val="standardContextual"/>
        </w:rPr>
        <w:t xml:space="preserve"> </w:t>
      </w:r>
      <w:r w:rsidR="00722F24" w:rsidRPr="00215418">
        <w:rPr>
          <w:rFonts w:ascii="Aptos" w:eastAsia="Aptos" w:hAnsi="Aptos" w:cs="Arial"/>
          <w:kern w:val="2"/>
          <w:sz w:val="22"/>
          <w:szCs w:val="22"/>
          <w14:ligatures w14:val="standardContextual"/>
        </w:rPr>
        <w:t xml:space="preserve">The document consists of </w:t>
      </w:r>
      <w:r w:rsidRPr="00215418">
        <w:rPr>
          <w:rFonts w:ascii="Aptos" w:eastAsia="Aptos" w:hAnsi="Aptos" w:cs="Arial"/>
          <w:kern w:val="2"/>
          <w:sz w:val="22"/>
          <w:szCs w:val="22"/>
          <w14:ligatures w14:val="standardContextual"/>
        </w:rPr>
        <w:t xml:space="preserve">two parts: the first provides an overview of the state of digital connectivity in </w:t>
      </w:r>
      <w:r w:rsidR="005C04DE" w:rsidRPr="00215418">
        <w:rPr>
          <w:rFonts w:ascii="Aptos" w:eastAsia="Aptos" w:hAnsi="Aptos" w:cs="Arial"/>
          <w:kern w:val="2"/>
          <w:sz w:val="22"/>
          <w:szCs w:val="22"/>
          <w14:ligatures w14:val="standardContextual"/>
        </w:rPr>
        <w:t xml:space="preserve">Europe </w:t>
      </w:r>
      <w:r w:rsidRPr="00215418">
        <w:rPr>
          <w:rFonts w:ascii="Aptos" w:eastAsia="Aptos" w:hAnsi="Aptos" w:cs="Arial"/>
          <w:kern w:val="2"/>
          <w:sz w:val="22"/>
          <w:szCs w:val="22"/>
          <w14:ligatures w14:val="standardContextual"/>
        </w:rPr>
        <w:t xml:space="preserve">through key indicators, and the second </w:t>
      </w:r>
      <w:r w:rsidR="005867B4" w:rsidRPr="00215418">
        <w:rPr>
          <w:rFonts w:ascii="Aptos" w:eastAsia="Aptos" w:hAnsi="Aptos" w:cs="Arial"/>
          <w:kern w:val="2"/>
          <w:sz w:val="22"/>
          <w:szCs w:val="22"/>
          <w14:ligatures w14:val="standardContextual"/>
        </w:rPr>
        <w:t xml:space="preserve">showcases </w:t>
      </w:r>
      <w:r w:rsidRPr="00215418">
        <w:rPr>
          <w:rFonts w:ascii="Aptos" w:eastAsia="Aptos" w:hAnsi="Aptos" w:cs="Arial"/>
          <w:kern w:val="2"/>
          <w:sz w:val="22"/>
          <w:szCs w:val="22"/>
          <w14:ligatures w14:val="standardContextual"/>
        </w:rPr>
        <w:t>impactful case studies from the region.</w:t>
      </w:r>
    </w:p>
    <w:p w14:paraId="3254CFE7" w14:textId="11770B74" w:rsidR="005878EB" w:rsidRPr="00215418" w:rsidRDefault="00C57355" w:rsidP="005878EB">
      <w:pPr>
        <w:rPr>
          <w:rFonts w:ascii="Aptos" w:eastAsia="Aptos" w:hAnsi="Aptos" w:cs="Arial"/>
          <w:kern w:val="2"/>
          <w:sz w:val="22"/>
          <w:szCs w:val="22"/>
          <w14:ligatures w14:val="standardContextual"/>
        </w:rPr>
      </w:pPr>
      <w:r w:rsidRPr="00215418">
        <w:rPr>
          <w:rFonts w:ascii="Aptos" w:hAnsi="Aptos"/>
          <w:b/>
          <w:bCs/>
          <w:sz w:val="22"/>
          <w:szCs w:val="22"/>
        </w:rPr>
        <w:t xml:space="preserve">Universal and meaningful connectivity </w:t>
      </w:r>
      <w:r w:rsidR="00F53880" w:rsidRPr="00215418">
        <w:rPr>
          <w:rFonts w:ascii="Aptos" w:hAnsi="Aptos"/>
          <w:b/>
          <w:bCs/>
          <w:sz w:val="22"/>
          <w:szCs w:val="22"/>
        </w:rPr>
        <w:t xml:space="preserve">is a policy imperative. </w:t>
      </w:r>
      <w:r w:rsidRPr="00215418">
        <w:rPr>
          <w:rFonts w:ascii="Aptos" w:hAnsi="Aptos"/>
          <w:sz w:val="22"/>
          <w:szCs w:val="22"/>
        </w:rPr>
        <w:t xml:space="preserve">The concept of universal and meaningful connectivity (UMC) has emerged as a </w:t>
      </w:r>
      <w:r w:rsidR="00F53880" w:rsidRPr="00215418">
        <w:rPr>
          <w:rFonts w:ascii="Aptos" w:hAnsi="Aptos"/>
          <w:sz w:val="22"/>
          <w:szCs w:val="22"/>
        </w:rPr>
        <w:t xml:space="preserve">vital </w:t>
      </w:r>
      <w:r w:rsidRPr="00215418">
        <w:rPr>
          <w:rFonts w:ascii="Aptos" w:hAnsi="Aptos"/>
          <w:sz w:val="22"/>
          <w:szCs w:val="22"/>
        </w:rPr>
        <w:t xml:space="preserve">policy objective. UMC is defined as enabling everyone to enjoy a safe, enriching, and productive online experience at an affordable cost. </w:t>
      </w:r>
      <w:r w:rsidRPr="00215418">
        <w:rPr>
          <w:rFonts w:ascii="Aptos" w:hAnsi="Aptos"/>
          <w:sz w:val="22"/>
          <w:szCs w:val="22"/>
          <w:lang w:eastAsia="en-GB"/>
        </w:rPr>
        <w:t>UMC does not mean everyone must be connected all the time</w:t>
      </w:r>
      <w:r w:rsidR="00DB098C" w:rsidRPr="00215418">
        <w:rPr>
          <w:rFonts w:ascii="Aptos" w:hAnsi="Aptos"/>
          <w:sz w:val="22"/>
          <w:szCs w:val="22"/>
          <w:lang w:eastAsia="en-GB"/>
        </w:rPr>
        <w:t xml:space="preserve"> </w:t>
      </w:r>
      <w:r w:rsidR="00FA74B7" w:rsidRPr="00215418">
        <w:rPr>
          <w:rFonts w:ascii="Aptos" w:hAnsi="Aptos"/>
          <w:sz w:val="22"/>
          <w:szCs w:val="22"/>
          <w:lang w:eastAsia="en-GB"/>
        </w:rPr>
        <w:t xml:space="preserve">but describes </w:t>
      </w:r>
      <w:r w:rsidRPr="00215418">
        <w:rPr>
          <w:rFonts w:ascii="Aptos" w:hAnsi="Aptos"/>
          <w:sz w:val="22"/>
          <w:szCs w:val="22"/>
          <w:lang w:eastAsia="en-GB"/>
        </w:rPr>
        <w:t xml:space="preserve">a situation where </w:t>
      </w:r>
      <w:r w:rsidRPr="00215418">
        <w:rPr>
          <w:rFonts w:ascii="Aptos" w:hAnsi="Aptos"/>
          <w:sz w:val="22"/>
          <w:szCs w:val="22"/>
        </w:rPr>
        <w:t>everyone can access the Internet optimally and affordably whenever and wherever needed</w:t>
      </w:r>
      <w:r w:rsidRPr="00215418">
        <w:rPr>
          <w:rFonts w:ascii="Aptos" w:hAnsi="Aptos"/>
          <w:sz w:val="22"/>
          <w:szCs w:val="22"/>
          <w:lang w:eastAsia="en-GB"/>
        </w:rPr>
        <w:t>.</w:t>
      </w:r>
      <w:r w:rsidR="005A13AC" w:rsidRPr="00215418">
        <w:rPr>
          <w:rFonts w:ascii="Aptos" w:hAnsi="Aptos"/>
          <w:sz w:val="22"/>
          <w:szCs w:val="22"/>
          <w:lang w:eastAsia="en-GB"/>
        </w:rPr>
        <w:t xml:space="preserve"> </w:t>
      </w:r>
      <w:r w:rsidR="005878EB" w:rsidRPr="00215418">
        <w:rPr>
          <w:rFonts w:ascii="Aptos" w:hAnsi="Aptos"/>
          <w:sz w:val="22"/>
          <w:szCs w:val="22"/>
          <w:lang w:eastAsia="en-GB"/>
        </w:rPr>
        <w:t xml:space="preserve">In the journey towards UMC, Europe is leading the way, having </w:t>
      </w:r>
      <w:r w:rsidR="00624B02" w:rsidRPr="00215418">
        <w:rPr>
          <w:rFonts w:ascii="Aptos" w:hAnsi="Aptos"/>
          <w:sz w:val="22"/>
          <w:szCs w:val="22"/>
          <w:lang w:eastAsia="en-GB"/>
        </w:rPr>
        <w:t>achieved universal broadband access</w:t>
      </w:r>
      <w:r w:rsidR="006A7BF7" w:rsidRPr="00215418">
        <w:rPr>
          <w:rFonts w:ascii="Aptos" w:hAnsi="Aptos"/>
          <w:sz w:val="22"/>
          <w:szCs w:val="22"/>
          <w:lang w:eastAsia="en-GB"/>
        </w:rPr>
        <w:t xml:space="preserve">, </w:t>
      </w:r>
      <w:r w:rsidR="005878EB" w:rsidRPr="00215418">
        <w:rPr>
          <w:rFonts w:ascii="Aptos" w:hAnsi="Aptos"/>
          <w:sz w:val="22"/>
          <w:szCs w:val="22"/>
          <w:lang w:eastAsia="en-GB"/>
        </w:rPr>
        <w:t>bridged or considerably narrowed digital divides across generations, locations and genders</w:t>
      </w:r>
      <w:r w:rsidR="002C7B02" w:rsidRPr="00215418">
        <w:rPr>
          <w:rFonts w:ascii="Aptos" w:hAnsi="Aptos"/>
          <w:sz w:val="22"/>
          <w:szCs w:val="22"/>
          <w:lang w:eastAsia="en-GB"/>
        </w:rPr>
        <w:t xml:space="preserve">. </w:t>
      </w:r>
    </w:p>
    <w:p w14:paraId="21F61B8E" w14:textId="76FCCB8E" w:rsidR="00E039E5" w:rsidRPr="00215418" w:rsidRDefault="00D8016F" w:rsidP="00E039E5">
      <w:pPr>
        <w:rPr>
          <w:rFonts w:ascii="Aptos" w:eastAsia="Aptos" w:hAnsi="Aptos" w:cs="Arial"/>
          <w:kern w:val="2"/>
          <w:sz w:val="22"/>
          <w:szCs w:val="22"/>
          <w14:ligatures w14:val="standardContextual"/>
        </w:rPr>
      </w:pPr>
      <w:r w:rsidRPr="00215418">
        <w:rPr>
          <w:rFonts w:ascii="Aptos" w:eastAsia="Aptos" w:hAnsi="Aptos" w:cs="Arial"/>
          <w:b/>
          <w:bCs/>
          <w:kern w:val="2"/>
          <w:sz w:val="22"/>
          <w:szCs w:val="22"/>
          <w14:ligatures w14:val="standardContextual"/>
        </w:rPr>
        <w:t xml:space="preserve">Europe is a global leader in </w:t>
      </w:r>
      <w:r w:rsidR="00A81464" w:rsidRPr="00215418">
        <w:rPr>
          <w:rFonts w:ascii="Aptos" w:eastAsia="Aptos" w:hAnsi="Aptos" w:cs="Arial"/>
          <w:b/>
          <w:bCs/>
          <w:kern w:val="2"/>
          <w:sz w:val="22"/>
          <w:szCs w:val="22"/>
          <w14:ligatures w14:val="standardContextual"/>
        </w:rPr>
        <w:t xml:space="preserve">regulation for </w:t>
      </w:r>
      <w:r w:rsidRPr="00215418">
        <w:rPr>
          <w:rFonts w:ascii="Aptos" w:eastAsia="Aptos" w:hAnsi="Aptos" w:cs="Arial"/>
          <w:b/>
          <w:bCs/>
          <w:kern w:val="2"/>
          <w:sz w:val="22"/>
          <w:szCs w:val="22"/>
          <w14:ligatures w14:val="standardContextual"/>
        </w:rPr>
        <w:t>digital transformation.</w:t>
      </w:r>
      <w:r w:rsidR="00B32C4B" w:rsidRPr="00215418">
        <w:rPr>
          <w:rFonts w:ascii="Aptos" w:eastAsia="Aptos" w:hAnsi="Aptos" w:cs="Arial"/>
          <w:b/>
          <w:bCs/>
          <w:kern w:val="2"/>
          <w:sz w:val="22"/>
          <w:szCs w:val="22"/>
          <w14:ligatures w14:val="standardContextual"/>
        </w:rPr>
        <w:t xml:space="preserve"> </w:t>
      </w:r>
      <w:r w:rsidRPr="00215418">
        <w:rPr>
          <w:rFonts w:ascii="Aptos" w:eastAsia="Aptos" w:hAnsi="Aptos" w:cs="Arial"/>
          <w:kern w:val="2"/>
          <w:sz w:val="22"/>
          <w:szCs w:val="22"/>
          <w14:ligatures w14:val="standardContextual"/>
        </w:rPr>
        <w:t xml:space="preserve">Europe </w:t>
      </w:r>
      <w:r w:rsidR="00BC0BB8" w:rsidRPr="00215418">
        <w:rPr>
          <w:rFonts w:ascii="Aptos" w:eastAsia="Aptos" w:hAnsi="Aptos" w:cs="Arial"/>
          <w:kern w:val="2"/>
          <w:sz w:val="22"/>
          <w:szCs w:val="22"/>
          <w14:ligatures w14:val="standardContextual"/>
        </w:rPr>
        <w:t xml:space="preserve">boasts </w:t>
      </w:r>
      <w:r w:rsidRPr="00215418">
        <w:rPr>
          <w:rFonts w:ascii="Aptos" w:eastAsia="Aptos" w:hAnsi="Aptos" w:cs="Arial"/>
          <w:kern w:val="2"/>
          <w:sz w:val="22"/>
          <w:szCs w:val="22"/>
          <w14:ligatures w14:val="standardContextual"/>
        </w:rPr>
        <w:t>strong ICT regulatory frameworks and cohesive policy initiatives. Since the 1990s, the region has led significant telecommunications reforms, harmonizing regulatory approaches to foster competition, innovation, and digital inclusion. The European Union’s unified digital framework, exemplified by initiatives such as the Digital Decade, has further enhanced the region’s position as a global leader in ICT governance. However, despite these achievements, challenges</w:t>
      </w:r>
      <w:r w:rsidR="00844519" w:rsidRPr="00215418">
        <w:rPr>
          <w:rFonts w:ascii="Aptos" w:eastAsia="Aptos" w:hAnsi="Aptos" w:cs="Arial"/>
          <w:kern w:val="2"/>
          <w:sz w:val="22"/>
          <w:szCs w:val="22"/>
          <w14:ligatures w14:val="standardContextual"/>
        </w:rPr>
        <w:t xml:space="preserve"> remain</w:t>
      </w:r>
      <w:r w:rsidRPr="00215418">
        <w:rPr>
          <w:rFonts w:ascii="Aptos" w:eastAsia="Aptos" w:hAnsi="Aptos" w:cs="Arial"/>
          <w:kern w:val="2"/>
          <w:sz w:val="22"/>
          <w:szCs w:val="22"/>
          <w14:ligatures w14:val="standardContextual"/>
        </w:rPr>
        <w:t xml:space="preserve">. Disparities in digital </w:t>
      </w:r>
      <w:r w:rsidR="00B66DD1" w:rsidRPr="00215418">
        <w:rPr>
          <w:rFonts w:ascii="Aptos" w:eastAsia="Aptos" w:hAnsi="Aptos" w:cs="Arial"/>
          <w:kern w:val="2"/>
          <w:sz w:val="22"/>
          <w:szCs w:val="22"/>
          <w14:ligatures w14:val="standardContextual"/>
        </w:rPr>
        <w:t xml:space="preserve">access </w:t>
      </w:r>
      <w:r w:rsidRPr="00215418">
        <w:rPr>
          <w:rFonts w:ascii="Aptos" w:eastAsia="Aptos" w:hAnsi="Aptos" w:cs="Arial"/>
          <w:kern w:val="2"/>
          <w:sz w:val="22"/>
          <w:szCs w:val="22"/>
          <w14:ligatures w14:val="standardContextual"/>
        </w:rPr>
        <w:t xml:space="preserve">and </w:t>
      </w:r>
      <w:r w:rsidR="00B66DD1" w:rsidRPr="00215418">
        <w:rPr>
          <w:rFonts w:ascii="Aptos" w:eastAsia="Aptos" w:hAnsi="Aptos" w:cs="Arial"/>
          <w:kern w:val="2"/>
          <w:sz w:val="22"/>
          <w:szCs w:val="22"/>
          <w14:ligatures w14:val="standardContextual"/>
        </w:rPr>
        <w:t xml:space="preserve">use </w:t>
      </w:r>
      <w:r w:rsidRPr="00215418">
        <w:rPr>
          <w:rFonts w:ascii="Aptos" w:eastAsia="Aptos" w:hAnsi="Aptos" w:cs="Arial"/>
          <w:kern w:val="2"/>
          <w:sz w:val="22"/>
          <w:szCs w:val="22"/>
          <w14:ligatures w14:val="standardContextual"/>
        </w:rPr>
        <w:t xml:space="preserve">persist between EU Single Market </w:t>
      </w:r>
      <w:r w:rsidR="002C0D84" w:rsidRPr="00215418">
        <w:rPr>
          <w:rFonts w:ascii="Aptos" w:eastAsia="Aptos" w:hAnsi="Aptos" w:cs="Arial"/>
          <w:kern w:val="2"/>
          <w:sz w:val="22"/>
          <w:szCs w:val="22"/>
          <w14:ligatures w14:val="standardContextual"/>
        </w:rPr>
        <w:t xml:space="preserve">countries </w:t>
      </w:r>
      <w:r w:rsidR="00706620" w:rsidRPr="00215418">
        <w:rPr>
          <w:rFonts w:ascii="Aptos" w:eastAsia="Aptos" w:hAnsi="Aptos" w:cs="Arial"/>
          <w:kern w:val="2"/>
          <w:sz w:val="22"/>
          <w:szCs w:val="22"/>
          <w14:ligatures w14:val="standardContextual"/>
        </w:rPr>
        <w:t xml:space="preserve">and </w:t>
      </w:r>
      <w:r w:rsidR="002C0D84" w:rsidRPr="00215418">
        <w:rPr>
          <w:rFonts w:ascii="Aptos" w:eastAsia="Aptos" w:hAnsi="Aptos" w:cs="Arial"/>
          <w:kern w:val="2"/>
          <w:sz w:val="22"/>
          <w:szCs w:val="22"/>
          <w14:ligatures w14:val="standardContextual"/>
        </w:rPr>
        <w:t>other countries in the region</w:t>
      </w:r>
      <w:r w:rsidRPr="00215418">
        <w:rPr>
          <w:rFonts w:ascii="Aptos" w:eastAsia="Aptos" w:hAnsi="Aptos" w:cs="Arial"/>
          <w:kern w:val="2"/>
          <w:sz w:val="22"/>
          <w:szCs w:val="22"/>
          <w14:ligatures w14:val="standardContextual"/>
        </w:rPr>
        <w:t>, underscoring the need for targeted policies and greater collaboration.</w:t>
      </w:r>
    </w:p>
    <w:p w14:paraId="14688C5B" w14:textId="7B296268" w:rsidR="00E039E5" w:rsidRPr="00215418" w:rsidRDefault="00D8016F" w:rsidP="00E039E5">
      <w:pPr>
        <w:rPr>
          <w:rFonts w:ascii="Aptos" w:eastAsia="Aptos" w:hAnsi="Aptos" w:cs="Arial"/>
          <w:kern w:val="2"/>
          <w:sz w:val="22"/>
          <w:szCs w:val="22"/>
          <w14:ligatures w14:val="standardContextual"/>
        </w:rPr>
      </w:pPr>
      <w:r w:rsidRPr="00215418">
        <w:rPr>
          <w:rFonts w:ascii="Aptos" w:eastAsia="Aptos" w:hAnsi="Aptos" w:cs="Arial"/>
          <w:b/>
          <w:bCs/>
          <w:kern w:val="2"/>
          <w:sz w:val="22"/>
          <w:szCs w:val="22"/>
          <w14:ligatures w14:val="standardContextual"/>
        </w:rPr>
        <w:t>Europe boasts high levels of connectivity.</w:t>
      </w:r>
      <w:r w:rsidR="00AD4D3C" w:rsidRPr="00215418">
        <w:rPr>
          <w:rFonts w:ascii="Aptos" w:eastAsia="Aptos" w:hAnsi="Aptos" w:cs="Arial"/>
          <w:b/>
          <w:bCs/>
          <w:kern w:val="2"/>
          <w:sz w:val="22"/>
          <w:szCs w:val="22"/>
          <w14:ligatures w14:val="standardContextual"/>
        </w:rPr>
        <w:t xml:space="preserve"> </w:t>
      </w:r>
      <w:r w:rsidRPr="00215418">
        <w:rPr>
          <w:rFonts w:ascii="Aptos" w:eastAsia="Aptos" w:hAnsi="Aptos" w:cs="Arial"/>
          <w:kern w:val="2"/>
          <w:sz w:val="22"/>
          <w:szCs w:val="22"/>
          <w14:ligatures w14:val="standardContextual"/>
        </w:rPr>
        <w:t>The region’s digital connectivity landscape reflects its successes and remaining challenges. Europe boasts high levels of Internet usage, with 91</w:t>
      </w:r>
      <w:r w:rsidR="00057015" w:rsidRPr="00215418">
        <w:rPr>
          <w:rFonts w:ascii="Aptos" w:eastAsia="Aptos" w:hAnsi="Aptos" w:cs="Arial"/>
          <w:kern w:val="2"/>
          <w:sz w:val="22"/>
          <w:szCs w:val="22"/>
          <w14:ligatures w14:val="standardContextual"/>
        </w:rPr>
        <w:t xml:space="preserve"> per cent </w:t>
      </w:r>
      <w:r w:rsidRPr="00215418">
        <w:rPr>
          <w:rFonts w:ascii="Aptos" w:eastAsia="Aptos" w:hAnsi="Aptos" w:cs="Arial"/>
          <w:kern w:val="2"/>
          <w:sz w:val="22"/>
          <w:szCs w:val="22"/>
          <w14:ligatures w14:val="standardContextual"/>
        </w:rPr>
        <w:t xml:space="preserve">of </w:t>
      </w:r>
      <w:r w:rsidR="00057015" w:rsidRPr="00215418">
        <w:rPr>
          <w:rFonts w:ascii="Aptos" w:eastAsia="Aptos" w:hAnsi="Aptos" w:cs="Arial"/>
          <w:kern w:val="2"/>
          <w:sz w:val="22"/>
          <w:szCs w:val="22"/>
          <w14:ligatures w14:val="standardContextual"/>
        </w:rPr>
        <w:t xml:space="preserve">the population </w:t>
      </w:r>
      <w:r w:rsidR="00CC6ED1" w:rsidRPr="00215418">
        <w:rPr>
          <w:rFonts w:ascii="Aptos" w:eastAsia="Aptos" w:hAnsi="Aptos" w:cs="Arial"/>
          <w:kern w:val="2"/>
          <w:sz w:val="22"/>
          <w:szCs w:val="22"/>
          <w14:ligatures w14:val="standardContextual"/>
        </w:rPr>
        <w:t>using</w:t>
      </w:r>
      <w:r w:rsidR="0088080C" w:rsidRPr="00215418">
        <w:rPr>
          <w:rFonts w:ascii="Aptos" w:eastAsia="Aptos" w:hAnsi="Aptos" w:cs="Arial"/>
          <w:kern w:val="2"/>
          <w:sz w:val="22"/>
          <w:szCs w:val="22"/>
          <w14:ligatures w14:val="standardContextual"/>
        </w:rPr>
        <w:t xml:space="preserve"> the Internet in </w:t>
      </w:r>
      <w:r w:rsidRPr="00215418">
        <w:rPr>
          <w:rFonts w:ascii="Aptos" w:eastAsia="Aptos" w:hAnsi="Aptos" w:cs="Arial"/>
          <w:kern w:val="2"/>
          <w:sz w:val="22"/>
          <w:szCs w:val="22"/>
          <w14:ligatures w14:val="standardContextual"/>
        </w:rPr>
        <w:t>2024, far exceeding the global average of 68</w:t>
      </w:r>
      <w:r w:rsidR="0088080C" w:rsidRPr="00215418">
        <w:rPr>
          <w:rFonts w:ascii="Aptos" w:eastAsia="Aptos" w:hAnsi="Aptos" w:cs="Arial"/>
          <w:kern w:val="2"/>
          <w:sz w:val="22"/>
          <w:szCs w:val="22"/>
          <w14:ligatures w14:val="standardContextual"/>
        </w:rPr>
        <w:t xml:space="preserve"> per cent</w:t>
      </w:r>
      <w:r w:rsidRPr="00215418">
        <w:rPr>
          <w:rFonts w:ascii="Aptos" w:eastAsia="Aptos" w:hAnsi="Aptos" w:cs="Arial"/>
          <w:kern w:val="2"/>
          <w:sz w:val="22"/>
          <w:szCs w:val="22"/>
          <w14:ligatures w14:val="standardContextual"/>
        </w:rPr>
        <w:t xml:space="preserve">. The region has achieved gender parity in Internet </w:t>
      </w:r>
      <w:r w:rsidR="006110C5" w:rsidRPr="00215418">
        <w:rPr>
          <w:rFonts w:ascii="Aptos" w:eastAsia="Aptos" w:hAnsi="Aptos" w:cs="Arial"/>
          <w:kern w:val="2"/>
          <w:sz w:val="22"/>
          <w:szCs w:val="22"/>
          <w14:ligatures w14:val="standardContextual"/>
        </w:rPr>
        <w:t>use</w:t>
      </w:r>
      <w:r w:rsidRPr="00215418">
        <w:rPr>
          <w:rFonts w:ascii="Aptos" w:eastAsia="Aptos" w:hAnsi="Aptos" w:cs="Arial"/>
          <w:kern w:val="2"/>
          <w:sz w:val="22"/>
          <w:szCs w:val="22"/>
          <w14:ligatures w14:val="standardContextual"/>
        </w:rPr>
        <w:t>, with a near-equal proportion of men and women online. Mobile</w:t>
      </w:r>
      <w:r w:rsidR="003D4CCA" w:rsidRPr="00215418">
        <w:rPr>
          <w:rFonts w:ascii="Aptos" w:eastAsia="Aptos" w:hAnsi="Aptos" w:cs="Arial"/>
          <w:kern w:val="2"/>
          <w:sz w:val="22"/>
          <w:szCs w:val="22"/>
          <w14:ligatures w14:val="standardContextual"/>
        </w:rPr>
        <w:t>- and fixed-</w:t>
      </w:r>
      <w:r w:rsidRPr="00215418">
        <w:rPr>
          <w:rFonts w:ascii="Aptos" w:eastAsia="Aptos" w:hAnsi="Aptos" w:cs="Arial"/>
          <w:kern w:val="2"/>
          <w:sz w:val="22"/>
          <w:szCs w:val="22"/>
          <w14:ligatures w14:val="standardContextual"/>
        </w:rPr>
        <w:t xml:space="preserve">broadband subscriptions stand significantly above global averages. Mobile network coverage has also seen rapid expansion, with 5G networks </w:t>
      </w:r>
      <w:r w:rsidR="009935BE" w:rsidRPr="00215418">
        <w:rPr>
          <w:rFonts w:ascii="Aptos" w:eastAsia="Aptos" w:hAnsi="Aptos" w:cs="Arial"/>
          <w:kern w:val="2"/>
          <w:sz w:val="22"/>
          <w:szCs w:val="22"/>
          <w14:ligatures w14:val="standardContextual"/>
        </w:rPr>
        <w:t xml:space="preserve">already </w:t>
      </w:r>
      <w:r w:rsidRPr="00215418">
        <w:rPr>
          <w:rFonts w:ascii="Aptos" w:eastAsia="Aptos" w:hAnsi="Aptos" w:cs="Arial"/>
          <w:kern w:val="2"/>
          <w:sz w:val="22"/>
          <w:szCs w:val="22"/>
          <w14:ligatures w14:val="standardContextual"/>
        </w:rPr>
        <w:t>covering 7</w:t>
      </w:r>
      <w:r w:rsidR="009935BE" w:rsidRPr="00215418">
        <w:rPr>
          <w:rFonts w:ascii="Aptos" w:eastAsia="Aptos" w:hAnsi="Aptos" w:cs="Arial"/>
          <w:kern w:val="2"/>
          <w:sz w:val="22"/>
          <w:szCs w:val="22"/>
          <w14:ligatures w14:val="standardContextual"/>
        </w:rPr>
        <w:t xml:space="preserve">2 per cent </w:t>
      </w:r>
      <w:r w:rsidRPr="00215418">
        <w:rPr>
          <w:rFonts w:ascii="Aptos" w:eastAsia="Aptos" w:hAnsi="Aptos" w:cs="Arial"/>
          <w:kern w:val="2"/>
          <w:sz w:val="22"/>
          <w:szCs w:val="22"/>
          <w14:ligatures w14:val="standardContextual"/>
        </w:rPr>
        <w:t xml:space="preserve">of the population </w:t>
      </w:r>
      <w:r w:rsidR="00911F6F" w:rsidRPr="00215418">
        <w:rPr>
          <w:rFonts w:ascii="Aptos" w:eastAsia="Aptos" w:hAnsi="Aptos" w:cs="Arial"/>
          <w:kern w:val="2"/>
          <w:sz w:val="22"/>
          <w:szCs w:val="22"/>
          <w14:ligatures w14:val="standardContextual"/>
        </w:rPr>
        <w:t xml:space="preserve">as of </w:t>
      </w:r>
      <w:r w:rsidRPr="00215418">
        <w:rPr>
          <w:rFonts w:ascii="Aptos" w:eastAsia="Aptos" w:hAnsi="Aptos" w:cs="Arial"/>
          <w:kern w:val="2"/>
          <w:sz w:val="22"/>
          <w:szCs w:val="22"/>
          <w14:ligatures w14:val="standardContextual"/>
        </w:rPr>
        <w:t>2024. Yet, urban-rural divides persist, particularly in access to high-speed networks, underscoring the need for continued investment in rural areas.</w:t>
      </w:r>
    </w:p>
    <w:p w14:paraId="41DF8249" w14:textId="77777777" w:rsidR="00E039E5" w:rsidRPr="00215418" w:rsidRDefault="00D8016F" w:rsidP="00E039E5">
      <w:pPr>
        <w:rPr>
          <w:rFonts w:ascii="Aptos" w:eastAsia="Aptos" w:hAnsi="Aptos" w:cs="Arial"/>
          <w:kern w:val="2"/>
          <w:sz w:val="22"/>
          <w:szCs w:val="22"/>
          <w14:ligatures w14:val="standardContextual"/>
        </w:rPr>
      </w:pPr>
      <w:r w:rsidRPr="00215418">
        <w:rPr>
          <w:rFonts w:ascii="Aptos" w:eastAsia="Aptos" w:hAnsi="Aptos" w:cs="Arial"/>
          <w:b/>
          <w:bCs/>
          <w:kern w:val="2"/>
          <w:sz w:val="22"/>
          <w:szCs w:val="22"/>
          <w14:ligatures w14:val="standardContextual"/>
        </w:rPr>
        <w:t>Europe leads in broadband affordability, making connectivity accessible to all.</w:t>
      </w:r>
      <w:r w:rsidR="00DC3C27" w:rsidRPr="00215418">
        <w:rPr>
          <w:rFonts w:ascii="Aptos" w:eastAsia="Aptos" w:hAnsi="Aptos" w:cs="Arial"/>
          <w:kern w:val="2"/>
          <w:sz w:val="22"/>
          <w:szCs w:val="22"/>
          <w14:ligatures w14:val="standardContextual"/>
        </w:rPr>
        <w:t xml:space="preserve"> </w:t>
      </w:r>
      <w:r w:rsidRPr="00215418">
        <w:rPr>
          <w:rFonts w:ascii="Aptos" w:eastAsia="Aptos" w:hAnsi="Aptos" w:cs="Arial"/>
          <w:kern w:val="2"/>
          <w:sz w:val="22"/>
          <w:szCs w:val="22"/>
          <w14:ligatures w14:val="standardContextual"/>
        </w:rPr>
        <w:t>In terms of affordability, Europe stands out as the region with the most affordable broadband services globally. Entry-level mobile broadband services account for just 0.3</w:t>
      </w:r>
      <w:r w:rsidR="008703BE" w:rsidRPr="00215418">
        <w:rPr>
          <w:rFonts w:ascii="Aptos" w:eastAsia="Aptos" w:hAnsi="Aptos" w:cs="Arial"/>
          <w:kern w:val="2"/>
          <w:sz w:val="22"/>
          <w:szCs w:val="22"/>
          <w14:ligatures w14:val="standardContextual"/>
        </w:rPr>
        <w:t xml:space="preserve"> per cent</w:t>
      </w:r>
      <w:r w:rsidRPr="00215418">
        <w:rPr>
          <w:rFonts w:ascii="Aptos" w:eastAsia="Aptos" w:hAnsi="Aptos" w:cs="Arial"/>
          <w:kern w:val="2"/>
          <w:sz w:val="22"/>
          <w:szCs w:val="22"/>
          <w14:ligatures w14:val="standardContextual"/>
        </w:rPr>
        <w:t xml:space="preserve"> of gross national income (GNI) per capita, compared to a global average of 1.1</w:t>
      </w:r>
      <w:r w:rsidR="00785E0C" w:rsidRPr="00215418">
        <w:rPr>
          <w:rFonts w:ascii="Aptos" w:eastAsia="Aptos" w:hAnsi="Aptos" w:cs="Arial"/>
          <w:kern w:val="2"/>
          <w:sz w:val="22"/>
          <w:szCs w:val="22"/>
          <w14:ligatures w14:val="standardContextual"/>
        </w:rPr>
        <w:t xml:space="preserve"> per cent</w:t>
      </w:r>
      <w:r w:rsidRPr="00215418">
        <w:rPr>
          <w:rFonts w:ascii="Aptos" w:eastAsia="Aptos" w:hAnsi="Aptos" w:cs="Arial"/>
          <w:kern w:val="2"/>
          <w:sz w:val="22"/>
          <w:szCs w:val="22"/>
          <w14:ligatures w14:val="standardContextual"/>
        </w:rPr>
        <w:t>. Fixed broadband services, though costlier, remain affordable by international standards, with average costs below the United Nations Broadband Commission’s target of 2</w:t>
      </w:r>
      <w:r w:rsidR="00785E0C" w:rsidRPr="00215418">
        <w:rPr>
          <w:rFonts w:ascii="Aptos" w:eastAsia="Aptos" w:hAnsi="Aptos" w:cs="Arial"/>
          <w:kern w:val="2"/>
          <w:sz w:val="22"/>
          <w:szCs w:val="22"/>
          <w14:ligatures w14:val="standardContextual"/>
        </w:rPr>
        <w:t xml:space="preserve"> per cent </w:t>
      </w:r>
      <w:r w:rsidRPr="00215418">
        <w:rPr>
          <w:rFonts w:ascii="Aptos" w:eastAsia="Aptos" w:hAnsi="Aptos" w:cs="Arial"/>
          <w:kern w:val="2"/>
          <w:sz w:val="22"/>
          <w:szCs w:val="22"/>
          <w14:ligatures w14:val="standardContextual"/>
        </w:rPr>
        <w:t>of monthly GNI per capita.</w:t>
      </w:r>
    </w:p>
    <w:p w14:paraId="2834BDF6" w14:textId="4E852609" w:rsidR="00A87810" w:rsidRPr="00215418" w:rsidRDefault="00D8016F" w:rsidP="00E039E5">
      <w:pPr>
        <w:rPr>
          <w:rFonts w:ascii="Aptos" w:eastAsia="Aptos" w:hAnsi="Aptos" w:cs="Arial"/>
          <w:kern w:val="2"/>
          <w:sz w:val="22"/>
          <w:szCs w:val="22"/>
          <w14:ligatures w14:val="standardContextual"/>
        </w:rPr>
      </w:pPr>
      <w:r w:rsidRPr="00215418">
        <w:rPr>
          <w:rFonts w:ascii="Aptos" w:eastAsia="Aptos" w:hAnsi="Aptos" w:cs="Arial"/>
          <w:b/>
          <w:bCs/>
          <w:kern w:val="2"/>
          <w:sz w:val="22"/>
          <w:szCs w:val="22"/>
          <w14:ligatures w14:val="standardContextual"/>
        </w:rPr>
        <w:t xml:space="preserve">Cybersecurity </w:t>
      </w:r>
      <w:r w:rsidR="00FF1198" w:rsidRPr="00215418">
        <w:rPr>
          <w:rFonts w:ascii="Aptos" w:eastAsia="Aptos" w:hAnsi="Aptos" w:cs="Arial"/>
          <w:b/>
          <w:bCs/>
          <w:kern w:val="2"/>
          <w:sz w:val="22"/>
          <w:szCs w:val="22"/>
          <w14:ligatures w14:val="standardContextual"/>
        </w:rPr>
        <w:t xml:space="preserve">is a </w:t>
      </w:r>
      <w:r w:rsidRPr="00215418">
        <w:rPr>
          <w:rFonts w:ascii="Aptos" w:eastAsia="Aptos" w:hAnsi="Aptos" w:cs="Arial"/>
          <w:b/>
          <w:bCs/>
          <w:kern w:val="2"/>
          <w:sz w:val="22"/>
          <w:szCs w:val="22"/>
          <w14:ligatures w14:val="standardContextual"/>
        </w:rPr>
        <w:t>priorit</w:t>
      </w:r>
      <w:r w:rsidR="00FF1198" w:rsidRPr="00215418">
        <w:rPr>
          <w:rFonts w:ascii="Aptos" w:eastAsia="Aptos" w:hAnsi="Aptos" w:cs="Arial"/>
          <w:b/>
          <w:bCs/>
          <w:kern w:val="2"/>
          <w:sz w:val="22"/>
          <w:szCs w:val="22"/>
          <w14:ligatures w14:val="standardContextual"/>
        </w:rPr>
        <w:t xml:space="preserve">y </w:t>
      </w:r>
      <w:r w:rsidRPr="00215418">
        <w:rPr>
          <w:rFonts w:ascii="Aptos" w:eastAsia="Aptos" w:hAnsi="Aptos" w:cs="Arial"/>
          <w:b/>
          <w:bCs/>
          <w:kern w:val="2"/>
          <w:sz w:val="22"/>
          <w:szCs w:val="22"/>
          <w14:ligatures w14:val="standardContextual"/>
        </w:rPr>
        <w:t xml:space="preserve">for a </w:t>
      </w:r>
      <w:r w:rsidR="00330E20" w:rsidRPr="00215418">
        <w:rPr>
          <w:rFonts w:ascii="Aptos" w:eastAsia="Aptos" w:hAnsi="Aptos" w:cs="Arial"/>
          <w:b/>
          <w:bCs/>
          <w:kern w:val="2"/>
          <w:sz w:val="22"/>
          <w:szCs w:val="22"/>
          <w14:ligatures w14:val="standardContextual"/>
        </w:rPr>
        <w:t>digitally</w:t>
      </w:r>
      <w:r w:rsidR="0043740B" w:rsidRPr="00215418">
        <w:rPr>
          <w:rFonts w:ascii="Aptos" w:eastAsia="Aptos" w:hAnsi="Aptos" w:cs="Arial"/>
          <w:b/>
          <w:bCs/>
          <w:kern w:val="2"/>
          <w:sz w:val="22"/>
          <w:szCs w:val="22"/>
          <w14:ligatures w14:val="standardContextual"/>
        </w:rPr>
        <w:t xml:space="preserve"> </w:t>
      </w:r>
      <w:r w:rsidRPr="00215418">
        <w:rPr>
          <w:rFonts w:ascii="Aptos" w:eastAsia="Aptos" w:hAnsi="Aptos" w:cs="Arial"/>
          <w:b/>
          <w:bCs/>
          <w:kern w:val="2"/>
          <w:sz w:val="22"/>
          <w:szCs w:val="22"/>
          <w14:ligatures w14:val="standardContextual"/>
        </w:rPr>
        <w:t>secure future.</w:t>
      </w:r>
      <w:r w:rsidR="00981422" w:rsidRPr="00215418">
        <w:rPr>
          <w:rFonts w:ascii="Aptos" w:eastAsia="Aptos" w:hAnsi="Aptos" w:cs="Arial"/>
          <w:kern w:val="2"/>
          <w:sz w:val="22"/>
          <w:szCs w:val="22"/>
          <w14:ligatures w14:val="standardContextual"/>
        </w:rPr>
        <w:t xml:space="preserve"> </w:t>
      </w:r>
      <w:r w:rsidR="001A6910" w:rsidRPr="00215418">
        <w:rPr>
          <w:rFonts w:ascii="Aptos" w:eastAsia="Aptos" w:hAnsi="Aptos" w:cs="Arial"/>
          <w:kern w:val="2"/>
          <w:sz w:val="22"/>
          <w:szCs w:val="22"/>
          <w14:ligatures w14:val="standardContextual"/>
        </w:rPr>
        <w:t xml:space="preserve">Overall, </w:t>
      </w:r>
      <w:r w:rsidR="007834CA" w:rsidRPr="00215418">
        <w:rPr>
          <w:rFonts w:ascii="Aptos" w:eastAsia="Aptos" w:hAnsi="Aptos" w:cs="Arial"/>
          <w:kern w:val="2"/>
          <w:sz w:val="22"/>
          <w:szCs w:val="22"/>
          <w14:ligatures w14:val="standardContextual"/>
        </w:rPr>
        <w:t>European countries</w:t>
      </w:r>
      <w:r w:rsidR="002E2E1D" w:rsidRPr="00215418">
        <w:rPr>
          <w:rFonts w:ascii="Aptos" w:eastAsia="Aptos" w:hAnsi="Aptos" w:cs="Arial"/>
          <w:kern w:val="2"/>
          <w:sz w:val="22"/>
          <w:szCs w:val="22"/>
          <w14:ligatures w14:val="standardContextual"/>
        </w:rPr>
        <w:t xml:space="preserve"> </w:t>
      </w:r>
      <w:r w:rsidR="001A6910" w:rsidRPr="00215418">
        <w:rPr>
          <w:rFonts w:ascii="Aptos" w:eastAsia="Aptos" w:hAnsi="Aptos" w:cs="Arial"/>
          <w:kern w:val="2"/>
          <w:sz w:val="22"/>
          <w:szCs w:val="22"/>
          <w14:ligatures w14:val="standardContextual"/>
        </w:rPr>
        <w:t xml:space="preserve">exhibit strong commitment </w:t>
      </w:r>
      <w:r w:rsidR="002E2E1D" w:rsidRPr="00215418">
        <w:rPr>
          <w:rFonts w:ascii="Aptos" w:eastAsia="Aptos" w:hAnsi="Aptos" w:cs="Arial"/>
          <w:kern w:val="2"/>
          <w:sz w:val="22"/>
          <w:szCs w:val="22"/>
          <w14:ligatures w14:val="standardContextual"/>
        </w:rPr>
        <w:t xml:space="preserve">to cybersecurity, as reflected in the region’s </w:t>
      </w:r>
      <w:r w:rsidR="007834CA" w:rsidRPr="00215418">
        <w:rPr>
          <w:rFonts w:ascii="Aptos" w:eastAsia="Aptos" w:hAnsi="Aptos" w:cs="Arial"/>
          <w:kern w:val="2"/>
          <w:sz w:val="22"/>
          <w:szCs w:val="22"/>
          <w14:ligatures w14:val="standardContextual"/>
        </w:rPr>
        <w:t>average</w:t>
      </w:r>
      <w:r w:rsidR="002E2E1D" w:rsidRPr="00215418">
        <w:rPr>
          <w:rFonts w:ascii="Aptos" w:eastAsia="Aptos" w:hAnsi="Aptos" w:cs="Arial"/>
          <w:kern w:val="2"/>
          <w:sz w:val="22"/>
          <w:szCs w:val="22"/>
          <w14:ligatures w14:val="standardContextual"/>
        </w:rPr>
        <w:t xml:space="preserve"> score of 66 </w:t>
      </w:r>
      <w:r w:rsidR="001A6910" w:rsidRPr="00215418">
        <w:rPr>
          <w:rFonts w:ascii="Aptos" w:eastAsia="Aptos" w:hAnsi="Aptos" w:cs="Arial"/>
          <w:kern w:val="2"/>
          <w:sz w:val="22"/>
          <w:szCs w:val="22"/>
          <w14:ligatures w14:val="standardContextual"/>
        </w:rPr>
        <w:t xml:space="preserve">out of 100 </w:t>
      </w:r>
      <w:r w:rsidR="002E2E1D" w:rsidRPr="00215418">
        <w:rPr>
          <w:rFonts w:ascii="Aptos" w:eastAsia="Aptos" w:hAnsi="Aptos" w:cs="Arial"/>
          <w:kern w:val="2"/>
          <w:sz w:val="22"/>
          <w:szCs w:val="22"/>
          <w14:ligatures w14:val="standardContextual"/>
        </w:rPr>
        <w:t xml:space="preserve">in </w:t>
      </w:r>
      <w:r w:rsidR="007834CA" w:rsidRPr="00215418">
        <w:rPr>
          <w:rFonts w:ascii="Aptos" w:eastAsia="Aptos" w:hAnsi="Aptos" w:cs="Arial"/>
          <w:kern w:val="2"/>
          <w:sz w:val="22"/>
          <w:szCs w:val="22"/>
          <w14:ligatures w14:val="standardContextual"/>
        </w:rPr>
        <w:t>the Global Cybersecurity Index (GCI)</w:t>
      </w:r>
      <w:r w:rsidR="001A6910" w:rsidRPr="00215418">
        <w:rPr>
          <w:rFonts w:ascii="Aptos" w:eastAsia="Aptos" w:hAnsi="Aptos" w:cs="Arial"/>
          <w:kern w:val="2"/>
          <w:sz w:val="22"/>
          <w:szCs w:val="22"/>
          <w14:ligatures w14:val="standardContextual"/>
        </w:rPr>
        <w:t xml:space="preserve">. However, there are some </w:t>
      </w:r>
      <w:r w:rsidR="007834CA" w:rsidRPr="00215418">
        <w:rPr>
          <w:rFonts w:ascii="Aptos" w:eastAsia="Aptos" w:hAnsi="Aptos" w:cs="Arial"/>
          <w:kern w:val="2"/>
          <w:sz w:val="22"/>
          <w:szCs w:val="22"/>
          <w14:ligatures w14:val="standardContextual"/>
        </w:rPr>
        <w:t>stark differences</w:t>
      </w:r>
      <w:r w:rsidR="001A6910" w:rsidRPr="00215418">
        <w:rPr>
          <w:rFonts w:ascii="Aptos" w:eastAsia="Aptos" w:hAnsi="Aptos" w:cs="Arial"/>
          <w:kern w:val="2"/>
          <w:sz w:val="22"/>
          <w:szCs w:val="22"/>
          <w14:ligatures w14:val="standardContextual"/>
        </w:rPr>
        <w:t>: s</w:t>
      </w:r>
      <w:r w:rsidR="007834CA" w:rsidRPr="00215418">
        <w:rPr>
          <w:rFonts w:ascii="Aptos" w:eastAsia="Aptos" w:hAnsi="Aptos" w:cs="Arial"/>
          <w:kern w:val="2"/>
          <w:sz w:val="22"/>
          <w:szCs w:val="22"/>
          <w14:ligatures w14:val="standardContextual"/>
        </w:rPr>
        <w:t xml:space="preserve">ome countries rank among the global leaders, while others lag far behind, </w:t>
      </w:r>
      <w:r w:rsidR="006B305D" w:rsidRPr="00215418">
        <w:rPr>
          <w:rFonts w:ascii="Aptos" w:eastAsia="Aptos" w:hAnsi="Aptos" w:cs="Arial"/>
          <w:kern w:val="2"/>
          <w:sz w:val="22"/>
          <w:szCs w:val="22"/>
          <w14:ligatures w14:val="standardContextual"/>
        </w:rPr>
        <w:t>with the region’s worst performer</w:t>
      </w:r>
      <w:r w:rsidR="001A6910" w:rsidRPr="00215418">
        <w:rPr>
          <w:rFonts w:ascii="Aptos" w:eastAsia="Aptos" w:hAnsi="Aptos" w:cs="Arial"/>
          <w:kern w:val="2"/>
          <w:sz w:val="22"/>
          <w:szCs w:val="22"/>
          <w14:ligatures w14:val="standardContextual"/>
        </w:rPr>
        <w:t xml:space="preserve"> </w:t>
      </w:r>
      <w:r w:rsidR="006B305D" w:rsidRPr="00215418">
        <w:rPr>
          <w:rFonts w:ascii="Aptos" w:eastAsia="Aptos" w:hAnsi="Aptos" w:cs="Arial"/>
          <w:kern w:val="2"/>
          <w:sz w:val="22"/>
          <w:szCs w:val="22"/>
          <w14:ligatures w14:val="standardContextual"/>
        </w:rPr>
        <w:t xml:space="preserve">scoring </w:t>
      </w:r>
      <w:r w:rsidR="007834CA" w:rsidRPr="00215418">
        <w:rPr>
          <w:rFonts w:ascii="Aptos" w:eastAsia="Aptos" w:hAnsi="Aptos" w:cs="Arial"/>
          <w:kern w:val="2"/>
          <w:sz w:val="22"/>
          <w:szCs w:val="22"/>
          <w14:ligatures w14:val="standardContextual"/>
        </w:rPr>
        <w:t>just 25.9.</w:t>
      </w:r>
    </w:p>
    <w:p w14:paraId="59D71C5F" w14:textId="47C8C7B2" w:rsidR="00E039E5" w:rsidRPr="00215418" w:rsidRDefault="00DB2C48" w:rsidP="00E51A5D">
      <w:pPr>
        <w:rPr>
          <w:rFonts w:ascii="Aptos" w:eastAsia="Aptos" w:hAnsi="Aptos" w:cs="Arial"/>
          <w:kern w:val="2"/>
          <w:sz w:val="22"/>
          <w:szCs w:val="22"/>
          <w14:ligatures w14:val="standardContextual"/>
        </w:rPr>
      </w:pPr>
      <w:r w:rsidRPr="00215418">
        <w:rPr>
          <w:rFonts w:ascii="Aptos" w:eastAsia="Aptos" w:hAnsi="Aptos" w:cs="Arial"/>
          <w:b/>
          <w:bCs/>
          <w:kern w:val="2"/>
          <w:sz w:val="22"/>
          <w:szCs w:val="22"/>
          <w14:ligatures w14:val="standardContextual"/>
        </w:rPr>
        <w:lastRenderedPageBreak/>
        <w:t xml:space="preserve">Europe leads in e-waste management but faces regional disparities. </w:t>
      </w:r>
      <w:r w:rsidRPr="00215418">
        <w:rPr>
          <w:rFonts w:ascii="Aptos" w:eastAsia="Aptos" w:hAnsi="Aptos" w:cs="Arial"/>
          <w:kern w:val="2"/>
          <w:sz w:val="22"/>
          <w:szCs w:val="22"/>
          <w14:ligatures w14:val="standardContextual"/>
        </w:rPr>
        <w:t>Europe generates nearly 20</w:t>
      </w:r>
      <w:r w:rsidR="001A6910" w:rsidRPr="00215418">
        <w:rPr>
          <w:rFonts w:ascii="Aptos" w:eastAsia="Aptos" w:hAnsi="Aptos" w:cs="Arial"/>
          <w:kern w:val="2"/>
          <w:sz w:val="22"/>
          <w:szCs w:val="22"/>
          <w14:ligatures w14:val="standardContextual"/>
        </w:rPr>
        <w:t xml:space="preserve"> per cent</w:t>
      </w:r>
      <w:r w:rsidRPr="00215418">
        <w:rPr>
          <w:rFonts w:ascii="Aptos" w:eastAsia="Aptos" w:hAnsi="Aptos" w:cs="Arial"/>
          <w:kern w:val="2"/>
          <w:sz w:val="22"/>
          <w:szCs w:val="22"/>
          <w14:ligatures w14:val="standardContextual"/>
        </w:rPr>
        <w:t xml:space="preserve"> of the world’s e-waste, amounting to approximately 12.3 billion kilograms in 2022. </w:t>
      </w:r>
      <w:r w:rsidR="00E5568D" w:rsidRPr="00215418">
        <w:rPr>
          <w:rFonts w:ascii="Aptos" w:eastAsia="Aptos" w:hAnsi="Aptos" w:cs="Arial"/>
          <w:kern w:val="2"/>
          <w:sz w:val="22"/>
          <w:szCs w:val="22"/>
          <w14:ligatures w14:val="standardContextual"/>
        </w:rPr>
        <w:t>T</w:t>
      </w:r>
      <w:r w:rsidRPr="00215418">
        <w:rPr>
          <w:rFonts w:ascii="Aptos" w:eastAsia="Aptos" w:hAnsi="Aptos" w:cs="Arial"/>
          <w:kern w:val="2"/>
          <w:sz w:val="22"/>
          <w:szCs w:val="22"/>
          <w14:ligatures w14:val="standardContextual"/>
        </w:rPr>
        <w:t xml:space="preserve">he region boasts one of the highest recycling rates globally at 46%, </w:t>
      </w:r>
      <w:r w:rsidR="00DB3AB5" w:rsidRPr="00215418">
        <w:rPr>
          <w:rFonts w:ascii="Aptos" w:eastAsia="Aptos" w:hAnsi="Aptos" w:cs="Arial"/>
          <w:kern w:val="2"/>
          <w:sz w:val="22"/>
          <w:szCs w:val="22"/>
          <w14:ligatures w14:val="standardContextual"/>
        </w:rPr>
        <w:t xml:space="preserve">which is twice </w:t>
      </w:r>
      <w:r w:rsidR="00E5568D" w:rsidRPr="00215418">
        <w:rPr>
          <w:rFonts w:ascii="Aptos" w:eastAsia="Aptos" w:hAnsi="Aptos" w:cs="Arial"/>
          <w:kern w:val="2"/>
          <w:sz w:val="22"/>
          <w:szCs w:val="22"/>
          <w14:ligatures w14:val="standardContextual"/>
        </w:rPr>
        <w:t xml:space="preserve">the global average. </w:t>
      </w:r>
      <w:r w:rsidR="00E51A5D" w:rsidRPr="00215418">
        <w:rPr>
          <w:rFonts w:ascii="Aptos" w:eastAsia="Aptos" w:hAnsi="Aptos" w:cs="Arial"/>
          <w:kern w:val="2"/>
          <w:sz w:val="22"/>
          <w:szCs w:val="22"/>
          <w14:ligatures w14:val="standardContextual"/>
        </w:rPr>
        <w:t xml:space="preserve">However, disparities persist, with some countries lacking the infrastructure and policy frameworks needed to address e-waste effectively. </w:t>
      </w:r>
    </w:p>
    <w:p w14:paraId="054DF13D" w14:textId="77777777" w:rsidR="00E039E5" w:rsidRPr="00215418" w:rsidRDefault="00D609A9" w:rsidP="00E039E5">
      <w:pPr>
        <w:rPr>
          <w:rFonts w:ascii="Aptos" w:eastAsia="Aptos" w:hAnsi="Aptos" w:cs="Arial"/>
          <w:kern w:val="2"/>
          <w:sz w:val="22"/>
          <w:szCs w:val="22"/>
          <w14:ligatures w14:val="standardContextual"/>
        </w:rPr>
      </w:pPr>
      <w:r w:rsidRPr="00215418">
        <w:rPr>
          <w:rFonts w:ascii="Aptos" w:eastAsia="Aptos" w:hAnsi="Aptos" w:cs="Arial"/>
          <w:b/>
          <w:bCs/>
          <w:kern w:val="2"/>
          <w:sz w:val="22"/>
          <w:szCs w:val="22"/>
          <w14:ligatures w14:val="standardContextual"/>
        </w:rPr>
        <w:t>The telecommunications sector drives economic growth but reveals investment disparities.</w:t>
      </w:r>
      <w:r w:rsidRPr="00215418">
        <w:rPr>
          <w:rFonts w:ascii="Aptos" w:eastAsia="Aptos" w:hAnsi="Aptos" w:cs="Arial"/>
          <w:kern w:val="2"/>
          <w:sz w:val="22"/>
          <w:szCs w:val="22"/>
          <w14:ligatures w14:val="standardContextual"/>
        </w:rPr>
        <w:br/>
        <w:t xml:space="preserve">The telecommunications sector is a cornerstone of Europe’s digital economy, contributing significantly to economic development both directly and indirectly. In 2023, the sector generated </w:t>
      </w:r>
      <w:r w:rsidR="00FB2369" w:rsidRPr="00215418">
        <w:rPr>
          <w:rFonts w:ascii="Aptos" w:eastAsia="Aptos" w:hAnsi="Aptos" w:cs="Arial"/>
          <w:kern w:val="2"/>
          <w:sz w:val="22"/>
          <w:szCs w:val="22"/>
          <w14:ligatures w14:val="standardContextual"/>
        </w:rPr>
        <w:t>US</w:t>
      </w:r>
      <w:r w:rsidRPr="00215418">
        <w:rPr>
          <w:rFonts w:ascii="Aptos" w:eastAsia="Aptos" w:hAnsi="Aptos" w:cs="Arial"/>
          <w:kern w:val="2"/>
          <w:sz w:val="22"/>
          <w:szCs w:val="22"/>
          <w14:ligatures w14:val="standardContextual"/>
        </w:rPr>
        <w:t>$</w:t>
      </w:r>
      <w:r w:rsidR="00FB2369" w:rsidRPr="00215418">
        <w:rPr>
          <w:rFonts w:ascii="Aptos" w:eastAsia="Aptos" w:hAnsi="Aptos" w:cs="Arial"/>
          <w:kern w:val="2"/>
          <w:sz w:val="22"/>
          <w:szCs w:val="22"/>
          <w14:ligatures w14:val="standardContextual"/>
        </w:rPr>
        <w:t xml:space="preserve"> </w:t>
      </w:r>
      <w:r w:rsidRPr="00215418">
        <w:rPr>
          <w:rFonts w:ascii="Aptos" w:eastAsia="Aptos" w:hAnsi="Aptos" w:cs="Arial"/>
          <w:kern w:val="2"/>
          <w:sz w:val="22"/>
          <w:szCs w:val="22"/>
          <w14:ligatures w14:val="standardContextual"/>
        </w:rPr>
        <w:t>290 billion in revenue, accounting for an average of 1.2</w:t>
      </w:r>
      <w:r w:rsidR="00FB2369" w:rsidRPr="00215418">
        <w:rPr>
          <w:rFonts w:ascii="Aptos" w:eastAsia="Aptos" w:hAnsi="Aptos" w:cs="Arial"/>
          <w:kern w:val="2"/>
          <w:sz w:val="22"/>
          <w:szCs w:val="22"/>
          <w14:ligatures w14:val="standardContextual"/>
        </w:rPr>
        <w:t xml:space="preserve"> per cent </w:t>
      </w:r>
      <w:r w:rsidRPr="00215418">
        <w:rPr>
          <w:rFonts w:ascii="Aptos" w:eastAsia="Aptos" w:hAnsi="Aptos" w:cs="Arial"/>
          <w:kern w:val="2"/>
          <w:sz w:val="22"/>
          <w:szCs w:val="22"/>
          <w14:ligatures w14:val="standardContextual"/>
        </w:rPr>
        <w:t xml:space="preserve">of GDP across the region. However, disparities in investment highlight underlying challenges, with some countries investing substantially more as a percentage of GDP compared to others. This uneven distribution of resources could hinder the pace of digital transformation in less-developed parts of the region, emphasizing the need for targeted policies to stimulate investment and ensure balanced growth. </w:t>
      </w:r>
    </w:p>
    <w:p w14:paraId="05F4CE78" w14:textId="77777777" w:rsidR="00114834" w:rsidRPr="00215418" w:rsidRDefault="00114834" w:rsidP="00114834">
      <w:pPr>
        <w:rPr>
          <w:rFonts w:ascii="Aptos" w:eastAsia="Aptos" w:hAnsi="Aptos" w:cs="Arial"/>
          <w:kern w:val="2"/>
          <w:sz w:val="22"/>
          <w:szCs w:val="22"/>
          <w14:ligatures w14:val="standardContextual"/>
        </w:rPr>
      </w:pPr>
      <w:r w:rsidRPr="00215418">
        <w:rPr>
          <w:rFonts w:ascii="Aptos" w:eastAsia="Aptos" w:hAnsi="Aptos" w:cs="Arial"/>
          <w:b/>
          <w:bCs/>
          <w:kern w:val="2"/>
          <w:sz w:val="22"/>
          <w:szCs w:val="22"/>
          <w14:ligatures w14:val="standardContextual"/>
        </w:rPr>
        <w:t xml:space="preserve">High data availability and quality enable evidence-based policymaking. </w:t>
      </w:r>
      <w:r w:rsidRPr="00215418">
        <w:rPr>
          <w:rFonts w:ascii="Aptos" w:eastAsia="Aptos" w:hAnsi="Aptos" w:cs="Arial"/>
          <w:kern w:val="2"/>
          <w:sz w:val="22"/>
          <w:szCs w:val="22"/>
          <w14:ligatures w14:val="standardContextual"/>
        </w:rPr>
        <w:t>Europe stands out for the availability and quality of its ICT data, which exceeds that of other regions. This comprehensive and reliable data enables policymakers to identify gaps, set priorities, design effective interventions, and track progress. High-quality data collection supports Europe’s strong digital performance, helping governments make informed decisions and achieve impactful results in areas such as Internet access, cybersecurity, and broadband development.</w:t>
      </w:r>
    </w:p>
    <w:p w14:paraId="3A2AB853" w14:textId="5AA96C24" w:rsidR="007B5B7D" w:rsidRPr="00215418" w:rsidRDefault="005B21F1" w:rsidP="007B5B7D">
      <w:pPr>
        <w:rPr>
          <w:rFonts w:ascii="Aptos" w:eastAsia="Aptos" w:hAnsi="Aptos" w:cs="Arial"/>
          <w:kern w:val="2"/>
          <w:sz w:val="22"/>
          <w:szCs w:val="22"/>
          <w14:ligatures w14:val="standardContextual"/>
        </w:rPr>
      </w:pPr>
      <w:r w:rsidRPr="00215418">
        <w:rPr>
          <w:rFonts w:ascii="Aptos" w:eastAsia="Aptos" w:hAnsi="Aptos" w:cs="Arial"/>
          <w:b/>
          <w:bCs/>
          <w:kern w:val="2"/>
          <w:sz w:val="22"/>
          <w:szCs w:val="22"/>
          <w14:ligatures w14:val="standardContextual"/>
        </w:rPr>
        <w:t xml:space="preserve">Initiatives </w:t>
      </w:r>
      <w:r w:rsidR="00D8016F" w:rsidRPr="00215418">
        <w:rPr>
          <w:rFonts w:ascii="Aptos" w:eastAsia="Aptos" w:hAnsi="Aptos" w:cs="Arial"/>
          <w:b/>
          <w:bCs/>
          <w:kern w:val="2"/>
          <w:sz w:val="22"/>
          <w:szCs w:val="22"/>
          <w14:ligatures w14:val="standardContextual"/>
        </w:rPr>
        <w:t>demonstrate the transformative power of digital connectivity.</w:t>
      </w:r>
      <w:r w:rsidR="00C32925" w:rsidRPr="00215418">
        <w:rPr>
          <w:rFonts w:ascii="Aptos" w:eastAsia="Aptos" w:hAnsi="Aptos" w:cs="Arial"/>
          <w:kern w:val="2"/>
          <w:sz w:val="22"/>
          <w:szCs w:val="22"/>
          <w14:ligatures w14:val="standardContextual"/>
        </w:rPr>
        <w:t xml:space="preserve"> </w:t>
      </w:r>
      <w:r w:rsidR="00D8016F" w:rsidRPr="00215418">
        <w:rPr>
          <w:rFonts w:ascii="Aptos" w:eastAsia="Aptos" w:hAnsi="Aptos" w:cs="Arial"/>
          <w:kern w:val="2"/>
          <w:sz w:val="22"/>
          <w:szCs w:val="22"/>
          <w14:ligatures w14:val="standardContextual"/>
        </w:rPr>
        <w:t xml:space="preserve">The second </w:t>
      </w:r>
      <w:r w:rsidR="00C32925" w:rsidRPr="00215418">
        <w:rPr>
          <w:rFonts w:ascii="Aptos" w:eastAsia="Aptos" w:hAnsi="Aptos" w:cs="Arial"/>
          <w:kern w:val="2"/>
          <w:sz w:val="22"/>
          <w:szCs w:val="22"/>
          <w14:ligatures w14:val="standardContextual"/>
        </w:rPr>
        <w:t xml:space="preserve">part </w:t>
      </w:r>
      <w:r w:rsidR="00D8016F" w:rsidRPr="00215418">
        <w:rPr>
          <w:rFonts w:ascii="Aptos" w:eastAsia="Aptos" w:hAnsi="Aptos" w:cs="Arial"/>
          <w:kern w:val="2"/>
          <w:sz w:val="22"/>
          <w:szCs w:val="22"/>
          <w14:ligatures w14:val="standardContextual"/>
        </w:rPr>
        <w:t xml:space="preserve">of </w:t>
      </w:r>
      <w:r w:rsidR="00867F58" w:rsidRPr="00215418">
        <w:rPr>
          <w:rFonts w:ascii="Aptos" w:eastAsia="Aptos" w:hAnsi="Aptos" w:cs="Arial"/>
          <w:kern w:val="2"/>
          <w:sz w:val="22"/>
          <w:szCs w:val="22"/>
          <w14:ligatures w14:val="standardContextual"/>
        </w:rPr>
        <w:t>this</w:t>
      </w:r>
      <w:r w:rsidR="00C32925" w:rsidRPr="00215418">
        <w:rPr>
          <w:rFonts w:ascii="Aptos" w:eastAsia="Aptos" w:hAnsi="Aptos" w:cs="Arial"/>
          <w:kern w:val="2"/>
          <w:sz w:val="22"/>
          <w:szCs w:val="22"/>
          <w14:ligatures w14:val="standardContextual"/>
        </w:rPr>
        <w:t xml:space="preserve"> </w:t>
      </w:r>
      <w:r w:rsidR="00D8016F" w:rsidRPr="00215418">
        <w:rPr>
          <w:rFonts w:ascii="Aptos" w:eastAsia="Aptos" w:hAnsi="Aptos" w:cs="Arial"/>
          <w:kern w:val="2"/>
          <w:sz w:val="22"/>
          <w:szCs w:val="22"/>
          <w14:ligatures w14:val="standardContextual"/>
        </w:rPr>
        <w:t xml:space="preserve">document </w:t>
      </w:r>
      <w:r w:rsidR="00CD618A" w:rsidRPr="00215418">
        <w:rPr>
          <w:rFonts w:ascii="Aptos" w:eastAsia="Aptos" w:hAnsi="Aptos" w:cs="Arial"/>
          <w:kern w:val="2"/>
          <w:sz w:val="22"/>
          <w:szCs w:val="22"/>
          <w14:ligatures w14:val="standardContextual"/>
        </w:rPr>
        <w:t xml:space="preserve">presents </w:t>
      </w:r>
      <w:r w:rsidR="001E486F" w:rsidRPr="00215418">
        <w:rPr>
          <w:rFonts w:ascii="Aptos" w:eastAsia="Aptos" w:hAnsi="Aptos" w:cs="Arial"/>
          <w:kern w:val="2"/>
          <w:sz w:val="22"/>
          <w:szCs w:val="22"/>
          <w14:ligatures w14:val="standardContextual"/>
        </w:rPr>
        <w:t xml:space="preserve">a selection of impactful </w:t>
      </w:r>
      <w:r w:rsidR="00D8016F" w:rsidRPr="00215418">
        <w:rPr>
          <w:rFonts w:ascii="Aptos" w:eastAsia="Aptos" w:hAnsi="Aptos" w:cs="Arial"/>
          <w:kern w:val="2"/>
          <w:sz w:val="22"/>
          <w:szCs w:val="22"/>
          <w14:ligatures w14:val="standardContextual"/>
        </w:rPr>
        <w:t>initiatives</w:t>
      </w:r>
      <w:r w:rsidR="00AC200F" w:rsidRPr="00215418">
        <w:rPr>
          <w:rFonts w:ascii="Aptos" w:eastAsia="Aptos" w:hAnsi="Aptos" w:cs="Arial"/>
          <w:kern w:val="2"/>
          <w:sz w:val="22"/>
          <w:szCs w:val="22"/>
          <w14:ligatures w14:val="standardContextual"/>
        </w:rPr>
        <w:t xml:space="preserve"> </w:t>
      </w:r>
      <w:r w:rsidR="00C83CE6" w:rsidRPr="00215418">
        <w:rPr>
          <w:rFonts w:ascii="Aptos" w:eastAsia="Aptos" w:hAnsi="Aptos" w:cs="Arial"/>
          <w:kern w:val="2"/>
          <w:sz w:val="22"/>
          <w:szCs w:val="22"/>
          <w14:ligatures w14:val="standardContextual"/>
        </w:rPr>
        <w:t xml:space="preserve">led or supported by the Telecommunication Development Bureau (BDT) in collaboration with regional stakeholders. </w:t>
      </w:r>
      <w:r w:rsidR="00BD2EC1" w:rsidRPr="00215418">
        <w:rPr>
          <w:rFonts w:ascii="Aptos" w:eastAsia="Aptos" w:hAnsi="Aptos" w:cs="Arial"/>
          <w:kern w:val="2"/>
          <w:sz w:val="22"/>
          <w:szCs w:val="22"/>
          <w14:ligatures w14:val="standardContextual"/>
        </w:rPr>
        <w:t xml:space="preserve">These stories </w:t>
      </w:r>
      <w:r w:rsidR="00D8016F" w:rsidRPr="00215418">
        <w:rPr>
          <w:rFonts w:ascii="Aptos" w:eastAsia="Aptos" w:hAnsi="Aptos" w:cs="Arial"/>
          <w:kern w:val="2"/>
          <w:sz w:val="22"/>
          <w:szCs w:val="22"/>
          <w14:ligatures w14:val="standardContextual"/>
        </w:rPr>
        <w:t xml:space="preserve">demonstrate the potential of connectivity to drive social and economic development. For instance, Montenegro’s IPv6 Laboratory showcases how innovation can enhance digital readiness. In Albania, the Digital Agriculture and Rural Transformation (DART) program is leveraging technology to support smallholder farmers, contributing to the Sustainable Development Goals. Broadband mapping initiatives in Albania, Bosnia and Herzegovina, and Moldova </w:t>
      </w:r>
      <w:r w:rsidR="00316F8E" w:rsidRPr="00215418">
        <w:rPr>
          <w:rFonts w:ascii="Aptos" w:eastAsia="Aptos" w:hAnsi="Aptos" w:cs="Arial"/>
          <w:kern w:val="2"/>
          <w:sz w:val="22"/>
          <w:szCs w:val="22"/>
          <w14:ligatures w14:val="standardContextual"/>
        </w:rPr>
        <w:t xml:space="preserve">reveal </w:t>
      </w:r>
      <w:r w:rsidR="00D8016F" w:rsidRPr="00215418">
        <w:rPr>
          <w:rFonts w:ascii="Aptos" w:eastAsia="Aptos" w:hAnsi="Aptos" w:cs="Arial"/>
          <w:kern w:val="2"/>
          <w:sz w:val="22"/>
          <w:szCs w:val="22"/>
          <w14:ligatures w14:val="standardContextual"/>
        </w:rPr>
        <w:t xml:space="preserve">the importance of targeted interventions to enhance connectivity in underserved </w:t>
      </w:r>
      <w:r w:rsidR="00316F8E" w:rsidRPr="00215418">
        <w:rPr>
          <w:rFonts w:ascii="Aptos" w:eastAsia="Aptos" w:hAnsi="Aptos" w:cs="Arial"/>
          <w:kern w:val="2"/>
          <w:sz w:val="22"/>
          <w:szCs w:val="22"/>
          <w14:ligatures w14:val="standardContextual"/>
        </w:rPr>
        <w:t xml:space="preserve">and hard-to-reach </w:t>
      </w:r>
      <w:r w:rsidR="00D8016F" w:rsidRPr="00215418">
        <w:rPr>
          <w:rFonts w:ascii="Aptos" w:eastAsia="Aptos" w:hAnsi="Aptos" w:cs="Arial"/>
          <w:kern w:val="2"/>
          <w:sz w:val="22"/>
          <w:szCs w:val="22"/>
          <w14:ligatures w14:val="standardContextual"/>
        </w:rPr>
        <w:t>areas.</w:t>
      </w:r>
      <w:r w:rsidR="007C3572" w:rsidRPr="00215418">
        <w:rPr>
          <w:rFonts w:ascii="Aptos" w:eastAsia="Aptos" w:hAnsi="Aptos" w:cs="Arial"/>
          <w:kern w:val="2"/>
          <w:sz w:val="22"/>
          <w:szCs w:val="22"/>
          <w14:ligatures w14:val="standardContextual"/>
        </w:rPr>
        <w:t xml:space="preserve"> These are concrete, tangible examples of how ITU, Member States and partners can team up to tackle some of the challenges identified in this document and accelerate progress towards UMC</w:t>
      </w:r>
      <w:r w:rsidR="00A62642" w:rsidRPr="00215418">
        <w:rPr>
          <w:rFonts w:ascii="Aptos" w:eastAsia="Aptos" w:hAnsi="Aptos" w:cs="Arial"/>
          <w:kern w:val="2"/>
          <w:sz w:val="22"/>
          <w:szCs w:val="22"/>
          <w14:ligatures w14:val="standardContextual"/>
        </w:rPr>
        <w:t xml:space="preserve"> and digital transformation</w:t>
      </w:r>
      <w:r w:rsidR="007C3572" w:rsidRPr="00215418">
        <w:rPr>
          <w:rFonts w:ascii="Aptos" w:eastAsia="Aptos" w:hAnsi="Aptos" w:cs="Arial"/>
          <w:kern w:val="2"/>
          <w:sz w:val="22"/>
          <w:szCs w:val="22"/>
          <w14:ligatures w14:val="standardContextual"/>
        </w:rPr>
        <w:t xml:space="preserve">. </w:t>
      </w:r>
    </w:p>
    <w:p w14:paraId="183F3F0B" w14:textId="39FC899B" w:rsidR="00D8016F" w:rsidRPr="00215418" w:rsidRDefault="00E46401" w:rsidP="0012721C">
      <w:pPr>
        <w:rPr>
          <w:rFonts w:ascii="Aptos" w:eastAsia="Aptos" w:hAnsi="Aptos" w:cs="Arial"/>
          <w:kern w:val="2"/>
          <w:sz w:val="22"/>
          <w:szCs w:val="22"/>
          <w14:ligatures w14:val="standardContextual"/>
        </w:rPr>
      </w:pPr>
      <w:r w:rsidRPr="00215418">
        <w:rPr>
          <w:rFonts w:ascii="Aptos" w:eastAsia="Aptos" w:hAnsi="Aptos" w:cs="Arial"/>
          <w:b/>
          <w:bCs/>
          <w:kern w:val="2"/>
          <w:sz w:val="22"/>
          <w:szCs w:val="22"/>
          <w14:ligatures w14:val="standardContextual"/>
        </w:rPr>
        <w:t xml:space="preserve">Europe is ready to shape the future of digital transformation.  </w:t>
      </w:r>
      <w:r w:rsidR="00974587" w:rsidRPr="00215418">
        <w:rPr>
          <w:rFonts w:ascii="Aptos" w:eastAsia="Aptos" w:hAnsi="Aptos" w:cs="Arial"/>
          <w:kern w:val="2"/>
          <w:sz w:val="22"/>
          <w:szCs w:val="22"/>
          <w14:ligatures w14:val="standardContextual"/>
        </w:rPr>
        <w:t xml:space="preserve">Building on its successes and addressing </w:t>
      </w:r>
      <w:r w:rsidR="00B53A3D" w:rsidRPr="00215418">
        <w:rPr>
          <w:rFonts w:ascii="Aptos" w:eastAsia="Aptos" w:hAnsi="Aptos" w:cs="Arial"/>
          <w:kern w:val="2"/>
          <w:sz w:val="22"/>
          <w:szCs w:val="22"/>
          <w14:ligatures w14:val="standardContextual"/>
        </w:rPr>
        <w:t xml:space="preserve">remaining </w:t>
      </w:r>
      <w:r w:rsidR="00974587" w:rsidRPr="00215418">
        <w:rPr>
          <w:rFonts w:ascii="Aptos" w:eastAsia="Aptos" w:hAnsi="Aptos" w:cs="Arial"/>
          <w:kern w:val="2"/>
          <w:sz w:val="22"/>
          <w:szCs w:val="22"/>
          <w14:ligatures w14:val="standardContextual"/>
        </w:rPr>
        <w:t xml:space="preserve">gaps, </w:t>
      </w:r>
      <w:r w:rsidRPr="00215418">
        <w:rPr>
          <w:rFonts w:ascii="Aptos" w:eastAsia="Aptos" w:hAnsi="Aptos" w:cs="Arial"/>
          <w:kern w:val="2"/>
          <w:sz w:val="22"/>
          <w:szCs w:val="22"/>
          <w14:ligatures w14:val="standardContextual"/>
        </w:rPr>
        <w:t xml:space="preserve">Europe has the potential to </w:t>
      </w:r>
      <w:r w:rsidR="00A103D2" w:rsidRPr="00215418">
        <w:rPr>
          <w:rFonts w:ascii="Aptos" w:eastAsia="Aptos" w:hAnsi="Aptos" w:cs="Arial"/>
          <w:kern w:val="2"/>
          <w:sz w:val="22"/>
          <w:szCs w:val="22"/>
          <w14:ligatures w14:val="standardContextual"/>
        </w:rPr>
        <w:t xml:space="preserve">achieve UMC </w:t>
      </w:r>
      <w:bookmarkStart w:id="7" w:name="_Int_xpxEkoLr"/>
      <w:r w:rsidR="00A103D2" w:rsidRPr="00215418">
        <w:rPr>
          <w:rFonts w:ascii="Aptos" w:eastAsia="Aptos" w:hAnsi="Aptos" w:cs="Arial"/>
          <w:kern w:val="2"/>
          <w:sz w:val="22"/>
          <w:szCs w:val="22"/>
          <w14:ligatures w14:val="standardContextual"/>
        </w:rPr>
        <w:t>in the near future</w:t>
      </w:r>
      <w:bookmarkEnd w:id="7"/>
      <w:r w:rsidR="0012721C" w:rsidRPr="00215418">
        <w:rPr>
          <w:rFonts w:ascii="Aptos" w:eastAsia="Aptos" w:hAnsi="Aptos" w:cs="Arial"/>
          <w:kern w:val="2"/>
          <w:sz w:val="22"/>
          <w:szCs w:val="22"/>
          <w14:ligatures w14:val="standardContextual"/>
        </w:rPr>
        <w:t xml:space="preserve">. This will enable the region to unleash the full potential of digital technologies for </w:t>
      </w:r>
      <w:r w:rsidRPr="00215418">
        <w:rPr>
          <w:rFonts w:ascii="Aptos" w:eastAsia="Aptos" w:hAnsi="Aptos" w:cs="Arial"/>
          <w:kern w:val="2"/>
          <w:sz w:val="22"/>
          <w:szCs w:val="22"/>
          <w14:ligatures w14:val="standardContextual"/>
        </w:rPr>
        <w:t>social progress and economic prosperity.</w:t>
      </w:r>
      <w:r w:rsidR="00D8016F" w:rsidRPr="00215418">
        <w:rPr>
          <w:rFonts w:ascii="Aptos" w:eastAsia="Aptos" w:hAnsi="Aptos" w:cs="Arial"/>
          <w:kern w:val="2"/>
          <w:sz w:val="22"/>
          <w:szCs w:val="22"/>
          <w14:ligatures w14:val="standardContextual"/>
        </w:rPr>
        <w:t xml:space="preserve"> </w:t>
      </w:r>
    </w:p>
    <w:p w14:paraId="46FC0294" w14:textId="24C6F6F8" w:rsidR="006C41B5" w:rsidRPr="00215418" w:rsidRDefault="006C41B5" w:rsidP="001269EE">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br w:type="page"/>
      </w:r>
    </w:p>
    <w:p w14:paraId="4CFBC4AD" w14:textId="4EA6E82A" w:rsidR="006C41B5" w:rsidRPr="00215418" w:rsidRDefault="006C41B5" w:rsidP="00AF1DE3">
      <w:pPr>
        <w:pStyle w:val="Parttitle0"/>
      </w:pPr>
      <w:bookmarkStart w:id="8" w:name="_Toc188001382"/>
      <w:r w:rsidRPr="00215418">
        <w:lastRenderedPageBreak/>
        <w:t>Part 1</w:t>
      </w:r>
      <w:r w:rsidR="006731EB" w:rsidRPr="00215418">
        <w:t>.</w:t>
      </w:r>
      <w:r w:rsidRPr="00215418">
        <w:t xml:space="preserve"> The state of digital connectivity in </w:t>
      </w:r>
      <w:r w:rsidR="007F43D1">
        <w:t xml:space="preserve">the </w:t>
      </w:r>
      <w:r w:rsidR="00856ABE" w:rsidRPr="00215418">
        <w:t>Europe</w:t>
      </w:r>
      <w:r w:rsidRPr="00215418">
        <w:t xml:space="preserve"> </w:t>
      </w:r>
      <w:r w:rsidR="007F43D1">
        <w:t xml:space="preserve">region </w:t>
      </w:r>
      <w:r w:rsidRPr="00215418">
        <w:t>and recent trends</w:t>
      </w:r>
      <w:bookmarkEnd w:id="8"/>
    </w:p>
    <w:p w14:paraId="71B503AD" w14:textId="77777777" w:rsidR="006C41B5" w:rsidRPr="00215418" w:rsidRDefault="006C41B5" w:rsidP="00A217F8">
      <w:pPr>
        <w:pStyle w:val="Section"/>
      </w:pPr>
      <w:bookmarkStart w:id="9" w:name="_Toc188001383"/>
      <w:r w:rsidRPr="00215418">
        <w:t>ICT regulation and digital policy frameworks</w:t>
      </w:r>
      <w:bookmarkEnd w:id="9"/>
    </w:p>
    <w:p w14:paraId="01857EDB" w14:textId="77777777" w:rsidR="006D1BEE" w:rsidRPr="00215418" w:rsidRDefault="006D1BEE" w:rsidP="006D1BEE">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The digital transformation in Europe is driven by the region’s strong ICT regulatory frameworks and key digital policy initiatives, which play a crucial role in balancing the development of digital public services, digital inclusion and the growth of digital markets. As Europe continues to refine its regulatory approaches, understanding its priorities and challenges provides valuable insights into effective digital governance.</w:t>
      </w:r>
    </w:p>
    <w:p w14:paraId="6452F417" w14:textId="1EFF2780" w:rsidR="006C41B5" w:rsidRPr="00215418" w:rsidRDefault="00EA0EEC"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15418">
        <w:rPr>
          <w:rFonts w:ascii="Aptos" w:eastAsia="Aptos" w:hAnsi="Aptos" w:cs="Arial"/>
          <w:b/>
          <w:bCs/>
          <w:i/>
          <w:iCs/>
          <w:kern w:val="2"/>
          <w:sz w:val="22"/>
          <w:szCs w:val="22"/>
          <w14:ligatures w14:val="standardContextual"/>
        </w:rPr>
        <w:t>Europe</w:t>
      </w:r>
      <w:r w:rsidR="00B10E5B" w:rsidRPr="00215418">
        <w:rPr>
          <w:rFonts w:ascii="Aptos" w:eastAsia="Aptos" w:hAnsi="Aptos" w:cs="Arial"/>
          <w:b/>
          <w:bCs/>
          <w:i/>
          <w:iCs/>
          <w:kern w:val="2"/>
          <w:sz w:val="22"/>
          <w:szCs w:val="22"/>
          <w14:ligatures w14:val="standardContextual"/>
        </w:rPr>
        <w:t xml:space="preserve">, </w:t>
      </w:r>
      <w:r w:rsidRPr="00215418">
        <w:rPr>
          <w:rFonts w:ascii="Aptos" w:eastAsia="Aptos" w:hAnsi="Aptos" w:cs="Arial"/>
          <w:b/>
          <w:bCs/>
          <w:i/>
          <w:iCs/>
          <w:kern w:val="2"/>
          <w:sz w:val="22"/>
          <w:szCs w:val="22"/>
          <w14:ligatures w14:val="standardContextual"/>
        </w:rPr>
        <w:t>a global pioneer in ICT regulation</w:t>
      </w:r>
    </w:p>
    <w:p w14:paraId="5D6AF91C" w14:textId="3D9B227B" w:rsidR="006C41B5" w:rsidRPr="00215418" w:rsidRDefault="000E18B6"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Since the 1990s, Europe has led significant telecommunications regulatory reforms, aligning closely with commitments under the General Agreement on Trade in Services (GATS) of the World Trade Organization (WTO). The European Union (EU) has championed a unified regional approach, </w:t>
      </w:r>
      <w:r w:rsidR="0044042B" w:rsidRPr="00215418">
        <w:rPr>
          <w:rFonts w:ascii="Aptos" w:eastAsia="Aptos" w:hAnsi="Aptos" w:cs="Arial"/>
          <w:kern w:val="2"/>
          <w:sz w:val="22"/>
          <w:szCs w:val="22"/>
          <w14:ligatures w14:val="standardContextual"/>
        </w:rPr>
        <w:t>created</w:t>
      </w:r>
      <w:r w:rsidRPr="00215418">
        <w:rPr>
          <w:rFonts w:ascii="Aptos" w:eastAsia="Aptos" w:hAnsi="Aptos" w:cs="Arial"/>
          <w:kern w:val="2"/>
          <w:sz w:val="22"/>
          <w:szCs w:val="22"/>
          <w14:ligatures w14:val="standardContextual"/>
        </w:rPr>
        <w:t xml:space="preserve"> a harmonized framework that liberalized markets, promoted competition and fostered cross-border integration. This includes establishing independent regulatory authorities, enforcing open market access and adopting technology-neutral policies. These reforms have strengthened Europe’s telecom sector, setting a global standard for regionalized ICT regulation and governance and enabling the expansion of digital services across member states.</w:t>
      </w:r>
    </w:p>
    <w:p w14:paraId="6BE39072" w14:textId="3D6B47E5"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215418">
        <w:rPr>
          <w:rFonts w:ascii="AvenirNext LT Pro Light" w:eastAsia="Yu Gothic Light" w:hAnsi="AvenirNext LT Pro Light" w:cs="Calibri"/>
          <w:color w:val="0070C0"/>
          <w:spacing w:val="-10"/>
          <w:kern w:val="28"/>
        </w:rPr>
        <w:t xml:space="preserve">Evolution of the generations of ICT regulation in </w:t>
      </w:r>
      <w:r w:rsidR="00856ABE" w:rsidRPr="00215418">
        <w:rPr>
          <w:rFonts w:ascii="AvenirNext LT Pro Light" w:eastAsia="Yu Gothic Light" w:hAnsi="AvenirNext LT Pro Light" w:cs="Calibri"/>
          <w:color w:val="0070C0"/>
          <w:spacing w:val="-10"/>
          <w:kern w:val="28"/>
        </w:rPr>
        <w:t>Europe</w:t>
      </w:r>
    </w:p>
    <w:p w14:paraId="14294720" w14:textId="3E29348E" w:rsidR="006C41B5" w:rsidRPr="00215418" w:rsidRDefault="00E305EB"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215418">
        <w:rPr>
          <w:noProof/>
        </w:rPr>
        <w:drawing>
          <wp:inline distT="0" distB="0" distL="0" distR="0" wp14:anchorId="620A19B1" wp14:editId="44DB3A7C">
            <wp:extent cx="6120765" cy="3065145"/>
            <wp:effectExtent l="0" t="0" r="0" b="1905"/>
            <wp:docPr id="6258834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83496"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120765" cy="3065145"/>
                    </a:xfrm>
                    <a:prstGeom prst="rect">
                      <a:avLst/>
                    </a:prstGeom>
                  </pic:spPr>
                </pic:pic>
              </a:graphicData>
            </a:graphic>
          </wp:inline>
        </w:drawing>
      </w:r>
    </w:p>
    <w:p w14:paraId="66B64067" w14:textId="4AF8BB99" w:rsidR="00F77576" w:rsidRPr="00215418" w:rsidRDefault="00F77576" w:rsidP="00EB15E6">
      <w:pPr>
        <w:pStyle w:val="notetext"/>
      </w:pPr>
      <w:r w:rsidRPr="00215418">
        <w:t xml:space="preserve">Note: The ‘Generations of ICT regulation’ provides a high-level conceptual framework for assessing the overall development of national legal instruments, policies and governance for the ICT and digital sectors. Generations 1 through 4 are based on </w:t>
      </w:r>
      <w:hyperlink r:id="rId14" w:history="1">
        <w:r w:rsidRPr="00215418">
          <w:t>ICT Regulatory Tracker</w:t>
        </w:r>
      </w:hyperlink>
      <w:r w:rsidR="002D3677" w:rsidRPr="00215418">
        <w:t xml:space="preserve"> s</w:t>
      </w:r>
      <w:r w:rsidRPr="00215418">
        <w:t>cores:</w:t>
      </w:r>
    </w:p>
    <w:p w14:paraId="78D1ADE5" w14:textId="77777777" w:rsidR="00F77576" w:rsidRPr="00215418" w:rsidRDefault="00F77576" w:rsidP="00EB15E6">
      <w:pPr>
        <w:pStyle w:val="notetext"/>
      </w:pPr>
      <w:r w:rsidRPr="00215418">
        <w:t xml:space="preserve">G1 – Command and control approach: score between 0 and 40 </w:t>
      </w:r>
      <w:r w:rsidRPr="00215418">
        <w:br/>
        <w:t xml:space="preserve">G2 – Early open markets: score between 40 and 70 </w:t>
      </w:r>
      <w:r w:rsidRPr="00215418">
        <w:br/>
        <w:t xml:space="preserve">G3 – Enabling investment and access: score between 70 and 85 </w:t>
      </w:r>
      <w:r w:rsidRPr="00215418">
        <w:br/>
        <w:t>G4 – Integrated telecommunication regulation: score between 85 and 100</w:t>
      </w:r>
    </w:p>
    <w:p w14:paraId="1F091B69" w14:textId="77777777" w:rsidR="00F77576" w:rsidRPr="00215418" w:rsidRDefault="00F77576" w:rsidP="00EB15E6">
      <w:pPr>
        <w:pStyle w:val="notetext"/>
      </w:pPr>
      <w:r w:rsidRPr="00215418">
        <w:t>Data for 2021 is unavailable; 2020 data is used as a proxy for 2021.</w:t>
      </w:r>
    </w:p>
    <w:p w14:paraId="3B6D504E" w14:textId="77777777" w:rsidR="00F77576" w:rsidRPr="00215418" w:rsidRDefault="00F77576" w:rsidP="00EB15E6">
      <w:pPr>
        <w:pStyle w:val="Sourcetext"/>
      </w:pPr>
      <w:r w:rsidRPr="00215418">
        <w:t>Source: ITU</w:t>
      </w:r>
    </w:p>
    <w:p w14:paraId="201271CC" w14:textId="03869F61" w:rsidR="0056644E" w:rsidRPr="00215418" w:rsidRDefault="0056644E" w:rsidP="0056644E">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lastRenderedPageBreak/>
        <w:t>Today</w:t>
      </w:r>
      <w:r w:rsidR="00410613" w:rsidRPr="00215418">
        <w:rPr>
          <w:rFonts w:ascii="Aptos" w:eastAsia="Aptos" w:hAnsi="Aptos" w:cs="Arial"/>
          <w:kern w:val="2"/>
          <w:sz w:val="22"/>
          <w:szCs w:val="22"/>
          <w14:ligatures w14:val="standardContextual"/>
        </w:rPr>
        <w:t>,</w:t>
      </w:r>
      <w:r w:rsidRPr="00215418">
        <w:rPr>
          <w:rFonts w:ascii="Aptos" w:eastAsia="Aptos" w:hAnsi="Aptos" w:cs="Arial"/>
          <w:kern w:val="2"/>
          <w:sz w:val="22"/>
          <w:szCs w:val="22"/>
          <w14:ligatures w14:val="standardContextual"/>
        </w:rPr>
        <w:t xml:space="preserve"> Europe is home to the world’s top-performing countries in ICT regulation, with the 10 highest-ranked countries globally all situated in the region. Nearly 90 per cent of European countries have achieved the most advanced generation of ICT regulation (G4). Italy leads the way followed closely by Lithuania, Finland, Ireland and Slovenia. However</w:t>
      </w:r>
      <w:r w:rsidR="00410613" w:rsidRPr="00215418">
        <w:rPr>
          <w:rFonts w:ascii="Aptos" w:eastAsia="Aptos" w:hAnsi="Aptos" w:cs="Arial"/>
          <w:kern w:val="2"/>
          <w:sz w:val="22"/>
          <w:szCs w:val="22"/>
          <w14:ligatures w14:val="standardContextual"/>
        </w:rPr>
        <w:t>,</w:t>
      </w:r>
      <w:r w:rsidRPr="00215418">
        <w:rPr>
          <w:rFonts w:ascii="Aptos" w:eastAsia="Aptos" w:hAnsi="Aptos" w:cs="Arial"/>
          <w:kern w:val="2"/>
          <w:sz w:val="22"/>
          <w:szCs w:val="22"/>
          <w14:ligatures w14:val="standardContextual"/>
        </w:rPr>
        <w:t xml:space="preserve"> gaps persist, as three countries remain in the first generation (G1), </w:t>
      </w:r>
      <w:r w:rsidR="0071041C" w:rsidRPr="00215418">
        <w:rPr>
          <w:rFonts w:ascii="Aptos" w:eastAsia="Aptos" w:hAnsi="Aptos" w:cs="Arial"/>
          <w:kern w:val="2"/>
          <w:sz w:val="22"/>
          <w:szCs w:val="22"/>
          <w14:ligatures w14:val="standardContextual"/>
        </w:rPr>
        <w:t xml:space="preserve">and </w:t>
      </w:r>
      <w:r w:rsidRPr="00215418">
        <w:rPr>
          <w:rFonts w:ascii="Aptos" w:eastAsia="Aptos" w:hAnsi="Aptos" w:cs="Arial"/>
          <w:kern w:val="2"/>
          <w:sz w:val="22"/>
          <w:szCs w:val="22"/>
          <w14:ligatures w14:val="standardContextual"/>
        </w:rPr>
        <w:t>the country with the least-developed regulatory framework in the region rank</w:t>
      </w:r>
      <w:r w:rsidR="000726F1" w:rsidRPr="00215418">
        <w:rPr>
          <w:rFonts w:ascii="Aptos" w:eastAsia="Aptos" w:hAnsi="Aptos" w:cs="Arial"/>
          <w:kern w:val="2"/>
          <w:sz w:val="22"/>
          <w:szCs w:val="22"/>
          <w14:ligatures w14:val="standardContextual"/>
        </w:rPr>
        <w:t>s</w:t>
      </w:r>
      <w:r w:rsidRPr="00215418">
        <w:rPr>
          <w:rFonts w:ascii="Aptos" w:eastAsia="Aptos" w:hAnsi="Aptos" w:cs="Arial"/>
          <w:kern w:val="2"/>
          <w:sz w:val="22"/>
          <w:szCs w:val="22"/>
          <w14:ligatures w14:val="standardContextual"/>
        </w:rPr>
        <w:t xml:space="preserve"> 184</w:t>
      </w:r>
      <w:r w:rsidR="44755D96" w:rsidRPr="00215418">
        <w:rPr>
          <w:rFonts w:ascii="Aptos" w:eastAsia="Aptos" w:hAnsi="Aptos" w:cs="Arial"/>
          <w:kern w:val="2"/>
          <w:sz w:val="22"/>
          <w:szCs w:val="22"/>
          <w14:ligatures w14:val="standardContextual"/>
        </w:rPr>
        <w:t>th</w:t>
      </w:r>
      <w:r w:rsidR="000726F1" w:rsidRPr="00215418">
        <w:rPr>
          <w:rFonts w:ascii="Aptos" w:eastAsia="Aptos" w:hAnsi="Aptos" w:cs="Arial"/>
          <w:kern w:val="2"/>
          <w:sz w:val="22"/>
          <w:szCs w:val="22"/>
          <w14:ligatures w14:val="standardContextual"/>
        </w:rPr>
        <w:t xml:space="preserve"> </w:t>
      </w:r>
      <w:r w:rsidRPr="00215418">
        <w:rPr>
          <w:rFonts w:ascii="Aptos" w:eastAsia="Aptos" w:hAnsi="Aptos" w:cs="Arial"/>
          <w:kern w:val="2"/>
          <w:sz w:val="22"/>
          <w:szCs w:val="22"/>
          <w14:ligatures w14:val="standardContextual"/>
        </w:rPr>
        <w:t xml:space="preserve">out of 193 countries worldwide in 2022. These </w:t>
      </w:r>
      <w:r w:rsidR="000726F1" w:rsidRPr="00215418">
        <w:rPr>
          <w:rFonts w:ascii="Aptos" w:eastAsia="Aptos" w:hAnsi="Aptos" w:cs="Arial"/>
          <w:kern w:val="2"/>
          <w:sz w:val="22"/>
          <w:szCs w:val="22"/>
          <w14:ligatures w14:val="standardContextual"/>
        </w:rPr>
        <w:t xml:space="preserve">three </w:t>
      </w:r>
      <w:r w:rsidRPr="00215418">
        <w:rPr>
          <w:rFonts w:ascii="Aptos" w:eastAsia="Aptos" w:hAnsi="Aptos" w:cs="Arial"/>
          <w:kern w:val="2"/>
          <w:sz w:val="22"/>
          <w:szCs w:val="22"/>
          <w14:ligatures w14:val="standardContextual"/>
        </w:rPr>
        <w:t>G1 countries, microstates with fully state-owned ICT sectors, face limited prospects for regulatory advancement due to their small market size.</w:t>
      </w:r>
    </w:p>
    <w:p w14:paraId="7EA4597A" w14:textId="5E9D05C8" w:rsidR="0056644E" w:rsidRPr="00215418" w:rsidRDefault="0056644E" w:rsidP="0056644E">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In contrast, two countries currently in the third generation (G3), Ukraine and Israel, show significant potential to advance their regulatory frameworks and strengthen their ICT markets. However, both </w:t>
      </w:r>
      <w:r w:rsidR="0D54DA37" w:rsidRPr="00215418">
        <w:rPr>
          <w:rFonts w:ascii="Aptos" w:eastAsia="Aptos" w:hAnsi="Aptos" w:cs="Arial"/>
          <w:kern w:val="2"/>
          <w:sz w:val="22"/>
          <w:szCs w:val="22"/>
          <w14:ligatures w14:val="standardContextual"/>
        </w:rPr>
        <w:t xml:space="preserve">have been </w:t>
      </w:r>
      <w:r w:rsidRPr="00215418">
        <w:rPr>
          <w:rFonts w:ascii="Aptos" w:eastAsia="Aptos" w:hAnsi="Aptos" w:cs="Arial"/>
          <w:kern w:val="2"/>
          <w:sz w:val="22"/>
          <w:szCs w:val="22"/>
          <w14:ligatures w14:val="standardContextual"/>
        </w:rPr>
        <w:t>fac</w:t>
      </w:r>
      <w:r w:rsidR="6A36237C" w:rsidRPr="00215418">
        <w:rPr>
          <w:rFonts w:ascii="Aptos" w:eastAsia="Aptos" w:hAnsi="Aptos" w:cs="Arial"/>
          <w:kern w:val="2"/>
          <w:sz w:val="22"/>
          <w:szCs w:val="22"/>
          <w14:ligatures w14:val="standardContextual"/>
        </w:rPr>
        <w:t>ing</w:t>
      </w:r>
      <w:r w:rsidRPr="00215418">
        <w:rPr>
          <w:rFonts w:ascii="Aptos" w:eastAsia="Aptos" w:hAnsi="Aptos" w:cs="Arial"/>
          <w:kern w:val="2"/>
          <w:sz w:val="22"/>
          <w:szCs w:val="22"/>
          <w14:ligatures w14:val="standardContextual"/>
        </w:rPr>
        <w:t xml:space="preserve"> </w:t>
      </w:r>
      <w:r w:rsidR="00A56078" w:rsidRPr="00215418">
        <w:rPr>
          <w:rFonts w:ascii="Aptos" w:eastAsia="Aptos" w:hAnsi="Aptos" w:cs="Arial"/>
          <w:kern w:val="2"/>
          <w:sz w:val="22"/>
          <w:szCs w:val="22"/>
          <w14:ligatures w14:val="standardContextual"/>
        </w:rPr>
        <w:t xml:space="preserve">significant </w:t>
      </w:r>
      <w:r w:rsidRPr="00215418">
        <w:rPr>
          <w:rFonts w:ascii="Aptos" w:eastAsia="Aptos" w:hAnsi="Aptos" w:cs="Arial"/>
          <w:kern w:val="2"/>
          <w:sz w:val="22"/>
          <w:szCs w:val="22"/>
          <w14:ligatures w14:val="standardContextual"/>
        </w:rPr>
        <w:t>challenges, particularly due to</w:t>
      </w:r>
      <w:r w:rsidR="00E41BE1" w:rsidRPr="00215418">
        <w:rPr>
          <w:rFonts w:ascii="Aptos" w:eastAsia="Aptos" w:hAnsi="Aptos" w:cs="Arial"/>
          <w:kern w:val="2"/>
          <w:sz w:val="22"/>
          <w:szCs w:val="22"/>
          <w14:ligatures w14:val="standardContextual"/>
        </w:rPr>
        <w:t xml:space="preserve"> </w:t>
      </w:r>
      <w:r w:rsidRPr="00215418">
        <w:rPr>
          <w:rFonts w:ascii="Aptos" w:eastAsia="Aptos" w:hAnsi="Aptos" w:cs="Arial"/>
          <w:kern w:val="2"/>
          <w:sz w:val="22"/>
          <w:szCs w:val="22"/>
          <w14:ligatures w14:val="standardContextual"/>
        </w:rPr>
        <w:t>conflicts that hinder progress in regulatory reforms and market development.</w:t>
      </w:r>
    </w:p>
    <w:p w14:paraId="0EC559AB" w14:textId="276AF169" w:rsidR="006C41B5" w:rsidRPr="00215418" w:rsidRDefault="002A497F"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15418">
        <w:rPr>
          <w:rFonts w:ascii="Aptos" w:eastAsia="Aptos" w:hAnsi="Aptos" w:cs="Arial"/>
          <w:b/>
          <w:bCs/>
          <w:i/>
          <w:iCs/>
          <w:kern w:val="2"/>
          <w:sz w:val="22"/>
          <w:szCs w:val="22"/>
          <w14:ligatures w14:val="standardContextual"/>
        </w:rPr>
        <w:t>Europe’s trailblazing role in digital policy</w:t>
      </w:r>
    </w:p>
    <w:p w14:paraId="452A735A" w14:textId="5F2F7A73" w:rsidR="00F345C5" w:rsidRPr="00215418" w:rsidRDefault="00F345C5" w:rsidP="001F28D1">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Europe has established itself as a global leader in digital policy, integrating its regionally harmonized approach with the goals of the ‘Digital Decade’ to set robust standards for digital regulation and governance.</w:t>
      </w:r>
      <w:r w:rsidR="00BE1FB9" w:rsidRPr="00215418">
        <w:rPr>
          <w:rFonts w:ascii="Aptos" w:eastAsia="Aptos" w:hAnsi="Aptos" w:cs="Arial"/>
          <w:kern w:val="2"/>
          <w:sz w:val="22"/>
          <w:szCs w:val="22"/>
          <w:vertAlign w:val="superscript"/>
          <w14:ligatures w14:val="standardContextual"/>
        </w:rPr>
        <w:footnoteReference w:id="3"/>
      </w:r>
      <w:r w:rsidRPr="00215418">
        <w:rPr>
          <w:rFonts w:ascii="Aptos" w:eastAsia="Aptos" w:hAnsi="Aptos" w:cs="Arial"/>
          <w:kern w:val="2"/>
          <w:sz w:val="22"/>
          <w:szCs w:val="22"/>
          <w14:ligatures w14:val="standardContextual"/>
        </w:rPr>
        <w:t xml:space="preserve"> Through the EU’s cohesive framework, member states have aligned on key issues such as data protection, digital markets and cross-border connectivity, creating a unified digital ecosystem that fosters competition and consumer trust while influencing global regulatory trends. Europe’s strong ICT regulatory foundation has supported the region in building sound governance frameworks for digital markets exemplified by the Digital Market Act and the Digital Services Act, positioning it ahead of many parts of the world. The region boasts the highest proportion of countries with Advanced digital governance frameworks, at 60 per cent</w:t>
      </w:r>
      <w:r w:rsidR="00BE1FB9" w:rsidRPr="00215418">
        <w:rPr>
          <w:rFonts w:ascii="Aptos" w:eastAsia="Aptos" w:hAnsi="Aptos" w:cs="Arial"/>
          <w:kern w:val="2"/>
          <w:sz w:val="22"/>
          <w:szCs w:val="22"/>
          <w14:ligatures w14:val="standardContextual"/>
        </w:rPr>
        <w:t xml:space="preserve"> (as of 2023)</w:t>
      </w:r>
      <w:r w:rsidRPr="00215418">
        <w:rPr>
          <w:rFonts w:ascii="Aptos" w:eastAsia="Aptos" w:hAnsi="Aptos" w:cs="Arial"/>
          <w:kern w:val="2"/>
          <w:sz w:val="22"/>
          <w:szCs w:val="22"/>
          <w14:ligatures w14:val="standardContextual"/>
        </w:rPr>
        <w:t xml:space="preserve">. </w:t>
      </w:r>
      <w:r w:rsidR="00E41BE1" w:rsidRPr="00215418">
        <w:rPr>
          <w:rFonts w:ascii="Aptos" w:eastAsia="Aptos" w:hAnsi="Aptos" w:cs="Arial"/>
          <w:kern w:val="2"/>
          <w:sz w:val="22"/>
          <w:szCs w:val="22"/>
          <w14:ligatures w14:val="standardContextual"/>
        </w:rPr>
        <w:t xml:space="preserve">Eighteen </w:t>
      </w:r>
      <w:r w:rsidR="54679C45" w:rsidRPr="00215418">
        <w:rPr>
          <w:rFonts w:ascii="Aptos" w:eastAsia="Aptos" w:hAnsi="Aptos" w:cs="Arial"/>
          <w:kern w:val="2"/>
          <w:sz w:val="22"/>
          <w:szCs w:val="22"/>
          <w14:ligatures w14:val="standardContextual"/>
        </w:rPr>
        <w:t>per cent of</w:t>
      </w:r>
      <w:r w:rsidRPr="00215418">
        <w:rPr>
          <w:rFonts w:ascii="Aptos" w:eastAsia="Aptos" w:hAnsi="Aptos" w:cs="Arial"/>
          <w:kern w:val="2"/>
          <w:sz w:val="22"/>
          <w:szCs w:val="22"/>
          <w14:ligatures w14:val="standardContextual"/>
        </w:rPr>
        <w:t xml:space="preserve"> </w:t>
      </w:r>
      <w:r w:rsidR="00E41BE1" w:rsidRPr="00215418">
        <w:rPr>
          <w:rFonts w:ascii="Aptos" w:eastAsia="Aptos" w:hAnsi="Aptos" w:cs="Arial"/>
          <w:kern w:val="2"/>
          <w:sz w:val="22"/>
          <w:szCs w:val="22"/>
          <w14:ligatures w14:val="standardContextual"/>
        </w:rPr>
        <w:t xml:space="preserve">European </w:t>
      </w:r>
      <w:r w:rsidR="00A50272" w:rsidRPr="00215418">
        <w:rPr>
          <w:rFonts w:ascii="Aptos" w:eastAsia="Aptos" w:hAnsi="Aptos" w:cs="Arial"/>
          <w:kern w:val="2"/>
          <w:sz w:val="22"/>
          <w:szCs w:val="22"/>
          <w14:ligatures w14:val="standardContextual"/>
        </w:rPr>
        <w:t xml:space="preserve">countries </w:t>
      </w:r>
      <w:r w:rsidR="00E41BE1" w:rsidRPr="00215418">
        <w:rPr>
          <w:rFonts w:ascii="Aptos" w:eastAsia="Aptos" w:hAnsi="Aptos" w:cs="Arial"/>
          <w:kern w:val="2"/>
          <w:sz w:val="22"/>
          <w:szCs w:val="22"/>
          <w14:ligatures w14:val="standardContextual"/>
        </w:rPr>
        <w:t xml:space="preserve">appear in </w:t>
      </w:r>
      <w:r w:rsidR="00A50272" w:rsidRPr="00215418">
        <w:rPr>
          <w:rFonts w:ascii="Aptos" w:eastAsia="Aptos" w:hAnsi="Aptos" w:cs="Arial"/>
          <w:kern w:val="2"/>
          <w:sz w:val="22"/>
          <w:szCs w:val="22"/>
          <w14:ligatures w14:val="standardContextual"/>
        </w:rPr>
        <w:t xml:space="preserve">the </w:t>
      </w:r>
      <w:r w:rsidR="6B7D1B7F" w:rsidRPr="00215418">
        <w:rPr>
          <w:rFonts w:ascii="Aptos" w:eastAsia="Aptos" w:hAnsi="Aptos" w:cs="Arial"/>
          <w:kern w:val="2"/>
          <w:sz w:val="22"/>
          <w:szCs w:val="22"/>
          <w14:ligatures w14:val="standardContextual"/>
        </w:rPr>
        <w:t>’</w:t>
      </w:r>
      <w:r w:rsidRPr="00215418">
        <w:rPr>
          <w:rFonts w:ascii="Aptos" w:eastAsia="Aptos" w:hAnsi="Aptos" w:cs="Arial"/>
          <w:kern w:val="2"/>
          <w:sz w:val="22"/>
          <w:szCs w:val="22"/>
          <w14:ligatures w14:val="standardContextual"/>
        </w:rPr>
        <w:t>Leading</w:t>
      </w:r>
      <w:r w:rsidR="60F24F58" w:rsidRPr="00215418">
        <w:rPr>
          <w:rFonts w:ascii="Aptos" w:eastAsia="Aptos" w:hAnsi="Aptos" w:cs="Arial"/>
          <w:kern w:val="2"/>
          <w:sz w:val="22"/>
          <w:szCs w:val="22"/>
          <w14:ligatures w14:val="standardContextual"/>
        </w:rPr>
        <w:t>’</w:t>
      </w:r>
      <w:r w:rsidR="00A50272" w:rsidRPr="00215418">
        <w:rPr>
          <w:rFonts w:ascii="Aptos" w:eastAsia="Aptos" w:hAnsi="Aptos" w:cs="Arial"/>
          <w:kern w:val="2"/>
          <w:sz w:val="22"/>
          <w:szCs w:val="22"/>
          <w14:ligatures w14:val="standardContextual"/>
        </w:rPr>
        <w:t xml:space="preserve"> category</w:t>
      </w:r>
      <w:r w:rsidRPr="00215418">
        <w:rPr>
          <w:rFonts w:ascii="Aptos" w:eastAsia="Aptos" w:hAnsi="Aptos" w:cs="Arial"/>
          <w:kern w:val="2"/>
          <w:sz w:val="22"/>
          <w:szCs w:val="22"/>
          <w14:ligatures w14:val="standardContextual"/>
        </w:rPr>
        <w:t xml:space="preserve">, </w:t>
      </w:r>
      <w:r w:rsidR="4F832905" w:rsidRPr="00215418">
        <w:rPr>
          <w:rFonts w:ascii="Aptos" w:eastAsia="Aptos" w:hAnsi="Aptos" w:cs="Arial"/>
          <w:kern w:val="2"/>
          <w:sz w:val="22"/>
          <w:szCs w:val="22"/>
          <w14:ligatures w14:val="standardContextual"/>
        </w:rPr>
        <w:t xml:space="preserve">matching </w:t>
      </w:r>
      <w:r w:rsidR="6D3414DC" w:rsidRPr="00215418">
        <w:rPr>
          <w:rFonts w:ascii="Aptos" w:eastAsia="Aptos" w:hAnsi="Aptos" w:cs="Arial"/>
          <w:kern w:val="2"/>
          <w:sz w:val="22"/>
          <w:szCs w:val="22"/>
          <w14:ligatures w14:val="standardContextual"/>
        </w:rPr>
        <w:t>the</w:t>
      </w:r>
      <w:r w:rsidR="4F832905" w:rsidRPr="00215418">
        <w:rPr>
          <w:rFonts w:ascii="Aptos" w:eastAsia="Aptos" w:hAnsi="Aptos" w:cs="Arial"/>
          <w:kern w:val="2"/>
          <w:sz w:val="22"/>
          <w:szCs w:val="22"/>
          <w14:ligatures w14:val="standardContextual"/>
        </w:rPr>
        <w:t xml:space="preserve"> Asia-Pacific </w:t>
      </w:r>
      <w:r w:rsidR="264CA0B2" w:rsidRPr="00215418">
        <w:rPr>
          <w:rFonts w:ascii="Aptos" w:eastAsia="Aptos" w:hAnsi="Aptos" w:cs="Arial"/>
          <w:kern w:val="2"/>
          <w:sz w:val="22"/>
          <w:szCs w:val="22"/>
          <w14:ligatures w14:val="standardContextual"/>
        </w:rPr>
        <w:t xml:space="preserve">region </w:t>
      </w:r>
      <w:r w:rsidR="4F832905" w:rsidRPr="00215418">
        <w:rPr>
          <w:rFonts w:ascii="Aptos" w:eastAsia="Aptos" w:hAnsi="Aptos" w:cs="Arial"/>
          <w:kern w:val="2"/>
          <w:sz w:val="22"/>
          <w:szCs w:val="22"/>
          <w14:ligatures w14:val="standardContextual"/>
        </w:rPr>
        <w:t xml:space="preserve">and </w:t>
      </w:r>
      <w:r w:rsidR="2A00FC19" w:rsidRPr="00215418">
        <w:rPr>
          <w:rFonts w:ascii="Aptos" w:eastAsia="Aptos" w:hAnsi="Aptos" w:cs="Arial"/>
          <w:kern w:val="2"/>
          <w:sz w:val="22"/>
          <w:szCs w:val="22"/>
          <w14:ligatures w14:val="standardContextual"/>
        </w:rPr>
        <w:t>significantly outperform</w:t>
      </w:r>
      <w:r w:rsidR="004253FD" w:rsidRPr="00215418">
        <w:rPr>
          <w:rFonts w:ascii="Aptos" w:eastAsia="Aptos" w:hAnsi="Aptos" w:cs="Arial"/>
          <w:kern w:val="2"/>
          <w:sz w:val="22"/>
          <w:szCs w:val="22"/>
          <w14:ligatures w14:val="standardContextual"/>
        </w:rPr>
        <w:t xml:space="preserve">ing </w:t>
      </w:r>
      <w:r w:rsidR="4F832905" w:rsidRPr="00215418">
        <w:rPr>
          <w:rFonts w:ascii="Aptos" w:eastAsia="Aptos" w:hAnsi="Aptos" w:cs="Arial"/>
          <w:kern w:val="2"/>
          <w:sz w:val="22"/>
          <w:szCs w:val="22"/>
          <w14:ligatures w14:val="standardContextual"/>
        </w:rPr>
        <w:t>other regions</w:t>
      </w:r>
      <w:r w:rsidRPr="00215418">
        <w:rPr>
          <w:rFonts w:ascii="Aptos" w:eastAsia="Aptos" w:hAnsi="Aptos" w:cs="Arial"/>
          <w:kern w:val="2"/>
          <w:sz w:val="22"/>
          <w:szCs w:val="22"/>
          <w14:ligatures w14:val="standardContextual"/>
        </w:rPr>
        <w:t xml:space="preserve">. </w:t>
      </w:r>
      <w:r w:rsidR="007A3743" w:rsidRPr="00215418">
        <w:rPr>
          <w:rFonts w:ascii="Aptos" w:eastAsia="Aptos" w:hAnsi="Aptos" w:cs="Arial"/>
          <w:kern w:val="2"/>
          <w:sz w:val="22"/>
          <w:szCs w:val="22"/>
          <w14:ligatures w14:val="standardContextual"/>
        </w:rPr>
        <w:t xml:space="preserve">Eight of the </w:t>
      </w:r>
      <w:r w:rsidRPr="00215418">
        <w:rPr>
          <w:rFonts w:ascii="Aptos" w:eastAsia="Aptos" w:hAnsi="Aptos" w:cs="Arial"/>
          <w:kern w:val="2"/>
          <w:sz w:val="22"/>
          <w:szCs w:val="22"/>
          <w14:ligatures w14:val="standardContextual"/>
        </w:rPr>
        <w:t>18</w:t>
      </w:r>
      <w:r w:rsidRPr="00215418" w:rsidDel="00950BB1">
        <w:rPr>
          <w:rFonts w:ascii="Aptos" w:eastAsia="Aptos" w:hAnsi="Aptos" w:cs="Arial"/>
          <w:kern w:val="2"/>
          <w:sz w:val="22"/>
          <w:szCs w:val="22"/>
          <w14:ligatures w14:val="standardContextual"/>
        </w:rPr>
        <w:t xml:space="preserve"> </w:t>
      </w:r>
      <w:r w:rsidRPr="00215418">
        <w:rPr>
          <w:rFonts w:ascii="Aptos" w:eastAsia="Aptos" w:hAnsi="Aptos" w:cs="Arial"/>
          <w:kern w:val="2"/>
          <w:sz w:val="22"/>
          <w:szCs w:val="22"/>
          <w14:ligatures w14:val="standardContextual"/>
        </w:rPr>
        <w:t xml:space="preserve">countries </w:t>
      </w:r>
      <w:r w:rsidR="0099398A" w:rsidRPr="00215418">
        <w:rPr>
          <w:rFonts w:ascii="Aptos" w:eastAsia="Aptos" w:hAnsi="Aptos" w:cs="Arial"/>
          <w:kern w:val="2"/>
          <w:sz w:val="22"/>
          <w:szCs w:val="22"/>
          <w14:ligatures w14:val="standardContextual"/>
        </w:rPr>
        <w:t>in the ‘Leading’ category f</w:t>
      </w:r>
      <w:r w:rsidR="254A2285" w:rsidRPr="00215418">
        <w:rPr>
          <w:rFonts w:ascii="Aptos" w:eastAsia="Aptos" w:hAnsi="Aptos" w:cs="Arial"/>
          <w:kern w:val="2"/>
          <w:sz w:val="22"/>
          <w:szCs w:val="22"/>
          <w14:ligatures w14:val="standardContextual"/>
        </w:rPr>
        <w:t>or</w:t>
      </w:r>
      <w:r w:rsidR="0099398A" w:rsidRPr="00215418">
        <w:rPr>
          <w:rFonts w:ascii="Aptos" w:eastAsia="Aptos" w:hAnsi="Aptos" w:cs="Arial"/>
          <w:kern w:val="2"/>
          <w:sz w:val="22"/>
          <w:szCs w:val="22"/>
          <w14:ligatures w14:val="standardContextual"/>
        </w:rPr>
        <w:t xml:space="preserve"> </w:t>
      </w:r>
      <w:r w:rsidRPr="00215418">
        <w:rPr>
          <w:rFonts w:ascii="Aptos" w:eastAsia="Aptos" w:hAnsi="Aptos" w:cs="Arial"/>
          <w:kern w:val="2"/>
          <w:sz w:val="22"/>
          <w:szCs w:val="22"/>
          <w14:ligatures w14:val="standardContextual"/>
        </w:rPr>
        <w:t xml:space="preserve">digital governance are from Europe: Austria, Estonia, Finland, Germany, The Netherlands, Norway, Portugal and </w:t>
      </w:r>
      <w:r w:rsidR="00B64FEE" w:rsidRPr="00215418">
        <w:rPr>
          <w:rFonts w:ascii="Aptos" w:eastAsia="Aptos" w:hAnsi="Aptos" w:cs="Arial"/>
          <w:sz w:val="22"/>
          <w:szCs w:val="22"/>
        </w:rPr>
        <w:t xml:space="preserve">the </w:t>
      </w:r>
      <w:r w:rsidRPr="00215418">
        <w:rPr>
          <w:rFonts w:ascii="Aptos" w:eastAsia="Aptos" w:hAnsi="Aptos" w:cs="Arial"/>
          <w:kern w:val="2"/>
          <w:sz w:val="22"/>
          <w:szCs w:val="22"/>
          <w14:ligatures w14:val="standardContextual"/>
        </w:rPr>
        <w:t>United Kingdom (UK).</w:t>
      </w:r>
    </w:p>
    <w:p w14:paraId="20B16D94" w14:textId="235669ED" w:rsidR="006C41B5" w:rsidRPr="00215418" w:rsidRDefault="00A408EA"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t xml:space="preserve">Level of digital governance frameworks, by region (%), 2023 </w:t>
      </w:r>
    </w:p>
    <w:p w14:paraId="34B47796" w14:textId="77777777" w:rsidR="00392C95" w:rsidRPr="00215418" w:rsidRDefault="00B5407C" w:rsidP="00EB15E6">
      <w:pPr>
        <w:pStyle w:val="notetext"/>
        <w:rPr>
          <w:rFonts w:eastAsia="Aptos"/>
        </w:rPr>
      </w:pPr>
      <w:r w:rsidRPr="00215418">
        <w:rPr>
          <w:noProof/>
        </w:rPr>
        <w:drawing>
          <wp:inline distT="0" distB="0" distL="0" distR="0" wp14:anchorId="5A2B2840" wp14:editId="179CC2AE">
            <wp:extent cx="5534025" cy="2579560"/>
            <wp:effectExtent l="0" t="0" r="0" b="0"/>
            <wp:docPr id="16119919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91988"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593316" cy="2607197"/>
                    </a:xfrm>
                    <a:prstGeom prst="rect">
                      <a:avLst/>
                    </a:prstGeom>
                  </pic:spPr>
                </pic:pic>
              </a:graphicData>
            </a:graphic>
          </wp:inline>
        </w:drawing>
      </w:r>
    </w:p>
    <w:p w14:paraId="4E693331" w14:textId="7CC535F8" w:rsidR="00B80490" w:rsidRPr="00215418" w:rsidRDefault="00B80490" w:rsidP="00EB15E6">
      <w:pPr>
        <w:pStyle w:val="notetext"/>
        <w:rPr>
          <w:rFonts w:eastAsia="Aptos"/>
        </w:rPr>
      </w:pPr>
      <w:r w:rsidRPr="00215418">
        <w:rPr>
          <w:rFonts w:eastAsia="Aptos"/>
        </w:rPr>
        <w:t xml:space="preserve">Note: </w:t>
      </w:r>
      <w:r w:rsidR="002411A4" w:rsidRPr="00215418">
        <w:rPr>
          <w:rStyle w:val="normaltextrun"/>
          <w:rFonts w:eastAsiaTheme="majorEastAsia" w:cs="Segoe UI"/>
          <w:szCs w:val="16"/>
        </w:rPr>
        <w:t xml:space="preserve">The level of readiness is assessed based on the </w:t>
      </w:r>
      <w:hyperlink r:id="rId17" w:history="1">
        <w:r w:rsidR="002411A4" w:rsidRPr="00215418">
          <w:rPr>
            <w:rStyle w:val="Hyperlink"/>
            <w:rFonts w:eastAsiaTheme="majorEastAsia" w:cs="Segoe UI"/>
            <w:szCs w:val="16"/>
          </w:rPr>
          <w:t>G5 Benchmark 2023</w:t>
        </w:r>
      </w:hyperlink>
      <w:r w:rsidR="002411A4" w:rsidRPr="00215418">
        <w:rPr>
          <w:rStyle w:val="normaltextrun"/>
          <w:rFonts w:eastAsiaTheme="majorEastAsia" w:cs="Segoe UI"/>
          <w:szCs w:val="16"/>
        </w:rPr>
        <w:t xml:space="preserve"> (see </w:t>
      </w:r>
      <w:hyperlink r:id="rId18" w:history="1">
        <w:r w:rsidR="002411A4" w:rsidRPr="00215418">
          <w:rPr>
            <w:rStyle w:val="Hyperlink"/>
            <w:rFonts w:eastAsiaTheme="majorEastAsia" w:cs="Segoe UI"/>
            <w:szCs w:val="16"/>
          </w:rPr>
          <w:t>methodology</w:t>
        </w:r>
      </w:hyperlink>
      <w:r w:rsidR="002411A4" w:rsidRPr="00215418">
        <w:rPr>
          <w:rStyle w:val="normaltextrun"/>
          <w:rFonts w:eastAsiaTheme="majorEastAsia" w:cs="Segoe UI"/>
          <w:szCs w:val="16"/>
        </w:rPr>
        <w:t>).</w:t>
      </w:r>
      <w:r w:rsidRPr="00215418">
        <w:rPr>
          <w:rFonts w:eastAsia="Aptos"/>
        </w:rPr>
        <w:t xml:space="preserve"> </w:t>
      </w:r>
    </w:p>
    <w:p w14:paraId="5EAB5A52" w14:textId="6BE97394" w:rsidR="006C41B5" w:rsidRPr="00215418" w:rsidRDefault="006C41B5" w:rsidP="00EB15E6">
      <w:pPr>
        <w:pStyle w:val="Sourcetext"/>
      </w:pPr>
      <w:r w:rsidRPr="00215418">
        <w:t>Source: ITU</w:t>
      </w:r>
      <w:r w:rsidR="00300307" w:rsidRPr="00215418">
        <w:t xml:space="preserve">, </w:t>
      </w:r>
      <w:hyperlink r:id="rId19" w:history="1">
        <w:r w:rsidR="00300307" w:rsidRPr="00215418">
          <w:rPr>
            <w:rStyle w:val="Hyperlink"/>
            <w:rFonts w:eastAsiaTheme="majorEastAsia" w:cs="Segoe UI"/>
            <w:szCs w:val="16"/>
          </w:rPr>
          <w:t>gen5.digital</w:t>
        </w:r>
      </w:hyperlink>
      <w:r w:rsidR="005E38FF" w:rsidRPr="00215418">
        <w:rPr>
          <w:rStyle w:val="normaltextrun"/>
          <w:rFonts w:eastAsiaTheme="majorEastAsia" w:cs="Segoe UI"/>
          <w:szCs w:val="16"/>
        </w:rPr>
        <w:t>.</w:t>
      </w:r>
    </w:p>
    <w:p w14:paraId="07451231" w14:textId="7A305756" w:rsidR="006C41B5" w:rsidRPr="00215418" w:rsidRDefault="004012FF"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lastRenderedPageBreak/>
        <w:t xml:space="preserve">The region has only one country at the </w:t>
      </w:r>
      <w:r w:rsidR="1E4DD283" w:rsidRPr="00215418">
        <w:rPr>
          <w:rFonts w:ascii="Aptos" w:eastAsia="Aptos" w:hAnsi="Aptos" w:cs="Arial"/>
          <w:sz w:val="22"/>
          <w:szCs w:val="22"/>
        </w:rPr>
        <w:t>‘L</w:t>
      </w:r>
      <w:r w:rsidR="003050E9" w:rsidRPr="00215418">
        <w:rPr>
          <w:rFonts w:ascii="Aptos" w:eastAsia="Aptos" w:hAnsi="Aptos" w:cs="Arial"/>
          <w:sz w:val="22"/>
          <w:szCs w:val="22"/>
        </w:rPr>
        <w:t>imited</w:t>
      </w:r>
      <w:r w:rsidR="0D0D50C3" w:rsidRPr="00215418">
        <w:rPr>
          <w:rFonts w:ascii="Aptos" w:eastAsia="Aptos" w:hAnsi="Aptos" w:cs="Arial"/>
          <w:sz w:val="22"/>
          <w:szCs w:val="22"/>
        </w:rPr>
        <w:t>’</w:t>
      </w:r>
      <w:r w:rsidR="003050E9" w:rsidRPr="00215418">
        <w:rPr>
          <w:rFonts w:ascii="Aptos" w:eastAsia="Aptos" w:hAnsi="Aptos" w:cs="Arial"/>
          <w:sz w:val="22"/>
          <w:szCs w:val="22"/>
        </w:rPr>
        <w:t xml:space="preserve"> </w:t>
      </w:r>
      <w:r w:rsidRPr="00215418">
        <w:rPr>
          <w:rFonts w:ascii="Aptos" w:eastAsia="Aptos" w:hAnsi="Aptos" w:cs="Arial"/>
          <w:kern w:val="2"/>
          <w:sz w:val="22"/>
          <w:szCs w:val="22"/>
          <w14:ligatures w14:val="standardContextual"/>
        </w:rPr>
        <w:t>level of readiness and the lowest proportion of Transitioning countries among all regions. While these countries must increase investment and implement targeted initiatives to improve their enabling environments for digital markets, they stand to benefit significantly from the region’s strong integration and collaborative frameworks, which may enable rapid progress.</w:t>
      </w:r>
    </w:p>
    <w:p w14:paraId="7FD792F3" w14:textId="0C4A95E9" w:rsidR="006C41B5" w:rsidRPr="00215418" w:rsidRDefault="00B13E02"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15418">
        <w:rPr>
          <w:rFonts w:ascii="Aptos" w:eastAsia="Aptos" w:hAnsi="Aptos" w:cs="Arial"/>
          <w:b/>
          <w:bCs/>
          <w:i/>
          <w:iCs/>
          <w:kern w:val="2"/>
          <w:sz w:val="22"/>
          <w:szCs w:val="22"/>
          <w14:ligatures w14:val="standardContextual"/>
        </w:rPr>
        <w:t>Digital gaps beyond the EU single market</w:t>
      </w:r>
    </w:p>
    <w:p w14:paraId="16D9F7B7" w14:textId="37144279" w:rsidR="006E2988" w:rsidRPr="00215418" w:rsidRDefault="006E2988" w:rsidP="006E298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Despite Europe’s advanced legal, policy and governance frameworks for digital transformation, progress across the region remains uneven. Countries within the EU Single Market </w:t>
      </w:r>
      <w:r w:rsidR="002E2CFD" w:rsidRPr="00215418">
        <w:rPr>
          <w:rFonts w:ascii="Aptos" w:eastAsia="Aptos" w:hAnsi="Aptos" w:cs="Arial"/>
          <w:kern w:val="2"/>
          <w:sz w:val="22"/>
          <w:szCs w:val="22"/>
          <w14:ligatures w14:val="standardContextual"/>
        </w:rPr>
        <w:t>(</w:t>
      </w:r>
      <w:r w:rsidRPr="00215418">
        <w:rPr>
          <w:rFonts w:ascii="Aptos" w:eastAsia="Aptos" w:hAnsi="Aptos" w:cs="Arial"/>
          <w:kern w:val="2"/>
          <w:sz w:val="22"/>
          <w:szCs w:val="22"/>
          <w14:ligatures w14:val="standardContextual"/>
        </w:rPr>
        <w:t>including EU, European Free Trade Association (EFTA) members</w:t>
      </w:r>
      <w:r w:rsidR="002E2CFD" w:rsidRPr="00215418">
        <w:rPr>
          <w:rFonts w:ascii="Aptos" w:eastAsia="Aptos" w:hAnsi="Aptos" w:cs="Arial"/>
          <w:kern w:val="2"/>
          <w:sz w:val="22"/>
          <w:szCs w:val="22"/>
          <w14:ligatures w14:val="standardContextual"/>
        </w:rPr>
        <w:t>)</w:t>
      </w:r>
      <w:r w:rsidRPr="00215418">
        <w:rPr>
          <w:rFonts w:ascii="Aptos" w:eastAsia="Aptos" w:hAnsi="Aptos" w:cs="Arial"/>
          <w:kern w:val="2"/>
          <w:sz w:val="22"/>
          <w:szCs w:val="22"/>
          <w14:ligatures w14:val="standardContextual"/>
        </w:rPr>
        <w:t xml:space="preserve"> and the United Kingdom</w:t>
      </w:r>
      <w:r w:rsidR="00F4580E" w:rsidRPr="00215418">
        <w:rPr>
          <w:rStyle w:val="FootnoteReference"/>
          <w:rFonts w:eastAsia="Aptos" w:cs="Arial"/>
          <w:kern w:val="2"/>
          <w:szCs w:val="22"/>
          <w14:ligatures w14:val="standardContextual"/>
        </w:rPr>
        <w:footnoteReference w:id="4"/>
      </w:r>
      <w:r w:rsidRPr="00215418">
        <w:rPr>
          <w:rFonts w:ascii="Aptos" w:eastAsia="Aptos" w:hAnsi="Aptos" w:cs="Arial"/>
          <w:kern w:val="2"/>
          <w:sz w:val="22"/>
          <w:szCs w:val="22"/>
          <w14:ligatures w14:val="standardContextual"/>
        </w:rPr>
        <w:t xml:space="preserve"> demonstrate an overall digital readiness of 74 per cent, according to the ITU Unified Framework</w:t>
      </w:r>
      <w:r w:rsidR="00CE5342" w:rsidRPr="00215418">
        <w:rPr>
          <w:rFonts w:ascii="Aptos" w:eastAsia="Aptos" w:hAnsi="Aptos" w:cs="Arial"/>
          <w:kern w:val="2"/>
          <w:sz w:val="22"/>
          <w:szCs w:val="22"/>
          <w14:ligatures w14:val="standardContextual"/>
        </w:rPr>
        <w:t xml:space="preserve">. This is </w:t>
      </w:r>
      <w:r w:rsidR="00EA6BD6" w:rsidRPr="00215418">
        <w:rPr>
          <w:rFonts w:ascii="Aptos" w:eastAsia="Aptos" w:hAnsi="Aptos" w:cs="Arial"/>
          <w:kern w:val="2"/>
          <w:sz w:val="22"/>
          <w:szCs w:val="22"/>
          <w14:ligatures w14:val="standardContextual"/>
        </w:rPr>
        <w:t>20 p</w:t>
      </w:r>
      <w:r w:rsidR="003563C3" w:rsidRPr="00215418">
        <w:rPr>
          <w:rFonts w:ascii="Aptos" w:eastAsia="Aptos" w:hAnsi="Aptos" w:cs="Arial"/>
          <w:kern w:val="2"/>
          <w:sz w:val="22"/>
          <w:szCs w:val="22"/>
          <w14:ligatures w14:val="standardContextual"/>
        </w:rPr>
        <w:t>e</w:t>
      </w:r>
      <w:r w:rsidR="00EA6BD6" w:rsidRPr="00215418">
        <w:rPr>
          <w:rFonts w:ascii="Aptos" w:eastAsia="Aptos" w:hAnsi="Aptos" w:cs="Arial"/>
          <w:kern w:val="2"/>
          <w:sz w:val="22"/>
          <w:szCs w:val="22"/>
          <w14:ligatures w14:val="standardContextual"/>
        </w:rPr>
        <w:t xml:space="preserve">rcentage point </w:t>
      </w:r>
      <w:r w:rsidR="00F506C7" w:rsidRPr="00215418">
        <w:rPr>
          <w:rFonts w:ascii="Aptos" w:eastAsia="Aptos" w:hAnsi="Aptos" w:cs="Arial"/>
          <w:kern w:val="2"/>
          <w:sz w:val="22"/>
          <w:szCs w:val="22"/>
          <w14:ligatures w14:val="standardContextual"/>
        </w:rPr>
        <w:t xml:space="preserve">more than </w:t>
      </w:r>
      <w:r w:rsidRPr="00215418">
        <w:rPr>
          <w:rFonts w:ascii="Aptos" w:eastAsia="Aptos" w:hAnsi="Aptos" w:cs="Arial"/>
          <w:kern w:val="2"/>
          <w:sz w:val="22"/>
          <w:szCs w:val="22"/>
          <w14:ligatures w14:val="standardContextual"/>
        </w:rPr>
        <w:t>the other countries in the region</w:t>
      </w:r>
      <w:r w:rsidR="00F506C7" w:rsidRPr="00215418">
        <w:rPr>
          <w:rFonts w:ascii="Aptos" w:eastAsia="Aptos" w:hAnsi="Aptos" w:cs="Arial"/>
          <w:kern w:val="2"/>
          <w:sz w:val="22"/>
          <w:szCs w:val="22"/>
          <w14:ligatures w14:val="standardContextual"/>
        </w:rPr>
        <w:t xml:space="preserve"> which </w:t>
      </w:r>
      <w:r w:rsidR="00750DEE" w:rsidRPr="00215418">
        <w:rPr>
          <w:rFonts w:ascii="Aptos" w:eastAsia="Aptos" w:hAnsi="Aptos" w:cs="Arial"/>
          <w:kern w:val="2"/>
          <w:sz w:val="22"/>
          <w:szCs w:val="22"/>
          <w14:ligatures w14:val="standardContextual"/>
        </w:rPr>
        <w:t xml:space="preserve">still </w:t>
      </w:r>
      <w:r w:rsidR="000C2347" w:rsidRPr="00215418">
        <w:rPr>
          <w:rFonts w:ascii="Aptos" w:eastAsia="Aptos" w:hAnsi="Aptos" w:cs="Arial"/>
          <w:kern w:val="2"/>
          <w:sz w:val="22"/>
          <w:szCs w:val="22"/>
          <w14:ligatures w14:val="standardContextual"/>
        </w:rPr>
        <w:t xml:space="preserve">perform </w:t>
      </w:r>
      <w:r w:rsidRPr="00215418">
        <w:rPr>
          <w:rFonts w:ascii="Aptos" w:eastAsia="Aptos" w:hAnsi="Aptos" w:cs="Arial"/>
          <w:kern w:val="2"/>
          <w:sz w:val="22"/>
          <w:szCs w:val="22"/>
          <w14:ligatures w14:val="standardContextual"/>
        </w:rPr>
        <w:t>above global averages in most areas</w:t>
      </w:r>
      <w:r w:rsidR="003563C3" w:rsidRPr="00215418">
        <w:rPr>
          <w:rFonts w:ascii="Aptos" w:eastAsia="Aptos" w:hAnsi="Aptos" w:cs="Arial"/>
          <w:kern w:val="2"/>
          <w:sz w:val="22"/>
          <w:szCs w:val="22"/>
          <w14:ligatures w14:val="standardContextual"/>
        </w:rPr>
        <w:t xml:space="preserve">. The gap between EU Single </w:t>
      </w:r>
      <w:r w:rsidR="002230A7" w:rsidRPr="00215418">
        <w:rPr>
          <w:rFonts w:ascii="Aptos" w:eastAsia="Aptos" w:hAnsi="Aptos" w:cs="Arial"/>
          <w:kern w:val="2"/>
          <w:sz w:val="22"/>
          <w:szCs w:val="22"/>
          <w14:ligatures w14:val="standardContextual"/>
        </w:rPr>
        <w:t>M</w:t>
      </w:r>
      <w:r w:rsidR="003563C3" w:rsidRPr="00215418">
        <w:rPr>
          <w:rFonts w:ascii="Aptos" w:eastAsia="Aptos" w:hAnsi="Aptos" w:cs="Arial"/>
          <w:kern w:val="2"/>
          <w:sz w:val="22"/>
          <w:szCs w:val="22"/>
          <w14:ligatures w14:val="standardContextual"/>
        </w:rPr>
        <w:t xml:space="preserve">arket </w:t>
      </w:r>
      <w:r w:rsidR="00951834" w:rsidRPr="00215418">
        <w:rPr>
          <w:rFonts w:ascii="Aptos" w:eastAsia="Aptos" w:hAnsi="Aptos" w:cs="Arial"/>
          <w:kern w:val="2"/>
          <w:sz w:val="22"/>
          <w:szCs w:val="22"/>
          <w14:ligatures w14:val="standardContextual"/>
        </w:rPr>
        <w:t>countries and other</w:t>
      </w:r>
      <w:r w:rsidR="002A215F" w:rsidRPr="00215418">
        <w:rPr>
          <w:rFonts w:ascii="Aptos" w:eastAsia="Aptos" w:hAnsi="Aptos" w:cs="Arial"/>
          <w:kern w:val="2"/>
          <w:sz w:val="22"/>
          <w:szCs w:val="22"/>
          <w14:ligatures w14:val="standardContextual"/>
        </w:rPr>
        <w:t xml:space="preserve"> countries</w:t>
      </w:r>
      <w:r w:rsidR="00951834" w:rsidRPr="00215418">
        <w:rPr>
          <w:rFonts w:ascii="Aptos" w:eastAsia="Aptos" w:hAnsi="Aptos" w:cs="Arial"/>
          <w:kern w:val="2"/>
          <w:sz w:val="22"/>
          <w:szCs w:val="22"/>
          <w14:ligatures w14:val="standardContextual"/>
        </w:rPr>
        <w:t xml:space="preserve"> </w:t>
      </w:r>
      <w:r w:rsidR="003563C3" w:rsidRPr="00215418">
        <w:rPr>
          <w:rFonts w:ascii="Aptos" w:eastAsia="Aptos" w:hAnsi="Aptos" w:cs="Arial"/>
          <w:kern w:val="2"/>
          <w:sz w:val="22"/>
          <w:szCs w:val="22"/>
          <w14:ligatures w14:val="standardContextual"/>
        </w:rPr>
        <w:t xml:space="preserve">is </w:t>
      </w:r>
      <w:r w:rsidRPr="00215418">
        <w:rPr>
          <w:rFonts w:ascii="Aptos" w:eastAsia="Aptos" w:hAnsi="Aptos" w:cs="Arial"/>
          <w:kern w:val="2"/>
          <w:sz w:val="22"/>
          <w:szCs w:val="22"/>
          <w14:ligatures w14:val="standardContextual"/>
        </w:rPr>
        <w:t xml:space="preserve">particularly </w:t>
      </w:r>
      <w:r w:rsidR="00951834" w:rsidRPr="00215418">
        <w:rPr>
          <w:rFonts w:ascii="Aptos" w:eastAsia="Aptos" w:hAnsi="Aptos" w:cs="Arial"/>
          <w:kern w:val="2"/>
          <w:sz w:val="22"/>
          <w:szCs w:val="22"/>
          <w14:ligatures w14:val="standardContextual"/>
        </w:rPr>
        <w:t xml:space="preserve">wide </w:t>
      </w:r>
      <w:r w:rsidRPr="00215418">
        <w:rPr>
          <w:rFonts w:ascii="Aptos" w:eastAsia="Aptos" w:hAnsi="Aptos" w:cs="Arial"/>
          <w:kern w:val="2"/>
          <w:sz w:val="22"/>
          <w:szCs w:val="22"/>
          <w14:ligatures w14:val="standardContextual"/>
        </w:rPr>
        <w:t xml:space="preserve">in </w:t>
      </w:r>
      <w:r w:rsidR="002A215F" w:rsidRPr="00215418">
        <w:rPr>
          <w:rFonts w:ascii="Aptos" w:eastAsia="Aptos" w:hAnsi="Aptos" w:cs="Arial"/>
          <w:kern w:val="2"/>
          <w:sz w:val="22"/>
          <w:szCs w:val="22"/>
          <w14:ligatures w14:val="standardContextual"/>
        </w:rPr>
        <w:t xml:space="preserve">important </w:t>
      </w:r>
      <w:r w:rsidRPr="00215418">
        <w:rPr>
          <w:rFonts w:ascii="Aptos" w:eastAsia="Aptos" w:hAnsi="Aptos" w:cs="Arial"/>
          <w:kern w:val="2"/>
          <w:sz w:val="22"/>
          <w:szCs w:val="22"/>
          <w14:ligatures w14:val="standardContextual"/>
        </w:rPr>
        <w:t xml:space="preserve">benchmarks such as Regional and </w:t>
      </w:r>
      <w:r w:rsidR="002A215F" w:rsidRPr="00215418">
        <w:rPr>
          <w:rFonts w:ascii="Aptos" w:eastAsia="Aptos" w:hAnsi="Aptos" w:cs="Arial"/>
          <w:kern w:val="2"/>
          <w:sz w:val="22"/>
          <w:szCs w:val="22"/>
          <w14:ligatures w14:val="standardContextual"/>
        </w:rPr>
        <w:t>i</w:t>
      </w:r>
      <w:r w:rsidRPr="00215418">
        <w:rPr>
          <w:rFonts w:ascii="Aptos" w:eastAsia="Aptos" w:hAnsi="Aptos" w:cs="Arial"/>
          <w:kern w:val="2"/>
          <w:sz w:val="22"/>
          <w:szCs w:val="22"/>
          <w14:ligatures w14:val="standardContextual"/>
        </w:rPr>
        <w:t xml:space="preserve">nternational </w:t>
      </w:r>
      <w:r w:rsidR="005D7309" w:rsidRPr="00215418">
        <w:rPr>
          <w:rFonts w:ascii="Aptos" w:eastAsia="Aptos" w:hAnsi="Aptos" w:cs="Arial"/>
          <w:kern w:val="2"/>
          <w:sz w:val="22"/>
          <w:szCs w:val="22"/>
          <w14:ligatures w14:val="standardContextual"/>
        </w:rPr>
        <w:t>c</w:t>
      </w:r>
      <w:r w:rsidRPr="00215418">
        <w:rPr>
          <w:rFonts w:ascii="Aptos" w:eastAsia="Aptos" w:hAnsi="Aptos" w:cs="Arial"/>
          <w:kern w:val="2"/>
          <w:sz w:val="22"/>
          <w:szCs w:val="22"/>
          <w14:ligatures w14:val="standardContextual"/>
        </w:rPr>
        <w:t>ooperation</w:t>
      </w:r>
      <w:r w:rsidR="00527CE9" w:rsidRPr="00215418">
        <w:rPr>
          <w:rFonts w:ascii="Aptos" w:eastAsia="Aptos" w:hAnsi="Aptos" w:cs="Arial"/>
          <w:kern w:val="2"/>
          <w:sz w:val="22"/>
          <w:szCs w:val="22"/>
          <w14:ligatures w14:val="standardContextual"/>
        </w:rPr>
        <w:t xml:space="preserve"> (</w:t>
      </w:r>
      <w:r w:rsidRPr="00215418">
        <w:rPr>
          <w:rFonts w:ascii="Aptos" w:eastAsia="Aptos" w:hAnsi="Aptos" w:cs="Arial"/>
          <w:kern w:val="2"/>
          <w:sz w:val="22"/>
          <w:szCs w:val="22"/>
          <w14:ligatures w14:val="standardContextual"/>
        </w:rPr>
        <w:t>36 percentage point</w:t>
      </w:r>
      <w:r w:rsidR="00527CE9" w:rsidRPr="00215418">
        <w:rPr>
          <w:rFonts w:ascii="Aptos" w:eastAsia="Aptos" w:hAnsi="Aptos" w:cs="Arial"/>
          <w:kern w:val="2"/>
          <w:sz w:val="22"/>
          <w:szCs w:val="22"/>
          <w14:ligatures w14:val="standardContextual"/>
        </w:rPr>
        <w:t xml:space="preserve"> gap)</w:t>
      </w:r>
      <w:r w:rsidRPr="00215418">
        <w:rPr>
          <w:rFonts w:ascii="Aptos" w:eastAsia="Aptos" w:hAnsi="Aptos" w:cs="Arial"/>
          <w:kern w:val="2"/>
          <w:sz w:val="22"/>
          <w:szCs w:val="22"/>
          <w14:ligatures w14:val="standardContextual"/>
        </w:rPr>
        <w:t xml:space="preserve">, and in </w:t>
      </w:r>
      <w:r w:rsidR="00153FEF" w:rsidRPr="00215418">
        <w:rPr>
          <w:rFonts w:ascii="Aptos" w:eastAsia="Aptos" w:hAnsi="Aptos" w:cs="Arial"/>
          <w:kern w:val="2"/>
          <w:sz w:val="22"/>
          <w:szCs w:val="22"/>
          <w14:ligatures w14:val="standardContextual"/>
        </w:rPr>
        <w:t>Legal i</w:t>
      </w:r>
      <w:r w:rsidRPr="00215418">
        <w:rPr>
          <w:rFonts w:ascii="Aptos" w:eastAsia="Aptos" w:hAnsi="Aptos" w:cs="Arial"/>
          <w:kern w:val="2"/>
          <w:sz w:val="22"/>
          <w:szCs w:val="22"/>
          <w14:ligatures w14:val="standardContextual"/>
        </w:rPr>
        <w:t xml:space="preserve">nstruments for the </w:t>
      </w:r>
      <w:r w:rsidR="0018742A" w:rsidRPr="00215418">
        <w:rPr>
          <w:rFonts w:ascii="Aptos" w:eastAsia="Aptos" w:hAnsi="Aptos" w:cs="Arial"/>
          <w:kern w:val="2"/>
          <w:sz w:val="22"/>
          <w:szCs w:val="22"/>
          <w14:ligatures w14:val="standardContextual"/>
        </w:rPr>
        <w:t>t</w:t>
      </w:r>
      <w:r w:rsidRPr="00215418">
        <w:rPr>
          <w:rFonts w:ascii="Aptos" w:eastAsia="Aptos" w:hAnsi="Aptos" w:cs="Arial"/>
          <w:kern w:val="2"/>
          <w:sz w:val="22"/>
          <w:szCs w:val="22"/>
          <w14:ligatures w14:val="standardContextual"/>
        </w:rPr>
        <w:t xml:space="preserve">elecom/ICT </w:t>
      </w:r>
      <w:r w:rsidR="0018742A" w:rsidRPr="00215418">
        <w:rPr>
          <w:rFonts w:ascii="Aptos" w:eastAsia="Aptos" w:hAnsi="Aptos" w:cs="Arial"/>
          <w:kern w:val="2"/>
          <w:sz w:val="22"/>
          <w:szCs w:val="22"/>
          <w14:ligatures w14:val="standardContextual"/>
        </w:rPr>
        <w:t>s</w:t>
      </w:r>
      <w:r w:rsidRPr="00215418">
        <w:rPr>
          <w:rFonts w:ascii="Aptos" w:eastAsia="Aptos" w:hAnsi="Aptos" w:cs="Arial"/>
          <w:kern w:val="2"/>
          <w:sz w:val="22"/>
          <w:szCs w:val="22"/>
          <w14:ligatures w14:val="standardContextual"/>
        </w:rPr>
        <w:t xml:space="preserve">ector and </w:t>
      </w:r>
      <w:r w:rsidR="00153FEF" w:rsidRPr="00215418">
        <w:rPr>
          <w:rFonts w:ascii="Aptos" w:eastAsia="Aptos" w:hAnsi="Aptos" w:cs="Arial"/>
          <w:kern w:val="2"/>
          <w:sz w:val="22"/>
          <w:szCs w:val="22"/>
          <w14:ligatures w14:val="standardContextual"/>
        </w:rPr>
        <w:t xml:space="preserve">ICT </w:t>
      </w:r>
      <w:r w:rsidR="00F54F35" w:rsidRPr="00215418">
        <w:rPr>
          <w:rFonts w:ascii="Aptos" w:eastAsia="Aptos" w:hAnsi="Aptos" w:cs="Arial"/>
          <w:kern w:val="2"/>
          <w:sz w:val="22"/>
          <w:szCs w:val="22"/>
          <w14:ligatures w14:val="standardContextual"/>
        </w:rPr>
        <w:t>m</w:t>
      </w:r>
      <w:r w:rsidRPr="00215418">
        <w:rPr>
          <w:rFonts w:ascii="Aptos" w:eastAsia="Aptos" w:hAnsi="Aptos" w:cs="Arial"/>
          <w:kern w:val="2"/>
          <w:sz w:val="22"/>
          <w:szCs w:val="22"/>
          <w14:ligatures w14:val="standardContextual"/>
        </w:rPr>
        <w:t xml:space="preserve">arket </w:t>
      </w:r>
      <w:r w:rsidR="005D7309" w:rsidRPr="00215418">
        <w:rPr>
          <w:rFonts w:ascii="Aptos" w:eastAsia="Aptos" w:hAnsi="Aptos" w:cs="Arial"/>
          <w:kern w:val="2"/>
          <w:sz w:val="22"/>
          <w:szCs w:val="22"/>
          <w14:ligatures w14:val="standardContextual"/>
        </w:rPr>
        <w:t>r</w:t>
      </w:r>
      <w:r w:rsidRPr="00215418">
        <w:rPr>
          <w:rFonts w:ascii="Aptos" w:eastAsia="Aptos" w:hAnsi="Aptos" w:cs="Arial"/>
          <w:kern w:val="2"/>
          <w:sz w:val="22"/>
          <w:szCs w:val="22"/>
          <w14:ligatures w14:val="standardContextual"/>
        </w:rPr>
        <w:t>ules</w:t>
      </w:r>
      <w:r w:rsidR="00527CE9" w:rsidRPr="00215418">
        <w:rPr>
          <w:rFonts w:ascii="Aptos" w:eastAsia="Aptos" w:hAnsi="Aptos" w:cs="Arial"/>
          <w:kern w:val="2"/>
          <w:sz w:val="22"/>
          <w:szCs w:val="22"/>
          <w14:ligatures w14:val="standardContextual"/>
        </w:rPr>
        <w:t xml:space="preserve"> </w:t>
      </w:r>
      <w:r w:rsidR="003E5B0B" w:rsidRPr="00215418">
        <w:rPr>
          <w:rFonts w:ascii="Aptos" w:eastAsia="Aptos" w:hAnsi="Aptos" w:cs="Arial"/>
          <w:kern w:val="2"/>
          <w:sz w:val="22"/>
          <w:szCs w:val="22"/>
          <w14:ligatures w14:val="standardContextual"/>
        </w:rPr>
        <w:t>(</w:t>
      </w:r>
      <w:r w:rsidR="00D20811" w:rsidRPr="00215418">
        <w:rPr>
          <w:rFonts w:ascii="Aptos" w:eastAsia="Aptos" w:hAnsi="Aptos" w:cs="Arial"/>
          <w:kern w:val="2"/>
          <w:sz w:val="22"/>
          <w:szCs w:val="22"/>
          <w14:ligatures w14:val="standardContextual"/>
        </w:rPr>
        <w:t xml:space="preserve">each with a </w:t>
      </w:r>
      <w:r w:rsidRPr="00215418">
        <w:rPr>
          <w:rFonts w:ascii="Aptos" w:eastAsia="Aptos" w:hAnsi="Aptos" w:cs="Arial"/>
          <w:kern w:val="2"/>
          <w:sz w:val="22"/>
          <w:szCs w:val="22"/>
          <w14:ligatures w14:val="standardContextual"/>
        </w:rPr>
        <w:t>21</w:t>
      </w:r>
      <w:r w:rsidR="005C4361" w:rsidRPr="00215418">
        <w:rPr>
          <w:rFonts w:ascii="Aptos" w:eastAsia="Aptos" w:hAnsi="Aptos" w:cs="Arial"/>
          <w:kern w:val="2"/>
          <w:sz w:val="22"/>
          <w:szCs w:val="22"/>
          <w14:ligatures w14:val="standardContextual"/>
        </w:rPr>
        <w:t>-</w:t>
      </w:r>
      <w:r w:rsidRPr="00215418">
        <w:rPr>
          <w:rFonts w:ascii="Aptos" w:eastAsia="Aptos" w:hAnsi="Aptos" w:cs="Arial"/>
          <w:kern w:val="2"/>
          <w:sz w:val="22"/>
          <w:szCs w:val="22"/>
          <w14:ligatures w14:val="standardContextual"/>
        </w:rPr>
        <w:t>percentage</w:t>
      </w:r>
      <w:r w:rsidR="005C4361" w:rsidRPr="00215418">
        <w:rPr>
          <w:rFonts w:ascii="Aptos" w:eastAsia="Aptos" w:hAnsi="Aptos" w:cs="Arial"/>
          <w:kern w:val="2"/>
          <w:sz w:val="22"/>
          <w:szCs w:val="22"/>
          <w14:ligatures w14:val="standardContextual"/>
        </w:rPr>
        <w:t>-</w:t>
      </w:r>
      <w:r w:rsidRPr="00215418">
        <w:rPr>
          <w:rFonts w:ascii="Aptos" w:eastAsia="Aptos" w:hAnsi="Aptos" w:cs="Arial"/>
          <w:kern w:val="2"/>
          <w:sz w:val="22"/>
          <w:szCs w:val="22"/>
          <w14:ligatures w14:val="standardContextual"/>
        </w:rPr>
        <w:t>point</w:t>
      </w:r>
      <w:r w:rsidR="005C4361" w:rsidRPr="00215418">
        <w:rPr>
          <w:rFonts w:ascii="Aptos" w:eastAsia="Aptos" w:hAnsi="Aptos" w:cs="Arial"/>
          <w:kern w:val="2"/>
          <w:sz w:val="22"/>
          <w:szCs w:val="22"/>
          <w14:ligatures w14:val="standardContextual"/>
        </w:rPr>
        <w:t xml:space="preserve"> gap</w:t>
      </w:r>
      <w:r w:rsidR="00527CE9" w:rsidRPr="00215418">
        <w:rPr>
          <w:rFonts w:ascii="Aptos" w:eastAsia="Aptos" w:hAnsi="Aptos" w:cs="Arial"/>
          <w:kern w:val="2"/>
          <w:sz w:val="22"/>
          <w:szCs w:val="22"/>
          <w14:ligatures w14:val="standardContextual"/>
        </w:rPr>
        <w:t>)</w:t>
      </w:r>
      <w:r w:rsidRPr="00215418">
        <w:rPr>
          <w:rFonts w:ascii="Aptos" w:eastAsia="Aptos" w:hAnsi="Aptos" w:cs="Arial"/>
          <w:kern w:val="2"/>
          <w:sz w:val="22"/>
          <w:szCs w:val="22"/>
          <w14:ligatures w14:val="standardContextual"/>
        </w:rPr>
        <w:t xml:space="preserve">. </w:t>
      </w:r>
    </w:p>
    <w:p w14:paraId="5191141D" w14:textId="3249EBCE"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t>Legal, policy and governance frameworks for digital transformation, 2023</w:t>
      </w:r>
    </w:p>
    <w:p w14:paraId="45BD81D7" w14:textId="63B5F1D8" w:rsidR="006C41B5" w:rsidRPr="00215418" w:rsidRDefault="00582D0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215418">
        <w:rPr>
          <w:noProof/>
        </w:rPr>
        <w:drawing>
          <wp:inline distT="0" distB="0" distL="0" distR="0" wp14:anchorId="560BD318" wp14:editId="604754B7">
            <wp:extent cx="6120765" cy="2962275"/>
            <wp:effectExtent l="0" t="0" r="0" b="9525"/>
            <wp:docPr id="157347436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47436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6120765" cy="2962275"/>
                    </a:xfrm>
                    <a:prstGeom prst="rect">
                      <a:avLst/>
                    </a:prstGeom>
                  </pic:spPr>
                </pic:pic>
              </a:graphicData>
            </a:graphic>
          </wp:inline>
        </w:drawing>
      </w:r>
    </w:p>
    <w:p w14:paraId="53BFDBB3" w14:textId="77777777" w:rsidR="00B9343F" w:rsidRPr="00215418" w:rsidRDefault="00B9343F" w:rsidP="00EB15E6">
      <w:pPr>
        <w:pStyle w:val="notetext"/>
      </w:pPr>
      <w:r w:rsidRPr="00215418">
        <w:t xml:space="preserve">Note: The nine thematic benchmarks (as in the chart above) each comprise a subset of indicators, as part of the </w:t>
      </w:r>
      <w:hyperlink r:id="rId22" w:history="1">
        <w:r w:rsidRPr="00215418">
          <w:rPr>
            <w:color w:val="467886"/>
            <w:szCs w:val="16"/>
            <w:u w:val="single"/>
          </w:rPr>
          <w:t>ITU Unified Framework for the readiness of national policy, legal and governance frameworks for digital transformation</w:t>
        </w:r>
      </w:hyperlink>
      <w:r w:rsidRPr="00215418">
        <w:t xml:space="preserve">. </w:t>
      </w:r>
    </w:p>
    <w:p w14:paraId="025C4623" w14:textId="68E5C776" w:rsidR="00B9343F" w:rsidRPr="00215418" w:rsidRDefault="00DC6CD1" w:rsidP="00EB15E6">
      <w:pPr>
        <w:pStyle w:val="notetext"/>
      </w:pPr>
      <w:r w:rsidRPr="00215418">
        <w:t xml:space="preserve">The chart shows </w:t>
      </w:r>
      <w:r w:rsidR="009B695D" w:rsidRPr="00215418">
        <w:t xml:space="preserve"> the average </w:t>
      </w:r>
      <w:r w:rsidRPr="00215418">
        <w:t xml:space="preserve">progress </w:t>
      </w:r>
      <w:r w:rsidR="009B695D" w:rsidRPr="00215418">
        <w:t xml:space="preserve">score </w:t>
      </w:r>
      <w:r w:rsidRPr="00215418">
        <w:t>on the nine benchmarks for</w:t>
      </w:r>
      <w:r w:rsidR="009B695D" w:rsidRPr="00215418">
        <w:t xml:space="preserve">: </w:t>
      </w:r>
      <w:r w:rsidRPr="00215418">
        <w:t>Europe</w:t>
      </w:r>
      <w:r w:rsidR="009B695D" w:rsidRPr="00215418">
        <w:t xml:space="preserve">; </w:t>
      </w:r>
      <w:r w:rsidRPr="00215418">
        <w:t>EU Single Market (EU, EFTA</w:t>
      </w:r>
      <w:r w:rsidR="006635A3" w:rsidRPr="00215418">
        <w:t>)</w:t>
      </w:r>
      <w:r w:rsidRPr="00215418">
        <w:t xml:space="preserve"> and UK</w:t>
      </w:r>
      <w:r w:rsidR="009B695D" w:rsidRPr="00215418">
        <w:t xml:space="preserve">; </w:t>
      </w:r>
      <w:r w:rsidR="00F8719B" w:rsidRPr="00215418">
        <w:t xml:space="preserve">other European </w:t>
      </w:r>
      <w:r w:rsidRPr="00215418">
        <w:t>countries</w:t>
      </w:r>
      <w:r w:rsidR="00F8719B" w:rsidRPr="00215418">
        <w:t xml:space="preserve">; </w:t>
      </w:r>
      <w:r w:rsidRPr="00215418">
        <w:t>and the world. The percentage of achievement on each benchmark indicates the proportion of met versus unmet targets on indicators in each benchmark in each group</w:t>
      </w:r>
      <w:r w:rsidR="00B9343F" w:rsidRPr="00215418">
        <w:t>.</w:t>
      </w:r>
    </w:p>
    <w:p w14:paraId="28FB539B" w14:textId="77777777" w:rsidR="00B9343F" w:rsidRPr="00215418" w:rsidRDefault="00B9343F" w:rsidP="00EB15E6">
      <w:pPr>
        <w:pStyle w:val="Sourcetext"/>
      </w:pPr>
      <w:r w:rsidRPr="00215418">
        <w:t>Source: ITU</w:t>
      </w:r>
    </w:p>
    <w:p w14:paraId="26BA5560" w14:textId="77777777" w:rsidR="00E1777F" w:rsidRPr="00215418" w:rsidRDefault="00E1777F" w:rsidP="00E1777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National digital strategies further illustrate these disparities. Over two-thirds of EU Single Market countries have adopted such strategies to align policies supporting e-government, inclusion and the growth of digital economies, compared to just over one-third of other European countries. Moreover, half of EU countries with digital strategies include mechanisms for implementation and operational objectives, enabling faster and more efficient progress. In contrast, fewer than a third of other countries in the region include these elements. Universal access to broadband, a critical driver of </w:t>
      </w:r>
      <w:r w:rsidRPr="00215418">
        <w:rPr>
          <w:rFonts w:ascii="Aptos" w:eastAsia="Aptos" w:hAnsi="Aptos" w:cs="Arial"/>
          <w:kern w:val="2"/>
          <w:sz w:val="22"/>
          <w:szCs w:val="22"/>
          <w14:ligatures w14:val="standardContextual"/>
        </w:rPr>
        <w:lastRenderedPageBreak/>
        <w:t>digital inclusion, remains unaddressed at the policy level in 62 per cent of other European countries, where access to and use of digital services remain significantly lower than the rest of the region.</w:t>
      </w:r>
    </w:p>
    <w:p w14:paraId="556A0F54" w14:textId="77777777" w:rsidR="00E1777F" w:rsidRPr="00215418" w:rsidRDefault="00E1777F" w:rsidP="00E1777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Regulatory capacity, a cornerstone of digital governance, also reveals stark differences. All EU Single Market countries have established separate regulatory authorities for ICTs and digital services with strong decision-making autonomy. In comparison, a third of other European countries still have no ICT or digital regulators altogether and only half of the existing ones enjoy autonomy. The use of key policy instruments varies widely across the region. For instance, ex-post policy reviews are conducted in 77 per cent of EU countries, compared to just 38 per cent of other European countries, limiting opportunities to evaluate implementation outcomes and refine policy directions for improved results.</w:t>
      </w:r>
    </w:p>
    <w:p w14:paraId="60DADFFB" w14:textId="77777777" w:rsidR="00E1777F" w:rsidRPr="00215418" w:rsidRDefault="00E1777F" w:rsidP="00E1777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Broad, outcome-oriented collaboration has been recognized as essential for enabling coherent and mutually reinforcing cross-sectoral frameworks for digital transformation</w:t>
      </w:r>
      <w:r w:rsidRPr="00215418">
        <w:rPr>
          <w:rFonts w:ascii="Aptos" w:eastAsia="Aptos" w:hAnsi="Aptos" w:cs="Arial"/>
          <w:kern w:val="2"/>
          <w:sz w:val="22"/>
          <w:szCs w:val="22"/>
          <w:vertAlign w:val="superscript"/>
          <w14:ligatures w14:val="standardContextual"/>
        </w:rPr>
        <w:footnoteReference w:id="5"/>
      </w:r>
      <w:r w:rsidRPr="00215418">
        <w:rPr>
          <w:rFonts w:ascii="Aptos" w:eastAsia="Aptos" w:hAnsi="Aptos" w:cs="Arial"/>
          <w:kern w:val="2"/>
          <w:sz w:val="22"/>
          <w:szCs w:val="22"/>
          <w14:ligatures w14:val="standardContextual"/>
        </w:rPr>
        <w:t>, but collaboration between regulators is another area where gaps persist. The EU Single Market leads with a Collaborative Governance benchmark of 61 per cent in 2023, significantly above the global average of 43 per cent.  ICT regulators in EU countries most often collaborate with counterparts from the postal, spectrum management, broadcasting and cybersecurity authorities, with engagement levels between 75 and 92 per cent. Only half of EU ICT regulators, however, engage with data protection and consumer protection authorities, highlighting significant room for improvement in these critical areas. Collaboration with financial regulators is even more limited, practiced in only 19 per cent of EU countries compared to a global average of 33 per cent.</w:t>
      </w:r>
    </w:p>
    <w:p w14:paraId="47CF918D" w14:textId="77777777" w:rsidR="00E1777F" w:rsidRPr="00215418" w:rsidRDefault="00E1777F" w:rsidP="00E1777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In other European countries, the Collaborative Governance benchmark stands at a modest 43 per cent, with stronger collaboration observed with spectrum management regulators and education ministries, involving 77 per cent of ICT regulators. Key areas such as broadcasting, cybersecurity and competition see collaboration in just over half of these countries. The lowest levels of collaboration – only 8 per cent – are with government entities responsible for transport and energy regulation while collaborative practices with financial regulators are almost non-existent.</w:t>
      </w:r>
    </w:p>
    <w:p w14:paraId="010FA13F" w14:textId="5221F965" w:rsidR="00E1777F" w:rsidRPr="00215418" w:rsidRDefault="00E1777F" w:rsidP="00E1777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Across all regions, there is a considerable gap between the levels of maturity of telecom and digital regulation; Europe is no exception. EU Single Market countries, as early adopters of telecom reforms, have today some of the most comprehensive ICT regulatory frameworks in the world and achieve 90 per cent of this benchmark in 2023. By comparison, legal instruments for digital markets score 60 per cent in these countries, still significantly higher than the global average of 39 per cent.  Other European countries </w:t>
      </w:r>
      <w:r w:rsidR="006B5A64" w:rsidRPr="00215418">
        <w:rPr>
          <w:rFonts w:ascii="Aptos" w:eastAsia="Aptos" w:hAnsi="Aptos" w:cs="Arial"/>
          <w:kern w:val="2"/>
          <w:sz w:val="22"/>
          <w:szCs w:val="22"/>
          <w14:ligatures w14:val="standardContextual"/>
        </w:rPr>
        <w:t>lag</w:t>
      </w:r>
      <w:r w:rsidRPr="00215418">
        <w:rPr>
          <w:rFonts w:ascii="Aptos" w:eastAsia="Aptos" w:hAnsi="Aptos" w:cs="Arial"/>
          <w:kern w:val="2"/>
          <w:sz w:val="22"/>
          <w:szCs w:val="22"/>
          <w14:ligatures w14:val="standardContextual"/>
        </w:rPr>
        <w:t>, scoring 59 per cent and 43 per cent, respectively, on the Legal Instruments for ICT and Digital Markets benchmarks. Notable gaps in telecom regulation, ranging from 20 to 30 percentage points, persist between EU and other countries in areas such as unified licensing regimes, infrastructure sharing, co-location and number portability. In digital regulation, e-government capacity demonstrates the starkest gap, with all EU Single Market countries having high or very high capacity, compared to only 15 per cent of other European countries</w:t>
      </w:r>
      <w:r w:rsidRPr="00215418">
        <w:rPr>
          <w:rFonts w:ascii="Aptos" w:eastAsia="Aptos" w:hAnsi="Aptos" w:cs="Arial"/>
          <w:kern w:val="2"/>
          <w:sz w:val="22"/>
          <w:szCs w:val="22"/>
          <w:vertAlign w:val="superscript"/>
          <w14:ligatures w14:val="standardContextual"/>
        </w:rPr>
        <w:t xml:space="preserve"> </w:t>
      </w:r>
      <w:r w:rsidRPr="00215418">
        <w:rPr>
          <w:rFonts w:ascii="Aptos" w:eastAsia="Aptos" w:hAnsi="Aptos" w:cs="Arial"/>
          <w:kern w:val="2"/>
          <w:sz w:val="22"/>
          <w:szCs w:val="22"/>
          <w:vertAlign w:val="superscript"/>
          <w14:ligatures w14:val="standardContextual"/>
        </w:rPr>
        <w:footnoteReference w:id="6"/>
      </w:r>
      <w:r w:rsidRPr="00215418">
        <w:rPr>
          <w:rFonts w:ascii="Aptos" w:eastAsia="Aptos" w:hAnsi="Aptos" w:cs="Arial"/>
          <w:kern w:val="2"/>
          <w:sz w:val="22"/>
          <w:szCs w:val="22"/>
          <w14:ligatures w14:val="standardContextual"/>
        </w:rPr>
        <w:t>. Despite these gaps, both sub-regions show full alignment in critical areas, including national cybersecurity strategies, data protection and e-commerce laws, with all countries in the region having these instruments in place.</w:t>
      </w:r>
    </w:p>
    <w:p w14:paraId="2CBDFCD9" w14:textId="7C69775F" w:rsidR="00362FCA" w:rsidRPr="00215418" w:rsidRDefault="00E1777F"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A regionally harmonized regulatory approach has allowed EU Single Market countries to position themselves at the forefront of telecom and digital development globally, with 84 per cent participating in regional integration mechanisms that include ICT or digital chapters as of 2023. In contrast, none of other European countries are engaged in such mechanisms or participate in regional agreements on </w:t>
      </w:r>
      <w:r w:rsidRPr="00215418">
        <w:rPr>
          <w:rFonts w:ascii="Aptos" w:eastAsia="Aptos" w:hAnsi="Aptos" w:cs="Arial"/>
          <w:kern w:val="2"/>
          <w:sz w:val="22"/>
          <w:szCs w:val="22"/>
          <w14:ligatures w14:val="standardContextual"/>
        </w:rPr>
        <w:lastRenderedPageBreak/>
        <w:t xml:space="preserve">cross-border data flows. Furthermore, all Single Market countries have made a commitment to facilitate trade in telecommunication services under GATS, compared to only half of other European countries. These disparities in adopting harmonized legal frameworks risk impeding cross-border digital transactions and e-commerce across the Europe region and beyond, limiting opportunities to strengthen digital economies across the region. </w:t>
      </w:r>
      <w:r w:rsidR="00246390" w:rsidRPr="00215418">
        <w:rPr>
          <w:rFonts w:ascii="Aptos" w:eastAsia="Aptos" w:hAnsi="Aptos" w:cs="Arial"/>
          <w:kern w:val="2"/>
          <w:sz w:val="22"/>
          <w:szCs w:val="22"/>
          <w14:ligatures w14:val="standardContextual"/>
        </w:rPr>
        <w:t xml:space="preserve">Nonetheless, a notable achievement in international cooperation is that all countries in the region are party to the Budapest Convention on </w:t>
      </w:r>
      <w:r w:rsidR="00731632" w:rsidRPr="00215418">
        <w:rPr>
          <w:rFonts w:ascii="Aptos" w:eastAsia="Aptos" w:hAnsi="Aptos" w:cs="Arial"/>
          <w:kern w:val="2"/>
          <w:sz w:val="22"/>
          <w:szCs w:val="22"/>
          <w14:ligatures w14:val="standardContextual"/>
        </w:rPr>
        <w:t>Cybercrime,</w:t>
      </w:r>
      <w:r w:rsidR="00246390" w:rsidRPr="00215418">
        <w:rPr>
          <w:rFonts w:ascii="Aptos" w:eastAsia="Aptos" w:hAnsi="Aptos" w:cs="Arial"/>
          <w:kern w:val="2"/>
          <w:sz w:val="22"/>
          <w:szCs w:val="22"/>
          <w14:ligatures w14:val="standardContextual"/>
        </w:rPr>
        <w:t xml:space="preserve"> and all were also engaged in bilateral agreements that addressed either capacity development or information sharing in cybersecurity</w:t>
      </w:r>
      <w:r w:rsidR="00246390" w:rsidRPr="00215418">
        <w:rPr>
          <w:rFonts w:ascii="Aptos" w:eastAsia="Aptos" w:hAnsi="Aptos" w:cs="Arial"/>
          <w:kern w:val="2"/>
          <w:sz w:val="22"/>
          <w:szCs w:val="22"/>
          <w:vertAlign w:val="superscript"/>
          <w14:ligatures w14:val="standardContextual"/>
        </w:rPr>
        <w:footnoteReference w:id="7"/>
      </w:r>
      <w:r w:rsidR="00246390" w:rsidRPr="00215418">
        <w:rPr>
          <w:rFonts w:ascii="Aptos" w:eastAsia="Aptos" w:hAnsi="Aptos" w:cs="Arial"/>
          <w:kern w:val="2"/>
          <w:sz w:val="22"/>
          <w:szCs w:val="22"/>
          <w14:ligatures w14:val="standardContextual"/>
        </w:rPr>
        <w:t>.</w:t>
      </w:r>
      <w:r w:rsidR="00031C8E" w:rsidRPr="00215418">
        <w:rPr>
          <w:rFonts w:ascii="Aptos" w:eastAsia="Aptos" w:hAnsi="Aptos" w:cs="Arial"/>
          <w:kern w:val="2"/>
          <w:sz w:val="22"/>
          <w:szCs w:val="22"/>
          <w14:ligatures w14:val="standardContextual"/>
        </w:rPr>
        <w:t xml:space="preserve"> </w:t>
      </w:r>
    </w:p>
    <w:p w14:paraId="3CC34A88" w14:textId="22C9A4A4" w:rsidR="006C41B5" w:rsidRPr="00215418" w:rsidRDefault="00E1777F"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To advance digital transformation readiness across the region, fostering greater regional cooperation, harmonizing regulatory frameworks and addressing disparities in policy adoption and implementation will be critical to ensuring inclusive and sustainable progress.</w:t>
      </w:r>
    </w:p>
    <w:p w14:paraId="2B0F0891" w14:textId="5193CC13" w:rsidR="006C41B5" w:rsidRPr="00215418" w:rsidRDefault="00CD32C4"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15418">
        <w:rPr>
          <w:rFonts w:ascii="Aptos" w:eastAsia="Aptos" w:hAnsi="Aptos" w:cs="Arial"/>
          <w:b/>
          <w:bCs/>
          <w:i/>
          <w:iCs/>
          <w:kern w:val="2"/>
          <w:sz w:val="22"/>
          <w:szCs w:val="22"/>
          <w14:ligatures w14:val="standardContextual"/>
        </w:rPr>
        <w:t>Challenges facing non-EU countries in building supportive ecosystems for emerging technologies</w:t>
      </w:r>
    </w:p>
    <w:p w14:paraId="43098F24" w14:textId="66686DEE" w:rsidR="005204C0" w:rsidRPr="00215418" w:rsidRDefault="005204C0" w:rsidP="001A06A4">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Creating supportive ecosystems for emerging technologies is essential for fostering innovation and the competitiveness of digital economies. EU Single Market countries are considerably better equipped than other European countries across key related policy and regulatory areas, scoring consistently above the world averages. </w:t>
      </w:r>
      <w:r w:rsidR="001A06A4" w:rsidRPr="00215418">
        <w:rPr>
          <w:rFonts w:ascii="Aptos" w:eastAsia="Aptos" w:hAnsi="Aptos" w:cs="Arial"/>
          <w:kern w:val="2"/>
          <w:sz w:val="22"/>
          <w:szCs w:val="22"/>
          <w14:ligatures w14:val="standardContextual"/>
        </w:rPr>
        <w:t>Major regionalized instruments such as the AI Act and the European industrial strategy are providing cohesive frameworks for advancing innovation, ethical standards and market competitiveness, further enhancing the region’s economic resilience.</w:t>
      </w:r>
    </w:p>
    <w:p w14:paraId="1D4BFB53" w14:textId="4104565B" w:rsidR="006C41B5" w:rsidRPr="00215418" w:rsidRDefault="007C6F4E"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t>Policy instruments enabling emerging technologies ecosystems, Europe region, 2023</w:t>
      </w:r>
    </w:p>
    <w:p w14:paraId="19EDF3FF" w14:textId="2E20EE4B" w:rsidR="004F58E2" w:rsidRPr="00215418" w:rsidRDefault="001625E7" w:rsidP="00EB15E6">
      <w:pPr>
        <w:pStyle w:val="notetext"/>
        <w:rPr>
          <w:rFonts w:eastAsia="Aptos"/>
        </w:rPr>
      </w:pPr>
      <w:r w:rsidRPr="00B5163E">
        <w:rPr>
          <w:noProof/>
        </w:rPr>
        <w:drawing>
          <wp:inline distT="0" distB="0" distL="0" distR="0" wp14:anchorId="4062879E" wp14:editId="590EA6FB">
            <wp:extent cx="5790161" cy="3705727"/>
            <wp:effectExtent l="0" t="0" r="1270" b="9525"/>
            <wp:docPr id="18250094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009447"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5791621" cy="3706661"/>
                    </a:xfrm>
                    <a:prstGeom prst="rect">
                      <a:avLst/>
                    </a:prstGeom>
                  </pic:spPr>
                </pic:pic>
              </a:graphicData>
            </a:graphic>
          </wp:inline>
        </w:drawing>
      </w:r>
      <w:r w:rsidR="004F58E2" w:rsidRPr="00215418">
        <w:rPr>
          <w:rFonts w:eastAsia="Aptos"/>
        </w:rPr>
        <w:t xml:space="preserve">Note: </w:t>
      </w:r>
      <w:r w:rsidR="00351FE2" w:rsidRPr="00215418">
        <w:rPr>
          <w:rStyle w:val="normaltextrun"/>
          <w:rFonts w:eastAsiaTheme="majorEastAsia" w:cs="Segoe UI"/>
          <w:szCs w:val="16"/>
        </w:rPr>
        <w:t>The sub-regions’ average scores for key indicators in the National Digital Agenda, Legal Instruments for Digital Markets, Stakeholder Engagement and Regional and International Cooperation under the ITU Unified Framework for countries in and outside the Europe Single Market compared to the world average</w:t>
      </w:r>
      <w:r w:rsidR="004F58E2" w:rsidRPr="00215418">
        <w:rPr>
          <w:rFonts w:eastAsia="Aptos"/>
        </w:rPr>
        <w:t>.</w:t>
      </w:r>
    </w:p>
    <w:p w14:paraId="157071C5" w14:textId="77777777" w:rsidR="006C41B5" w:rsidRPr="00215418" w:rsidRDefault="006C41B5" w:rsidP="00EB15E6">
      <w:pPr>
        <w:pStyle w:val="Sourcetext"/>
      </w:pPr>
      <w:r w:rsidRPr="00215418">
        <w:lastRenderedPageBreak/>
        <w:t>Source: ITU</w:t>
      </w:r>
    </w:p>
    <w:p w14:paraId="164DA9C4" w14:textId="77777777" w:rsidR="003B7B0A" w:rsidRPr="00215418" w:rsidRDefault="003B7B0A" w:rsidP="003B7B0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Non-EU countries in Europe are less likely to have frameworks for emerging technologies and currently fall slightly below global averages in most key areas. Only 15 per cent of these countries have instruments for artificial intelligence and cloud computing, while just over one-third have adopted regulations or standards for the Internet of Things. Spectrum strategies addressing new digital technologies are in place in only 38 per cent of non-EU countries, compared to 94 per cent across the EU Single Market. However, leveraging broader regional dynamics, 97 per cent of EU countries and 85 per cent of other European countries have adopted innovation policies, providing a holistic framework for science, technology and innovation development.</w:t>
      </w:r>
    </w:p>
    <w:p w14:paraId="3C766FBD" w14:textId="77777777" w:rsidR="003B7B0A" w:rsidRPr="00215418" w:rsidRDefault="003B7B0A" w:rsidP="003B7B0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Regulatory experimentation mechanisms, essential for testing and refining innovative services, business models and policy approaches, are indispensable for fostering emerging technologies and digital ecosystems. Yet only 38 per cent of non-EU countries have implemented such mechanisms, compared to 75 per cent of EU Single Market countries. Targeted incentives for ICT and digital market players, which can drive investment and lower entry barriers for new players, have been introduced in just 23 per cent of non-EU countries. On a positive note, 88 per cent of EU countries and 85 per cent of non-EU countries have refrained from imposing specific taxes on ICT and digital services, enhancing the overall ease of doing business.</w:t>
      </w:r>
    </w:p>
    <w:p w14:paraId="15C94479" w14:textId="26A96D98" w:rsidR="006C41B5" w:rsidRPr="00215418" w:rsidRDefault="003B7B0A" w:rsidP="003B7B0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Regulatory fragmentation stemming from the uneven development of policy and regulatory frameworks for emerging technologies across Europe region hinders cross-border economic exchanges, creates uncertainty for investors and innovators and may stifle the growth of dynamic digital ecosystems. Overcoming these challenges will require targeted strategies to attract investment, enhance policy coherence and strengthen regional partnerships to build robust, inclusive and sustainable digital economies across the region.</w:t>
      </w:r>
      <w:r w:rsidR="006C41B5" w:rsidRPr="00215418">
        <w:rPr>
          <w:rFonts w:ascii="Aptos" w:eastAsia="Aptos" w:hAnsi="Aptos" w:cs="Arial"/>
          <w:kern w:val="2"/>
          <w:sz w:val="22"/>
          <w:szCs w:val="22"/>
          <w14:ligatures w14:val="standardContextual"/>
        </w:rPr>
        <w:br w:type="page"/>
      </w:r>
    </w:p>
    <w:p w14:paraId="65548862" w14:textId="77777777" w:rsidR="006C41B5" w:rsidRPr="00215418" w:rsidRDefault="006C41B5" w:rsidP="00302CE1">
      <w:pPr>
        <w:pStyle w:val="Section"/>
      </w:pPr>
      <w:bookmarkStart w:id="10" w:name="_Toc188001384"/>
      <w:r w:rsidRPr="00215418">
        <w:lastRenderedPageBreak/>
        <w:t>Internet use</w:t>
      </w:r>
      <w:bookmarkEnd w:id="10"/>
    </w:p>
    <w:p w14:paraId="7700FACE" w14:textId="1DB4B7B9" w:rsidR="006C41B5" w:rsidRPr="00215418"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15418">
        <w:rPr>
          <w:rFonts w:ascii="Aptos" w:eastAsia="Aptos" w:hAnsi="Aptos" w:cs="Arial"/>
          <w:b/>
          <w:bCs/>
          <w:i/>
          <w:iCs/>
          <w:kern w:val="2"/>
          <w:sz w:val="22"/>
          <w:szCs w:val="22"/>
          <w14:ligatures w14:val="standardContextual"/>
        </w:rPr>
        <w:t xml:space="preserve">Internet use in </w:t>
      </w:r>
      <w:r w:rsidR="00856ABE" w:rsidRPr="00215418">
        <w:rPr>
          <w:rFonts w:ascii="Aptos" w:eastAsia="Aptos" w:hAnsi="Aptos" w:cs="Arial"/>
          <w:b/>
          <w:bCs/>
          <w:i/>
          <w:iCs/>
          <w:kern w:val="2"/>
          <w:sz w:val="22"/>
          <w:szCs w:val="22"/>
          <w14:ligatures w14:val="standardContextual"/>
        </w:rPr>
        <w:t>Europe</w:t>
      </w:r>
      <w:r w:rsidRPr="00215418">
        <w:rPr>
          <w:rFonts w:ascii="Aptos" w:eastAsia="Aptos" w:hAnsi="Aptos" w:cs="Arial"/>
          <w:b/>
          <w:bCs/>
          <w:i/>
          <w:iCs/>
          <w:kern w:val="2"/>
          <w:sz w:val="22"/>
          <w:szCs w:val="22"/>
          <w14:ligatures w14:val="standardContextual"/>
        </w:rPr>
        <w:t xml:space="preserve"> </w:t>
      </w:r>
      <w:r w:rsidR="006D5E18" w:rsidRPr="00215418">
        <w:rPr>
          <w:rFonts w:ascii="Aptos" w:eastAsia="Aptos" w:hAnsi="Aptos" w:cs="Arial"/>
          <w:b/>
          <w:bCs/>
          <w:i/>
          <w:iCs/>
          <w:kern w:val="2"/>
          <w:sz w:val="22"/>
          <w:szCs w:val="22"/>
          <w14:ligatures w14:val="standardContextual"/>
        </w:rPr>
        <w:t>approaching universality</w:t>
      </w:r>
    </w:p>
    <w:p w14:paraId="7BA29D8E" w14:textId="77777777"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t>Percentage of individuals using the Internet</w:t>
      </w:r>
    </w:p>
    <w:p w14:paraId="4E3B4419" w14:textId="312923E0" w:rsidR="006C41B5" w:rsidRPr="00215418" w:rsidRDefault="2DB8DF56" w:rsidP="00EB15E6">
      <w:pPr>
        <w:pStyle w:val="Sourcetext"/>
      </w:pPr>
      <w:r w:rsidRPr="00215418">
        <w:rPr>
          <w:noProof/>
        </w:rPr>
        <w:drawing>
          <wp:inline distT="0" distB="0" distL="0" distR="0" wp14:anchorId="05B5FCDA" wp14:editId="195AA144">
            <wp:extent cx="6120765" cy="2480310"/>
            <wp:effectExtent l="0" t="0" r="0" b="0"/>
            <wp:docPr id="118552399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25">
                      <a:extLst>
                        <a:ext uri="{96DAC541-7B7A-43D3-8B79-37D633B846F1}">
                          <asvg:svgBlip xmlns:asvg="http://schemas.microsoft.com/office/drawing/2016/SVG/main" r:embed="rId26"/>
                        </a:ext>
                      </a:extLst>
                    </a:blip>
                    <a:stretch>
                      <a:fillRect/>
                    </a:stretch>
                  </pic:blipFill>
                  <pic:spPr>
                    <a:xfrm>
                      <a:off x="0" y="0"/>
                      <a:ext cx="6120765" cy="2480310"/>
                    </a:xfrm>
                    <a:prstGeom prst="rect">
                      <a:avLst/>
                    </a:prstGeom>
                  </pic:spPr>
                </pic:pic>
              </a:graphicData>
            </a:graphic>
          </wp:inline>
        </w:drawing>
      </w:r>
      <w:r w:rsidR="006C41B5" w:rsidRPr="00215418">
        <w:t>Source: ITU</w:t>
      </w:r>
    </w:p>
    <w:p w14:paraId="0108EAB9" w14:textId="302A865D" w:rsidR="00850EDE" w:rsidRPr="00215418" w:rsidRDefault="005F5EDF" w:rsidP="008F7F1C">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For most indicators </w:t>
      </w:r>
      <w:r w:rsidR="00976B8A" w:rsidRPr="00215418">
        <w:rPr>
          <w:rFonts w:ascii="Aptos" w:eastAsia="Aptos" w:hAnsi="Aptos" w:cs="Arial"/>
          <w:kern w:val="2"/>
          <w:sz w:val="22"/>
          <w:szCs w:val="22"/>
          <w14:ligatures w14:val="standardContextual"/>
        </w:rPr>
        <w:t>assessed</w:t>
      </w:r>
      <w:r w:rsidRPr="00215418">
        <w:rPr>
          <w:rFonts w:ascii="Aptos" w:eastAsia="Aptos" w:hAnsi="Aptos" w:cs="Arial"/>
          <w:kern w:val="2"/>
          <w:sz w:val="22"/>
          <w:szCs w:val="22"/>
          <w14:ligatures w14:val="standardContextual"/>
        </w:rPr>
        <w:t xml:space="preserve">, </w:t>
      </w:r>
      <w:r w:rsidR="00D60F82" w:rsidRPr="00215418">
        <w:rPr>
          <w:rFonts w:ascii="Aptos" w:eastAsia="Aptos" w:hAnsi="Aptos" w:cs="Arial"/>
          <w:kern w:val="2"/>
          <w:sz w:val="22"/>
          <w:szCs w:val="22"/>
          <w14:ligatures w14:val="standardContextual"/>
        </w:rPr>
        <w:t xml:space="preserve">the Europe region </w:t>
      </w:r>
      <w:r w:rsidR="003E2BE1" w:rsidRPr="00215418">
        <w:rPr>
          <w:rFonts w:ascii="Aptos" w:eastAsia="Aptos" w:hAnsi="Aptos" w:cs="Arial"/>
          <w:kern w:val="2"/>
          <w:sz w:val="22"/>
          <w:szCs w:val="22"/>
          <w14:ligatures w14:val="standardContextual"/>
        </w:rPr>
        <w:t>is either the leading region, or a close second</w:t>
      </w:r>
      <w:r w:rsidR="00490C57" w:rsidRPr="00215418">
        <w:rPr>
          <w:rFonts w:ascii="Aptos" w:eastAsia="Aptos" w:hAnsi="Aptos" w:cs="Arial"/>
          <w:kern w:val="2"/>
          <w:sz w:val="22"/>
          <w:szCs w:val="22"/>
          <w14:ligatures w14:val="standardContextual"/>
        </w:rPr>
        <w:t xml:space="preserve">. </w:t>
      </w:r>
      <w:r w:rsidR="002A7B79" w:rsidRPr="00215418">
        <w:rPr>
          <w:rFonts w:ascii="Aptos" w:eastAsia="Aptos" w:hAnsi="Aptos" w:cs="Arial"/>
          <w:kern w:val="2"/>
          <w:sz w:val="22"/>
          <w:szCs w:val="22"/>
          <w14:ligatures w14:val="standardContextual"/>
        </w:rPr>
        <w:t>This includes the percentage of individuals using the Internet</w:t>
      </w:r>
      <w:r w:rsidR="00756954" w:rsidRPr="00215418">
        <w:rPr>
          <w:rFonts w:ascii="Aptos" w:eastAsia="Aptos" w:hAnsi="Aptos" w:cs="Arial"/>
          <w:kern w:val="2"/>
          <w:sz w:val="22"/>
          <w:szCs w:val="22"/>
          <w14:ligatures w14:val="standardContextual"/>
        </w:rPr>
        <w:t xml:space="preserve">, which stood at 91 per cent in </w:t>
      </w:r>
      <w:r w:rsidR="00A70DFE" w:rsidRPr="00215418">
        <w:rPr>
          <w:rFonts w:ascii="Aptos" w:eastAsia="Aptos" w:hAnsi="Aptos" w:cs="Arial"/>
          <w:kern w:val="2"/>
          <w:sz w:val="22"/>
          <w:szCs w:val="22"/>
          <w14:ligatures w14:val="standardContextual"/>
        </w:rPr>
        <w:t xml:space="preserve">2024, </w:t>
      </w:r>
      <w:r w:rsidR="009848E5" w:rsidRPr="00215418">
        <w:rPr>
          <w:rFonts w:ascii="Aptos" w:eastAsia="Aptos" w:hAnsi="Aptos" w:cs="Arial"/>
          <w:kern w:val="2"/>
          <w:sz w:val="22"/>
          <w:szCs w:val="22"/>
          <w14:ligatures w14:val="standardContextual"/>
        </w:rPr>
        <w:t>approaching universal use.</w:t>
      </w:r>
      <w:r w:rsidR="009848E5" w:rsidRPr="6B69D164">
        <w:rPr>
          <w:rStyle w:val="FootnoteReference"/>
          <w:rFonts w:eastAsia="Aptos" w:cs="Arial"/>
          <w:kern w:val="2"/>
          <w14:ligatures w14:val="standardContextual"/>
        </w:rPr>
        <w:footnoteReference w:id="8"/>
      </w:r>
      <w:r w:rsidR="009848E5" w:rsidRPr="00215418">
        <w:rPr>
          <w:rFonts w:ascii="Aptos" w:eastAsia="Aptos" w:hAnsi="Aptos" w:cs="Arial"/>
          <w:kern w:val="2"/>
          <w:sz w:val="22"/>
          <w:szCs w:val="22"/>
          <w14:ligatures w14:val="standardContextual"/>
        </w:rPr>
        <w:t xml:space="preserve"> </w:t>
      </w:r>
      <w:r w:rsidR="00C42292" w:rsidRPr="00215418">
        <w:rPr>
          <w:rFonts w:ascii="Aptos" w:eastAsia="Aptos" w:hAnsi="Aptos" w:cs="Arial"/>
          <w:kern w:val="2"/>
          <w:sz w:val="22"/>
          <w:szCs w:val="22"/>
          <w14:ligatures w14:val="standardContextual"/>
        </w:rPr>
        <w:t xml:space="preserve">This puts </w:t>
      </w:r>
      <w:r w:rsidR="005B2E46" w:rsidRPr="00215418">
        <w:rPr>
          <w:rFonts w:ascii="Aptos" w:eastAsia="Aptos" w:hAnsi="Aptos" w:cs="Arial"/>
          <w:kern w:val="2"/>
          <w:sz w:val="22"/>
          <w:szCs w:val="22"/>
          <w14:ligatures w14:val="standardContextual"/>
        </w:rPr>
        <w:t xml:space="preserve">Europe </w:t>
      </w:r>
      <w:r w:rsidR="00A70DFE" w:rsidRPr="00215418">
        <w:rPr>
          <w:rFonts w:ascii="Aptos" w:eastAsia="Aptos" w:hAnsi="Aptos" w:cs="Arial"/>
          <w:kern w:val="2"/>
          <w:sz w:val="22"/>
          <w:szCs w:val="22"/>
          <w14:ligatures w14:val="standardContextual"/>
        </w:rPr>
        <w:t xml:space="preserve">far ahead of the global average of 68 per cent. </w:t>
      </w:r>
      <w:r w:rsidR="0084618D" w:rsidRPr="00215418">
        <w:rPr>
          <w:rFonts w:ascii="Aptos" w:eastAsia="Aptos" w:hAnsi="Aptos" w:cs="Arial"/>
          <w:kern w:val="2"/>
          <w:sz w:val="22"/>
          <w:szCs w:val="22"/>
          <w14:ligatures w14:val="standardContextual"/>
        </w:rPr>
        <w:t xml:space="preserve">Because </w:t>
      </w:r>
      <w:r w:rsidR="003A0C71" w:rsidRPr="00215418">
        <w:rPr>
          <w:rFonts w:ascii="Aptos" w:eastAsia="Aptos" w:hAnsi="Aptos" w:cs="Arial"/>
          <w:kern w:val="2"/>
          <w:sz w:val="22"/>
          <w:szCs w:val="22"/>
          <w14:ligatures w14:val="standardContextual"/>
        </w:rPr>
        <w:t>of the very high rate</w:t>
      </w:r>
      <w:r w:rsidR="00E91319" w:rsidRPr="00215418">
        <w:rPr>
          <w:rFonts w:ascii="Aptos" w:eastAsia="Aptos" w:hAnsi="Aptos" w:cs="Arial"/>
          <w:kern w:val="2"/>
          <w:sz w:val="22"/>
          <w:szCs w:val="22"/>
          <w14:ligatures w14:val="standardContextual"/>
        </w:rPr>
        <w:t xml:space="preserve">, </w:t>
      </w:r>
      <w:r w:rsidR="003E79F4" w:rsidRPr="00215418">
        <w:rPr>
          <w:rFonts w:ascii="Aptos" w:eastAsia="Aptos" w:hAnsi="Aptos" w:cs="Arial"/>
          <w:kern w:val="2"/>
          <w:sz w:val="22"/>
          <w:szCs w:val="22"/>
          <w14:ligatures w14:val="standardContextual"/>
        </w:rPr>
        <w:t>g</w:t>
      </w:r>
      <w:r w:rsidR="00664451" w:rsidRPr="00215418">
        <w:rPr>
          <w:rFonts w:ascii="Aptos" w:eastAsia="Aptos" w:hAnsi="Aptos" w:cs="Arial"/>
          <w:kern w:val="2"/>
          <w:sz w:val="22"/>
          <w:szCs w:val="22"/>
          <w14:ligatures w14:val="standardContextual"/>
        </w:rPr>
        <w:t>rowth in Internet use</w:t>
      </w:r>
      <w:r w:rsidR="003E79F4" w:rsidRPr="00215418">
        <w:rPr>
          <w:rFonts w:ascii="Aptos" w:eastAsia="Aptos" w:hAnsi="Aptos" w:cs="Arial"/>
          <w:kern w:val="2"/>
          <w:sz w:val="22"/>
          <w:szCs w:val="22"/>
          <w14:ligatures w14:val="standardContextual"/>
        </w:rPr>
        <w:t xml:space="preserve"> has been modest in Europe, </w:t>
      </w:r>
      <w:r w:rsidR="00B92C43" w:rsidRPr="00215418">
        <w:rPr>
          <w:rFonts w:ascii="Aptos" w:eastAsia="Aptos" w:hAnsi="Aptos" w:cs="Arial"/>
          <w:kern w:val="2"/>
          <w:sz w:val="22"/>
          <w:szCs w:val="22"/>
          <w14:ligatures w14:val="standardContextual"/>
        </w:rPr>
        <w:t xml:space="preserve">having </w:t>
      </w:r>
      <w:r w:rsidR="003A0C71" w:rsidRPr="00215418">
        <w:rPr>
          <w:rFonts w:ascii="Aptos" w:eastAsia="Aptos" w:hAnsi="Aptos" w:cs="Arial"/>
          <w:kern w:val="2"/>
          <w:sz w:val="22"/>
          <w:szCs w:val="22"/>
          <w14:ligatures w14:val="standardContextual"/>
        </w:rPr>
        <w:t>progress</w:t>
      </w:r>
      <w:r w:rsidR="00B92C43" w:rsidRPr="00215418">
        <w:rPr>
          <w:rFonts w:ascii="Aptos" w:eastAsia="Aptos" w:hAnsi="Aptos" w:cs="Arial"/>
          <w:kern w:val="2"/>
          <w:sz w:val="22"/>
          <w:szCs w:val="22"/>
          <w14:ligatures w14:val="standardContextual"/>
        </w:rPr>
        <w:t xml:space="preserve">ed </w:t>
      </w:r>
      <w:r w:rsidR="001B75B8" w:rsidRPr="00215418">
        <w:rPr>
          <w:rFonts w:ascii="Aptos" w:eastAsia="Aptos" w:hAnsi="Aptos" w:cs="Arial"/>
          <w:kern w:val="2"/>
          <w:sz w:val="22"/>
          <w:szCs w:val="22"/>
          <w14:ligatures w14:val="standardContextual"/>
        </w:rPr>
        <w:t xml:space="preserve">by 2.4 </w:t>
      </w:r>
      <w:r w:rsidR="005B0E74" w:rsidRPr="00215418">
        <w:rPr>
          <w:rFonts w:ascii="Aptos" w:eastAsia="Aptos" w:hAnsi="Aptos" w:cs="Arial"/>
          <w:kern w:val="2"/>
          <w:sz w:val="22"/>
          <w:szCs w:val="22"/>
          <w14:ligatures w14:val="standardContextual"/>
        </w:rPr>
        <w:t>p</w:t>
      </w:r>
      <w:r w:rsidR="001B75B8" w:rsidRPr="00215418">
        <w:rPr>
          <w:rFonts w:ascii="Aptos" w:eastAsia="Aptos" w:hAnsi="Aptos" w:cs="Arial"/>
          <w:kern w:val="2"/>
          <w:sz w:val="22"/>
          <w:szCs w:val="22"/>
          <w14:ligatures w14:val="standardContextual"/>
        </w:rPr>
        <w:t>er ce</w:t>
      </w:r>
      <w:r w:rsidR="005B0E74" w:rsidRPr="00215418">
        <w:rPr>
          <w:rFonts w:ascii="Aptos" w:eastAsia="Aptos" w:hAnsi="Aptos" w:cs="Arial"/>
          <w:kern w:val="2"/>
          <w:sz w:val="22"/>
          <w:szCs w:val="22"/>
          <w14:ligatures w14:val="standardContextual"/>
        </w:rPr>
        <w:t xml:space="preserve">nt </w:t>
      </w:r>
      <w:r w:rsidR="00B92C43" w:rsidRPr="00215418">
        <w:rPr>
          <w:rFonts w:ascii="Aptos" w:eastAsia="Aptos" w:hAnsi="Aptos" w:cs="Arial"/>
          <w:kern w:val="2"/>
          <w:sz w:val="22"/>
          <w:szCs w:val="22"/>
          <w14:ligatures w14:val="standardContextual"/>
        </w:rPr>
        <w:t xml:space="preserve">annually </w:t>
      </w:r>
      <w:r w:rsidR="00F72361" w:rsidRPr="00215418">
        <w:rPr>
          <w:rFonts w:ascii="Aptos" w:eastAsia="Aptos" w:hAnsi="Aptos" w:cs="Arial"/>
          <w:kern w:val="2"/>
          <w:sz w:val="22"/>
          <w:szCs w:val="22"/>
          <w14:ligatures w14:val="standardContextual"/>
        </w:rPr>
        <w:t xml:space="preserve">on average </w:t>
      </w:r>
      <w:r w:rsidR="00B92C43" w:rsidRPr="00215418">
        <w:rPr>
          <w:rFonts w:ascii="Aptos" w:eastAsia="Aptos" w:hAnsi="Aptos" w:cs="Arial"/>
          <w:kern w:val="2"/>
          <w:sz w:val="22"/>
          <w:szCs w:val="22"/>
          <w14:ligatures w14:val="standardContextual"/>
        </w:rPr>
        <w:t>in the last decade</w:t>
      </w:r>
      <w:r w:rsidR="00F72361" w:rsidRPr="00215418">
        <w:rPr>
          <w:rFonts w:ascii="Aptos" w:eastAsia="Aptos" w:hAnsi="Aptos" w:cs="Arial"/>
          <w:kern w:val="2"/>
          <w:sz w:val="22"/>
          <w:szCs w:val="22"/>
          <w14:ligatures w14:val="standardContextual"/>
        </w:rPr>
        <w:t xml:space="preserve">. </w:t>
      </w:r>
      <w:r w:rsidR="00094392" w:rsidRPr="00215418">
        <w:rPr>
          <w:rFonts w:ascii="Aptos" w:eastAsia="Aptos" w:hAnsi="Aptos" w:cs="Arial"/>
          <w:kern w:val="2"/>
          <w:sz w:val="22"/>
          <w:szCs w:val="22"/>
          <w14:ligatures w14:val="standardContextual"/>
        </w:rPr>
        <w:t xml:space="preserve">In comparison, </w:t>
      </w:r>
      <w:r w:rsidR="00085060" w:rsidRPr="00215418">
        <w:rPr>
          <w:rFonts w:ascii="Aptos" w:eastAsia="Aptos" w:hAnsi="Aptos" w:cs="Arial"/>
          <w:kern w:val="2"/>
          <w:sz w:val="22"/>
          <w:szCs w:val="22"/>
          <w14:ligatures w14:val="standardContextual"/>
        </w:rPr>
        <w:t xml:space="preserve">Internet use globally grew </w:t>
      </w:r>
      <w:r w:rsidR="008F7F1C" w:rsidRPr="00215418">
        <w:rPr>
          <w:rFonts w:ascii="Aptos" w:eastAsia="Aptos" w:hAnsi="Aptos" w:cs="Arial"/>
          <w:kern w:val="2"/>
          <w:sz w:val="22"/>
          <w:szCs w:val="22"/>
          <w14:ligatures w14:val="standardContextual"/>
        </w:rPr>
        <w:t>6.1</w:t>
      </w:r>
      <w:r w:rsidR="00947408" w:rsidRPr="00215418">
        <w:rPr>
          <w:rFonts w:ascii="Aptos" w:eastAsia="Aptos" w:hAnsi="Aptos" w:cs="Arial"/>
          <w:kern w:val="2"/>
          <w:sz w:val="22"/>
          <w:szCs w:val="22"/>
          <w14:ligatures w14:val="standardContextual"/>
        </w:rPr>
        <w:t xml:space="preserve"> per cent </w:t>
      </w:r>
      <w:r w:rsidR="001B734E" w:rsidRPr="00215418">
        <w:rPr>
          <w:rFonts w:ascii="Aptos" w:eastAsia="Aptos" w:hAnsi="Aptos" w:cs="Arial"/>
          <w:kern w:val="2"/>
          <w:sz w:val="22"/>
          <w:szCs w:val="22"/>
          <w14:ligatures w14:val="standardContextual"/>
        </w:rPr>
        <w:t xml:space="preserve">annually </w:t>
      </w:r>
      <w:r w:rsidR="00D6295B" w:rsidRPr="00215418">
        <w:rPr>
          <w:rFonts w:ascii="Aptos" w:eastAsia="Aptos" w:hAnsi="Aptos" w:cs="Arial"/>
          <w:kern w:val="2"/>
          <w:sz w:val="22"/>
          <w:szCs w:val="22"/>
          <w14:ligatures w14:val="standardContextual"/>
        </w:rPr>
        <w:t xml:space="preserve">over </w:t>
      </w:r>
      <w:r w:rsidR="00947408" w:rsidRPr="00215418">
        <w:rPr>
          <w:rFonts w:ascii="Aptos" w:eastAsia="Aptos" w:hAnsi="Aptos" w:cs="Arial"/>
          <w:kern w:val="2"/>
          <w:sz w:val="22"/>
          <w:szCs w:val="22"/>
          <w14:ligatures w14:val="standardContextual"/>
        </w:rPr>
        <w:t xml:space="preserve">the </w:t>
      </w:r>
      <w:r w:rsidR="001B734E" w:rsidRPr="00215418">
        <w:rPr>
          <w:rFonts w:ascii="Aptos" w:eastAsia="Aptos" w:hAnsi="Aptos" w:cs="Arial"/>
          <w:kern w:val="2"/>
          <w:sz w:val="22"/>
          <w:szCs w:val="22"/>
          <w14:ligatures w14:val="standardContextual"/>
        </w:rPr>
        <w:t xml:space="preserve">same period. </w:t>
      </w:r>
      <w:r w:rsidR="002A3FE5" w:rsidRPr="00215418">
        <w:rPr>
          <w:rFonts w:ascii="Aptos" w:eastAsia="Aptos" w:hAnsi="Aptos" w:cs="Arial"/>
          <w:kern w:val="2"/>
          <w:sz w:val="22"/>
          <w:szCs w:val="22"/>
          <w14:ligatures w14:val="standardContextual"/>
        </w:rPr>
        <w:t xml:space="preserve"> </w:t>
      </w:r>
      <w:r w:rsidR="005B1ACC" w:rsidRPr="00215418">
        <w:rPr>
          <w:rFonts w:ascii="Aptos" w:eastAsia="Aptos" w:hAnsi="Aptos" w:cs="Arial"/>
          <w:kern w:val="2"/>
          <w:sz w:val="22"/>
          <w:szCs w:val="22"/>
          <w14:ligatures w14:val="standardContextual"/>
        </w:rPr>
        <w:t xml:space="preserve">In terms of </w:t>
      </w:r>
      <w:r w:rsidR="00E060C9" w:rsidRPr="00215418">
        <w:rPr>
          <w:rFonts w:ascii="Aptos" w:eastAsia="Aptos" w:hAnsi="Aptos" w:cs="Arial"/>
          <w:kern w:val="2"/>
          <w:sz w:val="22"/>
          <w:szCs w:val="22"/>
          <w14:ligatures w14:val="standardContextual"/>
        </w:rPr>
        <w:t xml:space="preserve">Internet use, </w:t>
      </w:r>
      <w:r w:rsidR="00501030" w:rsidRPr="00215418">
        <w:rPr>
          <w:rFonts w:ascii="Aptos" w:eastAsia="Aptos" w:hAnsi="Aptos" w:cs="Arial"/>
          <w:kern w:val="2"/>
          <w:sz w:val="22"/>
          <w:szCs w:val="22"/>
          <w14:ligatures w14:val="standardContextual"/>
        </w:rPr>
        <w:t xml:space="preserve">Europe is relatively homogeneous, </w:t>
      </w:r>
      <w:r w:rsidR="00E060C9" w:rsidRPr="00215418">
        <w:rPr>
          <w:rFonts w:ascii="Aptos" w:eastAsia="Aptos" w:hAnsi="Aptos" w:cs="Arial"/>
          <w:kern w:val="2"/>
          <w:sz w:val="22"/>
          <w:szCs w:val="22"/>
          <w14:ligatures w14:val="standardContextual"/>
        </w:rPr>
        <w:t xml:space="preserve">with only </w:t>
      </w:r>
      <w:r w:rsidR="00235BA4" w:rsidRPr="00215418">
        <w:rPr>
          <w:rFonts w:ascii="Aptos" w:eastAsia="Aptos" w:hAnsi="Aptos" w:cs="Arial"/>
          <w:kern w:val="2"/>
          <w:sz w:val="22"/>
          <w:szCs w:val="22"/>
          <w14:ligatures w14:val="standardContextual"/>
        </w:rPr>
        <w:t xml:space="preserve">20 percentage point </w:t>
      </w:r>
      <w:r w:rsidR="00E342B2" w:rsidRPr="00215418">
        <w:rPr>
          <w:rFonts w:ascii="Aptos" w:eastAsia="Aptos" w:hAnsi="Aptos" w:cs="Arial"/>
          <w:kern w:val="2"/>
          <w:sz w:val="22"/>
          <w:szCs w:val="22"/>
          <w14:ligatures w14:val="standardContextual"/>
        </w:rPr>
        <w:t xml:space="preserve">separating </w:t>
      </w:r>
      <w:r w:rsidR="00235BA4" w:rsidRPr="00215418">
        <w:rPr>
          <w:rFonts w:ascii="Aptos" w:eastAsia="Aptos" w:hAnsi="Aptos" w:cs="Arial"/>
          <w:kern w:val="2"/>
          <w:sz w:val="22"/>
          <w:szCs w:val="22"/>
          <w14:ligatures w14:val="standardContextual"/>
        </w:rPr>
        <w:t>the countr</w:t>
      </w:r>
      <w:r w:rsidR="00E342B2" w:rsidRPr="00215418">
        <w:rPr>
          <w:rFonts w:ascii="Aptos" w:eastAsia="Aptos" w:hAnsi="Aptos" w:cs="Arial"/>
          <w:kern w:val="2"/>
          <w:sz w:val="22"/>
          <w:szCs w:val="22"/>
          <w14:ligatures w14:val="standardContextual"/>
        </w:rPr>
        <w:t xml:space="preserve">ies </w:t>
      </w:r>
      <w:r w:rsidR="00235BA4" w:rsidRPr="00215418">
        <w:rPr>
          <w:rFonts w:ascii="Aptos" w:eastAsia="Aptos" w:hAnsi="Aptos" w:cs="Arial"/>
          <w:kern w:val="2"/>
          <w:sz w:val="22"/>
          <w:szCs w:val="22"/>
          <w14:ligatures w14:val="standardContextual"/>
        </w:rPr>
        <w:t xml:space="preserve">with the </w:t>
      </w:r>
      <w:r w:rsidR="00E342B2" w:rsidRPr="00215418">
        <w:rPr>
          <w:rFonts w:ascii="Aptos" w:eastAsia="Aptos" w:hAnsi="Aptos" w:cs="Arial"/>
          <w:kern w:val="2"/>
          <w:sz w:val="22"/>
          <w:szCs w:val="22"/>
          <w14:ligatures w14:val="standardContextual"/>
        </w:rPr>
        <w:t xml:space="preserve">highest </w:t>
      </w:r>
      <w:r w:rsidR="002A3FE5" w:rsidRPr="00215418">
        <w:rPr>
          <w:rFonts w:ascii="Aptos" w:eastAsia="Aptos" w:hAnsi="Aptos" w:cs="Arial"/>
          <w:kern w:val="2"/>
          <w:sz w:val="22"/>
          <w:szCs w:val="22"/>
          <w14:ligatures w14:val="standardContextual"/>
        </w:rPr>
        <w:t xml:space="preserve">rate (100 per cent) </w:t>
      </w:r>
      <w:r w:rsidR="00E342B2" w:rsidRPr="00215418">
        <w:rPr>
          <w:rFonts w:ascii="Aptos" w:eastAsia="Aptos" w:hAnsi="Aptos" w:cs="Arial"/>
          <w:kern w:val="2"/>
          <w:sz w:val="22"/>
          <w:szCs w:val="22"/>
          <w14:ligatures w14:val="standardContextual"/>
        </w:rPr>
        <w:t xml:space="preserve">and </w:t>
      </w:r>
      <w:r w:rsidR="002A3FE5" w:rsidRPr="00215418">
        <w:rPr>
          <w:rFonts w:ascii="Aptos" w:eastAsia="Aptos" w:hAnsi="Aptos" w:cs="Arial"/>
          <w:kern w:val="2"/>
          <w:sz w:val="22"/>
          <w:szCs w:val="22"/>
          <w14:ligatures w14:val="standardContextual"/>
        </w:rPr>
        <w:t xml:space="preserve">the </w:t>
      </w:r>
      <w:r w:rsidR="000D4830" w:rsidRPr="00215418">
        <w:rPr>
          <w:rFonts w:ascii="Aptos" w:eastAsia="Aptos" w:hAnsi="Aptos" w:cs="Arial"/>
          <w:kern w:val="2"/>
          <w:sz w:val="22"/>
          <w:szCs w:val="22"/>
          <w14:ligatures w14:val="standardContextual"/>
        </w:rPr>
        <w:t>lowest rate (80 per cent)</w:t>
      </w:r>
      <w:r w:rsidR="002A3FE5" w:rsidRPr="00215418">
        <w:rPr>
          <w:rFonts w:ascii="Aptos" w:eastAsia="Aptos" w:hAnsi="Aptos" w:cs="Arial"/>
          <w:kern w:val="2"/>
          <w:sz w:val="22"/>
          <w:szCs w:val="22"/>
          <w14:ligatures w14:val="standardContextual"/>
        </w:rPr>
        <w:t>.</w:t>
      </w:r>
    </w:p>
    <w:p w14:paraId="2DDA6729" w14:textId="7D4018A5"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lastRenderedPageBreak/>
        <w:t xml:space="preserve">Percentage of individuals using the Internet in </w:t>
      </w:r>
      <w:r w:rsidR="00856ABE" w:rsidRPr="00215418">
        <w:rPr>
          <w:rFonts w:ascii="AvenirNext LT Pro Light" w:eastAsia="Yu Gothic Light" w:hAnsi="AvenirNext LT Pro Light" w:cs="Calibri"/>
          <w:color w:val="0070C0"/>
          <w:spacing w:val="-10"/>
          <w:kern w:val="28"/>
          <w:szCs w:val="24"/>
        </w:rPr>
        <w:t>Europe</w:t>
      </w:r>
      <w:r w:rsidRPr="00215418">
        <w:rPr>
          <w:rFonts w:ascii="AvenirNext LT Pro Light" w:eastAsia="Yu Gothic Light" w:hAnsi="AvenirNext LT Pro Light" w:cs="Calibri"/>
          <w:color w:val="0070C0"/>
          <w:spacing w:val="-10"/>
          <w:kern w:val="28"/>
          <w:szCs w:val="24"/>
        </w:rPr>
        <w:t xml:space="preserve">, </w:t>
      </w:r>
      <w:r w:rsidR="00851F73" w:rsidRPr="00215418">
        <w:rPr>
          <w:rFonts w:ascii="AvenirNext LT Pro Light" w:eastAsia="Yu Gothic Light" w:hAnsi="AvenirNext LT Pro Light" w:cs="Calibri"/>
          <w:color w:val="0070C0"/>
          <w:spacing w:val="-10"/>
          <w:kern w:val="28"/>
          <w:szCs w:val="24"/>
        </w:rPr>
        <w:t xml:space="preserve">2023 or </w:t>
      </w:r>
      <w:r w:rsidRPr="00215418">
        <w:rPr>
          <w:rFonts w:ascii="AvenirNext LT Pro Light" w:eastAsia="Yu Gothic Light" w:hAnsi="AvenirNext LT Pro Light" w:cs="Calibri"/>
          <w:color w:val="0070C0"/>
          <w:spacing w:val="-10"/>
          <w:kern w:val="28"/>
          <w:szCs w:val="24"/>
        </w:rPr>
        <w:t>latest year available</w:t>
      </w:r>
      <w:r w:rsidRPr="00215418">
        <w:rPr>
          <w:rFonts w:ascii="AvenirNext LT Pro Light" w:eastAsia="Yu Gothic Light" w:hAnsi="AvenirNext LT Pro Light" w:cs="Calibri"/>
          <w:color w:val="0070C0"/>
          <w:spacing w:val="-10"/>
          <w:kern w:val="28"/>
          <w:szCs w:val="24"/>
          <w:vertAlign w:val="superscript"/>
        </w:rPr>
        <w:footnoteReference w:id="9"/>
      </w:r>
    </w:p>
    <w:p w14:paraId="769061B2" w14:textId="6ABC93A1" w:rsidR="000018FC" w:rsidRPr="00215418" w:rsidRDefault="00630417"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215418">
        <w:rPr>
          <w:noProof/>
        </w:rPr>
        <w:drawing>
          <wp:inline distT="0" distB="0" distL="0" distR="0" wp14:anchorId="5F787DF3" wp14:editId="6AD14037">
            <wp:extent cx="6120765" cy="3181985"/>
            <wp:effectExtent l="0" t="0" r="0" b="6985"/>
            <wp:docPr id="128138856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388569"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6120765" cy="3181985"/>
                    </a:xfrm>
                    <a:prstGeom prst="rect">
                      <a:avLst/>
                    </a:prstGeom>
                  </pic:spPr>
                </pic:pic>
              </a:graphicData>
            </a:graphic>
          </wp:inline>
        </w:drawing>
      </w:r>
    </w:p>
    <w:p w14:paraId="597A2C47" w14:textId="77777777" w:rsidR="006C41B5" w:rsidRPr="00215418"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215418">
        <w:rPr>
          <w:rFonts w:ascii="Aptos" w:eastAsia="Aptos" w:hAnsi="Aptos" w:cs="Arial"/>
          <w:kern w:val="2"/>
          <w:sz w:val="16"/>
          <w:szCs w:val="28"/>
          <w14:ligatures w14:val="standardContextual"/>
        </w:rPr>
        <w:t>Note: ITU estimates are in a lighter shade, country submitted data in a darker shade.</w:t>
      </w:r>
    </w:p>
    <w:p w14:paraId="3F01955B" w14:textId="77777777" w:rsidR="006C41B5" w:rsidRPr="00215418"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215418">
        <w:rPr>
          <w:rFonts w:ascii="Aptos" w:eastAsia="Aptos" w:hAnsi="Aptos" w:cs="Arial"/>
          <w:kern w:val="2"/>
          <w:sz w:val="16"/>
          <w:szCs w:val="28"/>
          <w14:ligatures w14:val="standardContextual"/>
        </w:rPr>
        <w:t>Source: ITU</w:t>
      </w:r>
    </w:p>
    <w:p w14:paraId="7573306E" w14:textId="3F046013" w:rsidR="0054499A" w:rsidRPr="00215418" w:rsidRDefault="0054499A">
      <w:pPr>
        <w:tabs>
          <w:tab w:val="clear" w:pos="794"/>
          <w:tab w:val="clear" w:pos="1191"/>
          <w:tab w:val="clear" w:pos="1588"/>
          <w:tab w:val="clear" w:pos="1985"/>
        </w:tabs>
        <w:overflowPunct/>
        <w:autoSpaceDE/>
        <w:autoSpaceDN/>
        <w:adjustRightInd/>
        <w:spacing w:before="0"/>
        <w:textAlignment w:val="auto"/>
        <w:rPr>
          <w:rFonts w:ascii="Aptos" w:eastAsia="Aptos" w:hAnsi="Aptos" w:cs="Arial"/>
          <w:b/>
          <w:bCs/>
          <w:i/>
          <w:iCs/>
          <w:kern w:val="2"/>
          <w:sz w:val="22"/>
          <w:szCs w:val="22"/>
          <w14:ligatures w14:val="standardContextual"/>
        </w:rPr>
      </w:pPr>
    </w:p>
    <w:p w14:paraId="3ACB9DAC" w14:textId="202B2410" w:rsidR="006C41B5" w:rsidRPr="00215418"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15418">
        <w:rPr>
          <w:rFonts w:ascii="Aptos" w:eastAsia="Aptos" w:hAnsi="Aptos" w:cs="Arial"/>
          <w:b/>
          <w:i/>
          <w:kern w:val="2"/>
          <w:sz w:val="22"/>
          <w:szCs w:val="22"/>
          <w14:ligatures w14:val="standardContextual"/>
        </w:rPr>
        <w:t xml:space="preserve">Gender parity in Internet use </w:t>
      </w:r>
      <w:r w:rsidR="00227D5C" w:rsidRPr="00215418">
        <w:rPr>
          <w:rFonts w:ascii="Aptos" w:eastAsia="Aptos" w:hAnsi="Aptos" w:cs="Arial"/>
          <w:b/>
          <w:bCs/>
          <w:i/>
          <w:iCs/>
          <w:kern w:val="2"/>
          <w:sz w:val="22"/>
          <w:szCs w:val="22"/>
          <w14:ligatures w14:val="standardContextual"/>
        </w:rPr>
        <w:t>has been reached</w:t>
      </w:r>
      <w:r w:rsidRPr="00215418">
        <w:rPr>
          <w:rFonts w:ascii="Aptos" w:eastAsia="Aptos" w:hAnsi="Aptos" w:cs="Arial"/>
          <w:b/>
          <w:bCs/>
          <w:i/>
          <w:iCs/>
          <w:kern w:val="2"/>
          <w:sz w:val="22"/>
          <w:szCs w:val="22"/>
          <w14:ligatures w14:val="standardContextual"/>
        </w:rPr>
        <w:t xml:space="preserve"> </w:t>
      </w:r>
    </w:p>
    <w:p w14:paraId="306CB29E" w14:textId="77777777"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t>Percentage of individuals using the Internet, by gender, 2024</w:t>
      </w:r>
    </w:p>
    <w:p w14:paraId="550D16C9" w14:textId="7DDF1999" w:rsidR="006C41B5" w:rsidRPr="00215418" w:rsidRDefault="007D3E4D"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noProof/>
        </w:rPr>
        <w:drawing>
          <wp:inline distT="0" distB="0" distL="0" distR="0" wp14:anchorId="72E600C2" wp14:editId="18BEFE91">
            <wp:extent cx="5343525" cy="2301725"/>
            <wp:effectExtent l="0" t="0" r="0" b="3810"/>
            <wp:docPr id="50752358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23585"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5411597" cy="2331047"/>
                    </a:xfrm>
                    <a:prstGeom prst="rect">
                      <a:avLst/>
                    </a:prstGeom>
                  </pic:spPr>
                </pic:pic>
              </a:graphicData>
            </a:graphic>
          </wp:inline>
        </w:drawing>
      </w:r>
    </w:p>
    <w:p w14:paraId="7230107B" w14:textId="77777777" w:rsidR="006C41B5" w:rsidRPr="00215418" w:rsidRDefault="006C41B5" w:rsidP="00EB15E6">
      <w:pPr>
        <w:pStyle w:val="Sourcetext"/>
      </w:pPr>
      <w:r w:rsidRPr="00215418">
        <w:t>Source: ITU</w:t>
      </w:r>
    </w:p>
    <w:p w14:paraId="4406DFFD" w14:textId="5453B0DF" w:rsidR="00E04E92" w:rsidRPr="00215418" w:rsidRDefault="00E04E92" w:rsidP="00E04E92">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lastRenderedPageBreak/>
        <w:t xml:space="preserve">In 2024, </w:t>
      </w:r>
      <w:r w:rsidR="0088009B" w:rsidRPr="00215418">
        <w:rPr>
          <w:rFonts w:ascii="Aptos" w:eastAsia="Aptos" w:hAnsi="Aptos" w:cs="Arial"/>
          <w:kern w:val="2"/>
          <w:sz w:val="22"/>
          <w:szCs w:val="22"/>
          <w14:ligatures w14:val="standardContextual"/>
        </w:rPr>
        <w:t>90</w:t>
      </w:r>
      <w:r w:rsidRPr="00215418">
        <w:rPr>
          <w:rFonts w:ascii="Aptos" w:eastAsia="Aptos" w:hAnsi="Aptos" w:cs="Arial"/>
          <w:kern w:val="2"/>
          <w:sz w:val="22"/>
          <w:szCs w:val="22"/>
          <w14:ligatures w14:val="standardContextual"/>
        </w:rPr>
        <w:t xml:space="preserve"> per cent of </w:t>
      </w:r>
      <w:r w:rsidR="0088009B" w:rsidRPr="00215418">
        <w:rPr>
          <w:rFonts w:ascii="Aptos" w:eastAsia="Aptos" w:hAnsi="Aptos" w:cs="Arial"/>
          <w:kern w:val="2"/>
          <w:sz w:val="22"/>
          <w:szCs w:val="22"/>
          <w14:ligatures w14:val="standardContextual"/>
        </w:rPr>
        <w:t>wo</w:t>
      </w:r>
      <w:r w:rsidRPr="00215418">
        <w:rPr>
          <w:rFonts w:ascii="Aptos" w:eastAsia="Aptos" w:hAnsi="Aptos" w:cs="Arial"/>
          <w:kern w:val="2"/>
          <w:sz w:val="22"/>
          <w:szCs w:val="22"/>
          <w14:ligatures w14:val="standardContextual"/>
        </w:rPr>
        <w:t xml:space="preserve">men in </w:t>
      </w:r>
      <w:r w:rsidR="0088009B" w:rsidRPr="00215418">
        <w:rPr>
          <w:rFonts w:ascii="Aptos" w:eastAsia="Aptos" w:hAnsi="Aptos" w:cs="Arial"/>
          <w:kern w:val="2"/>
          <w:sz w:val="22"/>
          <w:szCs w:val="22"/>
          <w14:ligatures w14:val="standardContextual"/>
        </w:rPr>
        <w:t>Europe</w:t>
      </w:r>
      <w:r w:rsidR="005F23E3" w:rsidRPr="00215418">
        <w:rPr>
          <w:rFonts w:ascii="Aptos" w:eastAsia="Aptos" w:hAnsi="Aptos" w:cs="Arial"/>
          <w:kern w:val="2"/>
          <w:sz w:val="22"/>
          <w:szCs w:val="22"/>
          <w14:ligatures w14:val="standardContextual"/>
        </w:rPr>
        <w:t xml:space="preserve"> were online</w:t>
      </w:r>
      <w:r w:rsidRPr="00215418">
        <w:rPr>
          <w:rFonts w:ascii="Aptos" w:eastAsia="Aptos" w:hAnsi="Aptos" w:cs="Arial"/>
          <w:kern w:val="2"/>
          <w:sz w:val="22"/>
          <w:szCs w:val="22"/>
          <w14:ligatures w14:val="standardContextual"/>
        </w:rPr>
        <w:t xml:space="preserve">, </w:t>
      </w:r>
      <w:r w:rsidR="00B4054D" w:rsidRPr="00215418">
        <w:rPr>
          <w:rFonts w:ascii="Aptos" w:eastAsia="Aptos" w:hAnsi="Aptos" w:cs="Arial"/>
          <w:kern w:val="2"/>
          <w:sz w:val="22"/>
          <w:szCs w:val="22"/>
          <w14:ligatures w14:val="standardContextual"/>
        </w:rPr>
        <w:t xml:space="preserve">compared with </w:t>
      </w:r>
      <w:r w:rsidR="0088009B" w:rsidRPr="00215418">
        <w:rPr>
          <w:rFonts w:ascii="Aptos" w:eastAsia="Aptos" w:hAnsi="Aptos" w:cs="Arial"/>
          <w:kern w:val="2"/>
          <w:sz w:val="22"/>
          <w:szCs w:val="22"/>
          <w14:ligatures w14:val="standardContextual"/>
        </w:rPr>
        <w:t>92</w:t>
      </w:r>
      <w:r w:rsidRPr="00215418">
        <w:rPr>
          <w:rFonts w:ascii="Aptos" w:eastAsia="Aptos" w:hAnsi="Aptos" w:cs="Arial"/>
          <w:kern w:val="2"/>
          <w:sz w:val="22"/>
          <w:szCs w:val="22"/>
          <w14:ligatures w14:val="standardContextual"/>
        </w:rPr>
        <w:t xml:space="preserve"> per cent of men. This </w:t>
      </w:r>
      <w:r w:rsidR="00B4054D" w:rsidRPr="00215418">
        <w:rPr>
          <w:rFonts w:ascii="Aptos" w:eastAsia="Aptos" w:hAnsi="Aptos" w:cs="Arial"/>
          <w:kern w:val="2"/>
          <w:sz w:val="22"/>
          <w:szCs w:val="22"/>
          <w14:ligatures w14:val="standardContextual"/>
        </w:rPr>
        <w:t xml:space="preserve">translates </w:t>
      </w:r>
      <w:r w:rsidRPr="00215418">
        <w:rPr>
          <w:rFonts w:ascii="Aptos" w:eastAsia="Aptos" w:hAnsi="Aptos" w:cs="Arial"/>
          <w:kern w:val="2"/>
          <w:sz w:val="22"/>
          <w:szCs w:val="22"/>
          <w14:ligatures w14:val="standardContextual"/>
        </w:rPr>
        <w:t>into a gender parity score (GPS) of 0.</w:t>
      </w:r>
      <w:r w:rsidR="00781433" w:rsidRPr="00215418">
        <w:rPr>
          <w:rFonts w:ascii="Aptos" w:eastAsia="Aptos" w:hAnsi="Aptos" w:cs="Arial"/>
          <w:kern w:val="2"/>
          <w:sz w:val="22"/>
          <w:szCs w:val="22"/>
          <w14:ligatures w14:val="standardContextual"/>
        </w:rPr>
        <w:t>98</w:t>
      </w:r>
      <w:r w:rsidRPr="00215418">
        <w:rPr>
          <w:rFonts w:ascii="Aptos" w:eastAsia="Aptos" w:hAnsi="Aptos" w:cs="Arial"/>
          <w:kern w:val="2"/>
          <w:sz w:val="22"/>
          <w:szCs w:val="22"/>
          <w14:ligatures w14:val="standardContextual"/>
        </w:rPr>
        <w:t xml:space="preserve">, </w:t>
      </w:r>
      <w:r w:rsidR="00746B9B" w:rsidRPr="00215418">
        <w:rPr>
          <w:rFonts w:ascii="Aptos" w:eastAsia="Aptos" w:hAnsi="Aptos" w:cs="Arial"/>
          <w:kern w:val="2"/>
          <w:sz w:val="22"/>
          <w:szCs w:val="22"/>
          <w14:ligatures w14:val="standardContextual"/>
        </w:rPr>
        <w:t>up from 0.94 in 20</w:t>
      </w:r>
      <w:r w:rsidR="003D03C4" w:rsidRPr="00215418">
        <w:rPr>
          <w:rFonts w:ascii="Aptos" w:eastAsia="Aptos" w:hAnsi="Aptos" w:cs="Arial"/>
          <w:kern w:val="2"/>
          <w:sz w:val="22"/>
          <w:szCs w:val="22"/>
          <w14:ligatures w14:val="standardContextual"/>
        </w:rPr>
        <w:t>19</w:t>
      </w:r>
      <w:r w:rsidR="006523CE" w:rsidRPr="00215418">
        <w:rPr>
          <w:rFonts w:ascii="Aptos" w:eastAsia="Aptos" w:hAnsi="Aptos" w:cs="Arial"/>
          <w:kern w:val="2"/>
          <w:sz w:val="22"/>
          <w:szCs w:val="22"/>
          <w14:ligatures w14:val="standardContextual"/>
        </w:rPr>
        <w:t xml:space="preserve">, </w:t>
      </w:r>
      <w:r w:rsidR="00BF1493" w:rsidRPr="00215418">
        <w:rPr>
          <w:rFonts w:ascii="Aptos" w:eastAsia="Aptos" w:hAnsi="Aptos" w:cs="Arial"/>
          <w:kern w:val="2"/>
          <w:sz w:val="22"/>
          <w:szCs w:val="22"/>
          <w14:ligatures w14:val="standardContextual"/>
        </w:rPr>
        <w:t xml:space="preserve">indicating </w:t>
      </w:r>
      <w:r w:rsidR="00781433" w:rsidRPr="00215418">
        <w:rPr>
          <w:rFonts w:ascii="Aptos" w:eastAsia="Aptos" w:hAnsi="Aptos" w:cs="Arial"/>
          <w:kern w:val="2"/>
          <w:sz w:val="22"/>
          <w:szCs w:val="22"/>
          <w14:ligatures w14:val="standardContextual"/>
        </w:rPr>
        <w:t>that parity has been achieved</w:t>
      </w:r>
      <w:r w:rsidR="00F26C98" w:rsidRPr="00215418">
        <w:rPr>
          <w:rFonts w:ascii="Aptos" w:eastAsia="Aptos" w:hAnsi="Aptos" w:cs="Arial"/>
          <w:kern w:val="2"/>
          <w:sz w:val="22"/>
          <w:szCs w:val="22"/>
          <w14:ligatures w14:val="standardContextual"/>
        </w:rPr>
        <w:t>.</w:t>
      </w:r>
      <w:r w:rsidR="00B4054D" w:rsidRPr="00215418">
        <w:rPr>
          <w:rFonts w:ascii="Aptos" w:eastAsia="Aptos" w:hAnsi="Aptos" w:cs="Arial"/>
          <w:kern w:val="2"/>
          <w:sz w:val="22"/>
          <w:szCs w:val="22"/>
          <w:vertAlign w:val="superscript"/>
          <w14:ligatures w14:val="standardContextual"/>
        </w:rPr>
        <w:footnoteReference w:id="10"/>
      </w:r>
      <w:r w:rsidR="00F26C98" w:rsidRPr="00215418">
        <w:rPr>
          <w:rFonts w:ascii="Aptos" w:eastAsia="Aptos" w:hAnsi="Aptos" w:cs="Arial"/>
          <w:kern w:val="2"/>
          <w:sz w:val="22"/>
          <w:szCs w:val="22"/>
          <w14:ligatures w14:val="standardContextual"/>
        </w:rPr>
        <w:t xml:space="preserve"> </w:t>
      </w:r>
    </w:p>
    <w:p w14:paraId="6E575EA1" w14:textId="44685FF0" w:rsidR="0099432F" w:rsidRPr="00215418" w:rsidRDefault="005E7A0A" w:rsidP="006567D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In most </w:t>
      </w:r>
      <w:r w:rsidR="004646A7" w:rsidRPr="00215418">
        <w:rPr>
          <w:rFonts w:ascii="Aptos" w:eastAsia="Aptos" w:hAnsi="Aptos" w:cs="Arial"/>
          <w:kern w:val="2"/>
          <w:sz w:val="22"/>
          <w:szCs w:val="22"/>
          <w14:ligatures w14:val="standardContextual"/>
        </w:rPr>
        <w:t>countries</w:t>
      </w:r>
      <w:r w:rsidR="008A6DE6" w:rsidRPr="00215418">
        <w:rPr>
          <w:rFonts w:ascii="Aptos" w:eastAsia="Aptos" w:hAnsi="Aptos" w:cs="Arial"/>
          <w:kern w:val="2"/>
          <w:sz w:val="22"/>
          <w:szCs w:val="22"/>
          <w14:ligatures w14:val="standardContextual"/>
        </w:rPr>
        <w:t xml:space="preserve"> of the region</w:t>
      </w:r>
      <w:r w:rsidR="004646A7" w:rsidRPr="00215418">
        <w:rPr>
          <w:rFonts w:ascii="Aptos" w:eastAsia="Aptos" w:hAnsi="Aptos" w:cs="Arial"/>
          <w:kern w:val="2"/>
          <w:sz w:val="22"/>
          <w:szCs w:val="22"/>
          <w14:ligatures w14:val="standardContextual"/>
        </w:rPr>
        <w:t>, gender parity has been reached</w:t>
      </w:r>
      <w:r w:rsidR="008A6DE6" w:rsidRPr="00215418">
        <w:rPr>
          <w:rFonts w:ascii="Aptos" w:eastAsia="Aptos" w:hAnsi="Aptos" w:cs="Arial"/>
          <w:kern w:val="2"/>
          <w:sz w:val="22"/>
          <w:szCs w:val="22"/>
          <w14:ligatures w14:val="standardContextual"/>
        </w:rPr>
        <w:t xml:space="preserve"> with a GPS between 0.98 and 1.02. In </w:t>
      </w:r>
      <w:r w:rsidR="00975F85" w:rsidRPr="00215418">
        <w:rPr>
          <w:rFonts w:ascii="Aptos" w:eastAsia="Aptos" w:hAnsi="Aptos" w:cs="Arial"/>
          <w:kern w:val="2"/>
          <w:sz w:val="22"/>
          <w:szCs w:val="22"/>
          <w14:ligatures w14:val="standardContextual"/>
        </w:rPr>
        <w:t>nine</w:t>
      </w:r>
      <w:r w:rsidR="008A6DE6" w:rsidRPr="00215418">
        <w:rPr>
          <w:rFonts w:ascii="Aptos" w:eastAsia="Aptos" w:hAnsi="Aptos" w:cs="Arial"/>
          <w:kern w:val="2"/>
          <w:sz w:val="22"/>
          <w:szCs w:val="22"/>
          <w14:ligatures w14:val="standardContextual"/>
        </w:rPr>
        <w:t xml:space="preserve"> countries</w:t>
      </w:r>
      <w:r w:rsidR="00AE07FB" w:rsidRPr="00215418">
        <w:rPr>
          <w:rFonts w:ascii="Aptos" w:eastAsia="Aptos" w:hAnsi="Aptos" w:cs="Arial"/>
          <w:kern w:val="2"/>
          <w:sz w:val="22"/>
          <w:szCs w:val="22"/>
          <w14:ligatures w14:val="standardContextual"/>
        </w:rPr>
        <w:t xml:space="preserve">, there is still a bias towards men using the Internet, while in four countries the bias is towards women. </w:t>
      </w:r>
    </w:p>
    <w:p w14:paraId="32F34237" w14:textId="18401AF8" w:rsidR="006C41B5" w:rsidRPr="00215418" w:rsidRDefault="006C41B5" w:rsidP="006567DF">
      <w:pPr>
        <w:tabs>
          <w:tab w:val="clear" w:pos="794"/>
          <w:tab w:val="clear" w:pos="1191"/>
          <w:tab w:val="clear" w:pos="1588"/>
          <w:tab w:val="clear" w:pos="1985"/>
        </w:tabs>
        <w:overflowPunct/>
        <w:autoSpaceDE/>
        <w:autoSpaceDN/>
        <w:adjustRightInd/>
        <w:spacing w:before="0" w:after="160" w:line="259" w:lineRule="auto"/>
        <w:textAlignment w:val="auto"/>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t xml:space="preserve">Percentage of individuals using the Internet, by gender, </w:t>
      </w:r>
      <w:r w:rsidR="00BC2EFF" w:rsidRPr="00215418">
        <w:rPr>
          <w:rFonts w:ascii="AvenirNext LT Pro Light" w:eastAsia="Yu Gothic Light" w:hAnsi="AvenirNext LT Pro Light" w:cs="Calibri"/>
          <w:color w:val="0070C0"/>
          <w:spacing w:val="-10"/>
          <w:kern w:val="28"/>
          <w:szCs w:val="24"/>
        </w:rPr>
        <w:t xml:space="preserve">2023 or </w:t>
      </w:r>
      <w:r w:rsidRPr="00215418">
        <w:rPr>
          <w:rFonts w:ascii="AvenirNext LT Pro Light" w:eastAsia="Yu Gothic Light" w:hAnsi="AvenirNext LT Pro Light" w:cs="Calibri"/>
          <w:color w:val="0070C0"/>
          <w:spacing w:val="-10"/>
          <w:kern w:val="28"/>
          <w:szCs w:val="24"/>
        </w:rPr>
        <w:t>latest year available</w:t>
      </w:r>
    </w:p>
    <w:p w14:paraId="3940133E" w14:textId="431B6C06" w:rsidR="006C41B5" w:rsidRPr="00215418" w:rsidRDefault="00AD2D79"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215418">
        <w:rPr>
          <w:noProof/>
        </w:rPr>
        <w:drawing>
          <wp:inline distT="0" distB="0" distL="0" distR="0" wp14:anchorId="0E0C04CA" wp14:editId="257FDCD1">
            <wp:extent cx="6120765" cy="2827655"/>
            <wp:effectExtent l="0" t="0" r="0" b="0"/>
            <wp:docPr id="19776078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607819"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6120765" cy="2827655"/>
                    </a:xfrm>
                    <a:prstGeom prst="rect">
                      <a:avLst/>
                    </a:prstGeom>
                  </pic:spPr>
                </pic:pic>
              </a:graphicData>
            </a:graphic>
          </wp:inline>
        </w:drawing>
      </w:r>
    </w:p>
    <w:p w14:paraId="2B3270AE" w14:textId="77777777" w:rsidR="006C41B5" w:rsidRPr="00215418" w:rsidRDefault="006C41B5" w:rsidP="00EB15E6">
      <w:pPr>
        <w:pStyle w:val="Sourcetext"/>
      </w:pPr>
      <w:r w:rsidRPr="00215418">
        <w:t>Source: ITU</w:t>
      </w:r>
    </w:p>
    <w:p w14:paraId="5B9FDB98" w14:textId="77777777" w:rsidR="00E2682D" w:rsidRPr="00215418" w:rsidRDefault="00E2682D">
      <w:pPr>
        <w:tabs>
          <w:tab w:val="clear" w:pos="794"/>
          <w:tab w:val="clear" w:pos="1191"/>
          <w:tab w:val="clear" w:pos="1588"/>
          <w:tab w:val="clear" w:pos="1985"/>
        </w:tabs>
        <w:overflowPunct/>
        <w:autoSpaceDE/>
        <w:autoSpaceDN/>
        <w:adjustRightInd/>
        <w:spacing w:before="0"/>
        <w:textAlignment w:val="auto"/>
        <w:rPr>
          <w:rFonts w:ascii="Aptos" w:eastAsia="Aptos" w:hAnsi="Aptos" w:cs="Arial"/>
          <w:b/>
          <w:bCs/>
          <w:i/>
          <w:iCs/>
          <w:kern w:val="2"/>
          <w:sz w:val="22"/>
          <w:szCs w:val="22"/>
          <w14:ligatures w14:val="standardContextual"/>
        </w:rPr>
      </w:pPr>
      <w:r w:rsidRPr="00215418">
        <w:rPr>
          <w:rFonts w:ascii="Aptos" w:eastAsia="Aptos" w:hAnsi="Aptos" w:cs="Arial"/>
          <w:b/>
          <w:i/>
          <w:sz w:val="22"/>
          <w:szCs w:val="22"/>
        </w:rPr>
        <w:br w:type="page"/>
      </w:r>
    </w:p>
    <w:p w14:paraId="75FE5527" w14:textId="6672C296" w:rsidR="006C41B5" w:rsidRPr="00215418" w:rsidRDefault="0066019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15418">
        <w:rPr>
          <w:rFonts w:ascii="Aptos" w:eastAsia="Aptos" w:hAnsi="Aptos" w:cs="Arial"/>
          <w:b/>
          <w:bCs/>
          <w:i/>
          <w:iCs/>
          <w:kern w:val="2"/>
          <w:sz w:val="22"/>
          <w:szCs w:val="22"/>
          <w14:ligatures w14:val="standardContextual"/>
        </w:rPr>
        <w:lastRenderedPageBreak/>
        <w:t>Almost all y</w:t>
      </w:r>
      <w:r w:rsidR="006C41B5" w:rsidRPr="00215418">
        <w:rPr>
          <w:rFonts w:ascii="Aptos" w:eastAsia="Aptos" w:hAnsi="Aptos" w:cs="Arial"/>
          <w:b/>
          <w:bCs/>
          <w:i/>
          <w:iCs/>
          <w:kern w:val="2"/>
          <w:sz w:val="22"/>
          <w:szCs w:val="22"/>
          <w14:ligatures w14:val="standardContextual"/>
        </w:rPr>
        <w:t>oung</w:t>
      </w:r>
      <w:r w:rsidR="006C41B5" w:rsidRPr="00215418">
        <w:rPr>
          <w:rFonts w:ascii="Aptos" w:eastAsia="Aptos" w:hAnsi="Aptos" w:cs="Arial"/>
          <w:b/>
          <w:i/>
          <w:kern w:val="2"/>
          <w:sz w:val="22"/>
          <w:szCs w:val="22"/>
          <w14:ligatures w14:val="standardContextual"/>
        </w:rPr>
        <w:t xml:space="preserve"> people use the Internet</w:t>
      </w:r>
    </w:p>
    <w:p w14:paraId="3915A3A4" w14:textId="77777777"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t>Percentage of individuals aged between 15 and 24 years using the Internet, 2024</w:t>
      </w:r>
    </w:p>
    <w:p w14:paraId="5A76D399" w14:textId="752DE8F0" w:rsidR="000018FC" w:rsidRPr="00215418" w:rsidRDefault="00C76427"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215418">
        <w:rPr>
          <w:noProof/>
        </w:rPr>
        <w:drawing>
          <wp:inline distT="0" distB="0" distL="0" distR="0" wp14:anchorId="7D4E31E6" wp14:editId="0B837BD7">
            <wp:extent cx="6120765" cy="2665095"/>
            <wp:effectExtent l="0" t="0" r="0" b="8890"/>
            <wp:docPr id="77076463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764637"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6120765" cy="2665095"/>
                    </a:xfrm>
                    <a:prstGeom prst="rect">
                      <a:avLst/>
                    </a:prstGeom>
                  </pic:spPr>
                </pic:pic>
              </a:graphicData>
            </a:graphic>
          </wp:inline>
        </w:drawing>
      </w:r>
    </w:p>
    <w:p w14:paraId="0E33A8C4" w14:textId="731A7E93" w:rsidR="006C41B5" w:rsidRPr="00215418" w:rsidRDefault="006C41B5" w:rsidP="00EB15E6">
      <w:pPr>
        <w:pStyle w:val="Sourcetext"/>
        <w:rPr>
          <w:rFonts w:eastAsia="Aptos" w:cs="Arial"/>
        </w:rPr>
      </w:pPr>
      <w:r w:rsidRPr="00215418">
        <w:t>Source: ITU</w:t>
      </w:r>
    </w:p>
    <w:p w14:paraId="6EDE270A" w14:textId="313CBFA6" w:rsidR="006C41B5" w:rsidRPr="00215418" w:rsidRDefault="000502C1"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Among young people (aged </w:t>
      </w:r>
      <w:r w:rsidR="001053E6" w:rsidRPr="00215418">
        <w:rPr>
          <w:rFonts w:ascii="Aptos" w:eastAsia="Aptos" w:hAnsi="Aptos" w:cs="Arial"/>
          <w:kern w:val="2"/>
          <w:sz w:val="22"/>
          <w:szCs w:val="22"/>
          <w14:ligatures w14:val="standardContextual"/>
        </w:rPr>
        <w:t>15 to 24</w:t>
      </w:r>
      <w:r w:rsidR="007E7A40" w:rsidRPr="00215418">
        <w:rPr>
          <w:rFonts w:ascii="Aptos" w:eastAsia="Aptos" w:hAnsi="Aptos" w:cs="Arial"/>
          <w:kern w:val="2"/>
          <w:sz w:val="22"/>
          <w:szCs w:val="22"/>
          <w14:ligatures w14:val="standardContextual"/>
        </w:rPr>
        <w:t xml:space="preserve"> </w:t>
      </w:r>
      <w:r w:rsidR="001053E6" w:rsidRPr="00215418">
        <w:rPr>
          <w:rFonts w:ascii="Aptos" w:eastAsia="Aptos" w:hAnsi="Aptos" w:cs="Arial"/>
          <w:kern w:val="2"/>
          <w:sz w:val="22"/>
          <w:szCs w:val="22"/>
          <w14:ligatures w14:val="standardContextual"/>
        </w:rPr>
        <w:t>year</w:t>
      </w:r>
      <w:r w:rsidR="007E7A40" w:rsidRPr="00215418">
        <w:rPr>
          <w:rFonts w:ascii="Aptos" w:eastAsia="Aptos" w:hAnsi="Aptos" w:cs="Arial"/>
          <w:kern w:val="2"/>
          <w:sz w:val="22"/>
          <w:szCs w:val="22"/>
          <w14:ligatures w14:val="standardContextual"/>
        </w:rPr>
        <w:t>s</w:t>
      </w:r>
      <w:r w:rsidRPr="00215418">
        <w:rPr>
          <w:rFonts w:ascii="Aptos" w:eastAsia="Aptos" w:hAnsi="Aptos" w:cs="Arial"/>
          <w:kern w:val="2"/>
          <w:sz w:val="22"/>
          <w:szCs w:val="22"/>
          <w14:ligatures w14:val="standardContextual"/>
        </w:rPr>
        <w:t xml:space="preserve">), almost no-one is offline in Europe. </w:t>
      </w:r>
      <w:r w:rsidR="0012381C" w:rsidRPr="00215418">
        <w:rPr>
          <w:rFonts w:ascii="Aptos" w:eastAsia="Aptos" w:hAnsi="Aptos" w:cs="Arial"/>
          <w:kern w:val="2"/>
          <w:sz w:val="22"/>
          <w:szCs w:val="22"/>
          <w14:ligatures w14:val="standardContextual"/>
        </w:rPr>
        <w:t xml:space="preserve">While the percentage of </w:t>
      </w:r>
      <w:r w:rsidR="00CF47A8" w:rsidRPr="00215418">
        <w:rPr>
          <w:rFonts w:ascii="Aptos" w:eastAsia="Aptos" w:hAnsi="Aptos" w:cs="Arial"/>
          <w:kern w:val="2"/>
          <w:sz w:val="22"/>
          <w:szCs w:val="22"/>
          <w14:ligatures w14:val="standardContextual"/>
        </w:rPr>
        <w:t>you</w:t>
      </w:r>
      <w:r w:rsidR="00072DF0" w:rsidRPr="00215418">
        <w:rPr>
          <w:rFonts w:ascii="Aptos" w:eastAsia="Aptos" w:hAnsi="Aptos" w:cs="Arial"/>
          <w:kern w:val="2"/>
          <w:sz w:val="22"/>
          <w:szCs w:val="22"/>
          <w14:ligatures w14:val="standardContextual"/>
        </w:rPr>
        <w:t>n</w:t>
      </w:r>
      <w:r w:rsidR="00CF47A8" w:rsidRPr="00215418">
        <w:rPr>
          <w:rFonts w:ascii="Aptos" w:eastAsia="Aptos" w:hAnsi="Aptos" w:cs="Arial"/>
          <w:kern w:val="2"/>
          <w:sz w:val="22"/>
          <w:szCs w:val="22"/>
          <w14:ligatures w14:val="standardContextual"/>
        </w:rPr>
        <w:t xml:space="preserve">g people using the Internet has been </w:t>
      </w:r>
      <w:r w:rsidR="00304BA3" w:rsidRPr="00215418">
        <w:rPr>
          <w:rFonts w:ascii="Aptos" w:eastAsia="Aptos" w:hAnsi="Aptos" w:cs="Arial"/>
          <w:kern w:val="2"/>
          <w:sz w:val="22"/>
          <w:szCs w:val="22"/>
          <w14:ligatures w14:val="standardContextual"/>
        </w:rPr>
        <w:t>stable</w:t>
      </w:r>
      <w:r w:rsidR="00CF47A8" w:rsidRPr="00215418">
        <w:rPr>
          <w:rFonts w:ascii="Aptos" w:eastAsia="Aptos" w:hAnsi="Aptos" w:cs="Arial"/>
          <w:kern w:val="2"/>
          <w:sz w:val="22"/>
          <w:szCs w:val="22"/>
          <w14:ligatures w14:val="standardContextual"/>
        </w:rPr>
        <w:t xml:space="preserve"> at 98 per cent over th</w:t>
      </w:r>
      <w:r w:rsidR="00072DF0" w:rsidRPr="00215418">
        <w:rPr>
          <w:rFonts w:ascii="Aptos" w:eastAsia="Aptos" w:hAnsi="Aptos" w:cs="Arial"/>
          <w:kern w:val="2"/>
          <w:sz w:val="22"/>
          <w:szCs w:val="22"/>
          <w14:ligatures w14:val="standardContextual"/>
        </w:rPr>
        <w:t>e</w:t>
      </w:r>
      <w:r w:rsidR="00CF47A8" w:rsidRPr="00215418">
        <w:rPr>
          <w:rFonts w:ascii="Aptos" w:eastAsia="Aptos" w:hAnsi="Aptos" w:cs="Arial"/>
          <w:kern w:val="2"/>
          <w:sz w:val="22"/>
          <w:szCs w:val="22"/>
          <w14:ligatures w14:val="standardContextual"/>
        </w:rPr>
        <w:t xml:space="preserve"> last </w:t>
      </w:r>
      <w:r w:rsidR="00072DF0" w:rsidRPr="00215418">
        <w:rPr>
          <w:rFonts w:ascii="Aptos" w:eastAsia="Aptos" w:hAnsi="Aptos" w:cs="Arial"/>
          <w:kern w:val="2"/>
          <w:sz w:val="22"/>
          <w:szCs w:val="22"/>
          <w14:ligatures w14:val="standardContextual"/>
        </w:rPr>
        <w:t>four years, t</w:t>
      </w:r>
      <w:r w:rsidR="009C4700" w:rsidRPr="00215418">
        <w:rPr>
          <w:rFonts w:ascii="Aptos" w:eastAsia="Aptos" w:hAnsi="Aptos" w:cs="Arial"/>
          <w:kern w:val="2"/>
          <w:sz w:val="22"/>
          <w:szCs w:val="22"/>
          <w14:ligatures w14:val="standardContextual"/>
        </w:rPr>
        <w:t xml:space="preserve">he generational gap—measured as the ratio of Internet users between </w:t>
      </w:r>
      <w:r w:rsidR="00744277" w:rsidRPr="00215418">
        <w:rPr>
          <w:rFonts w:ascii="Aptos" w:eastAsia="Aptos" w:hAnsi="Aptos" w:cs="Arial"/>
          <w:kern w:val="2"/>
          <w:sz w:val="22"/>
          <w:szCs w:val="22"/>
          <w14:ligatures w14:val="standardContextual"/>
        </w:rPr>
        <w:t>the youth and the rest of the</w:t>
      </w:r>
      <w:r w:rsidR="00464383" w:rsidRPr="00215418">
        <w:rPr>
          <w:rFonts w:ascii="Aptos" w:eastAsia="Aptos" w:hAnsi="Aptos" w:cs="Arial"/>
          <w:kern w:val="2"/>
          <w:sz w:val="22"/>
          <w:szCs w:val="22"/>
          <w14:ligatures w14:val="standardContextual"/>
        </w:rPr>
        <w:t xml:space="preserve"> </w:t>
      </w:r>
      <w:r w:rsidR="00744277" w:rsidRPr="00215418">
        <w:rPr>
          <w:rFonts w:ascii="Aptos" w:eastAsia="Aptos" w:hAnsi="Aptos" w:cs="Arial"/>
          <w:kern w:val="2"/>
          <w:sz w:val="22"/>
          <w:szCs w:val="22"/>
          <w14:ligatures w14:val="standardContextual"/>
        </w:rPr>
        <w:t>population</w:t>
      </w:r>
      <w:r w:rsidR="009C4700" w:rsidRPr="00215418">
        <w:rPr>
          <w:rFonts w:ascii="Aptos" w:eastAsia="Aptos" w:hAnsi="Aptos" w:cs="Arial"/>
          <w:kern w:val="2"/>
          <w:sz w:val="22"/>
          <w:szCs w:val="22"/>
          <w14:ligatures w14:val="standardContextual"/>
        </w:rPr>
        <w:t xml:space="preserve">—has </w:t>
      </w:r>
      <w:r w:rsidR="0012381C" w:rsidRPr="00215418">
        <w:rPr>
          <w:rFonts w:ascii="Aptos" w:eastAsia="Aptos" w:hAnsi="Aptos" w:cs="Arial"/>
          <w:kern w:val="2"/>
          <w:sz w:val="22"/>
          <w:szCs w:val="22"/>
          <w14:ligatures w14:val="standardContextual"/>
        </w:rPr>
        <w:t xml:space="preserve">been steadily </w:t>
      </w:r>
      <w:r w:rsidR="009C4700" w:rsidRPr="00215418">
        <w:rPr>
          <w:rFonts w:ascii="Aptos" w:eastAsia="Aptos" w:hAnsi="Aptos" w:cs="Arial"/>
          <w:kern w:val="2"/>
          <w:sz w:val="22"/>
          <w:szCs w:val="22"/>
          <w14:ligatures w14:val="standardContextual"/>
        </w:rPr>
        <w:t>improv</w:t>
      </w:r>
      <w:r w:rsidR="00072DF0" w:rsidRPr="00215418">
        <w:rPr>
          <w:rFonts w:ascii="Aptos" w:eastAsia="Aptos" w:hAnsi="Aptos" w:cs="Arial"/>
          <w:kern w:val="2"/>
          <w:sz w:val="22"/>
          <w:szCs w:val="22"/>
          <w14:ligatures w14:val="standardContextual"/>
        </w:rPr>
        <w:t>ing</w:t>
      </w:r>
      <w:r w:rsidR="009C4700" w:rsidRPr="00215418">
        <w:rPr>
          <w:rFonts w:ascii="Aptos" w:eastAsia="Aptos" w:hAnsi="Aptos" w:cs="Arial"/>
          <w:kern w:val="2"/>
          <w:sz w:val="22"/>
          <w:szCs w:val="22"/>
          <w14:ligatures w14:val="standardContextual"/>
        </w:rPr>
        <w:t xml:space="preserve"> since 2021</w:t>
      </w:r>
      <w:r w:rsidR="00753089" w:rsidRPr="00215418">
        <w:rPr>
          <w:rFonts w:ascii="Aptos" w:eastAsia="Aptos" w:hAnsi="Aptos" w:cs="Arial"/>
          <w:kern w:val="2"/>
          <w:sz w:val="22"/>
          <w:szCs w:val="22"/>
          <w14:ligatures w14:val="standardContextual"/>
        </w:rPr>
        <w:t xml:space="preserve">. </w:t>
      </w:r>
      <w:r w:rsidR="00FD40B4" w:rsidRPr="00215418">
        <w:rPr>
          <w:rFonts w:ascii="Aptos" w:eastAsia="Aptos" w:hAnsi="Aptos" w:cs="Arial"/>
          <w:kern w:val="2"/>
          <w:sz w:val="22"/>
          <w:szCs w:val="22"/>
          <w14:ligatures w14:val="standardContextual"/>
        </w:rPr>
        <w:t>This means</w:t>
      </w:r>
      <w:r w:rsidR="00C34F7F" w:rsidRPr="00215418">
        <w:rPr>
          <w:rFonts w:ascii="Aptos" w:eastAsia="Aptos" w:hAnsi="Aptos" w:cs="Arial"/>
          <w:kern w:val="2"/>
          <w:sz w:val="22"/>
          <w:szCs w:val="22"/>
          <w14:ligatures w14:val="standardContextual"/>
        </w:rPr>
        <w:t xml:space="preserve"> other age groups are catching up, so that</w:t>
      </w:r>
      <w:r w:rsidR="00FD40B4" w:rsidRPr="00215418">
        <w:rPr>
          <w:rFonts w:ascii="Aptos" w:eastAsia="Aptos" w:hAnsi="Aptos" w:cs="Arial"/>
          <w:kern w:val="2"/>
          <w:sz w:val="22"/>
          <w:szCs w:val="22"/>
          <w14:ligatures w14:val="standardContextual"/>
        </w:rPr>
        <w:t xml:space="preserve"> it will only be a matter of time before universal use will be reached in the region.</w:t>
      </w:r>
    </w:p>
    <w:p w14:paraId="2C9CAEB4" w14:textId="77777777" w:rsidR="00726E7F" w:rsidRPr="00215418" w:rsidRDefault="00726E7F" w:rsidP="00726E7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In all countries of the region for which data is available, Internet use among the youth is above 93 per cent. For the 25-to-74-year-old population, the percentages ranged from 79 to 100 per cent. The picture is different though for the older population, aged 75 years and above, where the Internet penetration was between 19 and 92 per cent for the ten countries with available data. </w:t>
      </w:r>
    </w:p>
    <w:p w14:paraId="1F2833F7" w14:textId="77777777" w:rsidR="00726E7F" w:rsidRPr="00215418" w:rsidRDefault="00726E7F"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p>
    <w:p w14:paraId="5B8CA18B" w14:textId="5D2098E9"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lastRenderedPageBreak/>
        <w:t>Percentage of individuals using the Internet by age group,</w:t>
      </w:r>
      <w:r w:rsidR="00402773" w:rsidRPr="00215418">
        <w:rPr>
          <w:rFonts w:ascii="AvenirNext LT Pro Light" w:eastAsia="Yu Gothic Light" w:hAnsi="AvenirNext LT Pro Light" w:cs="Calibri"/>
          <w:color w:val="0070C0"/>
          <w:spacing w:val="-10"/>
          <w:kern w:val="28"/>
          <w:szCs w:val="24"/>
        </w:rPr>
        <w:t xml:space="preserve"> 2023 or </w:t>
      </w:r>
      <w:r w:rsidRPr="00215418">
        <w:rPr>
          <w:rFonts w:ascii="AvenirNext LT Pro Light" w:eastAsia="Yu Gothic Light" w:hAnsi="AvenirNext LT Pro Light" w:cs="Calibri"/>
          <w:color w:val="0070C0"/>
          <w:spacing w:val="-10"/>
          <w:kern w:val="28"/>
          <w:szCs w:val="24"/>
        </w:rPr>
        <w:t>latest year available</w:t>
      </w:r>
    </w:p>
    <w:p w14:paraId="3D1E3587" w14:textId="07CD9FD6" w:rsidR="006C41B5" w:rsidRPr="00215418" w:rsidRDefault="004153EE"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215418">
        <w:rPr>
          <w:noProof/>
        </w:rPr>
        <w:drawing>
          <wp:inline distT="0" distB="0" distL="0" distR="0" wp14:anchorId="7679770E" wp14:editId="762AB821">
            <wp:extent cx="6120765" cy="6619240"/>
            <wp:effectExtent l="0" t="0" r="0" b="0"/>
            <wp:docPr id="13902864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286499"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6120765" cy="6619240"/>
                    </a:xfrm>
                    <a:prstGeom prst="rect">
                      <a:avLst/>
                    </a:prstGeom>
                  </pic:spPr>
                </pic:pic>
              </a:graphicData>
            </a:graphic>
          </wp:inline>
        </w:drawing>
      </w:r>
    </w:p>
    <w:p w14:paraId="31155287" w14:textId="77777777" w:rsidR="006C41B5" w:rsidRPr="00215418" w:rsidRDefault="006C41B5" w:rsidP="00EB15E6">
      <w:pPr>
        <w:pStyle w:val="Sourcetext"/>
        <w:rPr>
          <w:rFonts w:eastAsia="Aptos" w:cs="Arial"/>
        </w:rPr>
      </w:pPr>
      <w:r w:rsidRPr="00215418">
        <w:t>Source: ITU</w:t>
      </w:r>
    </w:p>
    <w:p w14:paraId="51D99826" w14:textId="77777777" w:rsidR="00A43CB7" w:rsidRPr="00215418" w:rsidRDefault="00A43CB7">
      <w:pPr>
        <w:tabs>
          <w:tab w:val="clear" w:pos="794"/>
          <w:tab w:val="clear" w:pos="1191"/>
          <w:tab w:val="clear" w:pos="1588"/>
          <w:tab w:val="clear" w:pos="1985"/>
        </w:tabs>
        <w:overflowPunct/>
        <w:autoSpaceDE/>
        <w:autoSpaceDN/>
        <w:adjustRightInd/>
        <w:spacing w:before="0"/>
        <w:textAlignment w:val="auto"/>
        <w:rPr>
          <w:rFonts w:ascii="Aptos" w:eastAsia="Aptos" w:hAnsi="Aptos" w:cs="Arial"/>
          <w:b/>
          <w:bCs/>
          <w:i/>
          <w:iCs/>
          <w:kern w:val="2"/>
          <w:sz w:val="22"/>
          <w:szCs w:val="22"/>
          <w14:ligatures w14:val="standardContextual"/>
        </w:rPr>
      </w:pPr>
      <w:r w:rsidRPr="00215418">
        <w:rPr>
          <w:rFonts w:ascii="Aptos" w:eastAsia="Aptos" w:hAnsi="Aptos" w:cs="Arial"/>
          <w:b/>
          <w:bCs/>
          <w:i/>
          <w:iCs/>
          <w:kern w:val="2"/>
          <w:sz w:val="22"/>
          <w:szCs w:val="22"/>
          <w14:ligatures w14:val="standardContextual"/>
        </w:rPr>
        <w:br w:type="page"/>
      </w:r>
    </w:p>
    <w:p w14:paraId="5497B417" w14:textId="17435AFE" w:rsidR="006C41B5" w:rsidRPr="00215418"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15418">
        <w:rPr>
          <w:rFonts w:ascii="Aptos" w:eastAsia="Aptos" w:hAnsi="Aptos" w:cs="Arial"/>
          <w:b/>
          <w:i/>
          <w:kern w:val="2"/>
          <w:sz w:val="22"/>
          <w:szCs w:val="22"/>
          <w14:ligatures w14:val="standardContextual"/>
        </w:rPr>
        <w:lastRenderedPageBreak/>
        <w:t xml:space="preserve">Internet use in rural areas trails </w:t>
      </w:r>
      <w:r w:rsidR="00163FEF" w:rsidRPr="00215418">
        <w:rPr>
          <w:rFonts w:ascii="Aptos" w:eastAsia="Aptos" w:hAnsi="Aptos" w:cs="Arial"/>
          <w:b/>
          <w:bCs/>
          <w:i/>
          <w:iCs/>
          <w:kern w:val="2"/>
          <w:sz w:val="22"/>
          <w:szCs w:val="22"/>
          <w14:ligatures w14:val="standardContextual"/>
        </w:rPr>
        <w:t xml:space="preserve">only somewhat </w:t>
      </w:r>
      <w:r w:rsidRPr="00215418">
        <w:rPr>
          <w:rFonts w:ascii="Aptos" w:eastAsia="Aptos" w:hAnsi="Aptos" w:cs="Arial"/>
          <w:b/>
          <w:i/>
          <w:kern w:val="2"/>
          <w:sz w:val="22"/>
          <w:szCs w:val="22"/>
          <w14:ligatures w14:val="standardContextual"/>
        </w:rPr>
        <w:t>behind urban areas</w:t>
      </w:r>
    </w:p>
    <w:p w14:paraId="5AE4C6E5" w14:textId="77777777"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t>Percentage of individuals using the Internet, by location, 2024</w:t>
      </w:r>
    </w:p>
    <w:p w14:paraId="702FC160" w14:textId="57C6BB19" w:rsidR="000018FC" w:rsidRPr="00215418" w:rsidRDefault="00766C13"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215418">
        <w:rPr>
          <w:noProof/>
        </w:rPr>
        <w:drawing>
          <wp:inline distT="0" distB="0" distL="0" distR="0" wp14:anchorId="7E0499D3" wp14:editId="125F0738">
            <wp:extent cx="6120765" cy="2636520"/>
            <wp:effectExtent l="0" t="0" r="0" b="0"/>
            <wp:docPr id="191936198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361980"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6120765" cy="2636520"/>
                    </a:xfrm>
                    <a:prstGeom prst="rect">
                      <a:avLst/>
                    </a:prstGeom>
                  </pic:spPr>
                </pic:pic>
              </a:graphicData>
            </a:graphic>
          </wp:inline>
        </w:drawing>
      </w:r>
    </w:p>
    <w:p w14:paraId="15AF38A7" w14:textId="70FE8B37" w:rsidR="006C41B5" w:rsidRPr="00215418" w:rsidRDefault="006C41B5" w:rsidP="00EB15E6">
      <w:pPr>
        <w:pStyle w:val="Sourcetext"/>
        <w:rPr>
          <w:rFonts w:eastAsia="Aptos" w:cs="Arial"/>
        </w:rPr>
      </w:pPr>
      <w:r w:rsidRPr="00215418">
        <w:t>Source: ITU</w:t>
      </w:r>
    </w:p>
    <w:p w14:paraId="132B9DD4" w14:textId="346683FF" w:rsidR="00495D95" w:rsidRPr="00215418" w:rsidRDefault="00F67D4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In urban areas in Europe, 93 per cent of the population was online, </w:t>
      </w:r>
      <w:r w:rsidR="0049289A" w:rsidRPr="00215418">
        <w:rPr>
          <w:rFonts w:ascii="Aptos" w:eastAsia="Aptos" w:hAnsi="Aptos" w:cs="Arial"/>
          <w:kern w:val="2"/>
          <w:sz w:val="22"/>
          <w:szCs w:val="22"/>
          <w14:ligatures w14:val="standardContextual"/>
        </w:rPr>
        <w:t>compared with</w:t>
      </w:r>
      <w:r w:rsidRPr="00215418">
        <w:rPr>
          <w:rFonts w:ascii="Aptos" w:eastAsia="Aptos" w:hAnsi="Aptos" w:cs="Arial"/>
          <w:kern w:val="2"/>
          <w:sz w:val="22"/>
          <w:szCs w:val="22"/>
          <w14:ligatures w14:val="standardContextual"/>
        </w:rPr>
        <w:t xml:space="preserve"> </w:t>
      </w:r>
      <w:r w:rsidR="00A16CC9" w:rsidRPr="00215418">
        <w:rPr>
          <w:rFonts w:ascii="Aptos" w:eastAsia="Aptos" w:hAnsi="Aptos" w:cs="Arial"/>
          <w:kern w:val="2"/>
          <w:sz w:val="22"/>
          <w:szCs w:val="22"/>
          <w14:ligatures w14:val="standardContextual"/>
        </w:rPr>
        <w:t xml:space="preserve">86 per cent in rural areas. This gap is much smaller than </w:t>
      </w:r>
      <w:r w:rsidR="00781079" w:rsidRPr="00215418">
        <w:rPr>
          <w:rFonts w:ascii="Aptos" w:eastAsia="Aptos" w:hAnsi="Aptos" w:cs="Arial"/>
          <w:kern w:val="2"/>
          <w:sz w:val="22"/>
          <w:szCs w:val="22"/>
          <w14:ligatures w14:val="standardContextual"/>
        </w:rPr>
        <w:t xml:space="preserve">it is globally, with </w:t>
      </w:r>
      <w:r w:rsidR="00F32AA4" w:rsidRPr="00215418">
        <w:rPr>
          <w:rFonts w:ascii="Aptos" w:eastAsia="Aptos" w:hAnsi="Aptos" w:cs="Arial"/>
          <w:kern w:val="2"/>
          <w:sz w:val="22"/>
          <w:szCs w:val="22"/>
          <w14:ligatures w14:val="standardContextual"/>
        </w:rPr>
        <w:t xml:space="preserve">83 per cent online in urban areas, against only 44 per cent in rural areas. </w:t>
      </w:r>
    </w:p>
    <w:p w14:paraId="0195D192" w14:textId="3714A9E9" w:rsidR="00495D95" w:rsidRPr="00215418" w:rsidRDefault="001E77A4"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In countries </w:t>
      </w:r>
      <w:r w:rsidR="005D0CE9" w:rsidRPr="00215418">
        <w:rPr>
          <w:rFonts w:ascii="Aptos" w:eastAsia="Aptos" w:hAnsi="Aptos" w:cs="Arial"/>
          <w:kern w:val="2"/>
          <w:sz w:val="22"/>
          <w:szCs w:val="22"/>
          <w14:ligatures w14:val="standardContextual"/>
        </w:rPr>
        <w:t xml:space="preserve">with high overall Internet penetration, </w:t>
      </w:r>
      <w:r w:rsidR="003128B8" w:rsidRPr="00215418">
        <w:rPr>
          <w:rFonts w:ascii="Aptos" w:eastAsia="Aptos" w:hAnsi="Aptos" w:cs="Arial"/>
          <w:kern w:val="2"/>
          <w:sz w:val="22"/>
          <w:szCs w:val="22"/>
          <w14:ligatures w14:val="standardContextual"/>
        </w:rPr>
        <w:t xml:space="preserve">the urban-rural gap was much smaller than in countries with a lower </w:t>
      </w:r>
      <w:r w:rsidR="00C74E79" w:rsidRPr="00215418">
        <w:rPr>
          <w:rFonts w:ascii="Aptos" w:eastAsia="Aptos" w:hAnsi="Aptos" w:cs="Arial"/>
          <w:kern w:val="2"/>
          <w:sz w:val="22"/>
          <w:szCs w:val="22"/>
          <w14:ligatures w14:val="standardContextual"/>
        </w:rPr>
        <w:t>Internet use percentage.</w:t>
      </w:r>
    </w:p>
    <w:p w14:paraId="33D51D0A" w14:textId="0D9C510D" w:rsidR="00495D95" w:rsidRPr="00215418" w:rsidRDefault="00495D95" w:rsidP="00495D9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t>Percentage of individuals using the Internet by location, 2023 or latest year available</w:t>
      </w:r>
    </w:p>
    <w:p w14:paraId="3557F1C1" w14:textId="6E43D521" w:rsidR="00495D95" w:rsidRPr="00215418" w:rsidRDefault="009660F0" w:rsidP="00EB15E6">
      <w:pPr>
        <w:pStyle w:val="Sourcetext"/>
      </w:pPr>
      <w:r w:rsidRPr="00215418">
        <w:rPr>
          <w:noProof/>
        </w:rPr>
        <w:drawing>
          <wp:inline distT="0" distB="0" distL="0" distR="0" wp14:anchorId="3AF8634C" wp14:editId="36147E85">
            <wp:extent cx="6120765" cy="2831465"/>
            <wp:effectExtent l="0" t="0" r="0" b="6985"/>
            <wp:docPr id="70417479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174794"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6120765" cy="2831465"/>
                    </a:xfrm>
                    <a:prstGeom prst="rect">
                      <a:avLst/>
                    </a:prstGeom>
                  </pic:spPr>
                </pic:pic>
              </a:graphicData>
            </a:graphic>
          </wp:inline>
        </w:drawing>
      </w:r>
      <w:r w:rsidR="00495D95" w:rsidRPr="00215418">
        <w:t>Source: ITU</w:t>
      </w:r>
    </w:p>
    <w:p w14:paraId="5B76EF6A" w14:textId="77777777" w:rsidR="00965D6C" w:rsidRPr="00215418" w:rsidRDefault="00965D6C">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color w:val="0F4761"/>
          <w:kern w:val="2"/>
          <w:sz w:val="32"/>
          <w:szCs w:val="32"/>
          <w14:ligatures w14:val="standardContextual"/>
        </w:rPr>
      </w:pPr>
      <w:r w:rsidRPr="00215418">
        <w:rPr>
          <w:rFonts w:ascii="Aptos Display" w:eastAsia="Yu Gothic Light" w:hAnsi="Aptos Display"/>
          <w:color w:val="0F4761"/>
          <w:kern w:val="2"/>
          <w:sz w:val="32"/>
          <w:szCs w:val="32"/>
          <w14:ligatures w14:val="standardContextual"/>
        </w:rPr>
        <w:br w:type="page"/>
      </w:r>
    </w:p>
    <w:p w14:paraId="3ED4AA04" w14:textId="12EE4FC5" w:rsidR="006C41B5" w:rsidRPr="00215418" w:rsidRDefault="006C41B5" w:rsidP="00172FE0">
      <w:pPr>
        <w:pStyle w:val="Section"/>
      </w:pPr>
      <w:bookmarkStart w:id="11" w:name="_Toc188001385"/>
      <w:r w:rsidRPr="00215418">
        <w:lastRenderedPageBreak/>
        <w:t>Broadband subscriptions</w:t>
      </w:r>
      <w:bookmarkEnd w:id="11"/>
    </w:p>
    <w:p w14:paraId="7F8B2E65" w14:textId="5C41D7F6" w:rsidR="006C41B5" w:rsidRPr="00215418" w:rsidRDefault="00F9052E"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15418">
        <w:rPr>
          <w:rFonts w:ascii="Aptos" w:eastAsia="Aptos" w:hAnsi="Aptos" w:cs="Arial"/>
          <w:b/>
          <w:bCs/>
          <w:i/>
          <w:iCs/>
          <w:kern w:val="2"/>
          <w:sz w:val="22"/>
          <w:szCs w:val="22"/>
          <w14:ligatures w14:val="standardContextual"/>
        </w:rPr>
        <w:t>Europe is frontrunner in f</w:t>
      </w:r>
      <w:r w:rsidR="006C41B5" w:rsidRPr="00215418">
        <w:rPr>
          <w:rFonts w:ascii="Aptos" w:eastAsia="Aptos" w:hAnsi="Aptos" w:cs="Arial"/>
          <w:b/>
          <w:bCs/>
          <w:i/>
          <w:iCs/>
          <w:kern w:val="2"/>
          <w:sz w:val="22"/>
          <w:szCs w:val="22"/>
          <w14:ligatures w14:val="standardContextual"/>
        </w:rPr>
        <w:t>ixed</w:t>
      </w:r>
      <w:r w:rsidR="006C41B5" w:rsidRPr="00215418">
        <w:rPr>
          <w:rFonts w:ascii="Aptos" w:eastAsia="Aptos" w:hAnsi="Aptos" w:cs="Arial"/>
          <w:b/>
          <w:i/>
          <w:kern w:val="2"/>
          <w:sz w:val="22"/>
          <w:szCs w:val="22"/>
          <w14:ligatures w14:val="standardContextual"/>
        </w:rPr>
        <w:t xml:space="preserve">-broadband subscriptions </w:t>
      </w:r>
    </w:p>
    <w:p w14:paraId="197FDBD2" w14:textId="77777777" w:rsidR="006C41B5" w:rsidRPr="00215418"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color w:val="0070C0"/>
          <w:kern w:val="2"/>
          <w:sz w:val="22"/>
          <w:szCs w:val="22"/>
          <w14:ligatures w14:val="standardContextual"/>
        </w:rPr>
        <w:t>Broadband subscriptions per 100 inhabitants</w:t>
      </w:r>
    </w:p>
    <w:tbl>
      <w:tblPr>
        <w:tblStyle w:val="TableGrid1"/>
        <w:tblW w:w="0" w:type="auto"/>
        <w:tblInd w:w="5" w:type="dxa"/>
        <w:tblLook w:val="04A0" w:firstRow="1" w:lastRow="0" w:firstColumn="1" w:lastColumn="0" w:noHBand="0" w:noVBand="1"/>
      </w:tblPr>
      <w:tblGrid>
        <w:gridCol w:w="4440"/>
        <w:gridCol w:w="4576"/>
      </w:tblGrid>
      <w:tr w:rsidR="006C41B5" w:rsidRPr="00215418" w14:paraId="017BCD1A" w14:textId="77777777" w:rsidTr="007470BE">
        <w:tc>
          <w:tcPr>
            <w:tcW w:w="4440" w:type="dxa"/>
            <w:tcBorders>
              <w:top w:val="nil"/>
              <w:left w:val="nil"/>
              <w:bottom w:val="nil"/>
              <w:right w:val="nil"/>
            </w:tcBorders>
          </w:tcPr>
          <w:p w14:paraId="5920B5F8" w14:textId="77777777" w:rsidR="006C41B5" w:rsidRPr="00215418" w:rsidRDefault="006C41B5" w:rsidP="009A2146">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r w:rsidRPr="00215418">
              <w:rPr>
                <w:rFonts w:ascii="Aptos" w:hAnsi="Aptos"/>
                <w:b/>
                <w:sz w:val="22"/>
              </w:rPr>
              <w:t>Mobile</w:t>
            </w:r>
          </w:p>
          <w:p w14:paraId="56F1CB27" w14:textId="7DB61D6D" w:rsidR="006C41B5" w:rsidRPr="00215418" w:rsidRDefault="0063473E"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r w:rsidRPr="00215418">
              <w:rPr>
                <w:noProof/>
              </w:rPr>
              <w:drawing>
                <wp:inline distT="0" distB="0" distL="0" distR="0" wp14:anchorId="4E93E9E4" wp14:editId="1B809D15">
                  <wp:extent cx="2667000" cy="2667000"/>
                  <wp:effectExtent l="0" t="0" r="0" b="0"/>
                  <wp:docPr id="8832002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200266"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2667000" cy="2667000"/>
                          </a:xfrm>
                          <a:prstGeom prst="rect">
                            <a:avLst/>
                          </a:prstGeom>
                        </pic:spPr>
                      </pic:pic>
                    </a:graphicData>
                  </a:graphic>
                </wp:inline>
              </w:drawing>
            </w:r>
          </w:p>
        </w:tc>
        <w:tc>
          <w:tcPr>
            <w:tcW w:w="4576" w:type="dxa"/>
            <w:tcBorders>
              <w:top w:val="nil"/>
              <w:left w:val="nil"/>
              <w:bottom w:val="nil"/>
              <w:right w:val="nil"/>
            </w:tcBorders>
          </w:tcPr>
          <w:p w14:paraId="150B6BC4" w14:textId="77777777" w:rsidR="006C41B5" w:rsidRPr="00215418" w:rsidRDefault="006C41B5" w:rsidP="009A2146">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r w:rsidRPr="00215418">
              <w:rPr>
                <w:rFonts w:ascii="Aptos" w:hAnsi="Aptos"/>
                <w:b/>
                <w:sz w:val="22"/>
              </w:rPr>
              <w:t>Fixed</w:t>
            </w:r>
          </w:p>
          <w:p w14:paraId="7231F473" w14:textId="262E9B21" w:rsidR="006C41B5" w:rsidRPr="00215418" w:rsidRDefault="007470BE"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textAlignment w:val="center"/>
              <w:rPr>
                <w:rFonts w:ascii="Aptos" w:hAnsi="Aptos"/>
                <w:sz w:val="16"/>
                <w:szCs w:val="28"/>
              </w:rPr>
            </w:pPr>
            <w:r w:rsidRPr="00215418">
              <w:rPr>
                <w:noProof/>
              </w:rPr>
              <w:drawing>
                <wp:inline distT="0" distB="0" distL="0" distR="0" wp14:anchorId="65020F10" wp14:editId="1B08BCFF">
                  <wp:extent cx="2667000" cy="2667000"/>
                  <wp:effectExtent l="0" t="0" r="0" b="0"/>
                  <wp:docPr id="20520587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058766"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2667000" cy="2667000"/>
                          </a:xfrm>
                          <a:prstGeom prst="rect">
                            <a:avLst/>
                          </a:prstGeom>
                        </pic:spPr>
                      </pic:pic>
                    </a:graphicData>
                  </a:graphic>
                </wp:inline>
              </w:drawing>
            </w:r>
          </w:p>
        </w:tc>
      </w:tr>
    </w:tbl>
    <w:p w14:paraId="05781286" w14:textId="77777777" w:rsidR="006C41B5" w:rsidRPr="00215418" w:rsidRDefault="006C41B5" w:rsidP="00B1004A">
      <w:pPr>
        <w:pStyle w:val="Sourcetext"/>
      </w:pPr>
      <w:r w:rsidRPr="00215418">
        <w:t>Source: ITU</w:t>
      </w:r>
    </w:p>
    <w:p w14:paraId="6A6B5B5F" w14:textId="720328B6" w:rsidR="006C41B5" w:rsidRPr="00215418" w:rsidRDefault="00010A46"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Europe </w:t>
      </w:r>
      <w:r w:rsidR="00032F52" w:rsidRPr="00215418">
        <w:rPr>
          <w:rFonts w:ascii="Aptos" w:eastAsia="Aptos" w:hAnsi="Aptos" w:cs="Arial"/>
          <w:kern w:val="2"/>
          <w:sz w:val="22"/>
          <w:szCs w:val="22"/>
          <w14:ligatures w14:val="standardContextual"/>
        </w:rPr>
        <w:t xml:space="preserve">had </w:t>
      </w:r>
      <w:r w:rsidR="00490C76" w:rsidRPr="00215418">
        <w:rPr>
          <w:rFonts w:ascii="Aptos" w:eastAsia="Aptos" w:hAnsi="Aptos" w:cs="Arial"/>
          <w:kern w:val="2"/>
          <w:sz w:val="22"/>
          <w:szCs w:val="22"/>
          <w14:ligatures w14:val="standardContextual"/>
        </w:rPr>
        <w:t>112 active mobile broadband subscription per 100 inhabitants</w:t>
      </w:r>
      <w:r w:rsidRPr="00215418">
        <w:rPr>
          <w:rFonts w:ascii="Aptos" w:eastAsia="Aptos" w:hAnsi="Aptos" w:cs="Arial"/>
          <w:kern w:val="2"/>
          <w:sz w:val="22"/>
          <w:szCs w:val="22"/>
          <w14:ligatures w14:val="standardContextual"/>
        </w:rPr>
        <w:t xml:space="preserve"> in 2024</w:t>
      </w:r>
      <w:r w:rsidR="00490C76" w:rsidRPr="00215418">
        <w:rPr>
          <w:rFonts w:ascii="Aptos" w:eastAsia="Aptos" w:hAnsi="Aptos" w:cs="Arial"/>
          <w:kern w:val="2"/>
          <w:sz w:val="22"/>
          <w:szCs w:val="22"/>
          <w14:ligatures w14:val="standardContextual"/>
        </w:rPr>
        <w:t xml:space="preserve">, </w:t>
      </w:r>
      <w:r w:rsidRPr="00215418">
        <w:rPr>
          <w:rFonts w:ascii="Aptos" w:eastAsia="Aptos" w:hAnsi="Aptos" w:cs="Arial"/>
          <w:kern w:val="2"/>
          <w:sz w:val="22"/>
          <w:szCs w:val="22"/>
          <w14:ligatures w14:val="standardContextual"/>
        </w:rPr>
        <w:t xml:space="preserve">above </w:t>
      </w:r>
      <w:r w:rsidR="009D1DD1" w:rsidRPr="00215418">
        <w:rPr>
          <w:rFonts w:ascii="Aptos" w:eastAsia="Aptos" w:hAnsi="Aptos" w:cs="Arial"/>
          <w:kern w:val="2"/>
          <w:sz w:val="22"/>
          <w:szCs w:val="22"/>
          <w14:ligatures w14:val="standardContextual"/>
        </w:rPr>
        <w:t xml:space="preserve">the global average of 95. </w:t>
      </w:r>
      <w:r w:rsidR="009D3B85" w:rsidRPr="00215418">
        <w:rPr>
          <w:rFonts w:ascii="Aptos" w:eastAsia="Aptos" w:hAnsi="Aptos" w:cs="Arial"/>
          <w:kern w:val="2"/>
          <w:sz w:val="22"/>
          <w:szCs w:val="22"/>
          <w14:ligatures w14:val="standardContextual"/>
        </w:rPr>
        <w:t xml:space="preserve">The difference </w:t>
      </w:r>
      <w:r w:rsidR="00B02F23" w:rsidRPr="00215418">
        <w:rPr>
          <w:rFonts w:ascii="Aptos" w:eastAsia="Aptos" w:hAnsi="Aptos" w:cs="Arial"/>
          <w:kern w:val="2"/>
          <w:sz w:val="22"/>
          <w:szCs w:val="22"/>
          <w14:ligatures w14:val="standardContextual"/>
        </w:rPr>
        <w:t xml:space="preserve">is considerably higher in </w:t>
      </w:r>
      <w:r w:rsidR="00E737EF" w:rsidRPr="00215418">
        <w:rPr>
          <w:rFonts w:ascii="Aptos" w:eastAsia="Aptos" w:hAnsi="Aptos" w:cs="Arial"/>
          <w:kern w:val="2"/>
          <w:sz w:val="22"/>
          <w:szCs w:val="22"/>
          <w14:ligatures w14:val="standardContextual"/>
        </w:rPr>
        <w:t>fixed br</w:t>
      </w:r>
      <w:r w:rsidR="009563AF" w:rsidRPr="00215418">
        <w:rPr>
          <w:rFonts w:ascii="Aptos" w:eastAsia="Aptos" w:hAnsi="Aptos" w:cs="Arial"/>
          <w:kern w:val="2"/>
          <w:sz w:val="22"/>
          <w:szCs w:val="22"/>
          <w14:ligatures w14:val="standardContextual"/>
        </w:rPr>
        <w:t>o</w:t>
      </w:r>
      <w:r w:rsidR="00E737EF" w:rsidRPr="00215418">
        <w:rPr>
          <w:rFonts w:ascii="Aptos" w:eastAsia="Aptos" w:hAnsi="Aptos" w:cs="Arial"/>
          <w:kern w:val="2"/>
          <w:sz w:val="22"/>
          <w:szCs w:val="22"/>
          <w14:ligatures w14:val="standardContextual"/>
        </w:rPr>
        <w:t xml:space="preserve">adband </w:t>
      </w:r>
      <w:r w:rsidR="009D3B85" w:rsidRPr="00215418">
        <w:rPr>
          <w:rFonts w:ascii="Aptos" w:eastAsia="Aptos" w:hAnsi="Aptos" w:cs="Arial"/>
          <w:kern w:val="2"/>
          <w:sz w:val="22"/>
          <w:szCs w:val="22"/>
          <w14:ligatures w14:val="standardContextual"/>
        </w:rPr>
        <w:t>penetration</w:t>
      </w:r>
      <w:r w:rsidR="00B02F23" w:rsidRPr="00215418">
        <w:rPr>
          <w:rFonts w:ascii="Aptos" w:eastAsia="Aptos" w:hAnsi="Aptos" w:cs="Arial"/>
          <w:kern w:val="2"/>
          <w:sz w:val="22"/>
          <w:szCs w:val="22"/>
          <w14:ligatures w14:val="standardContextual"/>
        </w:rPr>
        <w:t>: Europe boast</w:t>
      </w:r>
      <w:r w:rsidR="00032F52" w:rsidRPr="00215418">
        <w:rPr>
          <w:rFonts w:ascii="Aptos" w:eastAsia="Aptos" w:hAnsi="Aptos" w:cs="Arial"/>
          <w:kern w:val="2"/>
          <w:sz w:val="22"/>
          <w:szCs w:val="22"/>
          <w14:ligatures w14:val="standardContextual"/>
        </w:rPr>
        <w:t>ed</w:t>
      </w:r>
      <w:r w:rsidR="00B02F23" w:rsidRPr="00215418">
        <w:rPr>
          <w:rFonts w:ascii="Aptos" w:eastAsia="Aptos" w:hAnsi="Aptos" w:cs="Arial"/>
          <w:kern w:val="2"/>
          <w:sz w:val="22"/>
          <w:szCs w:val="22"/>
          <w14:ligatures w14:val="standardContextual"/>
        </w:rPr>
        <w:t xml:space="preserve"> </w:t>
      </w:r>
      <w:r w:rsidR="00F50E9F" w:rsidRPr="00215418">
        <w:rPr>
          <w:rFonts w:ascii="Aptos" w:eastAsia="Aptos" w:hAnsi="Aptos" w:cs="Arial"/>
          <w:kern w:val="2"/>
          <w:sz w:val="22"/>
          <w:szCs w:val="22"/>
          <w14:ligatures w14:val="standardContextual"/>
        </w:rPr>
        <w:t>37</w:t>
      </w:r>
      <w:r w:rsidR="009563AF" w:rsidRPr="00215418">
        <w:rPr>
          <w:rFonts w:ascii="Aptos" w:eastAsia="Aptos" w:hAnsi="Aptos" w:cs="Arial"/>
          <w:kern w:val="2"/>
          <w:sz w:val="22"/>
          <w:szCs w:val="22"/>
          <w14:ligatures w14:val="standardContextual"/>
        </w:rPr>
        <w:t xml:space="preserve"> </w:t>
      </w:r>
      <w:r w:rsidR="00B02F23" w:rsidRPr="00215418">
        <w:rPr>
          <w:rFonts w:ascii="Aptos" w:eastAsia="Aptos" w:hAnsi="Aptos" w:cs="Arial"/>
          <w:kern w:val="2"/>
          <w:sz w:val="22"/>
          <w:szCs w:val="22"/>
          <w14:ligatures w14:val="standardContextual"/>
        </w:rPr>
        <w:t xml:space="preserve">subscriptions </w:t>
      </w:r>
      <w:r w:rsidR="009563AF" w:rsidRPr="00215418">
        <w:rPr>
          <w:rFonts w:ascii="Aptos" w:eastAsia="Aptos" w:hAnsi="Aptos" w:cs="Arial"/>
          <w:kern w:val="2"/>
          <w:sz w:val="22"/>
          <w:szCs w:val="22"/>
          <w14:ligatures w14:val="standardContextual"/>
        </w:rPr>
        <w:t>per 100 inhabitants</w:t>
      </w:r>
      <w:r w:rsidR="001E0A46" w:rsidRPr="00215418">
        <w:rPr>
          <w:rFonts w:ascii="Aptos" w:eastAsia="Aptos" w:hAnsi="Aptos" w:cs="Arial"/>
          <w:kern w:val="2"/>
          <w:sz w:val="22"/>
          <w:szCs w:val="22"/>
          <w14:ligatures w14:val="standardContextual"/>
        </w:rPr>
        <w:t xml:space="preserve">, </w:t>
      </w:r>
      <w:r w:rsidRPr="00215418">
        <w:rPr>
          <w:rFonts w:ascii="Aptos" w:eastAsia="Aptos" w:hAnsi="Aptos" w:cs="Arial"/>
          <w:kern w:val="2"/>
          <w:sz w:val="22"/>
          <w:szCs w:val="22"/>
          <w14:ligatures w14:val="standardContextual"/>
        </w:rPr>
        <w:t xml:space="preserve">almost twice </w:t>
      </w:r>
      <w:r w:rsidR="001E0A46" w:rsidRPr="00215418">
        <w:rPr>
          <w:rFonts w:ascii="Aptos" w:eastAsia="Aptos" w:hAnsi="Aptos" w:cs="Arial"/>
          <w:kern w:val="2"/>
          <w:sz w:val="22"/>
          <w:szCs w:val="22"/>
          <w14:ligatures w14:val="standardContextual"/>
        </w:rPr>
        <w:t xml:space="preserve">the global average of </w:t>
      </w:r>
      <w:r w:rsidR="00F50E9F" w:rsidRPr="00215418">
        <w:rPr>
          <w:rFonts w:ascii="Aptos" w:eastAsia="Aptos" w:hAnsi="Aptos" w:cs="Arial"/>
          <w:kern w:val="2"/>
          <w:sz w:val="22"/>
          <w:szCs w:val="22"/>
          <w14:ligatures w14:val="standardContextual"/>
        </w:rPr>
        <w:t>20</w:t>
      </w:r>
      <w:r w:rsidR="001E0A46" w:rsidRPr="00215418">
        <w:rPr>
          <w:rFonts w:ascii="Aptos" w:eastAsia="Aptos" w:hAnsi="Aptos" w:cs="Arial"/>
          <w:kern w:val="2"/>
          <w:sz w:val="22"/>
          <w:szCs w:val="22"/>
          <w14:ligatures w14:val="standardContextual"/>
        </w:rPr>
        <w:t xml:space="preserve">, and much </w:t>
      </w:r>
      <w:r w:rsidRPr="00215418">
        <w:rPr>
          <w:rFonts w:ascii="Aptos" w:eastAsia="Aptos" w:hAnsi="Aptos" w:cs="Arial"/>
          <w:kern w:val="2"/>
          <w:sz w:val="22"/>
          <w:szCs w:val="22"/>
          <w14:ligatures w14:val="standardContextual"/>
        </w:rPr>
        <w:t xml:space="preserve">higher </w:t>
      </w:r>
      <w:r w:rsidR="001E0A46" w:rsidRPr="00215418">
        <w:rPr>
          <w:rFonts w:ascii="Aptos" w:eastAsia="Aptos" w:hAnsi="Aptos" w:cs="Arial"/>
          <w:kern w:val="2"/>
          <w:sz w:val="22"/>
          <w:szCs w:val="22"/>
          <w14:ligatures w14:val="standardContextual"/>
        </w:rPr>
        <w:t xml:space="preserve">than any other region. </w:t>
      </w:r>
    </w:p>
    <w:p w14:paraId="339D35CB" w14:textId="0B5084F2" w:rsidR="006C41B5" w:rsidRPr="00215418" w:rsidRDefault="00E3622D"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Mobile broadband </w:t>
      </w:r>
      <w:r w:rsidR="00F30DF6" w:rsidRPr="00215418">
        <w:rPr>
          <w:rFonts w:ascii="Aptos" w:eastAsia="Aptos" w:hAnsi="Aptos" w:cs="Arial"/>
          <w:kern w:val="2"/>
          <w:sz w:val="22"/>
          <w:szCs w:val="22"/>
          <w14:ligatures w14:val="standardContextual"/>
        </w:rPr>
        <w:t xml:space="preserve">penetration </w:t>
      </w:r>
      <w:r w:rsidR="008D2C10" w:rsidRPr="00215418">
        <w:rPr>
          <w:rFonts w:ascii="Aptos" w:eastAsia="Aptos" w:hAnsi="Aptos" w:cs="Arial"/>
          <w:kern w:val="2"/>
          <w:sz w:val="22"/>
          <w:szCs w:val="22"/>
          <w14:ligatures w14:val="standardContextual"/>
        </w:rPr>
        <w:t xml:space="preserve">showed </w:t>
      </w:r>
      <w:r w:rsidR="00F30DF6" w:rsidRPr="00215418">
        <w:rPr>
          <w:rFonts w:ascii="Aptos" w:eastAsia="Aptos" w:hAnsi="Aptos" w:cs="Arial"/>
          <w:kern w:val="2"/>
          <w:sz w:val="22"/>
          <w:szCs w:val="22"/>
          <w14:ligatures w14:val="standardContextual"/>
        </w:rPr>
        <w:t xml:space="preserve">significant </w:t>
      </w:r>
      <w:r w:rsidR="008D2C10" w:rsidRPr="00215418">
        <w:rPr>
          <w:rFonts w:ascii="Aptos" w:eastAsia="Aptos" w:hAnsi="Aptos" w:cs="Arial"/>
          <w:kern w:val="2"/>
          <w:sz w:val="22"/>
          <w:szCs w:val="22"/>
          <w14:ligatures w14:val="standardContextual"/>
        </w:rPr>
        <w:t xml:space="preserve">variation </w:t>
      </w:r>
      <w:r w:rsidR="00F30DF6" w:rsidRPr="00215418">
        <w:rPr>
          <w:rFonts w:ascii="Aptos" w:eastAsia="Aptos" w:hAnsi="Aptos" w:cs="Arial"/>
          <w:kern w:val="2"/>
          <w:sz w:val="22"/>
          <w:szCs w:val="22"/>
          <w14:ligatures w14:val="standardContextual"/>
        </w:rPr>
        <w:t xml:space="preserve">across </w:t>
      </w:r>
      <w:r w:rsidR="008D2C10" w:rsidRPr="00215418">
        <w:rPr>
          <w:rFonts w:ascii="Aptos" w:eastAsia="Aptos" w:hAnsi="Aptos" w:cs="Arial"/>
          <w:kern w:val="2"/>
          <w:sz w:val="22"/>
          <w:szCs w:val="22"/>
          <w14:ligatures w14:val="standardContextual"/>
        </w:rPr>
        <w:t xml:space="preserve">the region, </w:t>
      </w:r>
      <w:r w:rsidR="00F30DF6" w:rsidRPr="00215418">
        <w:rPr>
          <w:rFonts w:ascii="Aptos" w:eastAsia="Aptos" w:hAnsi="Aptos" w:cs="Arial"/>
          <w:kern w:val="2"/>
          <w:sz w:val="22"/>
          <w:szCs w:val="22"/>
          <w14:ligatures w14:val="standardContextual"/>
        </w:rPr>
        <w:t xml:space="preserve">though, ranging from </w:t>
      </w:r>
      <w:r w:rsidR="007E560A" w:rsidRPr="00215418">
        <w:rPr>
          <w:rFonts w:ascii="Aptos" w:eastAsia="Aptos" w:hAnsi="Aptos" w:cs="Arial"/>
          <w:kern w:val="2"/>
          <w:sz w:val="22"/>
          <w:szCs w:val="22"/>
          <w14:ligatures w14:val="standardContextual"/>
        </w:rPr>
        <w:t xml:space="preserve">70 </w:t>
      </w:r>
      <w:r w:rsidR="008D2C10" w:rsidRPr="00215418">
        <w:rPr>
          <w:rFonts w:ascii="Aptos" w:eastAsia="Aptos" w:hAnsi="Aptos" w:cs="Arial"/>
          <w:kern w:val="2"/>
          <w:sz w:val="22"/>
          <w:szCs w:val="22"/>
          <w14:ligatures w14:val="standardContextual"/>
        </w:rPr>
        <w:t xml:space="preserve">subscriptions per 100 </w:t>
      </w:r>
      <w:r w:rsidR="00163665" w:rsidRPr="00215418">
        <w:rPr>
          <w:rFonts w:ascii="Aptos" w:eastAsia="Aptos" w:hAnsi="Aptos" w:cs="Arial"/>
          <w:kern w:val="2"/>
          <w:sz w:val="22"/>
          <w:szCs w:val="22"/>
          <w14:ligatures w14:val="standardContextual"/>
        </w:rPr>
        <w:t>inhabitants</w:t>
      </w:r>
      <w:r w:rsidR="008D2C10" w:rsidRPr="00215418">
        <w:rPr>
          <w:rFonts w:ascii="Aptos" w:eastAsia="Aptos" w:hAnsi="Aptos" w:cs="Arial"/>
          <w:kern w:val="2"/>
          <w:sz w:val="22"/>
          <w:szCs w:val="22"/>
          <w14:ligatures w14:val="standardContextual"/>
        </w:rPr>
        <w:t xml:space="preserve"> </w:t>
      </w:r>
      <w:r w:rsidR="00163665" w:rsidRPr="00215418">
        <w:rPr>
          <w:rFonts w:ascii="Aptos" w:eastAsia="Aptos" w:hAnsi="Aptos" w:cs="Arial"/>
          <w:kern w:val="2"/>
          <w:sz w:val="22"/>
          <w:szCs w:val="22"/>
          <w14:ligatures w14:val="standardContextual"/>
        </w:rPr>
        <w:t xml:space="preserve">in Bosnia and Herzegovina to </w:t>
      </w:r>
      <w:r w:rsidR="007E560A" w:rsidRPr="00215418">
        <w:rPr>
          <w:rFonts w:ascii="Aptos" w:eastAsia="Aptos" w:hAnsi="Aptos" w:cs="Arial"/>
          <w:kern w:val="2"/>
          <w:sz w:val="22"/>
          <w:szCs w:val="22"/>
          <w14:ligatures w14:val="standardContextual"/>
        </w:rPr>
        <w:t xml:space="preserve">215 </w:t>
      </w:r>
      <w:r w:rsidR="00163665" w:rsidRPr="00215418">
        <w:rPr>
          <w:rFonts w:ascii="Aptos" w:eastAsia="Aptos" w:hAnsi="Aptos" w:cs="Arial"/>
          <w:kern w:val="2"/>
          <w:sz w:val="22"/>
          <w:szCs w:val="22"/>
          <w14:ligatures w14:val="standardContextual"/>
        </w:rPr>
        <w:t>in Poland.</w:t>
      </w:r>
    </w:p>
    <w:p w14:paraId="31258503" w14:textId="3A27A2B7" w:rsidR="006C41B5" w:rsidRPr="00215418" w:rsidRDefault="006C41B5" w:rsidP="003D3634">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t xml:space="preserve">Active mobile-broadband subscriptions per 100 inhabitants, </w:t>
      </w:r>
      <w:r w:rsidR="00AB18FB" w:rsidRPr="00215418">
        <w:rPr>
          <w:rFonts w:ascii="AvenirNext LT Pro Light" w:eastAsia="Yu Gothic Light" w:hAnsi="AvenirNext LT Pro Light" w:cs="Calibri"/>
          <w:color w:val="0070C0"/>
          <w:spacing w:val="-10"/>
          <w:kern w:val="28"/>
          <w:szCs w:val="24"/>
        </w:rPr>
        <w:t xml:space="preserve">2023 or </w:t>
      </w:r>
      <w:r w:rsidRPr="00215418">
        <w:rPr>
          <w:rFonts w:ascii="AvenirNext LT Pro Light" w:eastAsia="Yu Gothic Light" w:hAnsi="AvenirNext LT Pro Light" w:cs="Calibri"/>
          <w:color w:val="0070C0"/>
          <w:spacing w:val="-10"/>
          <w:kern w:val="28"/>
          <w:szCs w:val="24"/>
        </w:rPr>
        <w:t>latest year available</w:t>
      </w:r>
    </w:p>
    <w:p w14:paraId="7E26B294" w14:textId="5C9393C1" w:rsidR="0085635B" w:rsidRPr="00215418" w:rsidRDefault="0085635B"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p>
    <w:p w14:paraId="6CCB46F1" w14:textId="414B0C69" w:rsidR="006C41B5" w:rsidRPr="00215418" w:rsidRDefault="00CB6B39" w:rsidP="00B1004A">
      <w:pPr>
        <w:pStyle w:val="Sourcetext"/>
      </w:pPr>
      <w:r w:rsidRPr="00215418">
        <w:rPr>
          <w:noProof/>
        </w:rPr>
        <w:drawing>
          <wp:inline distT="0" distB="0" distL="0" distR="0" wp14:anchorId="7727F846" wp14:editId="34EE46E5">
            <wp:extent cx="6067425" cy="3071166"/>
            <wp:effectExtent l="0" t="0" r="0" b="0"/>
            <wp:docPr id="7955983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9834" name=""/>
                    <pic:cNvPicPr/>
                  </pic:nvPicPr>
                  <pic:blipFill>
                    <a:blip r:embed="rId45">
                      <a:extLst>
                        <a:ext uri="{96DAC541-7B7A-43D3-8B79-37D633B846F1}">
                          <asvg:svgBlip xmlns:asvg="http://schemas.microsoft.com/office/drawing/2016/SVG/main" r:embed="rId46"/>
                        </a:ext>
                      </a:extLst>
                    </a:blip>
                    <a:stretch>
                      <a:fillRect/>
                    </a:stretch>
                  </pic:blipFill>
                  <pic:spPr>
                    <a:xfrm>
                      <a:off x="0" y="0"/>
                      <a:ext cx="6076454" cy="3075736"/>
                    </a:xfrm>
                    <a:prstGeom prst="rect">
                      <a:avLst/>
                    </a:prstGeom>
                  </pic:spPr>
                </pic:pic>
              </a:graphicData>
            </a:graphic>
          </wp:inline>
        </w:drawing>
      </w:r>
      <w:r w:rsidR="006C41B5" w:rsidRPr="00215418">
        <w:t>Source: ITU</w:t>
      </w:r>
    </w:p>
    <w:p w14:paraId="26EDA848" w14:textId="7BE38895" w:rsidR="003D3634" w:rsidRPr="00215418" w:rsidRDefault="00163665" w:rsidP="003D3634">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lastRenderedPageBreak/>
        <w:t xml:space="preserve">Fixed broadband subscriptions </w:t>
      </w:r>
      <w:r w:rsidR="00E05CA4" w:rsidRPr="00215418">
        <w:rPr>
          <w:rFonts w:ascii="Aptos" w:eastAsia="Aptos" w:hAnsi="Aptos" w:cs="Arial"/>
          <w:kern w:val="2"/>
          <w:sz w:val="22"/>
          <w:szCs w:val="22"/>
          <w14:ligatures w14:val="standardContextual"/>
        </w:rPr>
        <w:t xml:space="preserve">were spread between </w:t>
      </w:r>
      <w:r w:rsidR="008C390F" w:rsidRPr="00215418">
        <w:rPr>
          <w:rFonts w:ascii="Aptos" w:eastAsia="Aptos" w:hAnsi="Aptos" w:cs="Arial"/>
          <w:kern w:val="2"/>
          <w:sz w:val="22"/>
          <w:szCs w:val="22"/>
          <w14:ligatures w14:val="standardContextual"/>
        </w:rPr>
        <w:t xml:space="preserve">20 </w:t>
      </w:r>
      <w:r w:rsidR="00F74A0E" w:rsidRPr="00215418">
        <w:rPr>
          <w:rFonts w:ascii="Aptos" w:eastAsia="Aptos" w:hAnsi="Aptos" w:cs="Arial"/>
          <w:kern w:val="2"/>
          <w:sz w:val="22"/>
          <w:szCs w:val="22"/>
          <w14:ligatures w14:val="standardContextual"/>
        </w:rPr>
        <w:t xml:space="preserve">per 100 inhabitants in Ukraine and 56 in Monaco. </w:t>
      </w:r>
      <w:r w:rsidR="00566CA6" w:rsidRPr="00215418">
        <w:rPr>
          <w:rFonts w:ascii="Aptos" w:eastAsia="Aptos" w:hAnsi="Aptos" w:cs="Arial"/>
          <w:kern w:val="2"/>
          <w:sz w:val="22"/>
          <w:szCs w:val="22"/>
          <w14:ligatures w14:val="standardContextual"/>
        </w:rPr>
        <w:t xml:space="preserve">Unlike in other, lower-income regions, in Europe </w:t>
      </w:r>
      <w:r w:rsidR="00BD186F" w:rsidRPr="00215418">
        <w:rPr>
          <w:rFonts w:ascii="Aptos" w:eastAsia="Aptos" w:hAnsi="Aptos" w:cs="Arial"/>
          <w:kern w:val="2"/>
          <w:sz w:val="22"/>
          <w:szCs w:val="22"/>
          <w14:ligatures w14:val="standardContextual"/>
        </w:rPr>
        <w:t>almost all the fixed</w:t>
      </w:r>
      <w:r w:rsidR="008B41AB" w:rsidRPr="00215418">
        <w:rPr>
          <w:rFonts w:ascii="Aptos" w:eastAsia="Aptos" w:hAnsi="Aptos" w:cs="Arial"/>
          <w:kern w:val="2"/>
          <w:sz w:val="22"/>
          <w:szCs w:val="22"/>
          <w14:ligatures w14:val="standardContextual"/>
        </w:rPr>
        <w:t>-broadband subscriptions had an advertised speed of 10</w:t>
      </w:r>
      <w:r w:rsidR="00E62893" w:rsidRPr="00215418">
        <w:rPr>
          <w:rFonts w:ascii="Aptos" w:eastAsia="Aptos" w:hAnsi="Aptos" w:cs="Arial"/>
          <w:kern w:val="2"/>
          <w:sz w:val="22"/>
          <w:szCs w:val="22"/>
          <w14:ligatures w14:val="standardContextual"/>
        </w:rPr>
        <w:t xml:space="preserve"> Mbit/s or above.</w:t>
      </w:r>
    </w:p>
    <w:p w14:paraId="7BABDE7B" w14:textId="39115641"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156082"/>
          <w:spacing w:val="-10"/>
          <w:kern w:val="28"/>
          <w:szCs w:val="24"/>
        </w:rPr>
      </w:pPr>
      <w:r w:rsidRPr="00215418">
        <w:rPr>
          <w:rFonts w:ascii="AvenirNext LT Pro Light" w:eastAsia="Yu Gothic Light" w:hAnsi="AvenirNext LT Pro Light" w:cs="Calibri"/>
          <w:color w:val="0070C0"/>
          <w:spacing w:val="-10"/>
          <w:kern w:val="28"/>
          <w:szCs w:val="24"/>
        </w:rPr>
        <w:t xml:space="preserve">Fixed-broadband subscriptions per 100 inhabitants, </w:t>
      </w:r>
      <w:r w:rsidR="00CB6B39" w:rsidRPr="00215418">
        <w:rPr>
          <w:rFonts w:ascii="AvenirNext LT Pro Light" w:eastAsia="Yu Gothic Light" w:hAnsi="AvenirNext LT Pro Light" w:cs="Calibri"/>
          <w:color w:val="0070C0"/>
          <w:spacing w:val="-10"/>
          <w:kern w:val="28"/>
          <w:szCs w:val="24"/>
        </w:rPr>
        <w:t xml:space="preserve">2023 or </w:t>
      </w:r>
      <w:r w:rsidRPr="00215418">
        <w:rPr>
          <w:rFonts w:ascii="AvenirNext LT Pro Light" w:eastAsia="Yu Gothic Light" w:hAnsi="AvenirNext LT Pro Light" w:cs="Calibri"/>
          <w:color w:val="0070C0"/>
          <w:spacing w:val="-10"/>
          <w:kern w:val="28"/>
          <w:szCs w:val="24"/>
        </w:rPr>
        <w:t>latest year available</w:t>
      </w:r>
    </w:p>
    <w:p w14:paraId="55CF2A42" w14:textId="36CECBAD" w:rsidR="00C62CB8" w:rsidRPr="00215418" w:rsidRDefault="00176762" w:rsidP="00EB15E6">
      <w:pPr>
        <w:pStyle w:val="notetext"/>
      </w:pPr>
      <w:r w:rsidRPr="00215418">
        <w:rPr>
          <w:noProof/>
        </w:rPr>
        <w:drawing>
          <wp:inline distT="0" distB="0" distL="0" distR="0" wp14:anchorId="7FB708BF" wp14:editId="0F67F31C">
            <wp:extent cx="6120765" cy="3226435"/>
            <wp:effectExtent l="0" t="0" r="0" b="0"/>
            <wp:docPr id="13294002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400296" name=""/>
                    <pic:cNvPicPr/>
                  </pic:nvPicPr>
                  <pic:blipFill>
                    <a:blip r:embed="rId47">
                      <a:extLst>
                        <a:ext uri="{96DAC541-7B7A-43D3-8B79-37D633B846F1}">
                          <asvg:svgBlip xmlns:asvg="http://schemas.microsoft.com/office/drawing/2016/SVG/main" r:embed="rId48"/>
                        </a:ext>
                      </a:extLst>
                    </a:blip>
                    <a:stretch>
                      <a:fillRect/>
                    </a:stretch>
                  </pic:blipFill>
                  <pic:spPr>
                    <a:xfrm>
                      <a:off x="0" y="0"/>
                      <a:ext cx="6120765" cy="3226435"/>
                    </a:xfrm>
                    <a:prstGeom prst="rect">
                      <a:avLst/>
                    </a:prstGeom>
                  </pic:spPr>
                </pic:pic>
              </a:graphicData>
            </a:graphic>
          </wp:inline>
        </w:drawing>
      </w:r>
      <w:r w:rsidR="00C62CB8" w:rsidRPr="00215418">
        <w:t xml:space="preserve">* </w:t>
      </w:r>
      <w:r w:rsidR="0057164A" w:rsidRPr="00215418">
        <w:t>Full b</w:t>
      </w:r>
      <w:r w:rsidR="00C62CB8" w:rsidRPr="00215418">
        <w:t>reakdown by speed not available</w:t>
      </w:r>
      <w:r w:rsidR="00316164" w:rsidRPr="00215418">
        <w:t xml:space="preserve"> for Poland and Lithuania</w:t>
      </w:r>
      <w:r w:rsidR="00C62CB8" w:rsidRPr="00215418">
        <w:t>.</w:t>
      </w:r>
    </w:p>
    <w:p w14:paraId="3F57B3B1" w14:textId="77777777" w:rsidR="006C41B5" w:rsidRPr="00215418" w:rsidRDefault="006C41B5" w:rsidP="00B1004A">
      <w:pPr>
        <w:pStyle w:val="Sourcetext"/>
      </w:pPr>
      <w:r w:rsidRPr="00215418">
        <w:t>Source: ITU</w:t>
      </w:r>
    </w:p>
    <w:p w14:paraId="57E7CA28" w14:textId="77777777" w:rsidR="006C41B5" w:rsidRPr="00215418"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br w:type="page"/>
      </w:r>
    </w:p>
    <w:p w14:paraId="7243393E" w14:textId="77777777" w:rsidR="006C41B5" w:rsidRPr="00215418" w:rsidRDefault="006C41B5" w:rsidP="00172FE0">
      <w:pPr>
        <w:pStyle w:val="Section"/>
      </w:pPr>
      <w:bookmarkStart w:id="12" w:name="_Toc188001386"/>
      <w:r w:rsidRPr="00215418">
        <w:lastRenderedPageBreak/>
        <w:t>Mobile network coverage</w:t>
      </w:r>
      <w:bookmarkEnd w:id="12"/>
    </w:p>
    <w:p w14:paraId="17F80220" w14:textId="452EF1CB" w:rsidR="006C41B5" w:rsidRPr="00215418"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15418">
        <w:rPr>
          <w:rFonts w:ascii="Aptos" w:eastAsia="Aptos" w:hAnsi="Aptos" w:cs="Arial"/>
          <w:b/>
          <w:i/>
          <w:kern w:val="2"/>
          <w:sz w:val="22"/>
          <w:szCs w:val="22"/>
          <w14:ligatures w14:val="standardContextual"/>
        </w:rPr>
        <w:t xml:space="preserve">5G network roll-out is progressing </w:t>
      </w:r>
      <w:r w:rsidR="00842CD4" w:rsidRPr="00215418">
        <w:rPr>
          <w:rFonts w:ascii="Aptos" w:eastAsia="Aptos" w:hAnsi="Aptos" w:cs="Arial"/>
          <w:b/>
          <w:bCs/>
          <w:i/>
          <w:iCs/>
          <w:kern w:val="2"/>
          <w:sz w:val="22"/>
          <w:szCs w:val="22"/>
          <w14:ligatures w14:val="standardContextual"/>
        </w:rPr>
        <w:t>fast</w:t>
      </w:r>
    </w:p>
    <w:p w14:paraId="2076502E" w14:textId="77777777"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t>Percentage of population covered by type of mobile network</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566"/>
      </w:tblGrid>
      <w:tr w:rsidR="006C41B5" w:rsidRPr="00215418" w14:paraId="2FB8D327" w14:textId="77777777" w:rsidTr="009A537D">
        <w:tc>
          <w:tcPr>
            <w:tcW w:w="4566" w:type="dxa"/>
          </w:tcPr>
          <w:p w14:paraId="63ECFA9C" w14:textId="6FF4D2E1" w:rsidR="006C41B5" w:rsidRPr="00215418" w:rsidRDefault="00BB6365" w:rsidP="005D7CD3">
            <w:pPr>
              <w:jc w:val="center"/>
              <w:rPr>
                <w:rFonts w:ascii="Aptos" w:hAnsi="Aptos"/>
                <w:sz w:val="22"/>
              </w:rPr>
            </w:pPr>
            <w:r w:rsidRPr="00215418">
              <w:rPr>
                <w:rFonts w:ascii="Aptos" w:hAnsi="Aptos"/>
                <w:b/>
                <w:sz w:val="22"/>
              </w:rPr>
              <w:t>Europe</w:t>
            </w:r>
            <w:r w:rsidR="009A537D" w:rsidRPr="00215418">
              <w:rPr>
                <w:noProof/>
              </w:rPr>
              <w:drawing>
                <wp:inline distT="0" distB="0" distL="0" distR="0" wp14:anchorId="51224750" wp14:editId="2B16A905">
                  <wp:extent cx="2752725" cy="2876550"/>
                  <wp:effectExtent l="0" t="0" r="9525" b="0"/>
                  <wp:docPr id="204300936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009369"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2752725" cy="2876550"/>
                          </a:xfrm>
                          <a:prstGeom prst="rect">
                            <a:avLst/>
                          </a:prstGeom>
                        </pic:spPr>
                      </pic:pic>
                    </a:graphicData>
                  </a:graphic>
                </wp:inline>
              </w:drawing>
            </w:r>
          </w:p>
        </w:tc>
        <w:tc>
          <w:tcPr>
            <w:tcW w:w="4566" w:type="dxa"/>
          </w:tcPr>
          <w:p w14:paraId="4B986072" w14:textId="74C2083E" w:rsidR="006C41B5" w:rsidRPr="00215418" w:rsidRDefault="006C41B5" w:rsidP="005D7CD3">
            <w:pPr>
              <w:jc w:val="center"/>
              <w:rPr>
                <w:rFonts w:ascii="Aptos" w:hAnsi="Aptos"/>
                <w:sz w:val="22"/>
              </w:rPr>
            </w:pPr>
            <w:r w:rsidRPr="00215418">
              <w:rPr>
                <w:rFonts w:ascii="Aptos" w:hAnsi="Aptos"/>
                <w:b/>
                <w:sz w:val="22"/>
              </w:rPr>
              <w:t>World</w:t>
            </w:r>
            <w:r w:rsidRPr="00215418">
              <w:rPr>
                <w:rFonts w:ascii="Aptos" w:hAnsi="Aptos"/>
                <w:noProof/>
                <w:sz w:val="22"/>
              </w:rPr>
              <w:drawing>
                <wp:inline distT="0" distB="0" distL="0" distR="0" wp14:anchorId="1A96A9B0" wp14:editId="20F87BF0">
                  <wp:extent cx="2752725" cy="2876550"/>
                  <wp:effectExtent l="0" t="0" r="9525" b="0"/>
                  <wp:docPr id="164848012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80127"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2752725" cy="2876550"/>
                          </a:xfrm>
                          <a:prstGeom prst="rect">
                            <a:avLst/>
                          </a:prstGeom>
                        </pic:spPr>
                      </pic:pic>
                    </a:graphicData>
                  </a:graphic>
                </wp:inline>
              </w:drawing>
            </w:r>
          </w:p>
        </w:tc>
      </w:tr>
    </w:tbl>
    <w:p w14:paraId="60893B8F" w14:textId="77777777" w:rsidR="006C41B5" w:rsidRPr="00215418" w:rsidRDefault="006C41B5" w:rsidP="00B1004A">
      <w:pPr>
        <w:pStyle w:val="notetext"/>
      </w:pPr>
      <w:r w:rsidRPr="00215418">
        <w:t>Note: The values for 2G, 3G and 4G networks show the incremental percentage of the population that is not covered by a more advanced technology network (e.g. in 2024, 96 per cent of the world population is covered by at least a 3G or above network, that is 4 per cent + 41 per cent + 51 per cent). There are insufficient data to produce estimates for 5G coverage prior to 2020.</w:t>
      </w:r>
    </w:p>
    <w:p w14:paraId="0BBEC63A" w14:textId="77777777" w:rsidR="006C41B5" w:rsidRPr="00215418" w:rsidRDefault="006C41B5" w:rsidP="00B1004A">
      <w:pPr>
        <w:pStyle w:val="Sourcetext"/>
      </w:pPr>
      <w:r w:rsidRPr="00215418">
        <w:t>Source: ITU</w:t>
      </w:r>
    </w:p>
    <w:p w14:paraId="30C75A6A" w14:textId="3D2485A0" w:rsidR="006C41B5" w:rsidRPr="00215418" w:rsidRDefault="004E4CE0"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Between 2020 and 2024, 5G mobile network coverage in the region increased from </w:t>
      </w:r>
      <w:r w:rsidR="006D64B1" w:rsidRPr="00215418">
        <w:rPr>
          <w:rFonts w:ascii="Aptos" w:eastAsia="Aptos" w:hAnsi="Aptos" w:cs="Arial"/>
          <w:kern w:val="2"/>
          <w:sz w:val="22"/>
          <w:szCs w:val="22"/>
          <w14:ligatures w14:val="standardContextual"/>
        </w:rPr>
        <w:t>2</w:t>
      </w:r>
      <w:r w:rsidRPr="00215418">
        <w:rPr>
          <w:rFonts w:ascii="Aptos" w:eastAsia="Aptos" w:hAnsi="Aptos" w:cs="Arial"/>
          <w:kern w:val="2"/>
          <w:sz w:val="22"/>
          <w:szCs w:val="22"/>
          <w14:ligatures w14:val="standardContextual"/>
        </w:rPr>
        <w:t xml:space="preserve">8 to </w:t>
      </w:r>
      <w:r w:rsidR="006D64B1" w:rsidRPr="00215418">
        <w:rPr>
          <w:rFonts w:ascii="Aptos" w:eastAsia="Aptos" w:hAnsi="Aptos" w:cs="Arial"/>
          <w:kern w:val="2"/>
          <w:sz w:val="22"/>
          <w:szCs w:val="22"/>
          <w14:ligatures w14:val="standardContextual"/>
        </w:rPr>
        <w:t>72</w:t>
      </w:r>
      <w:r w:rsidRPr="00215418">
        <w:rPr>
          <w:rFonts w:ascii="Aptos" w:eastAsia="Aptos" w:hAnsi="Aptos" w:cs="Arial"/>
          <w:kern w:val="2"/>
          <w:sz w:val="22"/>
          <w:szCs w:val="22"/>
          <w14:ligatures w14:val="standardContextual"/>
        </w:rPr>
        <w:t xml:space="preserve"> per cent of the population. Globally, 5G coverage grew </w:t>
      </w:r>
      <w:r w:rsidR="00E13ECA" w:rsidRPr="00215418">
        <w:rPr>
          <w:rFonts w:ascii="Aptos" w:eastAsia="Aptos" w:hAnsi="Aptos" w:cs="Arial"/>
          <w:kern w:val="2"/>
          <w:sz w:val="22"/>
          <w:szCs w:val="22"/>
          <w14:ligatures w14:val="standardContextual"/>
        </w:rPr>
        <w:t>only</w:t>
      </w:r>
      <w:r w:rsidRPr="00215418">
        <w:rPr>
          <w:rFonts w:ascii="Aptos" w:eastAsia="Aptos" w:hAnsi="Aptos" w:cs="Arial"/>
          <w:kern w:val="2"/>
          <w:sz w:val="22"/>
          <w:szCs w:val="22"/>
          <w14:ligatures w14:val="standardContextual"/>
        </w:rPr>
        <w:t xml:space="preserve"> from 9 to 51 per cent. </w:t>
      </w:r>
      <w:r w:rsidR="00205D4A" w:rsidRPr="00215418">
        <w:rPr>
          <w:rFonts w:ascii="Aptos" w:eastAsia="Aptos" w:hAnsi="Aptos" w:cs="Arial"/>
          <w:kern w:val="2"/>
          <w:sz w:val="22"/>
          <w:szCs w:val="22"/>
          <w14:ligatures w14:val="standardContextual"/>
        </w:rPr>
        <w:t xml:space="preserve">Where 5G </w:t>
      </w:r>
      <w:r w:rsidR="009B70BA" w:rsidRPr="00215418">
        <w:rPr>
          <w:rFonts w:ascii="Aptos" w:eastAsia="Aptos" w:hAnsi="Aptos" w:cs="Arial"/>
          <w:kern w:val="2"/>
          <w:sz w:val="22"/>
          <w:szCs w:val="22"/>
          <w14:ligatures w14:val="standardContextual"/>
        </w:rPr>
        <w:t xml:space="preserve">was not </w:t>
      </w:r>
      <w:r w:rsidR="00C31C72" w:rsidRPr="00215418">
        <w:rPr>
          <w:rFonts w:ascii="Aptos" w:eastAsia="Aptos" w:hAnsi="Aptos" w:cs="Arial"/>
          <w:kern w:val="2"/>
          <w:sz w:val="22"/>
          <w:szCs w:val="22"/>
          <w14:ligatures w14:val="standardContextual"/>
        </w:rPr>
        <w:t xml:space="preserve">available </w:t>
      </w:r>
      <w:r w:rsidR="009B70BA" w:rsidRPr="00215418">
        <w:rPr>
          <w:rFonts w:ascii="Aptos" w:eastAsia="Aptos" w:hAnsi="Aptos" w:cs="Arial"/>
          <w:kern w:val="2"/>
          <w:sz w:val="22"/>
          <w:szCs w:val="22"/>
          <w14:ligatures w14:val="standardContextual"/>
        </w:rPr>
        <w:t>yet</w:t>
      </w:r>
      <w:r w:rsidR="00C31C72" w:rsidRPr="00215418">
        <w:rPr>
          <w:rFonts w:ascii="Aptos" w:eastAsia="Aptos" w:hAnsi="Aptos" w:cs="Arial"/>
          <w:kern w:val="2"/>
          <w:sz w:val="22"/>
          <w:szCs w:val="22"/>
          <w14:ligatures w14:val="standardContextual"/>
        </w:rPr>
        <w:t xml:space="preserve">, </w:t>
      </w:r>
      <w:r w:rsidRPr="00215418">
        <w:rPr>
          <w:rFonts w:ascii="Aptos" w:eastAsia="Aptos" w:hAnsi="Aptos" w:cs="Arial"/>
          <w:kern w:val="2"/>
          <w:sz w:val="22"/>
          <w:szCs w:val="22"/>
          <w14:ligatures w14:val="standardContextual"/>
        </w:rPr>
        <w:t xml:space="preserve">4G mobile networks covered </w:t>
      </w:r>
      <w:r w:rsidR="00697471" w:rsidRPr="00215418">
        <w:rPr>
          <w:rFonts w:ascii="Aptos" w:eastAsia="Aptos" w:hAnsi="Aptos" w:cs="Arial"/>
          <w:kern w:val="2"/>
          <w:sz w:val="22"/>
          <w:szCs w:val="22"/>
          <w14:ligatures w14:val="standardContextual"/>
        </w:rPr>
        <w:t>99</w:t>
      </w:r>
      <w:r w:rsidR="001F5B1E" w:rsidRPr="00215418">
        <w:rPr>
          <w:rFonts w:ascii="Aptos" w:eastAsia="Aptos" w:hAnsi="Aptos" w:cs="Arial"/>
          <w:kern w:val="2"/>
          <w:sz w:val="22"/>
          <w:szCs w:val="22"/>
          <w14:ligatures w14:val="standardContextual"/>
        </w:rPr>
        <w:t xml:space="preserve"> </w:t>
      </w:r>
      <w:r w:rsidRPr="00215418">
        <w:rPr>
          <w:rFonts w:ascii="Aptos" w:eastAsia="Aptos" w:hAnsi="Aptos" w:cs="Arial"/>
          <w:kern w:val="2"/>
          <w:sz w:val="22"/>
          <w:szCs w:val="22"/>
          <w14:ligatures w14:val="standardContextual"/>
        </w:rPr>
        <w:t xml:space="preserve">per cent of the population in 2024, </w:t>
      </w:r>
      <w:r w:rsidR="00A92880" w:rsidRPr="00215418">
        <w:rPr>
          <w:rFonts w:ascii="Aptos" w:eastAsia="Aptos" w:hAnsi="Aptos" w:cs="Arial"/>
          <w:kern w:val="2"/>
          <w:sz w:val="22"/>
          <w:szCs w:val="22"/>
          <w14:ligatures w14:val="standardContextual"/>
        </w:rPr>
        <w:t xml:space="preserve">implying that almost everyone in Europe </w:t>
      </w:r>
      <w:r w:rsidR="00574C5A" w:rsidRPr="00215418">
        <w:rPr>
          <w:rFonts w:ascii="Aptos" w:eastAsia="Aptos" w:hAnsi="Aptos" w:cs="Arial"/>
          <w:kern w:val="2"/>
          <w:sz w:val="22"/>
          <w:szCs w:val="22"/>
          <w14:ligatures w14:val="standardContextual"/>
        </w:rPr>
        <w:t xml:space="preserve">has access to a </w:t>
      </w:r>
      <w:r w:rsidR="000529F1" w:rsidRPr="00215418">
        <w:rPr>
          <w:rFonts w:ascii="Aptos" w:eastAsia="Aptos" w:hAnsi="Aptos" w:cs="Arial"/>
          <w:kern w:val="2"/>
          <w:sz w:val="22"/>
          <w:szCs w:val="22"/>
          <w14:ligatures w14:val="standardContextual"/>
        </w:rPr>
        <w:t xml:space="preserve">good quality mobile network. </w:t>
      </w:r>
    </w:p>
    <w:p w14:paraId="13BA4C71" w14:textId="7B1B2D5B" w:rsidR="00756F18" w:rsidRPr="00215418" w:rsidRDefault="00756F18"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However, the roll-out of 5G </w:t>
      </w:r>
      <w:r w:rsidR="008A0319" w:rsidRPr="00215418">
        <w:rPr>
          <w:rFonts w:ascii="Aptos" w:eastAsia="Aptos" w:hAnsi="Aptos" w:cs="Arial"/>
          <w:kern w:val="2"/>
          <w:sz w:val="22"/>
          <w:szCs w:val="22"/>
          <w14:ligatures w14:val="standardContextual"/>
        </w:rPr>
        <w:t>has been</w:t>
      </w:r>
      <w:r w:rsidRPr="00215418">
        <w:rPr>
          <w:rFonts w:ascii="Aptos" w:eastAsia="Aptos" w:hAnsi="Aptos" w:cs="Arial"/>
          <w:kern w:val="2"/>
          <w:sz w:val="22"/>
          <w:szCs w:val="22"/>
          <w14:ligatures w14:val="standardContextual"/>
        </w:rPr>
        <w:t xml:space="preserve"> uneven in the region. </w:t>
      </w:r>
      <w:r w:rsidR="00DB4C97" w:rsidRPr="00215418">
        <w:rPr>
          <w:rFonts w:ascii="Aptos" w:eastAsia="Aptos" w:hAnsi="Aptos" w:cs="Arial"/>
          <w:kern w:val="2"/>
          <w:sz w:val="22"/>
          <w:szCs w:val="22"/>
          <w14:ligatures w14:val="standardContextual"/>
        </w:rPr>
        <w:t>While in some countries, mostly located in Eastern Eur</w:t>
      </w:r>
      <w:r w:rsidR="00B40BF9" w:rsidRPr="00215418">
        <w:rPr>
          <w:rFonts w:ascii="Aptos" w:eastAsia="Aptos" w:hAnsi="Aptos" w:cs="Arial"/>
          <w:kern w:val="2"/>
          <w:sz w:val="22"/>
          <w:szCs w:val="22"/>
          <w14:ligatures w14:val="standardContextual"/>
        </w:rPr>
        <w:t>o</w:t>
      </w:r>
      <w:r w:rsidR="00DB4C97" w:rsidRPr="00215418">
        <w:rPr>
          <w:rFonts w:ascii="Aptos" w:eastAsia="Aptos" w:hAnsi="Aptos" w:cs="Arial"/>
          <w:kern w:val="2"/>
          <w:sz w:val="22"/>
          <w:szCs w:val="22"/>
          <w14:ligatures w14:val="standardContextual"/>
        </w:rPr>
        <w:t>pe or the Wester</w:t>
      </w:r>
      <w:r w:rsidR="00350950" w:rsidRPr="00215418">
        <w:rPr>
          <w:rFonts w:ascii="Aptos" w:eastAsia="Aptos" w:hAnsi="Aptos" w:cs="Arial"/>
          <w:kern w:val="2"/>
          <w:sz w:val="22"/>
          <w:szCs w:val="22"/>
          <w14:ligatures w14:val="standardContextual"/>
        </w:rPr>
        <w:t xml:space="preserve">n Balkans, 5G </w:t>
      </w:r>
      <w:r w:rsidR="00DF445C" w:rsidRPr="00215418">
        <w:rPr>
          <w:rFonts w:ascii="Aptos" w:eastAsia="Aptos" w:hAnsi="Aptos" w:cs="Arial"/>
          <w:kern w:val="2"/>
          <w:sz w:val="22"/>
          <w:szCs w:val="22"/>
          <w14:ligatures w14:val="standardContextual"/>
        </w:rPr>
        <w:t xml:space="preserve">Is not available at all, </w:t>
      </w:r>
      <w:r w:rsidR="00B40BF9" w:rsidRPr="00215418">
        <w:rPr>
          <w:rFonts w:ascii="Aptos" w:eastAsia="Aptos" w:hAnsi="Aptos" w:cs="Arial"/>
          <w:kern w:val="2"/>
          <w:sz w:val="22"/>
          <w:szCs w:val="22"/>
          <w14:ligatures w14:val="standardContextual"/>
        </w:rPr>
        <w:t xml:space="preserve">in other countries 5G is already available to the whole population. </w:t>
      </w:r>
    </w:p>
    <w:p w14:paraId="6AE468F3" w14:textId="03B0611D"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lastRenderedPageBreak/>
        <w:t xml:space="preserve">Percentage of population covered by type of mobile network, </w:t>
      </w:r>
      <w:r w:rsidR="008D4391" w:rsidRPr="00215418">
        <w:rPr>
          <w:rFonts w:ascii="AvenirNext LT Pro Light" w:eastAsia="Yu Gothic Light" w:hAnsi="AvenirNext LT Pro Light" w:cs="Calibri"/>
          <w:color w:val="0070C0"/>
          <w:spacing w:val="-10"/>
          <w:kern w:val="28"/>
          <w:szCs w:val="24"/>
        </w:rPr>
        <w:t xml:space="preserve">2023 or </w:t>
      </w:r>
      <w:r w:rsidRPr="00215418">
        <w:rPr>
          <w:rFonts w:ascii="AvenirNext LT Pro Light" w:eastAsia="Yu Gothic Light" w:hAnsi="AvenirNext LT Pro Light" w:cs="Calibri"/>
          <w:color w:val="0070C0"/>
          <w:spacing w:val="-10"/>
          <w:kern w:val="28"/>
          <w:szCs w:val="24"/>
        </w:rPr>
        <w:t>latest year available</w:t>
      </w:r>
    </w:p>
    <w:p w14:paraId="579B2750" w14:textId="18642556" w:rsidR="006C41B5" w:rsidRPr="00215418" w:rsidRDefault="00335DB1" w:rsidP="006C41B5">
      <w:pPr>
        <w:rPr>
          <w:rFonts w:ascii="Aptos" w:eastAsia="Aptos" w:hAnsi="Aptos" w:cs="Arial"/>
          <w:kern w:val="2"/>
          <w:sz w:val="22"/>
          <w:szCs w:val="22"/>
          <w14:ligatures w14:val="standardContextual"/>
        </w:rPr>
      </w:pPr>
      <w:r w:rsidRPr="00215418">
        <w:rPr>
          <w:noProof/>
        </w:rPr>
        <w:drawing>
          <wp:inline distT="0" distB="0" distL="0" distR="0" wp14:anchorId="54F90984" wp14:editId="6C406495">
            <wp:extent cx="6120765" cy="3274060"/>
            <wp:effectExtent l="0" t="0" r="0" b="2540"/>
            <wp:docPr id="144018904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189040" name=""/>
                    <pic:cNvPicPr/>
                  </pic:nvPicPr>
                  <pic:blipFill>
                    <a:blip r:embed="rId53">
                      <a:extLst>
                        <a:ext uri="{96DAC541-7B7A-43D3-8B79-37D633B846F1}">
                          <asvg:svgBlip xmlns:asvg="http://schemas.microsoft.com/office/drawing/2016/SVG/main" r:embed="rId54"/>
                        </a:ext>
                      </a:extLst>
                    </a:blip>
                    <a:stretch>
                      <a:fillRect/>
                    </a:stretch>
                  </pic:blipFill>
                  <pic:spPr>
                    <a:xfrm>
                      <a:off x="0" y="0"/>
                      <a:ext cx="6120765" cy="3274060"/>
                    </a:xfrm>
                    <a:prstGeom prst="rect">
                      <a:avLst/>
                    </a:prstGeom>
                  </pic:spPr>
                </pic:pic>
              </a:graphicData>
            </a:graphic>
          </wp:inline>
        </w:drawing>
      </w:r>
    </w:p>
    <w:p w14:paraId="14C31C7C" w14:textId="625E86AB" w:rsidR="006C41B5" w:rsidRPr="00215418" w:rsidRDefault="006C41B5" w:rsidP="00B1004A">
      <w:pPr>
        <w:pStyle w:val="notetext"/>
      </w:pPr>
      <w:r w:rsidRPr="00215418">
        <w:t xml:space="preserve">Note: The values for 2G, 3G and 4G networks show the incremental percentage of the population that is not covered by a more advanced technology network (e.g. in 2023, </w:t>
      </w:r>
      <w:r w:rsidR="00CE4665" w:rsidRPr="00215418">
        <w:t>99</w:t>
      </w:r>
      <w:r w:rsidRPr="00215418">
        <w:t xml:space="preserve"> per cent of the population in </w:t>
      </w:r>
      <w:r w:rsidR="00AF357D" w:rsidRPr="00215418">
        <w:t xml:space="preserve">Slovakia </w:t>
      </w:r>
      <w:r w:rsidRPr="00215418">
        <w:t xml:space="preserve">is covered by at least a </w:t>
      </w:r>
      <w:r w:rsidR="00AF357D" w:rsidRPr="00215418">
        <w:t>4</w:t>
      </w:r>
      <w:r w:rsidRPr="00215418">
        <w:t xml:space="preserve">G or above network, that is </w:t>
      </w:r>
      <w:r w:rsidR="00E034BD" w:rsidRPr="00215418">
        <w:t>63</w:t>
      </w:r>
      <w:r w:rsidRPr="00215418">
        <w:t xml:space="preserve"> per cent + </w:t>
      </w:r>
      <w:r w:rsidR="00E034BD" w:rsidRPr="00215418">
        <w:t>36</w:t>
      </w:r>
      <w:r w:rsidRPr="00215418">
        <w:t xml:space="preserve"> per cent). </w:t>
      </w:r>
    </w:p>
    <w:p w14:paraId="1C2875B9" w14:textId="77777777" w:rsidR="006C41B5" w:rsidRPr="00215418" w:rsidRDefault="006C41B5" w:rsidP="00B1004A">
      <w:pPr>
        <w:pStyle w:val="Sourcetext"/>
      </w:pPr>
      <w:r w:rsidRPr="00215418">
        <w:t>Source: ITU</w:t>
      </w:r>
    </w:p>
    <w:p w14:paraId="1756BA8C" w14:textId="751575FD" w:rsidR="001212EE" w:rsidRPr="00215418" w:rsidRDefault="005553E8" w:rsidP="009D2EAD">
      <w:pPr>
        <w:spacing w:after="120"/>
        <w:rPr>
          <w:rFonts w:ascii="Aptos" w:eastAsia="Aptos" w:hAnsi="Aptos"/>
          <w:sz w:val="22"/>
          <w:szCs w:val="22"/>
        </w:rPr>
      </w:pPr>
      <w:r w:rsidRPr="00215418">
        <w:rPr>
          <w:rFonts w:ascii="Aptos" w:eastAsia="Aptos" w:hAnsi="Aptos"/>
          <w:sz w:val="22"/>
          <w:szCs w:val="22"/>
        </w:rPr>
        <w:t>T</w:t>
      </w:r>
      <w:r w:rsidR="001212EE" w:rsidRPr="00215418">
        <w:rPr>
          <w:rFonts w:ascii="Aptos" w:eastAsia="Aptos" w:hAnsi="Aptos"/>
          <w:sz w:val="22"/>
          <w:szCs w:val="22"/>
        </w:rPr>
        <w:t xml:space="preserve">here is a significant gap in </w:t>
      </w:r>
      <w:r w:rsidRPr="00215418">
        <w:rPr>
          <w:rFonts w:ascii="Aptos" w:eastAsia="Aptos" w:hAnsi="Aptos"/>
          <w:sz w:val="22"/>
          <w:szCs w:val="22"/>
        </w:rPr>
        <w:t xml:space="preserve">5G mobile </w:t>
      </w:r>
      <w:r w:rsidR="001212EE" w:rsidRPr="00215418">
        <w:rPr>
          <w:rFonts w:ascii="Aptos" w:eastAsia="Aptos" w:hAnsi="Aptos"/>
          <w:sz w:val="22"/>
          <w:szCs w:val="22"/>
        </w:rPr>
        <w:t xml:space="preserve">network availability between rural and urban areas. In 2024, 5G covered </w:t>
      </w:r>
      <w:r w:rsidR="00C92927" w:rsidRPr="00215418">
        <w:rPr>
          <w:rFonts w:ascii="Aptos" w:eastAsia="Aptos" w:hAnsi="Aptos"/>
          <w:sz w:val="22"/>
          <w:szCs w:val="22"/>
        </w:rPr>
        <w:t>8</w:t>
      </w:r>
      <w:r w:rsidR="001212EE" w:rsidRPr="00215418">
        <w:rPr>
          <w:rFonts w:ascii="Aptos" w:eastAsia="Aptos" w:hAnsi="Aptos"/>
          <w:sz w:val="22"/>
          <w:szCs w:val="22"/>
        </w:rPr>
        <w:t xml:space="preserve">1 per cent of the </w:t>
      </w:r>
      <w:r w:rsidR="003108C1" w:rsidRPr="00215418">
        <w:rPr>
          <w:rFonts w:ascii="Aptos" w:eastAsia="Aptos" w:hAnsi="Aptos"/>
          <w:sz w:val="22"/>
          <w:szCs w:val="22"/>
        </w:rPr>
        <w:t>urban</w:t>
      </w:r>
      <w:r w:rsidR="001212EE" w:rsidRPr="00215418">
        <w:rPr>
          <w:rFonts w:ascii="Aptos" w:eastAsia="Aptos" w:hAnsi="Aptos"/>
          <w:sz w:val="22"/>
          <w:szCs w:val="22"/>
        </w:rPr>
        <w:t xml:space="preserve"> population in </w:t>
      </w:r>
      <w:r w:rsidR="003108C1" w:rsidRPr="00215418">
        <w:rPr>
          <w:rFonts w:ascii="Aptos" w:eastAsia="Aptos" w:hAnsi="Aptos"/>
          <w:sz w:val="22"/>
          <w:szCs w:val="22"/>
        </w:rPr>
        <w:t>Europe</w:t>
      </w:r>
      <w:r w:rsidR="001212EE" w:rsidRPr="00215418">
        <w:rPr>
          <w:rFonts w:ascii="Aptos" w:eastAsia="Aptos" w:hAnsi="Aptos"/>
          <w:sz w:val="22"/>
          <w:szCs w:val="22"/>
        </w:rPr>
        <w:t xml:space="preserve">, but only </w:t>
      </w:r>
      <w:r w:rsidR="009641EA" w:rsidRPr="00215418">
        <w:rPr>
          <w:rFonts w:ascii="Aptos" w:eastAsia="Aptos" w:hAnsi="Aptos"/>
          <w:sz w:val="22"/>
          <w:szCs w:val="22"/>
        </w:rPr>
        <w:t>46</w:t>
      </w:r>
      <w:r w:rsidR="001212EE" w:rsidRPr="00215418">
        <w:rPr>
          <w:rFonts w:ascii="Aptos" w:eastAsia="Aptos" w:hAnsi="Aptos"/>
          <w:sz w:val="22"/>
          <w:szCs w:val="22"/>
        </w:rPr>
        <w:t xml:space="preserve"> per cent in rural areas. The disparity was </w:t>
      </w:r>
      <w:r w:rsidR="00784594" w:rsidRPr="00215418">
        <w:rPr>
          <w:rFonts w:ascii="Aptos" w:eastAsia="Aptos" w:hAnsi="Aptos"/>
          <w:sz w:val="22"/>
          <w:szCs w:val="22"/>
        </w:rPr>
        <w:t xml:space="preserve">much smaller </w:t>
      </w:r>
      <w:r w:rsidR="001212EE" w:rsidRPr="00215418">
        <w:rPr>
          <w:rFonts w:ascii="Aptos" w:eastAsia="Aptos" w:hAnsi="Aptos"/>
          <w:sz w:val="22"/>
          <w:szCs w:val="22"/>
        </w:rPr>
        <w:t xml:space="preserve">for 4G networks, with </w:t>
      </w:r>
      <w:r w:rsidR="00784594" w:rsidRPr="00215418">
        <w:rPr>
          <w:rFonts w:ascii="Aptos" w:eastAsia="Aptos" w:hAnsi="Aptos"/>
          <w:sz w:val="22"/>
          <w:szCs w:val="22"/>
        </w:rPr>
        <w:t xml:space="preserve">all </w:t>
      </w:r>
      <w:r w:rsidR="001212EE" w:rsidRPr="00215418">
        <w:rPr>
          <w:rFonts w:ascii="Aptos" w:eastAsia="Aptos" w:hAnsi="Aptos"/>
          <w:sz w:val="22"/>
          <w:szCs w:val="22"/>
        </w:rPr>
        <w:t xml:space="preserve">the urban population covered compared with </w:t>
      </w:r>
      <w:r w:rsidR="00C45666" w:rsidRPr="00215418">
        <w:rPr>
          <w:rFonts w:ascii="Aptos" w:eastAsia="Aptos" w:hAnsi="Aptos"/>
          <w:sz w:val="22"/>
          <w:szCs w:val="22"/>
        </w:rPr>
        <w:t>9</w:t>
      </w:r>
      <w:r w:rsidR="001212EE" w:rsidRPr="00215418">
        <w:rPr>
          <w:rFonts w:ascii="Aptos" w:eastAsia="Aptos" w:hAnsi="Aptos"/>
          <w:sz w:val="22"/>
          <w:szCs w:val="22"/>
        </w:rPr>
        <w:t>7 per cent in rural areas.</w:t>
      </w:r>
    </w:p>
    <w:p w14:paraId="41FF9656" w14:textId="0B355050"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t>Population coverage by type of mobile network and location, 2024</w:t>
      </w:r>
    </w:p>
    <w:p w14:paraId="4CFB12EA" w14:textId="77777777" w:rsidR="00EF6D10" w:rsidRPr="00215418" w:rsidRDefault="004C7016"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215418">
        <w:rPr>
          <w:noProof/>
        </w:rPr>
        <w:drawing>
          <wp:inline distT="0" distB="0" distL="0" distR="0" wp14:anchorId="09E9D346" wp14:editId="5A711BF1">
            <wp:extent cx="5705475" cy="2848022"/>
            <wp:effectExtent l="0" t="0" r="0" b="9525"/>
            <wp:docPr id="107816455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164556" name=""/>
                    <pic:cNvPicPr/>
                  </pic:nvPicPr>
                  <pic:blipFill>
                    <a:blip r:embed="rId55">
                      <a:extLst>
                        <a:ext uri="{96DAC541-7B7A-43D3-8B79-37D633B846F1}">
                          <asvg:svgBlip xmlns:asvg="http://schemas.microsoft.com/office/drawing/2016/SVG/main" r:embed="rId56"/>
                        </a:ext>
                      </a:extLst>
                    </a:blip>
                    <a:stretch>
                      <a:fillRect/>
                    </a:stretch>
                  </pic:blipFill>
                  <pic:spPr>
                    <a:xfrm>
                      <a:off x="0" y="0"/>
                      <a:ext cx="5714440" cy="2852497"/>
                    </a:xfrm>
                    <a:prstGeom prst="rect">
                      <a:avLst/>
                    </a:prstGeom>
                  </pic:spPr>
                </pic:pic>
              </a:graphicData>
            </a:graphic>
          </wp:inline>
        </w:drawing>
      </w:r>
    </w:p>
    <w:p w14:paraId="05373577" w14:textId="49A4A92E" w:rsidR="006C41B5" w:rsidRPr="00215418" w:rsidRDefault="006C41B5" w:rsidP="00B1004A">
      <w:pPr>
        <w:pStyle w:val="notetext"/>
      </w:pPr>
      <w:r w:rsidRPr="00215418">
        <w:t>Note: The values for 2G, 3G and 4G networks show the incremental percentage of the population that is not covered by a more advanced technology network (e.g. 90 per cent of the world's rural population is covered by at least a 3G or above network, that is 29 per cent + 53 per cent + 8 per cent).</w:t>
      </w:r>
    </w:p>
    <w:p w14:paraId="4D5D4BCD" w14:textId="345B73C8" w:rsidR="006C41B5" w:rsidRPr="00215418" w:rsidRDefault="006C41B5" w:rsidP="009D2EAD">
      <w:pPr>
        <w:pStyle w:val="Sourcetext"/>
        <w:rPr>
          <w:rFonts w:eastAsia="Aptos" w:cs="Arial"/>
          <w:sz w:val="22"/>
          <w:szCs w:val="22"/>
        </w:rPr>
      </w:pPr>
      <w:r w:rsidRPr="00215418">
        <w:t>Source: ITU</w:t>
      </w:r>
      <w:r w:rsidRPr="00215418">
        <w:rPr>
          <w:rFonts w:eastAsia="Aptos" w:cs="Arial"/>
          <w:sz w:val="22"/>
          <w:szCs w:val="22"/>
        </w:rPr>
        <w:br w:type="page"/>
      </w:r>
    </w:p>
    <w:p w14:paraId="0F31E52C" w14:textId="77777777" w:rsidR="006C41B5" w:rsidRPr="00215418" w:rsidRDefault="006C41B5" w:rsidP="000C3666">
      <w:pPr>
        <w:pStyle w:val="Section"/>
      </w:pPr>
      <w:bookmarkStart w:id="13" w:name="_Toc188001387"/>
      <w:r w:rsidRPr="00215418">
        <w:lastRenderedPageBreak/>
        <w:t>Availability of fixed-broadband infrastructure</w:t>
      </w:r>
      <w:bookmarkEnd w:id="13"/>
    </w:p>
    <w:p w14:paraId="08317977" w14:textId="3E93D31D" w:rsidR="006C41B5" w:rsidRPr="00215418" w:rsidRDefault="005B0061"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15418">
        <w:rPr>
          <w:rFonts w:ascii="Aptos" w:eastAsia="Aptos" w:hAnsi="Aptos" w:cs="Arial"/>
          <w:b/>
          <w:i/>
          <w:kern w:val="2"/>
          <w:sz w:val="22"/>
          <w:szCs w:val="22"/>
          <w14:ligatures w14:val="standardContextual"/>
        </w:rPr>
        <w:t>Six out</w:t>
      </w:r>
      <w:r w:rsidR="00E20227" w:rsidRPr="00215418">
        <w:rPr>
          <w:rFonts w:ascii="Aptos" w:eastAsia="Aptos" w:hAnsi="Aptos" w:cs="Arial"/>
          <w:b/>
          <w:i/>
          <w:kern w:val="2"/>
          <w:sz w:val="22"/>
          <w:szCs w:val="22"/>
          <w14:ligatures w14:val="standardContextual"/>
        </w:rPr>
        <w:t xml:space="preserve"> of </w:t>
      </w:r>
      <w:r w:rsidRPr="00215418">
        <w:rPr>
          <w:rFonts w:ascii="Aptos" w:eastAsia="Aptos" w:hAnsi="Aptos" w:cs="Arial"/>
          <w:b/>
          <w:i/>
          <w:kern w:val="2"/>
          <w:sz w:val="22"/>
          <w:szCs w:val="22"/>
          <w14:ligatures w14:val="standardContextual"/>
        </w:rPr>
        <w:t>ten</w:t>
      </w:r>
      <w:r w:rsidR="00E20227" w:rsidRPr="00215418">
        <w:rPr>
          <w:rFonts w:ascii="Aptos" w:eastAsia="Aptos" w:hAnsi="Aptos" w:cs="Arial"/>
          <w:b/>
          <w:i/>
          <w:kern w:val="2"/>
          <w:sz w:val="22"/>
          <w:szCs w:val="22"/>
          <w14:ligatures w14:val="standardContextual"/>
        </w:rPr>
        <w:t xml:space="preserve"> </w:t>
      </w:r>
      <w:r w:rsidR="0066654A" w:rsidRPr="00215418">
        <w:rPr>
          <w:rFonts w:ascii="Aptos" w:eastAsia="Aptos" w:hAnsi="Aptos" w:cs="Arial"/>
          <w:b/>
          <w:i/>
          <w:kern w:val="2"/>
          <w:sz w:val="22"/>
          <w:szCs w:val="22"/>
          <w14:ligatures w14:val="standardContextual"/>
        </w:rPr>
        <w:t>people</w:t>
      </w:r>
      <w:r w:rsidR="00E20227" w:rsidRPr="00215418">
        <w:rPr>
          <w:rFonts w:ascii="Aptos" w:eastAsia="Aptos" w:hAnsi="Aptos" w:cs="Arial"/>
          <w:b/>
          <w:i/>
          <w:kern w:val="2"/>
          <w:sz w:val="22"/>
          <w:szCs w:val="22"/>
          <w14:ligatures w14:val="standardContextual"/>
        </w:rPr>
        <w:t xml:space="preserve"> live within 10 km of a fibre node</w:t>
      </w:r>
    </w:p>
    <w:p w14:paraId="3CD50AF7" w14:textId="77777777" w:rsidR="004470E3" w:rsidRPr="00215418" w:rsidRDefault="004470E3" w:rsidP="004470E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Fixed broadband infrastructure forms the backbone of the Internet and is a cornerstone of digital transformation efforts. As part of the ongoing research at ITU, the broadband map initiative provides an overview of the fixed broadband infrastructure placement. Overlaying this data with demographic data makes it possible to infer the availability and proximity of fixed broadband to populations. This is essential for planning – costly – infrastructure projects and helps to ensure that networks have the necessary capacity and reach. </w:t>
      </w:r>
    </w:p>
    <w:p w14:paraId="3C9BD7E5" w14:textId="10DD33CA"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t xml:space="preserve">Map of transmission networks and submarine cables for </w:t>
      </w:r>
      <w:r w:rsidR="00DB473E" w:rsidRPr="00215418">
        <w:rPr>
          <w:rFonts w:ascii="AvenirNext LT Pro Light" w:eastAsia="Yu Gothic Light" w:hAnsi="AvenirNext LT Pro Light" w:cs="Calibri"/>
          <w:color w:val="0070C0"/>
          <w:spacing w:val="-10"/>
          <w:kern w:val="28"/>
          <w:szCs w:val="24"/>
        </w:rPr>
        <w:t>the</w:t>
      </w:r>
      <w:r w:rsidRPr="00215418">
        <w:rPr>
          <w:rFonts w:ascii="AvenirNext LT Pro Light" w:eastAsia="Yu Gothic Light" w:hAnsi="AvenirNext LT Pro Light" w:cs="Calibri"/>
          <w:color w:val="0070C0"/>
          <w:spacing w:val="-10"/>
          <w:kern w:val="28"/>
          <w:szCs w:val="24"/>
        </w:rPr>
        <w:t xml:space="preserve"> </w:t>
      </w:r>
      <w:r w:rsidR="00856ABE" w:rsidRPr="00215418">
        <w:rPr>
          <w:rFonts w:ascii="AvenirNext LT Pro Light" w:eastAsia="Yu Gothic Light" w:hAnsi="AvenirNext LT Pro Light" w:cs="Calibri"/>
          <w:color w:val="0070C0"/>
          <w:spacing w:val="-10"/>
          <w:kern w:val="28"/>
          <w:szCs w:val="24"/>
        </w:rPr>
        <w:t>Europe</w:t>
      </w:r>
      <w:r w:rsidRPr="00215418">
        <w:rPr>
          <w:rFonts w:ascii="AvenirNext LT Pro Light" w:eastAsia="Yu Gothic Light" w:hAnsi="AvenirNext LT Pro Light" w:cs="Calibri"/>
          <w:color w:val="0070C0"/>
          <w:spacing w:val="-10"/>
          <w:kern w:val="28"/>
          <w:szCs w:val="24"/>
        </w:rPr>
        <w:t xml:space="preserve"> region</w:t>
      </w:r>
    </w:p>
    <w:p w14:paraId="18BC9E57" w14:textId="4140CACA" w:rsidR="001B282C" w:rsidRPr="00215418" w:rsidRDefault="0004147F" w:rsidP="0004147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noProof/>
          <w:kern w:val="2"/>
          <w:sz w:val="22"/>
          <w:szCs w:val="22"/>
          <w14:ligatures w14:val="standardContextual"/>
        </w:rPr>
        <w:drawing>
          <wp:inline distT="0" distB="0" distL="0" distR="0" wp14:anchorId="5E2311E8" wp14:editId="12D7CF7A">
            <wp:extent cx="6120765" cy="5581650"/>
            <wp:effectExtent l="19050" t="19050" r="13335" b="19050"/>
            <wp:docPr id="11" name="Picture 10" descr="A map of europe with many roads&#10;&#10;Description automatically generated">
              <a:extLst xmlns:a="http://schemas.openxmlformats.org/drawingml/2006/main">
                <a:ext uri="{FF2B5EF4-FFF2-40B4-BE49-F238E27FC236}">
                  <a16:creationId xmlns:a16="http://schemas.microsoft.com/office/drawing/2014/main" id="{3E554E5D-3CBB-2D5B-E6FF-A8C149EC54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map of europe with many roads&#10;&#10;Description automatically generated">
                      <a:extLst>
                        <a:ext uri="{FF2B5EF4-FFF2-40B4-BE49-F238E27FC236}">
                          <a16:creationId xmlns:a16="http://schemas.microsoft.com/office/drawing/2014/main" id="{3E554E5D-3CBB-2D5B-E6FF-A8C149EC5421}"/>
                        </a:ext>
                      </a:extLst>
                    </pic:cNvPr>
                    <pic:cNvPicPr>
                      <a:picLocks noChangeAspect="1"/>
                    </pic:cNvPicPr>
                  </pic:nvPicPr>
                  <pic:blipFill>
                    <a:blip r:embed="rId57"/>
                    <a:srcRect l="464" t="2654"/>
                    <a:stretch/>
                  </pic:blipFill>
                  <pic:spPr>
                    <a:xfrm>
                      <a:off x="0" y="0"/>
                      <a:ext cx="6120765" cy="5581650"/>
                    </a:xfrm>
                    <a:prstGeom prst="rect">
                      <a:avLst/>
                    </a:prstGeom>
                    <a:ln w="12700">
                      <a:solidFill>
                        <a:srgbClr val="00A3E0"/>
                      </a:solidFill>
                    </a:ln>
                  </pic:spPr>
                </pic:pic>
              </a:graphicData>
            </a:graphic>
          </wp:inline>
        </w:drawing>
      </w:r>
    </w:p>
    <w:p w14:paraId="79B25A78" w14:textId="1398E84C" w:rsidR="00217F9C" w:rsidRPr="00215418" w:rsidRDefault="00217F9C" w:rsidP="00B1004A">
      <w:pPr>
        <w:pStyle w:val="notetext"/>
      </w:pPr>
      <w:r w:rsidRPr="00215418">
        <w:t xml:space="preserve">Note: The image reports active and planned submarine cables, and operational, planned and under-construction transmission networks (fibre-optic cable and microwave). </w:t>
      </w:r>
    </w:p>
    <w:p w14:paraId="4A459512" w14:textId="77777777" w:rsidR="00217F9C" w:rsidRPr="00215418" w:rsidRDefault="00217F9C" w:rsidP="00B1004A">
      <w:pPr>
        <w:pStyle w:val="notetext"/>
      </w:pPr>
      <w:r w:rsidRPr="00215418">
        <w:t>The designations employed and the presentation of material on the map do not imply the expression of any opinion whatsoever on the part of ITU or its secretariat concerning the legal status of the country, territory, city or area or its authorities, or concerning the delimitation of its frontiers or boundaries.</w:t>
      </w:r>
    </w:p>
    <w:p w14:paraId="6A74A788" w14:textId="3F528410" w:rsidR="00217F9C" w:rsidRPr="00215418" w:rsidRDefault="00217F9C" w:rsidP="00B1004A">
      <w:pPr>
        <w:pStyle w:val="Sourcetext"/>
      </w:pPr>
      <w:r w:rsidRPr="00215418">
        <w:t xml:space="preserve">Source: ITU, </w:t>
      </w:r>
      <w:hyperlink r:id="rId58" w:history="1">
        <w:r w:rsidRPr="00215418">
          <w:rPr>
            <w:color w:val="467886"/>
            <w:u w:val="single"/>
          </w:rPr>
          <w:t>https://bbmaps.itu.int/app</w:t>
        </w:r>
      </w:hyperlink>
    </w:p>
    <w:p w14:paraId="272459CC" w14:textId="77777777" w:rsidR="006C41B5" w:rsidRPr="00215418" w:rsidRDefault="006C41B5" w:rsidP="0028506D">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lastRenderedPageBreak/>
        <w:t xml:space="preserve">Proximity to a fibre node is a crucial metric for transformative connectivity as it directly impacts network performance, reliability, and scalability. It reduces latency, improves connection stability, and lowers deployment costs, making broadband access more affordable and efficient. Additionally, it enables easier upgrades to support growing bandwidth demands, ensuring networks remain ‘future-proof’. </w:t>
      </w:r>
    </w:p>
    <w:p w14:paraId="6625994A" w14:textId="7E83901F" w:rsidR="0028506D" w:rsidRPr="00215418" w:rsidRDefault="001D51DF" w:rsidP="0028506D">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As of 2023, </w:t>
      </w:r>
      <w:r w:rsidR="00322D20" w:rsidRPr="00215418">
        <w:rPr>
          <w:rFonts w:ascii="Aptos" w:eastAsia="Aptos" w:hAnsi="Aptos" w:cs="Arial"/>
          <w:kern w:val="2"/>
          <w:sz w:val="22"/>
          <w:szCs w:val="22"/>
          <w14:ligatures w14:val="standardContextual"/>
        </w:rPr>
        <w:t>61</w:t>
      </w:r>
      <w:r w:rsidRPr="00215418">
        <w:rPr>
          <w:rFonts w:ascii="Aptos" w:eastAsia="Aptos" w:hAnsi="Aptos" w:cs="Arial"/>
          <w:kern w:val="2"/>
          <w:sz w:val="22"/>
          <w:szCs w:val="22"/>
          <w14:ligatures w14:val="standardContextual"/>
        </w:rPr>
        <w:t xml:space="preserve"> per cent of the population of </w:t>
      </w:r>
      <w:r w:rsidR="00322D20" w:rsidRPr="00215418">
        <w:rPr>
          <w:rFonts w:ascii="Aptos" w:eastAsia="Aptos" w:hAnsi="Aptos" w:cs="Arial"/>
          <w:kern w:val="2"/>
          <w:sz w:val="22"/>
          <w:szCs w:val="22"/>
          <w14:ligatures w14:val="standardContextual"/>
        </w:rPr>
        <w:t>the Europe region</w:t>
      </w:r>
      <w:r w:rsidRPr="00215418">
        <w:rPr>
          <w:rFonts w:ascii="Aptos" w:eastAsia="Aptos" w:hAnsi="Aptos" w:cs="Arial"/>
          <w:kern w:val="2"/>
          <w:sz w:val="22"/>
          <w:szCs w:val="22"/>
          <w14:ligatures w14:val="standardContextual"/>
        </w:rPr>
        <w:t xml:space="preserve"> lived within 10 km of a fibre node. </w:t>
      </w:r>
      <w:r w:rsidR="00196049" w:rsidRPr="00215418">
        <w:rPr>
          <w:rFonts w:ascii="Aptos" w:eastAsia="Aptos" w:hAnsi="Aptos" w:cs="Arial"/>
          <w:kern w:val="2"/>
          <w:sz w:val="22"/>
          <w:szCs w:val="22"/>
          <w14:ligatures w14:val="standardContextual"/>
        </w:rPr>
        <w:t xml:space="preserve">Almost 9 out </w:t>
      </w:r>
      <w:r w:rsidR="00D17453" w:rsidRPr="00215418">
        <w:rPr>
          <w:rFonts w:ascii="Aptos" w:eastAsia="Aptos" w:hAnsi="Aptos" w:cs="Arial"/>
          <w:kern w:val="2"/>
          <w:sz w:val="22"/>
          <w:szCs w:val="22"/>
          <w14:ligatures w14:val="standardContextual"/>
        </w:rPr>
        <w:t xml:space="preserve">10 people </w:t>
      </w:r>
      <w:r w:rsidRPr="00215418">
        <w:rPr>
          <w:rFonts w:ascii="Aptos" w:eastAsia="Aptos" w:hAnsi="Aptos" w:cs="Arial"/>
          <w:kern w:val="2"/>
          <w:sz w:val="22"/>
          <w:szCs w:val="22"/>
          <w14:ligatures w14:val="standardContextual"/>
        </w:rPr>
        <w:t>(</w:t>
      </w:r>
      <w:r w:rsidR="00D17453" w:rsidRPr="00215418">
        <w:rPr>
          <w:rFonts w:ascii="Aptos" w:eastAsia="Aptos" w:hAnsi="Aptos" w:cs="Arial"/>
          <w:kern w:val="2"/>
          <w:sz w:val="22"/>
          <w:szCs w:val="22"/>
          <w14:ligatures w14:val="standardContextual"/>
        </w:rPr>
        <w:t>8</w:t>
      </w:r>
      <w:r w:rsidRPr="00215418">
        <w:rPr>
          <w:rFonts w:ascii="Aptos" w:eastAsia="Aptos" w:hAnsi="Aptos" w:cs="Arial"/>
          <w:kern w:val="2"/>
          <w:sz w:val="22"/>
          <w:szCs w:val="22"/>
          <w14:ligatures w14:val="standardContextual"/>
        </w:rPr>
        <w:t xml:space="preserve">8 per cent) lived within 50 km, </w:t>
      </w:r>
      <w:r w:rsidR="00220CC3" w:rsidRPr="00215418">
        <w:rPr>
          <w:rFonts w:ascii="Aptos" w:eastAsia="Aptos" w:hAnsi="Aptos" w:cs="Arial"/>
          <w:kern w:val="2"/>
          <w:sz w:val="22"/>
          <w:szCs w:val="22"/>
          <w14:ligatures w14:val="standardContextual"/>
        </w:rPr>
        <w:t>97</w:t>
      </w:r>
      <w:r w:rsidRPr="00215418">
        <w:rPr>
          <w:rFonts w:ascii="Aptos" w:eastAsia="Aptos" w:hAnsi="Aptos" w:cs="Arial"/>
          <w:kern w:val="2"/>
          <w:sz w:val="22"/>
          <w:szCs w:val="22"/>
          <w14:ligatures w14:val="standardContextual"/>
        </w:rPr>
        <w:t xml:space="preserve"> per cent within 50 km and </w:t>
      </w:r>
      <w:r w:rsidR="00042A29" w:rsidRPr="00215418">
        <w:rPr>
          <w:rFonts w:ascii="Aptos" w:eastAsia="Aptos" w:hAnsi="Aptos" w:cs="Arial"/>
          <w:kern w:val="2"/>
          <w:sz w:val="22"/>
          <w:szCs w:val="22"/>
          <w14:ligatures w14:val="standardContextual"/>
        </w:rPr>
        <w:t>almost everyone</w:t>
      </w:r>
      <w:r w:rsidRPr="00215418">
        <w:rPr>
          <w:rFonts w:ascii="Aptos" w:eastAsia="Aptos" w:hAnsi="Aptos" w:cs="Arial"/>
          <w:kern w:val="2"/>
          <w:sz w:val="22"/>
          <w:szCs w:val="22"/>
          <w14:ligatures w14:val="standardContextual"/>
        </w:rPr>
        <w:t xml:space="preserve"> within 100 km.</w:t>
      </w:r>
    </w:p>
    <w:p w14:paraId="4509CB36" w14:textId="77777777" w:rsidR="006C41B5" w:rsidRPr="00215418"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color w:val="0070C0"/>
          <w:kern w:val="2"/>
          <w:sz w:val="22"/>
          <w:szCs w:val="22"/>
          <w14:ligatures w14:val="standardContextual"/>
        </w:rPr>
      </w:pPr>
      <w:r w:rsidRPr="00215418">
        <w:rPr>
          <w:rFonts w:ascii="Aptos" w:eastAsia="Aptos" w:hAnsi="Aptos" w:cs="Arial"/>
          <w:color w:val="0070C0"/>
          <w:kern w:val="2"/>
          <w:sz w:val="22"/>
          <w:szCs w:val="22"/>
          <w14:ligatures w14:val="standardContextual"/>
        </w:rPr>
        <w:t>Percentage of population within reach of a fibre node, 2023</w:t>
      </w:r>
    </w:p>
    <w:p w14:paraId="007FFF84" w14:textId="4BFF3DA8" w:rsidR="006C41B5" w:rsidRPr="00215418" w:rsidRDefault="004910FA" w:rsidP="00B1004A">
      <w:pPr>
        <w:pStyle w:val="notetext"/>
      </w:pPr>
      <w:r>
        <w:rPr>
          <w:noProof/>
        </w:rPr>
        <w:drawing>
          <wp:inline distT="0" distB="0" distL="0" distR="0" wp14:anchorId="657E91AF" wp14:editId="4C83A09F">
            <wp:extent cx="6120765" cy="3493770"/>
            <wp:effectExtent l="0" t="0" r="0" b="0"/>
            <wp:docPr id="113761977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619779" name=""/>
                    <pic:cNvPicPr/>
                  </pic:nvPicPr>
                  <pic:blipFill>
                    <a:blip r:embed="rId59">
                      <a:extLst>
                        <a:ext uri="{96DAC541-7B7A-43D3-8B79-37D633B846F1}">
                          <asvg:svgBlip xmlns:asvg="http://schemas.microsoft.com/office/drawing/2016/SVG/main" r:embed="rId60"/>
                        </a:ext>
                      </a:extLst>
                    </a:blip>
                    <a:stretch>
                      <a:fillRect/>
                    </a:stretch>
                  </pic:blipFill>
                  <pic:spPr>
                    <a:xfrm>
                      <a:off x="0" y="0"/>
                      <a:ext cx="6120765" cy="3493770"/>
                    </a:xfrm>
                    <a:prstGeom prst="rect">
                      <a:avLst/>
                    </a:prstGeom>
                  </pic:spPr>
                </pic:pic>
              </a:graphicData>
            </a:graphic>
          </wp:inline>
        </w:drawing>
      </w:r>
      <w:r w:rsidR="006C41B5" w:rsidRPr="00215418">
        <w:t xml:space="preserve">Note: The percentage of population within reach of transmission networks refers to the percentage of people that are within physical reach of nodes on core terrestrial transmission networks for a given distance (see </w:t>
      </w:r>
      <w:hyperlink r:id="rId61" w:history="1">
        <w:r w:rsidR="006C41B5" w:rsidRPr="00215418">
          <w:rPr>
            <w:color w:val="467886"/>
            <w:u w:val="single"/>
          </w:rPr>
          <w:t>https://bbmaps.itu.int/indicators-bbmaps</w:t>
        </w:r>
      </w:hyperlink>
      <w:r w:rsidR="006C41B5" w:rsidRPr="00215418">
        <w:t>).</w:t>
      </w:r>
    </w:p>
    <w:p w14:paraId="497A0B8C" w14:textId="77777777" w:rsidR="006C41B5" w:rsidRPr="00215418" w:rsidRDefault="006C41B5" w:rsidP="00B1004A">
      <w:pPr>
        <w:pStyle w:val="Sourcetext"/>
      </w:pPr>
      <w:r w:rsidRPr="00215418">
        <w:t>Source: ITU</w:t>
      </w:r>
    </w:p>
    <w:p w14:paraId="6A19D439" w14:textId="77777777" w:rsidR="006C41B5" w:rsidRPr="00215418"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br w:type="page"/>
      </w:r>
    </w:p>
    <w:p w14:paraId="7BEF7641" w14:textId="2B9F826E" w:rsidR="006C41B5" w:rsidRPr="00215418" w:rsidRDefault="006C41B5" w:rsidP="000C3666">
      <w:pPr>
        <w:pStyle w:val="Section"/>
      </w:pPr>
      <w:bookmarkStart w:id="14" w:name="_Toc188001388"/>
      <w:r w:rsidRPr="00215418">
        <w:lastRenderedPageBreak/>
        <w:t>Internet traffic</w:t>
      </w:r>
      <w:bookmarkEnd w:id="14"/>
    </w:p>
    <w:p w14:paraId="2C989CDE" w14:textId="4D9282F7" w:rsidR="006C41B5" w:rsidRPr="00215418"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15418">
        <w:rPr>
          <w:rFonts w:ascii="Aptos" w:eastAsia="Aptos" w:hAnsi="Aptos" w:cs="Arial"/>
          <w:b/>
          <w:i/>
          <w:kern w:val="2"/>
          <w:sz w:val="22"/>
          <w:szCs w:val="22"/>
          <w14:ligatures w14:val="standardContextual"/>
        </w:rPr>
        <w:t xml:space="preserve">Internet traffic in </w:t>
      </w:r>
      <w:r w:rsidR="00856ABE" w:rsidRPr="00215418">
        <w:rPr>
          <w:rFonts w:ascii="Aptos" w:eastAsia="Aptos" w:hAnsi="Aptos" w:cs="Arial"/>
          <w:b/>
          <w:i/>
          <w:kern w:val="2"/>
          <w:sz w:val="22"/>
          <w:szCs w:val="22"/>
          <w14:ligatures w14:val="standardContextual"/>
        </w:rPr>
        <w:t>Europe</w:t>
      </w:r>
      <w:r w:rsidRPr="00215418">
        <w:rPr>
          <w:rFonts w:ascii="Aptos" w:eastAsia="Aptos" w:hAnsi="Aptos" w:cs="Arial"/>
          <w:b/>
          <w:i/>
          <w:kern w:val="2"/>
          <w:sz w:val="22"/>
          <w:szCs w:val="22"/>
          <w14:ligatures w14:val="standardContextual"/>
        </w:rPr>
        <w:t xml:space="preserve"> growing faster than globally</w:t>
      </w:r>
    </w:p>
    <w:p w14:paraId="75C6B0DC" w14:textId="77777777"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t>Broadband Internet traffic per subscription per month (GB)</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450"/>
      </w:tblGrid>
      <w:tr w:rsidR="006C41B5" w:rsidRPr="00215418" w14:paraId="0871D4BA" w14:textId="77777777" w:rsidTr="006A0D3F">
        <w:tc>
          <w:tcPr>
            <w:tcW w:w="4566" w:type="dxa"/>
          </w:tcPr>
          <w:p w14:paraId="44995B69" w14:textId="49ED1B1F" w:rsidR="006C41B5" w:rsidRPr="00215418" w:rsidRDefault="006C41B5" w:rsidP="006A0D3F">
            <w:pPr>
              <w:jc w:val="center"/>
              <w:rPr>
                <w:rFonts w:ascii="Aptos" w:hAnsi="Aptos"/>
                <w:sz w:val="22"/>
              </w:rPr>
            </w:pPr>
            <w:r w:rsidRPr="00215418">
              <w:rPr>
                <w:rFonts w:ascii="Aptos" w:hAnsi="Aptos"/>
                <w:b/>
                <w:sz w:val="22"/>
              </w:rPr>
              <w:t>Mobile</w:t>
            </w:r>
            <w:r w:rsidR="00162A3B" w:rsidRPr="00215418">
              <w:rPr>
                <w:noProof/>
              </w:rPr>
              <w:drawing>
                <wp:inline distT="0" distB="0" distL="0" distR="0" wp14:anchorId="564370E3" wp14:editId="744E8C81">
                  <wp:extent cx="2667000" cy="2667000"/>
                  <wp:effectExtent l="0" t="0" r="0" b="0"/>
                  <wp:docPr id="66192882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928828" name=""/>
                          <pic:cNvPicPr/>
                        </pic:nvPicPr>
                        <pic:blipFill>
                          <a:blip r:embed="rId62">
                            <a:extLst>
                              <a:ext uri="{96DAC541-7B7A-43D3-8B79-37D633B846F1}">
                                <asvg:svgBlip xmlns:asvg="http://schemas.microsoft.com/office/drawing/2016/SVG/main" r:embed="rId63"/>
                              </a:ext>
                            </a:extLst>
                          </a:blip>
                          <a:stretch>
                            <a:fillRect/>
                          </a:stretch>
                        </pic:blipFill>
                        <pic:spPr>
                          <a:xfrm>
                            <a:off x="0" y="0"/>
                            <a:ext cx="2667000" cy="2667000"/>
                          </a:xfrm>
                          <a:prstGeom prst="rect">
                            <a:avLst/>
                          </a:prstGeom>
                        </pic:spPr>
                      </pic:pic>
                    </a:graphicData>
                  </a:graphic>
                </wp:inline>
              </w:drawing>
            </w:r>
          </w:p>
        </w:tc>
        <w:tc>
          <w:tcPr>
            <w:tcW w:w="4450" w:type="dxa"/>
          </w:tcPr>
          <w:p w14:paraId="2E58318E" w14:textId="1E573429" w:rsidR="006C41B5" w:rsidRPr="00215418" w:rsidRDefault="006C41B5" w:rsidP="006A0D3F">
            <w:pPr>
              <w:jc w:val="center"/>
              <w:rPr>
                <w:rFonts w:ascii="Aptos" w:hAnsi="Aptos"/>
                <w:sz w:val="22"/>
              </w:rPr>
            </w:pPr>
            <w:r w:rsidRPr="00215418">
              <w:rPr>
                <w:rFonts w:ascii="Aptos" w:hAnsi="Aptos"/>
                <w:b/>
                <w:sz w:val="22"/>
              </w:rPr>
              <w:t>Fixed</w:t>
            </w:r>
            <w:r w:rsidR="006A0D3F" w:rsidRPr="00215418">
              <w:rPr>
                <w:noProof/>
              </w:rPr>
              <w:drawing>
                <wp:inline distT="0" distB="0" distL="0" distR="0" wp14:anchorId="2432EC95" wp14:editId="50AAC40E">
                  <wp:extent cx="2667000" cy="2667000"/>
                  <wp:effectExtent l="0" t="0" r="0" b="0"/>
                  <wp:docPr id="9978163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816312" name=""/>
                          <pic:cNvPicPr/>
                        </pic:nvPicPr>
                        <pic:blipFill>
                          <a:blip r:embed="rId64">
                            <a:extLst>
                              <a:ext uri="{96DAC541-7B7A-43D3-8B79-37D633B846F1}">
                                <asvg:svgBlip xmlns:asvg="http://schemas.microsoft.com/office/drawing/2016/SVG/main" r:embed="rId65"/>
                              </a:ext>
                            </a:extLst>
                          </a:blip>
                          <a:stretch>
                            <a:fillRect/>
                          </a:stretch>
                        </pic:blipFill>
                        <pic:spPr>
                          <a:xfrm>
                            <a:off x="0" y="0"/>
                            <a:ext cx="2667000" cy="2667000"/>
                          </a:xfrm>
                          <a:prstGeom prst="rect">
                            <a:avLst/>
                          </a:prstGeom>
                        </pic:spPr>
                      </pic:pic>
                    </a:graphicData>
                  </a:graphic>
                </wp:inline>
              </w:drawing>
            </w:r>
          </w:p>
        </w:tc>
      </w:tr>
    </w:tbl>
    <w:p w14:paraId="11FAA9A2" w14:textId="77777777" w:rsidR="006C41B5" w:rsidRPr="00215418" w:rsidRDefault="006C41B5" w:rsidP="00B1004A">
      <w:pPr>
        <w:pStyle w:val="Sourcetext"/>
      </w:pPr>
      <w:r w:rsidRPr="00215418">
        <w:t>Source: ITU</w:t>
      </w:r>
    </w:p>
    <w:p w14:paraId="3743962E" w14:textId="77777777" w:rsidR="006C41B5" w:rsidRPr="00215418"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Internet traffic measures the total volume of data downloaded and upload by the end users in a country over a given period. For ease of interpretation, figures presented refer to the average monthly traffic per fixed as well as mobile broadband subscription. Traffic levels are typically higher for fixed than mobile broadband, not only because subscriptions are shared by multiple users (e.g., in households), but also because it also includes mobile traffic routed over Wi-Fi when available.</w:t>
      </w:r>
    </w:p>
    <w:p w14:paraId="1A66FC2C" w14:textId="0FCA78D8" w:rsidR="00846200" w:rsidRPr="00215418" w:rsidRDefault="00846200"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Between 2019 and 2024 monthly mobile broadband traffic in the region increased from 5 to 1</w:t>
      </w:r>
      <w:r w:rsidR="002E0AAB" w:rsidRPr="00215418">
        <w:rPr>
          <w:rFonts w:ascii="Aptos" w:eastAsia="Aptos" w:hAnsi="Aptos" w:cs="Arial"/>
          <w:kern w:val="2"/>
          <w:sz w:val="22"/>
          <w:szCs w:val="22"/>
          <w14:ligatures w14:val="standardContextual"/>
        </w:rPr>
        <w:t>5</w:t>
      </w:r>
      <w:r w:rsidRPr="00215418">
        <w:rPr>
          <w:rFonts w:ascii="Aptos" w:eastAsia="Aptos" w:hAnsi="Aptos" w:cs="Arial"/>
          <w:kern w:val="2"/>
          <w:sz w:val="22"/>
          <w:szCs w:val="22"/>
          <w14:ligatures w14:val="standardContextual"/>
        </w:rPr>
        <w:t xml:space="preserve"> gigabytes (GB) per mobile broadband subscription, outstripping the global average for traffic growth, which increased from 6 to 14 GB per month during the same period. </w:t>
      </w:r>
      <w:r w:rsidR="00891755" w:rsidRPr="00215418">
        <w:rPr>
          <w:rFonts w:ascii="Aptos" w:eastAsia="Aptos" w:hAnsi="Aptos" w:cs="Arial"/>
          <w:kern w:val="2"/>
          <w:sz w:val="22"/>
          <w:szCs w:val="22"/>
          <w14:ligatures w14:val="standardContextual"/>
        </w:rPr>
        <w:t>F</w:t>
      </w:r>
      <w:r w:rsidRPr="00215418">
        <w:rPr>
          <w:rFonts w:ascii="Aptos" w:eastAsia="Aptos" w:hAnsi="Aptos" w:cs="Arial"/>
          <w:kern w:val="2"/>
          <w:sz w:val="22"/>
          <w:szCs w:val="22"/>
          <w14:ligatures w14:val="standardContextual"/>
        </w:rPr>
        <w:t xml:space="preserve">ixed broadband traffic in </w:t>
      </w:r>
      <w:r w:rsidR="00F077D9" w:rsidRPr="00215418">
        <w:rPr>
          <w:rFonts w:ascii="Aptos" w:eastAsia="Aptos" w:hAnsi="Aptos" w:cs="Arial"/>
          <w:kern w:val="2"/>
          <w:sz w:val="22"/>
          <w:szCs w:val="22"/>
          <w14:ligatures w14:val="standardContextual"/>
        </w:rPr>
        <w:t xml:space="preserve">Europe </w:t>
      </w:r>
      <w:r w:rsidRPr="00215418">
        <w:rPr>
          <w:rFonts w:ascii="Aptos" w:eastAsia="Aptos" w:hAnsi="Aptos" w:cs="Arial"/>
          <w:kern w:val="2"/>
          <w:sz w:val="22"/>
          <w:szCs w:val="22"/>
          <w14:ligatures w14:val="standardContextual"/>
        </w:rPr>
        <w:t>increased from a monthly 1</w:t>
      </w:r>
      <w:r w:rsidR="00B95308" w:rsidRPr="00215418">
        <w:rPr>
          <w:rFonts w:ascii="Aptos" w:eastAsia="Aptos" w:hAnsi="Aptos" w:cs="Arial"/>
          <w:kern w:val="2"/>
          <w:sz w:val="22"/>
          <w:szCs w:val="22"/>
          <w14:ligatures w14:val="standardContextual"/>
        </w:rPr>
        <w:t>70</w:t>
      </w:r>
      <w:r w:rsidRPr="00215418">
        <w:rPr>
          <w:rFonts w:ascii="Aptos" w:eastAsia="Aptos" w:hAnsi="Aptos" w:cs="Arial"/>
          <w:kern w:val="2"/>
          <w:sz w:val="22"/>
          <w:szCs w:val="22"/>
          <w14:ligatures w14:val="standardContextual"/>
        </w:rPr>
        <w:t xml:space="preserve"> GB to 37</w:t>
      </w:r>
      <w:r w:rsidR="00D94D66" w:rsidRPr="00215418">
        <w:rPr>
          <w:rFonts w:ascii="Aptos" w:eastAsia="Aptos" w:hAnsi="Aptos" w:cs="Arial"/>
          <w:kern w:val="2"/>
          <w:sz w:val="22"/>
          <w:szCs w:val="22"/>
          <w14:ligatures w14:val="standardContextual"/>
        </w:rPr>
        <w:t>0</w:t>
      </w:r>
      <w:r w:rsidRPr="00215418">
        <w:rPr>
          <w:rFonts w:ascii="Aptos" w:eastAsia="Aptos" w:hAnsi="Aptos" w:cs="Arial"/>
          <w:kern w:val="2"/>
          <w:sz w:val="22"/>
          <w:szCs w:val="22"/>
          <w14:ligatures w14:val="standardContextual"/>
        </w:rPr>
        <w:t xml:space="preserve"> GB per subscription, while globally it increased from 141 to 311 GB.</w:t>
      </w:r>
    </w:p>
    <w:p w14:paraId="14001702" w14:textId="7BCD029A"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 w:val="22"/>
          <w:szCs w:val="22"/>
        </w:rPr>
      </w:pPr>
      <w:r w:rsidRPr="00215418">
        <w:rPr>
          <w:rFonts w:ascii="AvenirNext LT Pro Light" w:eastAsia="Yu Gothic Light" w:hAnsi="AvenirNext LT Pro Light" w:cs="Calibri"/>
          <w:color w:val="0070C0"/>
          <w:spacing w:val="-10"/>
          <w:kern w:val="28"/>
          <w:sz w:val="22"/>
          <w:szCs w:val="22"/>
        </w:rPr>
        <w:lastRenderedPageBreak/>
        <w:t xml:space="preserve">Mobile-broadband Internet traffic (GB) per subscription per month, </w:t>
      </w:r>
      <w:r w:rsidR="008D4391" w:rsidRPr="00215418">
        <w:rPr>
          <w:rFonts w:ascii="AvenirNext LT Pro Light" w:eastAsia="Yu Gothic Light" w:hAnsi="AvenirNext LT Pro Light" w:cs="Calibri"/>
          <w:color w:val="0070C0"/>
          <w:spacing w:val="-10"/>
          <w:kern w:val="28"/>
          <w:sz w:val="22"/>
          <w:szCs w:val="22"/>
        </w:rPr>
        <w:t xml:space="preserve">2023 or </w:t>
      </w:r>
      <w:r w:rsidRPr="00215418">
        <w:rPr>
          <w:rFonts w:ascii="AvenirNext LT Pro Light" w:eastAsia="Yu Gothic Light" w:hAnsi="AvenirNext LT Pro Light" w:cs="Calibri"/>
          <w:color w:val="0070C0"/>
          <w:spacing w:val="-10"/>
          <w:kern w:val="28"/>
          <w:sz w:val="22"/>
          <w:szCs w:val="22"/>
        </w:rPr>
        <w:t>latest year available</w:t>
      </w:r>
    </w:p>
    <w:p w14:paraId="4D5BAEB9" w14:textId="0B09C6D7" w:rsidR="006C41B5" w:rsidRPr="00215418" w:rsidRDefault="00BE24E7" w:rsidP="00B1004A">
      <w:pPr>
        <w:pStyle w:val="notetext"/>
      </w:pPr>
      <w:r w:rsidRPr="00215418">
        <w:rPr>
          <w:noProof/>
        </w:rPr>
        <w:drawing>
          <wp:inline distT="0" distB="0" distL="0" distR="0" wp14:anchorId="24D18D0A" wp14:editId="42B56107">
            <wp:extent cx="6120765" cy="2847975"/>
            <wp:effectExtent l="0" t="0" r="0" b="9525"/>
            <wp:docPr id="4881026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10265" name=""/>
                    <pic:cNvPicPr/>
                  </pic:nvPicPr>
                  <pic:blipFill>
                    <a:blip r:embed="rId66">
                      <a:extLst>
                        <a:ext uri="{96DAC541-7B7A-43D3-8B79-37D633B846F1}">
                          <asvg:svgBlip xmlns:asvg="http://schemas.microsoft.com/office/drawing/2016/SVG/main" r:embed="rId67"/>
                        </a:ext>
                      </a:extLst>
                    </a:blip>
                    <a:stretch>
                      <a:fillRect/>
                    </a:stretch>
                  </pic:blipFill>
                  <pic:spPr>
                    <a:xfrm>
                      <a:off x="0" y="0"/>
                      <a:ext cx="6120765" cy="2847975"/>
                    </a:xfrm>
                    <a:prstGeom prst="rect">
                      <a:avLst/>
                    </a:prstGeom>
                  </pic:spPr>
                </pic:pic>
              </a:graphicData>
            </a:graphic>
          </wp:inline>
        </w:drawing>
      </w:r>
      <w:r w:rsidR="006C41B5" w:rsidRPr="00215418">
        <w:t xml:space="preserve">Note: Internet traffic originating within country. </w:t>
      </w:r>
    </w:p>
    <w:p w14:paraId="514ACA52" w14:textId="77777777" w:rsidR="006C41B5" w:rsidRPr="00215418" w:rsidRDefault="006C41B5" w:rsidP="00B1004A">
      <w:pPr>
        <w:pStyle w:val="Sourcetext"/>
      </w:pPr>
      <w:r w:rsidRPr="00215418">
        <w:t>Source: ITU</w:t>
      </w:r>
    </w:p>
    <w:p w14:paraId="3129AB88" w14:textId="41179D08" w:rsidR="007D510C" w:rsidRPr="00215418" w:rsidRDefault="00D81C3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The </w:t>
      </w:r>
      <w:r w:rsidR="007D510C" w:rsidRPr="00215418">
        <w:rPr>
          <w:rFonts w:ascii="Aptos" w:eastAsia="Aptos" w:hAnsi="Aptos" w:cs="Arial"/>
          <w:kern w:val="2"/>
          <w:sz w:val="22"/>
          <w:szCs w:val="22"/>
          <w14:ligatures w14:val="standardContextual"/>
        </w:rPr>
        <w:t xml:space="preserve">region shows more </w:t>
      </w:r>
      <w:r w:rsidRPr="00215418">
        <w:rPr>
          <w:rFonts w:ascii="Aptos" w:eastAsia="Aptos" w:hAnsi="Aptos" w:cs="Arial"/>
          <w:kern w:val="2"/>
          <w:sz w:val="22"/>
          <w:szCs w:val="22"/>
          <w14:ligatures w14:val="standardContextual"/>
        </w:rPr>
        <w:t>heterogeneity for indicators of Internet traffic by subscription</w:t>
      </w:r>
      <w:r w:rsidR="007D510C" w:rsidRPr="00215418">
        <w:rPr>
          <w:rFonts w:ascii="Aptos" w:eastAsia="Aptos" w:hAnsi="Aptos" w:cs="Arial"/>
          <w:kern w:val="2"/>
          <w:sz w:val="22"/>
          <w:szCs w:val="22"/>
          <w14:ligatures w14:val="standardContextual"/>
        </w:rPr>
        <w:t xml:space="preserve"> than for some of the other indicators explored in this </w:t>
      </w:r>
      <w:r w:rsidR="00202F61" w:rsidRPr="00215418">
        <w:rPr>
          <w:rFonts w:ascii="Aptos" w:eastAsia="Aptos" w:hAnsi="Aptos" w:cs="Arial"/>
          <w:kern w:val="2"/>
          <w:sz w:val="22"/>
          <w:szCs w:val="22"/>
          <w14:ligatures w14:val="standardContextual"/>
        </w:rPr>
        <w:t>document</w:t>
      </w:r>
      <w:r w:rsidR="007D510C" w:rsidRPr="00215418">
        <w:rPr>
          <w:rFonts w:ascii="Aptos" w:eastAsia="Aptos" w:hAnsi="Aptos" w:cs="Arial"/>
          <w:kern w:val="2"/>
          <w:sz w:val="22"/>
          <w:szCs w:val="22"/>
          <w14:ligatures w14:val="standardContextual"/>
        </w:rPr>
        <w:t xml:space="preserve">. </w:t>
      </w:r>
      <w:r w:rsidR="008D2F95" w:rsidRPr="00215418">
        <w:rPr>
          <w:rFonts w:ascii="Aptos" w:eastAsia="Aptos" w:hAnsi="Aptos" w:cs="Arial"/>
          <w:kern w:val="2"/>
          <w:sz w:val="22"/>
          <w:szCs w:val="22"/>
          <w14:ligatures w14:val="standardContextual"/>
        </w:rPr>
        <w:t xml:space="preserve">For mobile broadband traffic, the values ranged from 2 GB per subscription per month to 46. For fixed broadband traffic, the spread was from </w:t>
      </w:r>
      <w:r w:rsidR="00EE148C" w:rsidRPr="00215418">
        <w:rPr>
          <w:rFonts w:ascii="Aptos" w:eastAsia="Aptos" w:hAnsi="Aptos" w:cs="Arial"/>
          <w:kern w:val="2"/>
          <w:sz w:val="22"/>
          <w:szCs w:val="22"/>
          <w14:ligatures w14:val="standardContextual"/>
        </w:rPr>
        <w:t>107 to 530 GB per subscription per month.</w:t>
      </w:r>
    </w:p>
    <w:p w14:paraId="6E9B4B6F" w14:textId="4BE6A543"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t xml:space="preserve">Fixed-broadband Internet traffic per subscription per month (GB), </w:t>
      </w:r>
      <w:r w:rsidR="008D4391" w:rsidRPr="00215418">
        <w:rPr>
          <w:rFonts w:ascii="AvenirNext LT Pro Light" w:eastAsia="Yu Gothic Light" w:hAnsi="AvenirNext LT Pro Light" w:cs="Calibri"/>
          <w:color w:val="0070C0"/>
          <w:spacing w:val="-10"/>
          <w:kern w:val="28"/>
          <w:szCs w:val="24"/>
        </w:rPr>
        <w:t xml:space="preserve">2023 or </w:t>
      </w:r>
      <w:r w:rsidRPr="00215418">
        <w:rPr>
          <w:rFonts w:ascii="AvenirNext LT Pro Light" w:eastAsia="Yu Gothic Light" w:hAnsi="AvenirNext LT Pro Light" w:cs="Calibri"/>
          <w:color w:val="0070C0"/>
          <w:spacing w:val="-10"/>
          <w:kern w:val="28"/>
          <w:szCs w:val="24"/>
        </w:rPr>
        <w:t>latest year available</w:t>
      </w:r>
    </w:p>
    <w:p w14:paraId="4D7492D8" w14:textId="3C3AFE9F" w:rsidR="006C41B5" w:rsidRPr="00215418" w:rsidRDefault="000D61B5" w:rsidP="00B1004A">
      <w:pPr>
        <w:pStyle w:val="Sourcetext"/>
      </w:pPr>
      <w:r w:rsidRPr="00215418">
        <w:rPr>
          <w:noProof/>
        </w:rPr>
        <w:drawing>
          <wp:inline distT="0" distB="0" distL="0" distR="0" wp14:anchorId="3E46FF97" wp14:editId="7602775C">
            <wp:extent cx="6120765" cy="2875915"/>
            <wp:effectExtent l="0" t="0" r="0" b="635"/>
            <wp:docPr id="81440562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405624" name=""/>
                    <pic:cNvPicPr/>
                  </pic:nvPicPr>
                  <pic:blipFill>
                    <a:blip r:embed="rId68">
                      <a:extLst>
                        <a:ext uri="{96DAC541-7B7A-43D3-8B79-37D633B846F1}">
                          <asvg:svgBlip xmlns:asvg="http://schemas.microsoft.com/office/drawing/2016/SVG/main" r:embed="rId69"/>
                        </a:ext>
                      </a:extLst>
                    </a:blip>
                    <a:stretch>
                      <a:fillRect/>
                    </a:stretch>
                  </pic:blipFill>
                  <pic:spPr>
                    <a:xfrm>
                      <a:off x="0" y="0"/>
                      <a:ext cx="6120765" cy="2875915"/>
                    </a:xfrm>
                    <a:prstGeom prst="rect">
                      <a:avLst/>
                    </a:prstGeom>
                  </pic:spPr>
                </pic:pic>
              </a:graphicData>
            </a:graphic>
          </wp:inline>
        </w:drawing>
      </w:r>
      <w:r w:rsidR="006C41B5" w:rsidRPr="00215418">
        <w:t>Source: ITU</w:t>
      </w:r>
    </w:p>
    <w:p w14:paraId="718FDFEA" w14:textId="77777777" w:rsidR="006C41B5" w:rsidRPr="00215418"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br w:type="page"/>
      </w:r>
    </w:p>
    <w:p w14:paraId="378E1ABB" w14:textId="77777777" w:rsidR="006C41B5" w:rsidRPr="00215418" w:rsidRDefault="006C41B5" w:rsidP="000C3666">
      <w:pPr>
        <w:pStyle w:val="Section"/>
      </w:pPr>
      <w:bookmarkStart w:id="15" w:name="_Toc188001389"/>
      <w:r w:rsidRPr="00215418">
        <w:lastRenderedPageBreak/>
        <w:t>Affordability of ICT services</w:t>
      </w:r>
      <w:bookmarkEnd w:id="15"/>
      <w:r w:rsidRPr="00215418">
        <w:tab/>
      </w:r>
    </w:p>
    <w:p w14:paraId="61A44230" w14:textId="5184F114" w:rsidR="006C41B5" w:rsidRPr="00215418"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15418">
        <w:rPr>
          <w:rFonts w:ascii="Aptos" w:eastAsia="Aptos" w:hAnsi="Aptos" w:cs="Arial"/>
          <w:b/>
          <w:bCs/>
          <w:i/>
          <w:iCs/>
          <w:kern w:val="2"/>
          <w:sz w:val="22"/>
          <w:szCs w:val="22"/>
          <w14:ligatures w14:val="standardContextual"/>
        </w:rPr>
        <w:t xml:space="preserve">Mobile </w:t>
      </w:r>
      <w:r w:rsidR="004C0402" w:rsidRPr="00215418">
        <w:rPr>
          <w:rFonts w:ascii="Aptos" w:eastAsia="Aptos" w:hAnsi="Aptos" w:cs="Arial"/>
          <w:b/>
          <w:bCs/>
          <w:i/>
          <w:iCs/>
          <w:kern w:val="2"/>
          <w:sz w:val="22"/>
          <w:szCs w:val="22"/>
          <w14:ligatures w14:val="standardContextual"/>
        </w:rPr>
        <w:t xml:space="preserve">and fixed </w:t>
      </w:r>
      <w:r w:rsidRPr="00215418">
        <w:rPr>
          <w:rFonts w:ascii="Aptos" w:eastAsia="Aptos" w:hAnsi="Aptos" w:cs="Arial"/>
          <w:b/>
          <w:bCs/>
          <w:i/>
          <w:iCs/>
          <w:kern w:val="2"/>
          <w:sz w:val="22"/>
          <w:szCs w:val="22"/>
          <w14:ligatures w14:val="standardContextual"/>
        </w:rPr>
        <w:t xml:space="preserve">broadband generally affordable in </w:t>
      </w:r>
      <w:r w:rsidR="00856ABE" w:rsidRPr="00215418">
        <w:rPr>
          <w:rFonts w:ascii="Aptos" w:eastAsia="Aptos" w:hAnsi="Aptos" w:cs="Arial"/>
          <w:b/>
          <w:bCs/>
          <w:i/>
          <w:iCs/>
          <w:kern w:val="2"/>
          <w:sz w:val="22"/>
          <w:szCs w:val="22"/>
          <w14:ligatures w14:val="standardContextual"/>
        </w:rPr>
        <w:t>Europe</w:t>
      </w:r>
      <w:r w:rsidRPr="00215418">
        <w:rPr>
          <w:rFonts w:ascii="Aptos" w:eastAsia="Aptos" w:hAnsi="Aptos" w:cs="Arial"/>
          <w:b/>
          <w:bCs/>
          <w:i/>
          <w:iCs/>
          <w:kern w:val="2"/>
          <w:sz w:val="22"/>
          <w:szCs w:val="22"/>
          <w14:ligatures w14:val="standardContextual"/>
        </w:rPr>
        <w:t>.</w:t>
      </w:r>
    </w:p>
    <w:p w14:paraId="758C0580" w14:textId="420B3BDC"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t xml:space="preserve">Broadband basket prices as % of gross national income per capita, </w:t>
      </w:r>
      <w:r w:rsidR="00BB28A8" w:rsidRPr="00215418">
        <w:rPr>
          <w:rFonts w:ascii="AvenirNext LT Pro Light" w:eastAsia="Yu Gothic Light" w:hAnsi="AvenirNext LT Pro Light" w:cs="Calibri"/>
          <w:color w:val="0070C0"/>
          <w:spacing w:val="-10"/>
          <w:kern w:val="28"/>
          <w:szCs w:val="24"/>
        </w:rPr>
        <w:t>2018-</w:t>
      </w:r>
      <w:r w:rsidRPr="00215418">
        <w:rPr>
          <w:rFonts w:ascii="AvenirNext LT Pro Light" w:eastAsia="Yu Gothic Light" w:hAnsi="AvenirNext LT Pro Light" w:cs="Calibri"/>
          <w:color w:val="0070C0"/>
          <w:spacing w:val="-10"/>
          <w:kern w:val="28"/>
          <w:szCs w:val="24"/>
        </w:rPr>
        <w:t>2024</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C41B5" w:rsidRPr="00215418" w14:paraId="7D9E14A7" w14:textId="77777777" w:rsidTr="006B3D0F">
        <w:tc>
          <w:tcPr>
            <w:tcW w:w="4508" w:type="dxa"/>
          </w:tcPr>
          <w:p w14:paraId="1E765A5F" w14:textId="5F57BB17" w:rsidR="006C41B5" w:rsidRPr="00215418" w:rsidRDefault="006C41B5" w:rsidP="00D2440F">
            <w:pPr>
              <w:tabs>
                <w:tab w:val="clear" w:pos="794"/>
                <w:tab w:val="clear" w:pos="1191"/>
                <w:tab w:val="clear" w:pos="1588"/>
                <w:tab w:val="clear" w:pos="1985"/>
              </w:tabs>
              <w:overflowPunct/>
              <w:autoSpaceDE/>
              <w:autoSpaceDN/>
              <w:adjustRightInd/>
              <w:spacing w:before="0"/>
              <w:jc w:val="center"/>
              <w:textAlignment w:val="auto"/>
              <w:rPr>
                <w:rFonts w:ascii="Aptos" w:hAnsi="Aptos"/>
                <w:sz w:val="22"/>
              </w:rPr>
            </w:pPr>
            <w:r w:rsidRPr="00215418">
              <w:rPr>
                <w:rFonts w:ascii="Aptos" w:hAnsi="Aptos"/>
                <w:b/>
                <w:bCs/>
                <w:sz w:val="22"/>
              </w:rPr>
              <w:t>Mobile</w:t>
            </w:r>
            <w:r w:rsidRPr="00215418">
              <w:rPr>
                <w:rFonts w:ascii="Aptos" w:hAnsi="Aptos"/>
                <w:b/>
                <w:bCs/>
                <w:noProof/>
                <w:sz w:val="22"/>
              </w:rPr>
              <w:t xml:space="preserve"> (2GB)</w:t>
            </w:r>
            <w:r w:rsidR="00D2440F" w:rsidRPr="00215418">
              <w:rPr>
                <w:noProof/>
              </w:rPr>
              <w:drawing>
                <wp:inline distT="0" distB="0" distL="0" distR="0" wp14:anchorId="060083B3" wp14:editId="5CC92F7C">
                  <wp:extent cx="2590800" cy="2524125"/>
                  <wp:effectExtent l="0" t="0" r="0" b="9525"/>
                  <wp:docPr id="98247317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73177"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2590800" cy="2524125"/>
                          </a:xfrm>
                          <a:prstGeom prst="rect">
                            <a:avLst/>
                          </a:prstGeom>
                        </pic:spPr>
                      </pic:pic>
                    </a:graphicData>
                  </a:graphic>
                </wp:inline>
              </w:drawing>
            </w:r>
          </w:p>
        </w:tc>
        <w:tc>
          <w:tcPr>
            <w:tcW w:w="4508" w:type="dxa"/>
          </w:tcPr>
          <w:p w14:paraId="644D1EA9" w14:textId="03B1ACAC" w:rsidR="006C41B5" w:rsidRPr="00215418" w:rsidRDefault="006C41B5" w:rsidP="006B3D0F">
            <w:pPr>
              <w:tabs>
                <w:tab w:val="clear" w:pos="794"/>
                <w:tab w:val="clear" w:pos="1191"/>
                <w:tab w:val="clear" w:pos="1588"/>
                <w:tab w:val="clear" w:pos="1985"/>
              </w:tabs>
              <w:overflowPunct/>
              <w:autoSpaceDE/>
              <w:autoSpaceDN/>
              <w:adjustRightInd/>
              <w:spacing w:before="0"/>
              <w:jc w:val="center"/>
              <w:textAlignment w:val="auto"/>
              <w:rPr>
                <w:rFonts w:ascii="Aptos" w:hAnsi="Aptos"/>
                <w:sz w:val="22"/>
              </w:rPr>
            </w:pPr>
            <w:r w:rsidRPr="00215418">
              <w:rPr>
                <w:rFonts w:ascii="Aptos" w:hAnsi="Aptos"/>
                <w:b/>
                <w:bCs/>
                <w:sz w:val="22"/>
              </w:rPr>
              <w:t>Fixed (5GB)</w:t>
            </w:r>
            <w:r w:rsidR="006B3D0F" w:rsidRPr="00215418">
              <w:rPr>
                <w:noProof/>
              </w:rPr>
              <w:drawing>
                <wp:inline distT="0" distB="0" distL="0" distR="0" wp14:anchorId="254B2163" wp14:editId="4E4C9BF2">
                  <wp:extent cx="2590800" cy="2524125"/>
                  <wp:effectExtent l="0" t="0" r="0" b="9525"/>
                  <wp:docPr id="29179734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97344" name=""/>
                          <pic:cNvPicPr/>
                        </pic:nvPicPr>
                        <pic:blipFill>
                          <a:blip r:embed="rId72">
                            <a:extLst>
                              <a:ext uri="{96DAC541-7B7A-43D3-8B79-37D633B846F1}">
                                <asvg:svgBlip xmlns:asvg="http://schemas.microsoft.com/office/drawing/2016/SVG/main" r:embed="rId73"/>
                              </a:ext>
                            </a:extLst>
                          </a:blip>
                          <a:stretch>
                            <a:fillRect/>
                          </a:stretch>
                        </pic:blipFill>
                        <pic:spPr>
                          <a:xfrm>
                            <a:off x="0" y="0"/>
                            <a:ext cx="2590800" cy="2524125"/>
                          </a:xfrm>
                          <a:prstGeom prst="rect">
                            <a:avLst/>
                          </a:prstGeom>
                        </pic:spPr>
                      </pic:pic>
                    </a:graphicData>
                  </a:graphic>
                </wp:inline>
              </w:drawing>
            </w:r>
          </w:p>
        </w:tc>
      </w:tr>
    </w:tbl>
    <w:p w14:paraId="348B5403" w14:textId="535C5C20" w:rsidR="006C41B5" w:rsidRPr="00215418" w:rsidRDefault="006C41B5" w:rsidP="00B1004A">
      <w:pPr>
        <w:pStyle w:val="notetext"/>
      </w:pPr>
      <w:r w:rsidRPr="00215418">
        <w:t>Note: Median values shown in the chart are calculated as a percentage of GNI per capita for the set of economies for which data was available for all years from 2018 to 2024 for a given basket to adjust the effect of changing data availability.</w:t>
      </w:r>
    </w:p>
    <w:p w14:paraId="6022CEFB" w14:textId="77777777" w:rsidR="006C41B5" w:rsidRPr="00215418" w:rsidRDefault="006C41B5" w:rsidP="00B1004A">
      <w:pPr>
        <w:pStyle w:val="Sourcetext"/>
      </w:pPr>
      <w:r w:rsidRPr="00215418">
        <w:t>Source: ITU</w:t>
      </w:r>
    </w:p>
    <w:p w14:paraId="6C929D15" w14:textId="01D9BA22" w:rsidR="00BB28A8" w:rsidRPr="00215418"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Internet cost is a barrier to Internet use and to meaningful connectivity. The United Nations</w:t>
      </w:r>
      <w:r w:rsidR="00A94082" w:rsidRPr="00215418">
        <w:rPr>
          <w:rFonts w:ascii="Aptos" w:eastAsia="Aptos" w:hAnsi="Aptos" w:cs="Arial"/>
          <w:kern w:val="2"/>
          <w:sz w:val="22"/>
          <w:szCs w:val="22"/>
          <w14:ligatures w14:val="standardContextual"/>
        </w:rPr>
        <w:t xml:space="preserve"> </w:t>
      </w:r>
      <w:hyperlink r:id="rId74" w:tgtFrame="_blank" w:history="1">
        <w:r w:rsidRPr="00215418">
          <w:rPr>
            <w:rFonts w:ascii="Aptos" w:eastAsia="Aptos" w:hAnsi="Aptos" w:cs="Arial"/>
            <w:color w:val="467886"/>
            <w:kern w:val="2"/>
            <w:sz w:val="22"/>
            <w:szCs w:val="22"/>
            <w:u w:val="single"/>
            <w14:ligatures w14:val="standardContextual"/>
          </w:rPr>
          <w:t>Broadband Commission for Sustainable Development</w:t>
        </w:r>
      </w:hyperlink>
      <w:r w:rsidR="00A94082" w:rsidRPr="00215418">
        <w:rPr>
          <w:rFonts w:ascii="Aptos" w:eastAsia="Aptos" w:hAnsi="Aptos" w:cs="Arial"/>
          <w:kern w:val="2"/>
          <w:sz w:val="22"/>
          <w:szCs w:val="22"/>
          <w14:ligatures w14:val="standardContextual"/>
        </w:rPr>
        <w:t xml:space="preserve"> </w:t>
      </w:r>
      <w:r w:rsidRPr="00215418">
        <w:rPr>
          <w:rFonts w:ascii="Aptos" w:eastAsia="Aptos" w:hAnsi="Aptos" w:cs="Arial"/>
          <w:kern w:val="2"/>
          <w:sz w:val="22"/>
          <w:szCs w:val="22"/>
          <w14:ligatures w14:val="standardContextual"/>
        </w:rPr>
        <w:t>set itself the goal of making broadband in developing countries affordable by 2025, affordability being defined as the availability of broadband access at a price that is less than 2 per cent of monthly GNI per capita.</w:t>
      </w:r>
    </w:p>
    <w:p w14:paraId="4136B96C" w14:textId="6A5826B2" w:rsidR="00A37F12" w:rsidRPr="00215418" w:rsidRDefault="00F8432A"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Europe is the region with the most affordable prices for </w:t>
      </w:r>
      <w:r w:rsidR="0032579F" w:rsidRPr="00215418">
        <w:rPr>
          <w:rFonts w:ascii="Aptos" w:eastAsia="Aptos" w:hAnsi="Aptos" w:cs="Arial"/>
          <w:kern w:val="2"/>
          <w:sz w:val="22"/>
          <w:szCs w:val="22"/>
          <w14:ligatures w14:val="standardContextual"/>
        </w:rPr>
        <w:t xml:space="preserve">both </w:t>
      </w:r>
      <w:r w:rsidRPr="00215418">
        <w:rPr>
          <w:rFonts w:ascii="Aptos" w:eastAsia="Aptos" w:hAnsi="Aptos" w:cs="Arial"/>
          <w:kern w:val="2"/>
          <w:sz w:val="22"/>
          <w:szCs w:val="22"/>
          <w14:ligatures w14:val="standardContextual"/>
        </w:rPr>
        <w:t xml:space="preserve">mobile and fixed broadband. </w:t>
      </w:r>
      <w:r w:rsidR="0032579F" w:rsidRPr="00215418">
        <w:rPr>
          <w:rFonts w:ascii="Aptos" w:eastAsia="Aptos" w:hAnsi="Aptos" w:cs="Arial"/>
          <w:kern w:val="2"/>
          <w:sz w:val="22"/>
          <w:szCs w:val="22"/>
          <w14:ligatures w14:val="standardContextual"/>
        </w:rPr>
        <w:t xml:space="preserve">For </w:t>
      </w:r>
      <w:r w:rsidR="00053671" w:rsidRPr="00215418">
        <w:rPr>
          <w:rFonts w:ascii="Aptos" w:eastAsia="Aptos" w:hAnsi="Aptos" w:cs="Arial"/>
          <w:kern w:val="2"/>
          <w:sz w:val="22"/>
          <w:szCs w:val="22"/>
          <w14:ligatures w14:val="standardContextual"/>
        </w:rPr>
        <w:t xml:space="preserve">an </w:t>
      </w:r>
      <w:r w:rsidR="00942D8E" w:rsidRPr="00215418">
        <w:rPr>
          <w:rFonts w:ascii="Aptos" w:eastAsia="Aptos" w:hAnsi="Aptos" w:cs="Arial"/>
          <w:kern w:val="2"/>
          <w:sz w:val="22"/>
          <w:szCs w:val="22"/>
          <w14:ligatures w14:val="standardContextual"/>
        </w:rPr>
        <w:t>entry-level data-only mobile broadband service</w:t>
      </w:r>
      <w:r w:rsidR="00A66891" w:rsidRPr="00215418">
        <w:rPr>
          <w:rFonts w:ascii="Aptos" w:eastAsia="Aptos" w:hAnsi="Aptos" w:cs="Arial"/>
          <w:kern w:val="2"/>
          <w:sz w:val="22"/>
          <w:szCs w:val="22"/>
          <w14:ligatures w14:val="standardContextual"/>
        </w:rPr>
        <w:t xml:space="preserve">, the average European citizen had to pay </w:t>
      </w:r>
      <w:r w:rsidR="00965327" w:rsidRPr="00215418">
        <w:rPr>
          <w:rFonts w:ascii="Aptos" w:eastAsia="Aptos" w:hAnsi="Aptos" w:cs="Arial"/>
          <w:kern w:val="2"/>
          <w:sz w:val="22"/>
          <w:szCs w:val="22"/>
          <w14:ligatures w14:val="standardContextual"/>
        </w:rPr>
        <w:t>0.3 per cen</w:t>
      </w:r>
      <w:r w:rsidR="00476559" w:rsidRPr="00215418">
        <w:rPr>
          <w:rFonts w:ascii="Aptos" w:eastAsia="Aptos" w:hAnsi="Aptos" w:cs="Arial"/>
          <w:kern w:val="2"/>
          <w:sz w:val="22"/>
          <w:szCs w:val="22"/>
          <w14:ligatures w14:val="standardContextual"/>
        </w:rPr>
        <w:t xml:space="preserve">t </w:t>
      </w:r>
      <w:r w:rsidR="00564C39" w:rsidRPr="00215418">
        <w:rPr>
          <w:rFonts w:ascii="Aptos" w:eastAsia="Aptos" w:hAnsi="Aptos" w:cs="Arial"/>
          <w:kern w:val="2"/>
          <w:sz w:val="22"/>
          <w:szCs w:val="22"/>
          <w14:ligatures w14:val="standardContextual"/>
        </w:rPr>
        <w:t>of GNI per capita</w:t>
      </w:r>
      <w:r w:rsidR="00C45663" w:rsidRPr="00215418">
        <w:rPr>
          <w:rFonts w:ascii="Aptos" w:eastAsia="Aptos" w:hAnsi="Aptos" w:cs="Arial"/>
          <w:kern w:val="2"/>
          <w:sz w:val="22"/>
          <w:szCs w:val="22"/>
          <w14:ligatures w14:val="standardContextual"/>
        </w:rPr>
        <w:t xml:space="preserve"> in 2024</w:t>
      </w:r>
      <w:r w:rsidR="00564C39" w:rsidRPr="00215418">
        <w:rPr>
          <w:rFonts w:ascii="Aptos" w:eastAsia="Aptos" w:hAnsi="Aptos" w:cs="Arial"/>
          <w:kern w:val="2"/>
          <w:sz w:val="22"/>
          <w:szCs w:val="22"/>
          <w14:ligatures w14:val="standardContextual"/>
        </w:rPr>
        <w:t xml:space="preserve">, </w:t>
      </w:r>
      <w:r w:rsidR="002525FE" w:rsidRPr="00215418">
        <w:rPr>
          <w:rFonts w:ascii="Aptos" w:eastAsia="Aptos" w:hAnsi="Aptos" w:cs="Arial"/>
          <w:kern w:val="2"/>
          <w:sz w:val="22"/>
          <w:szCs w:val="22"/>
          <w14:ligatures w14:val="standardContextual"/>
        </w:rPr>
        <w:t>substantially</w:t>
      </w:r>
      <w:r w:rsidR="00564C39" w:rsidRPr="00215418">
        <w:rPr>
          <w:rFonts w:ascii="Aptos" w:eastAsia="Aptos" w:hAnsi="Aptos" w:cs="Arial"/>
          <w:kern w:val="2"/>
          <w:sz w:val="22"/>
          <w:szCs w:val="22"/>
          <w14:ligatures w14:val="standardContextual"/>
        </w:rPr>
        <w:t xml:space="preserve"> below the global average of 1.1.</w:t>
      </w:r>
      <w:r w:rsidR="00F96991" w:rsidRPr="00215418">
        <w:rPr>
          <w:rFonts w:ascii="Aptos" w:eastAsia="Aptos" w:hAnsi="Aptos" w:cs="Arial"/>
          <w:kern w:val="2"/>
          <w:sz w:val="22"/>
          <w:szCs w:val="22"/>
          <w14:ligatures w14:val="standardContextual"/>
        </w:rPr>
        <w:t xml:space="preserve"> In all countries in the region, the price of </w:t>
      </w:r>
      <w:r w:rsidR="00DF4C69" w:rsidRPr="00215418">
        <w:rPr>
          <w:rFonts w:ascii="Aptos" w:eastAsia="Aptos" w:hAnsi="Aptos" w:cs="Arial"/>
          <w:kern w:val="2"/>
          <w:sz w:val="22"/>
          <w:szCs w:val="22"/>
          <w14:ligatures w14:val="standardContextual"/>
        </w:rPr>
        <w:t xml:space="preserve">such a service was below the 2 per cent </w:t>
      </w:r>
      <w:r w:rsidR="000C062F" w:rsidRPr="00215418">
        <w:rPr>
          <w:rFonts w:ascii="Aptos" w:eastAsia="Aptos" w:hAnsi="Aptos" w:cs="Arial"/>
          <w:kern w:val="2"/>
          <w:sz w:val="22"/>
          <w:szCs w:val="22"/>
          <w14:ligatures w14:val="standardContextual"/>
        </w:rPr>
        <w:t>target of the Broadband Commission.</w:t>
      </w:r>
    </w:p>
    <w:p w14:paraId="26B65015" w14:textId="5E9D72C0" w:rsidR="003407FA" w:rsidRPr="00215418" w:rsidRDefault="00A37F12"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highlight w:val="yellow"/>
          <w14:ligatures w14:val="standardContextual"/>
        </w:rPr>
      </w:pPr>
      <w:r w:rsidRPr="00215418">
        <w:rPr>
          <w:rFonts w:ascii="Aptos" w:eastAsia="Aptos" w:hAnsi="Aptos" w:cs="Arial"/>
          <w:kern w:val="2"/>
          <w:sz w:val="22"/>
          <w:szCs w:val="22"/>
          <w14:ligatures w14:val="standardContextual"/>
        </w:rPr>
        <w:t xml:space="preserve">Entry-level fixed broadband subscriptions are typically costlier than mobile for various reasons, including the cost of infrastructure, higher speeds and larger allowances included, and different market conditions. </w:t>
      </w:r>
      <w:r w:rsidR="002F54EE" w:rsidRPr="00215418">
        <w:rPr>
          <w:rFonts w:ascii="Aptos" w:eastAsia="Aptos" w:hAnsi="Aptos" w:cs="Arial"/>
          <w:kern w:val="2"/>
          <w:sz w:val="22"/>
          <w:szCs w:val="22"/>
          <w14:ligatures w14:val="standardContextual"/>
        </w:rPr>
        <w:t>In the Europe region, the average cost of an entry-level fixed broadband service</w:t>
      </w:r>
      <w:r w:rsidR="00C45663" w:rsidRPr="00215418">
        <w:rPr>
          <w:rFonts w:ascii="Aptos" w:eastAsia="Aptos" w:hAnsi="Aptos" w:cs="Arial"/>
          <w:kern w:val="2"/>
          <w:sz w:val="22"/>
          <w:szCs w:val="22"/>
          <w14:ligatures w14:val="standardContextual"/>
        </w:rPr>
        <w:t xml:space="preserve"> stood at </w:t>
      </w:r>
      <w:r w:rsidR="0091685C" w:rsidRPr="00215418">
        <w:rPr>
          <w:rFonts w:ascii="Aptos" w:eastAsia="Aptos" w:hAnsi="Aptos" w:cs="Arial"/>
          <w:kern w:val="2"/>
          <w:sz w:val="22"/>
          <w:szCs w:val="22"/>
          <w14:ligatures w14:val="standardContextual"/>
        </w:rPr>
        <w:t>1.1</w:t>
      </w:r>
      <w:r w:rsidR="004B11BE" w:rsidRPr="00215418">
        <w:rPr>
          <w:rStyle w:val="FootnoteReference"/>
          <w:rFonts w:eastAsia="Aptos" w:cs="Arial"/>
          <w:kern w:val="2"/>
          <w:szCs w:val="22"/>
          <w14:ligatures w14:val="standardContextual"/>
        </w:rPr>
        <w:footnoteReference w:id="11"/>
      </w:r>
      <w:r w:rsidR="00E264E3" w:rsidRPr="00215418">
        <w:rPr>
          <w:rFonts w:ascii="Aptos" w:eastAsia="Aptos" w:hAnsi="Aptos" w:cs="Arial"/>
          <w:kern w:val="2"/>
          <w:sz w:val="22"/>
          <w:szCs w:val="22"/>
          <w14:ligatures w14:val="standardContextual"/>
        </w:rPr>
        <w:t xml:space="preserve">, </w:t>
      </w:r>
      <w:r w:rsidR="002525FE" w:rsidRPr="00215418">
        <w:rPr>
          <w:rFonts w:ascii="Aptos" w:eastAsia="Aptos" w:hAnsi="Aptos" w:cs="Arial"/>
          <w:kern w:val="2"/>
          <w:sz w:val="22"/>
          <w:szCs w:val="22"/>
          <w14:ligatures w14:val="standardContextual"/>
        </w:rPr>
        <w:t>far</w:t>
      </w:r>
      <w:r w:rsidR="00CF7319" w:rsidRPr="00215418">
        <w:rPr>
          <w:rFonts w:ascii="Aptos" w:eastAsia="Aptos" w:hAnsi="Aptos" w:cs="Arial"/>
          <w:kern w:val="2"/>
          <w:sz w:val="22"/>
          <w:szCs w:val="22"/>
          <w14:ligatures w14:val="standardContextual"/>
        </w:rPr>
        <w:t xml:space="preserve"> below </w:t>
      </w:r>
      <w:r w:rsidR="002525FE" w:rsidRPr="00215418">
        <w:rPr>
          <w:rFonts w:ascii="Aptos" w:eastAsia="Aptos" w:hAnsi="Aptos" w:cs="Arial"/>
          <w:kern w:val="2"/>
          <w:sz w:val="22"/>
          <w:szCs w:val="22"/>
          <w14:ligatures w14:val="standardContextual"/>
        </w:rPr>
        <w:t xml:space="preserve">the global average of </w:t>
      </w:r>
      <w:r w:rsidR="003E2D6B" w:rsidRPr="00215418">
        <w:rPr>
          <w:rFonts w:ascii="Aptos" w:eastAsia="Aptos" w:hAnsi="Aptos" w:cs="Arial"/>
          <w:kern w:val="2"/>
          <w:sz w:val="22"/>
          <w:szCs w:val="22"/>
          <w14:ligatures w14:val="standardContextual"/>
        </w:rPr>
        <w:t xml:space="preserve">2.5. This made Europe the only region below the 2 per cent Broadband Commission target. </w:t>
      </w:r>
      <w:r w:rsidR="00DB478B" w:rsidRPr="00215418">
        <w:rPr>
          <w:rFonts w:ascii="Aptos" w:eastAsia="Aptos" w:hAnsi="Aptos" w:cs="Arial"/>
          <w:kern w:val="2"/>
          <w:sz w:val="22"/>
          <w:szCs w:val="22"/>
          <w14:ligatures w14:val="standardContextual"/>
        </w:rPr>
        <w:t>Of the 44 countries, only six recorded a price above th</w:t>
      </w:r>
      <w:r w:rsidR="00110640" w:rsidRPr="00215418">
        <w:rPr>
          <w:rFonts w:ascii="Aptos" w:eastAsia="Aptos" w:hAnsi="Aptos" w:cs="Arial"/>
          <w:kern w:val="2"/>
          <w:sz w:val="22"/>
          <w:szCs w:val="22"/>
          <w14:ligatures w14:val="standardContextual"/>
        </w:rPr>
        <w:t>is target.</w:t>
      </w:r>
    </w:p>
    <w:p w14:paraId="5EF39CD1" w14:textId="77777777"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lastRenderedPageBreak/>
        <w:t>Broadband basket prices as % of gross national income per capita, 2024</w:t>
      </w:r>
    </w:p>
    <w:p w14:paraId="5833BBE5" w14:textId="2916BECF" w:rsidR="006C41B5" w:rsidRPr="00215418" w:rsidRDefault="00725319" w:rsidP="00B1004A">
      <w:pPr>
        <w:pStyle w:val="Sourcetext"/>
      </w:pPr>
      <w:r w:rsidRPr="00215418">
        <w:rPr>
          <w:noProof/>
        </w:rPr>
        <w:drawing>
          <wp:inline distT="0" distB="0" distL="0" distR="0" wp14:anchorId="39A4BE64" wp14:editId="68A2DE5E">
            <wp:extent cx="6120765" cy="2934335"/>
            <wp:effectExtent l="0" t="0" r="0" b="0"/>
            <wp:docPr id="148991632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916328" name=""/>
                    <pic:cNvPicPr/>
                  </pic:nvPicPr>
                  <pic:blipFill>
                    <a:blip r:embed="rId75">
                      <a:extLst>
                        <a:ext uri="{96DAC541-7B7A-43D3-8B79-37D633B846F1}">
                          <asvg:svgBlip xmlns:asvg="http://schemas.microsoft.com/office/drawing/2016/SVG/main" r:embed="rId76"/>
                        </a:ext>
                      </a:extLst>
                    </a:blip>
                    <a:stretch>
                      <a:fillRect/>
                    </a:stretch>
                  </pic:blipFill>
                  <pic:spPr>
                    <a:xfrm>
                      <a:off x="0" y="0"/>
                      <a:ext cx="6120765" cy="2934335"/>
                    </a:xfrm>
                    <a:prstGeom prst="rect">
                      <a:avLst/>
                    </a:prstGeom>
                  </pic:spPr>
                </pic:pic>
              </a:graphicData>
            </a:graphic>
          </wp:inline>
        </w:drawing>
      </w:r>
      <w:r w:rsidR="006C41B5" w:rsidRPr="00215418">
        <w:t>Source: ITU</w:t>
      </w:r>
    </w:p>
    <w:p w14:paraId="7305CDA7" w14:textId="77777777" w:rsidR="006C41B5" w:rsidRPr="00215418"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br w:type="page"/>
      </w:r>
    </w:p>
    <w:p w14:paraId="40AF6F9C" w14:textId="77777777" w:rsidR="006C41B5" w:rsidRPr="00215418" w:rsidRDefault="006C41B5" w:rsidP="000C3666">
      <w:pPr>
        <w:pStyle w:val="Section"/>
      </w:pPr>
      <w:bookmarkStart w:id="16" w:name="_Toc188001390"/>
      <w:r w:rsidRPr="00215418">
        <w:lastRenderedPageBreak/>
        <w:t>Mobile phone ownership and subscriptions</w:t>
      </w:r>
      <w:bookmarkEnd w:id="16"/>
    </w:p>
    <w:p w14:paraId="25599BE6" w14:textId="3CFEA113" w:rsidR="006C41B5" w:rsidRPr="00215418"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15418">
        <w:rPr>
          <w:rFonts w:ascii="Aptos" w:eastAsia="Aptos" w:hAnsi="Aptos" w:cs="Arial"/>
          <w:b/>
          <w:bCs/>
          <w:i/>
          <w:iCs/>
          <w:kern w:val="2"/>
          <w:sz w:val="22"/>
          <w:szCs w:val="22"/>
          <w14:ligatures w14:val="standardContextual"/>
        </w:rPr>
        <w:t xml:space="preserve">Mobile phone ownership </w:t>
      </w:r>
      <w:r w:rsidR="005D4573" w:rsidRPr="00215418">
        <w:rPr>
          <w:rFonts w:ascii="Aptos" w:eastAsia="Aptos" w:hAnsi="Aptos" w:cs="Arial"/>
          <w:b/>
          <w:bCs/>
          <w:i/>
          <w:iCs/>
          <w:kern w:val="2"/>
          <w:sz w:val="22"/>
          <w:szCs w:val="22"/>
          <w14:ligatures w14:val="standardContextual"/>
        </w:rPr>
        <w:t>is</w:t>
      </w:r>
      <w:r w:rsidRPr="00215418">
        <w:rPr>
          <w:rFonts w:ascii="Aptos" w:eastAsia="Aptos" w:hAnsi="Aptos" w:cs="Arial"/>
          <w:b/>
          <w:bCs/>
          <w:i/>
          <w:iCs/>
          <w:kern w:val="2"/>
          <w:sz w:val="22"/>
          <w:szCs w:val="22"/>
          <w14:ligatures w14:val="standardContextual"/>
        </w:rPr>
        <w:t xml:space="preserve"> universal</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0"/>
        <w:gridCol w:w="4566"/>
      </w:tblGrid>
      <w:tr w:rsidR="006C41B5" w:rsidRPr="00215418" w14:paraId="6232C335" w14:textId="77777777" w:rsidTr="00BC56F0">
        <w:tc>
          <w:tcPr>
            <w:tcW w:w="4490" w:type="dxa"/>
          </w:tcPr>
          <w:p w14:paraId="1F2ACABD" w14:textId="28E285C9" w:rsidR="006C41B5" w:rsidRPr="00215418" w:rsidRDefault="006C41B5" w:rsidP="0061096C">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ptos" w:hAnsi="Aptos"/>
                <w:sz w:val="22"/>
              </w:rPr>
            </w:pPr>
            <w:r w:rsidRPr="00215418">
              <w:rPr>
                <w:rFonts w:ascii="AvenirNext LT Pro Light" w:eastAsia="Yu Gothic Light" w:hAnsi="AvenirNext LT Pro Light" w:cs="Calibri"/>
                <w:color w:val="0070C0"/>
                <w:spacing w:val="-10"/>
                <w:kern w:val="28"/>
                <w:szCs w:val="24"/>
              </w:rPr>
              <w:t>Percentage of individuals owning a mobile phone</w:t>
            </w:r>
            <w:r w:rsidR="000366BD" w:rsidRPr="00215418">
              <w:rPr>
                <w:noProof/>
              </w:rPr>
              <w:drawing>
                <wp:inline distT="0" distB="0" distL="0" distR="0" wp14:anchorId="153330E9" wp14:editId="67E819A8">
                  <wp:extent cx="2667000" cy="2447925"/>
                  <wp:effectExtent l="0" t="0" r="0" b="9525"/>
                  <wp:docPr id="160415717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157179" name=""/>
                          <pic:cNvPicPr/>
                        </pic:nvPicPr>
                        <pic:blipFill>
                          <a:blip r:embed="rId77">
                            <a:extLst>
                              <a:ext uri="{96DAC541-7B7A-43D3-8B79-37D633B846F1}">
                                <asvg:svgBlip xmlns:asvg="http://schemas.microsoft.com/office/drawing/2016/SVG/main" r:embed="rId78"/>
                              </a:ext>
                            </a:extLst>
                          </a:blip>
                          <a:stretch>
                            <a:fillRect/>
                          </a:stretch>
                        </pic:blipFill>
                        <pic:spPr>
                          <a:xfrm>
                            <a:off x="0" y="0"/>
                            <a:ext cx="2667000" cy="2447925"/>
                          </a:xfrm>
                          <a:prstGeom prst="rect">
                            <a:avLst/>
                          </a:prstGeom>
                        </pic:spPr>
                      </pic:pic>
                    </a:graphicData>
                  </a:graphic>
                </wp:inline>
              </w:drawing>
            </w:r>
          </w:p>
        </w:tc>
        <w:tc>
          <w:tcPr>
            <w:tcW w:w="4566" w:type="dxa"/>
          </w:tcPr>
          <w:p w14:paraId="58E4F25D" w14:textId="4269B9AF" w:rsidR="006C41B5" w:rsidRPr="00215418" w:rsidRDefault="006C41B5" w:rsidP="00BC56F0">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ptos" w:hAnsi="Aptos"/>
                <w:sz w:val="22"/>
              </w:rPr>
            </w:pPr>
            <w:r w:rsidRPr="00215418">
              <w:rPr>
                <w:rFonts w:ascii="AvenirNext LT Pro Light" w:eastAsia="Yu Gothic Light" w:hAnsi="AvenirNext LT Pro Light" w:cs="Calibri"/>
                <w:color w:val="0070C0"/>
                <w:spacing w:val="-10"/>
                <w:kern w:val="28"/>
                <w:szCs w:val="24"/>
              </w:rPr>
              <w:t>Percentage of individuals owning a mobile phone by gender, 2024</w:t>
            </w:r>
            <w:r w:rsidR="00BC56F0" w:rsidRPr="00215418">
              <w:rPr>
                <w:noProof/>
              </w:rPr>
              <w:drawing>
                <wp:inline distT="0" distB="0" distL="0" distR="0" wp14:anchorId="6D055021" wp14:editId="43DA0A40">
                  <wp:extent cx="2651602" cy="2596551"/>
                  <wp:effectExtent l="0" t="0" r="0" b="0"/>
                  <wp:docPr id="47082131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21316" name=""/>
                          <pic:cNvPicPr/>
                        </pic:nvPicPr>
                        <pic:blipFill>
                          <a:blip r:embed="rId79">
                            <a:extLst>
                              <a:ext uri="{96DAC541-7B7A-43D3-8B79-37D633B846F1}">
                                <asvg:svgBlip xmlns:asvg="http://schemas.microsoft.com/office/drawing/2016/SVG/main" r:embed="rId80"/>
                              </a:ext>
                            </a:extLst>
                          </a:blip>
                          <a:stretch>
                            <a:fillRect/>
                          </a:stretch>
                        </pic:blipFill>
                        <pic:spPr>
                          <a:xfrm>
                            <a:off x="0" y="0"/>
                            <a:ext cx="2652869" cy="2597792"/>
                          </a:xfrm>
                          <a:prstGeom prst="rect">
                            <a:avLst/>
                          </a:prstGeom>
                        </pic:spPr>
                      </pic:pic>
                    </a:graphicData>
                  </a:graphic>
                </wp:inline>
              </w:drawing>
            </w:r>
          </w:p>
        </w:tc>
      </w:tr>
    </w:tbl>
    <w:p w14:paraId="5077B7E5" w14:textId="77777777" w:rsidR="006C41B5" w:rsidRPr="00215418" w:rsidRDefault="006C41B5" w:rsidP="00B1004A">
      <w:pPr>
        <w:pStyle w:val="notetext"/>
      </w:pPr>
      <w:r w:rsidRPr="00215418">
        <w:t>Note: Individuals aged 10 and older.</w:t>
      </w:r>
    </w:p>
    <w:p w14:paraId="1BD6BEC2" w14:textId="77777777" w:rsidR="006C41B5" w:rsidRPr="00215418" w:rsidRDefault="006C41B5" w:rsidP="00B1004A">
      <w:pPr>
        <w:pStyle w:val="Sourcetext"/>
      </w:pPr>
      <w:r w:rsidRPr="00215418">
        <w:t>Source: ITU</w:t>
      </w:r>
    </w:p>
    <w:p w14:paraId="2AD2F781" w14:textId="48D00C1F" w:rsidR="0027560D" w:rsidRPr="00215418" w:rsidRDefault="00E7789D"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While </w:t>
      </w:r>
      <w:r w:rsidR="003F0277" w:rsidRPr="00215418">
        <w:rPr>
          <w:rFonts w:ascii="Aptos" w:eastAsia="Aptos" w:hAnsi="Aptos" w:cs="Arial"/>
          <w:kern w:val="2"/>
          <w:sz w:val="22"/>
          <w:szCs w:val="22"/>
          <w14:ligatures w14:val="standardContextual"/>
        </w:rPr>
        <w:t xml:space="preserve">globally “only” four out of five </w:t>
      </w:r>
      <w:r w:rsidR="00934557" w:rsidRPr="00215418">
        <w:rPr>
          <w:rFonts w:ascii="Aptos" w:eastAsia="Aptos" w:hAnsi="Aptos" w:cs="Arial"/>
          <w:kern w:val="2"/>
          <w:sz w:val="22"/>
          <w:szCs w:val="22"/>
          <w14:ligatures w14:val="standardContextual"/>
        </w:rPr>
        <w:t xml:space="preserve">individuals aged 10 or older owned a mobile phone, </w:t>
      </w:r>
      <w:r w:rsidR="00FD62A2" w:rsidRPr="00215418">
        <w:rPr>
          <w:rFonts w:ascii="Aptos" w:eastAsia="Aptos" w:hAnsi="Aptos" w:cs="Arial"/>
          <w:kern w:val="2"/>
          <w:sz w:val="22"/>
          <w:szCs w:val="22"/>
          <w14:ligatures w14:val="standardContextual"/>
        </w:rPr>
        <w:t xml:space="preserve">in Europe this </w:t>
      </w:r>
      <w:r w:rsidR="00B4072D" w:rsidRPr="00215418">
        <w:rPr>
          <w:rFonts w:ascii="Aptos" w:eastAsia="Aptos" w:hAnsi="Aptos" w:cs="Arial"/>
          <w:kern w:val="2"/>
          <w:sz w:val="22"/>
          <w:szCs w:val="22"/>
          <w14:ligatures w14:val="standardContextual"/>
        </w:rPr>
        <w:t>number stoo</w:t>
      </w:r>
      <w:r w:rsidR="005F469E" w:rsidRPr="00215418">
        <w:rPr>
          <w:rFonts w:ascii="Aptos" w:eastAsia="Aptos" w:hAnsi="Aptos" w:cs="Arial"/>
          <w:kern w:val="2"/>
          <w:sz w:val="22"/>
          <w:szCs w:val="22"/>
          <w14:ligatures w14:val="standardContextual"/>
        </w:rPr>
        <w:t>d</w:t>
      </w:r>
      <w:r w:rsidR="00B4072D" w:rsidRPr="00215418">
        <w:rPr>
          <w:rFonts w:ascii="Aptos" w:eastAsia="Aptos" w:hAnsi="Aptos" w:cs="Arial"/>
          <w:kern w:val="2"/>
          <w:sz w:val="22"/>
          <w:szCs w:val="22"/>
          <w14:ligatures w14:val="standardContextual"/>
        </w:rPr>
        <w:t xml:space="preserve"> at 95 out of 100</w:t>
      </w:r>
      <w:r w:rsidR="00766356" w:rsidRPr="00215418">
        <w:rPr>
          <w:rFonts w:ascii="Aptos" w:eastAsia="Aptos" w:hAnsi="Aptos" w:cs="Arial"/>
          <w:kern w:val="2"/>
          <w:sz w:val="22"/>
          <w:szCs w:val="22"/>
          <w14:ligatures w14:val="standardContextual"/>
        </w:rPr>
        <w:t>, which for practical purposes means they have achieved universality</w:t>
      </w:r>
      <w:r w:rsidR="003D3E09" w:rsidRPr="00215418">
        <w:rPr>
          <w:rFonts w:ascii="Aptos" w:eastAsia="Aptos" w:hAnsi="Aptos" w:cs="Arial"/>
          <w:kern w:val="2"/>
          <w:sz w:val="22"/>
          <w:szCs w:val="22"/>
          <w14:ligatures w14:val="standardContextual"/>
        </w:rPr>
        <w:t xml:space="preserve">. </w:t>
      </w:r>
      <w:r w:rsidR="007B0A61" w:rsidRPr="00215418">
        <w:rPr>
          <w:rFonts w:ascii="Aptos" w:eastAsia="Aptos" w:hAnsi="Aptos" w:cs="Arial"/>
          <w:kern w:val="2"/>
          <w:sz w:val="22"/>
          <w:szCs w:val="22"/>
          <w14:ligatures w14:val="standardContextual"/>
        </w:rPr>
        <w:t xml:space="preserve">There was only a small difference between the </w:t>
      </w:r>
      <w:r w:rsidR="00B0299A" w:rsidRPr="00215418">
        <w:rPr>
          <w:rFonts w:ascii="Aptos" w:eastAsia="Aptos" w:hAnsi="Aptos" w:cs="Arial"/>
          <w:kern w:val="2"/>
          <w:sz w:val="22"/>
          <w:szCs w:val="22"/>
          <w14:ligatures w14:val="standardContextual"/>
        </w:rPr>
        <w:t>share of men own</w:t>
      </w:r>
      <w:r w:rsidR="00C63A08" w:rsidRPr="00215418">
        <w:rPr>
          <w:rFonts w:ascii="Aptos" w:eastAsia="Aptos" w:hAnsi="Aptos" w:cs="Arial"/>
          <w:kern w:val="2"/>
          <w:sz w:val="22"/>
          <w:szCs w:val="22"/>
          <w14:ligatures w14:val="standardContextual"/>
        </w:rPr>
        <w:t>i</w:t>
      </w:r>
      <w:r w:rsidR="00B0299A" w:rsidRPr="00215418">
        <w:rPr>
          <w:rFonts w:ascii="Aptos" w:eastAsia="Aptos" w:hAnsi="Aptos" w:cs="Arial"/>
          <w:kern w:val="2"/>
          <w:sz w:val="22"/>
          <w:szCs w:val="22"/>
          <w14:ligatures w14:val="standardContextual"/>
        </w:rPr>
        <w:t xml:space="preserve">ng a </w:t>
      </w:r>
      <w:r w:rsidR="00C63A08" w:rsidRPr="00215418">
        <w:rPr>
          <w:rFonts w:ascii="Aptos" w:eastAsia="Aptos" w:hAnsi="Aptos" w:cs="Arial"/>
          <w:kern w:val="2"/>
          <w:sz w:val="22"/>
          <w:szCs w:val="22"/>
          <w14:ligatures w14:val="standardContextual"/>
        </w:rPr>
        <w:t xml:space="preserve">mobile </w:t>
      </w:r>
      <w:r w:rsidR="00B0299A" w:rsidRPr="00215418">
        <w:rPr>
          <w:rFonts w:ascii="Aptos" w:eastAsia="Aptos" w:hAnsi="Aptos" w:cs="Arial"/>
          <w:kern w:val="2"/>
          <w:sz w:val="22"/>
          <w:szCs w:val="22"/>
          <w14:ligatures w14:val="standardContextual"/>
        </w:rPr>
        <w:t>phone and</w:t>
      </w:r>
      <w:r w:rsidR="00C63A08" w:rsidRPr="00215418">
        <w:rPr>
          <w:rFonts w:ascii="Aptos" w:eastAsia="Aptos" w:hAnsi="Aptos" w:cs="Arial"/>
          <w:kern w:val="2"/>
          <w:sz w:val="22"/>
          <w:szCs w:val="22"/>
          <w14:ligatures w14:val="standardContextual"/>
        </w:rPr>
        <w:t xml:space="preserve"> </w:t>
      </w:r>
      <w:r w:rsidR="00B0299A" w:rsidRPr="00215418">
        <w:rPr>
          <w:rFonts w:ascii="Aptos" w:eastAsia="Aptos" w:hAnsi="Aptos" w:cs="Arial"/>
          <w:kern w:val="2"/>
          <w:sz w:val="22"/>
          <w:szCs w:val="22"/>
          <w14:ligatures w14:val="standardContextual"/>
        </w:rPr>
        <w:t>th</w:t>
      </w:r>
      <w:r w:rsidR="00C63A08" w:rsidRPr="00215418">
        <w:rPr>
          <w:rFonts w:ascii="Aptos" w:eastAsia="Aptos" w:hAnsi="Aptos" w:cs="Arial"/>
          <w:kern w:val="2"/>
          <w:sz w:val="22"/>
          <w:szCs w:val="22"/>
          <w14:ligatures w14:val="standardContextual"/>
        </w:rPr>
        <w:t>e</w:t>
      </w:r>
      <w:r w:rsidR="00B0299A" w:rsidRPr="00215418">
        <w:rPr>
          <w:rFonts w:ascii="Aptos" w:eastAsia="Aptos" w:hAnsi="Aptos" w:cs="Arial"/>
          <w:kern w:val="2"/>
          <w:sz w:val="22"/>
          <w:szCs w:val="22"/>
          <w14:ligatures w14:val="standardContextual"/>
        </w:rPr>
        <w:t xml:space="preserve"> share of women</w:t>
      </w:r>
      <w:r w:rsidR="00C63A08" w:rsidRPr="00215418">
        <w:rPr>
          <w:rFonts w:ascii="Aptos" w:eastAsia="Aptos" w:hAnsi="Aptos" w:cs="Arial"/>
          <w:kern w:val="2"/>
          <w:sz w:val="22"/>
          <w:szCs w:val="22"/>
          <w14:ligatures w14:val="standardContextual"/>
        </w:rPr>
        <w:t xml:space="preserve"> owning one, which leads to a gender parity score of 1.00</w:t>
      </w:r>
      <w:r w:rsidR="0012502F" w:rsidRPr="00215418">
        <w:rPr>
          <w:rFonts w:ascii="Aptos" w:eastAsia="Aptos" w:hAnsi="Aptos" w:cs="Arial"/>
          <w:kern w:val="2"/>
          <w:sz w:val="22"/>
          <w:szCs w:val="22"/>
          <w14:ligatures w14:val="standardContextual"/>
        </w:rPr>
        <w:t>.</w:t>
      </w:r>
      <w:r w:rsidR="00D0485D" w:rsidRPr="00215418">
        <w:rPr>
          <w:rFonts w:ascii="Aptos" w:eastAsia="Aptos" w:hAnsi="Aptos" w:cs="Arial"/>
          <w:kern w:val="2"/>
          <w:sz w:val="22"/>
          <w:szCs w:val="22"/>
          <w14:ligatures w14:val="standardContextual"/>
        </w:rPr>
        <w:t xml:space="preserve"> </w:t>
      </w:r>
    </w:p>
    <w:p w14:paraId="58AD5113" w14:textId="1A9AE8C2"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t xml:space="preserve">Percentage of individuals owning a mobile phone, </w:t>
      </w:r>
      <w:r w:rsidR="00CD1E50" w:rsidRPr="00215418">
        <w:rPr>
          <w:rFonts w:ascii="AvenirNext LT Pro Light" w:eastAsia="Yu Gothic Light" w:hAnsi="AvenirNext LT Pro Light" w:cs="Calibri"/>
          <w:color w:val="0070C0"/>
          <w:spacing w:val="-10"/>
          <w:kern w:val="28"/>
          <w:szCs w:val="24"/>
        </w:rPr>
        <w:t xml:space="preserve">2023 or </w:t>
      </w:r>
      <w:r w:rsidRPr="00215418">
        <w:rPr>
          <w:rFonts w:ascii="AvenirNext LT Pro Light" w:eastAsia="Yu Gothic Light" w:hAnsi="AvenirNext LT Pro Light" w:cs="Calibri"/>
          <w:color w:val="0070C0"/>
          <w:spacing w:val="-10"/>
          <w:kern w:val="28"/>
          <w:szCs w:val="24"/>
        </w:rPr>
        <w:t>latest year available</w:t>
      </w:r>
    </w:p>
    <w:p w14:paraId="7A43C988" w14:textId="4286A809" w:rsidR="006C41B5" w:rsidRPr="00215418" w:rsidRDefault="00CD1E50" w:rsidP="00B1004A">
      <w:pPr>
        <w:pStyle w:val="notetext"/>
      </w:pPr>
      <w:r w:rsidRPr="00215418">
        <w:rPr>
          <w:noProof/>
        </w:rPr>
        <w:drawing>
          <wp:inline distT="0" distB="0" distL="0" distR="0" wp14:anchorId="5C002032" wp14:editId="6ECB61EF">
            <wp:extent cx="6120765" cy="3181985"/>
            <wp:effectExtent l="0" t="0" r="0" b="0"/>
            <wp:docPr id="126899303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993037" name=""/>
                    <pic:cNvPicPr/>
                  </pic:nvPicPr>
                  <pic:blipFill>
                    <a:blip r:embed="rId81">
                      <a:extLst>
                        <a:ext uri="{96DAC541-7B7A-43D3-8B79-37D633B846F1}">
                          <asvg:svgBlip xmlns:asvg="http://schemas.microsoft.com/office/drawing/2016/SVG/main" r:embed="rId82"/>
                        </a:ext>
                      </a:extLst>
                    </a:blip>
                    <a:stretch>
                      <a:fillRect/>
                    </a:stretch>
                  </pic:blipFill>
                  <pic:spPr>
                    <a:xfrm>
                      <a:off x="0" y="0"/>
                      <a:ext cx="6120765" cy="3181985"/>
                    </a:xfrm>
                    <a:prstGeom prst="rect">
                      <a:avLst/>
                    </a:prstGeom>
                  </pic:spPr>
                </pic:pic>
              </a:graphicData>
            </a:graphic>
          </wp:inline>
        </w:drawing>
      </w:r>
      <w:r w:rsidR="006C41B5" w:rsidRPr="00215418">
        <w:t>Notes: Individuals aged 10 and older. ITU estimates are in a lighter shade, country submitted data in a darker shade.</w:t>
      </w:r>
    </w:p>
    <w:p w14:paraId="15977200" w14:textId="77777777" w:rsidR="006C41B5" w:rsidRPr="00215418" w:rsidRDefault="006C41B5" w:rsidP="00B1004A">
      <w:pPr>
        <w:pStyle w:val="Sourcetext"/>
      </w:pPr>
      <w:r w:rsidRPr="00215418">
        <w:t>Source: ITU</w:t>
      </w:r>
    </w:p>
    <w:p w14:paraId="57857C72" w14:textId="7BB268D3" w:rsidR="008A73A0" w:rsidRPr="00215418" w:rsidRDefault="008A73A0" w:rsidP="00BD4434">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lastRenderedPageBreak/>
        <w:t>In all countries of the region, mobile ownership was very high, between 86 and 100 per cent.</w:t>
      </w:r>
      <w:r w:rsidR="000366BD" w:rsidRPr="00215418">
        <w:rPr>
          <w:rFonts w:ascii="Aptos" w:eastAsia="Aptos" w:hAnsi="Aptos" w:cs="Arial"/>
          <w:kern w:val="2"/>
          <w:sz w:val="22"/>
          <w:szCs w:val="22"/>
          <w14:ligatures w14:val="standardContextual"/>
        </w:rPr>
        <w:t xml:space="preserve"> For the </w:t>
      </w:r>
      <w:r w:rsidR="004B6E3C" w:rsidRPr="00215418">
        <w:rPr>
          <w:rFonts w:ascii="Aptos" w:eastAsia="Aptos" w:hAnsi="Aptos" w:cs="Arial"/>
          <w:kern w:val="2"/>
          <w:sz w:val="22"/>
          <w:szCs w:val="22"/>
          <w14:ligatures w14:val="standardContextual"/>
        </w:rPr>
        <w:t>11</w:t>
      </w:r>
      <w:r w:rsidR="000366BD" w:rsidRPr="00215418">
        <w:rPr>
          <w:rFonts w:ascii="Aptos" w:eastAsia="Aptos" w:hAnsi="Aptos" w:cs="Arial"/>
          <w:kern w:val="2"/>
          <w:sz w:val="22"/>
          <w:szCs w:val="22"/>
          <w14:ligatures w14:val="standardContextual"/>
        </w:rPr>
        <w:t xml:space="preserve"> countries for which gender disaggregated data is available</w:t>
      </w:r>
      <w:r w:rsidR="003E3C22" w:rsidRPr="00215418">
        <w:rPr>
          <w:rFonts w:ascii="Aptos" w:eastAsia="Aptos" w:hAnsi="Aptos" w:cs="Arial"/>
          <w:kern w:val="2"/>
          <w:sz w:val="22"/>
          <w:szCs w:val="22"/>
          <w14:ligatures w14:val="standardContextual"/>
        </w:rPr>
        <w:t xml:space="preserve">, </w:t>
      </w:r>
      <w:r w:rsidR="00367B06" w:rsidRPr="00215418">
        <w:rPr>
          <w:rFonts w:ascii="Aptos" w:eastAsia="Aptos" w:hAnsi="Aptos" w:cs="Arial"/>
          <w:kern w:val="2"/>
          <w:sz w:val="22"/>
          <w:szCs w:val="22"/>
          <w14:ligatures w14:val="standardContextual"/>
        </w:rPr>
        <w:t>the gender parity score indicated that gender parity was reached in all but two.</w:t>
      </w:r>
    </w:p>
    <w:p w14:paraId="4D57C845" w14:textId="06DC2BF4" w:rsidR="006C41B5" w:rsidRPr="00215418" w:rsidRDefault="00205836"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To use a mobile phone, a mobile-cellular or mobile broadband subscription is needed. In Europe, there wer</w:t>
      </w:r>
      <w:r w:rsidR="00A00F02" w:rsidRPr="00215418">
        <w:rPr>
          <w:rFonts w:ascii="Aptos" w:eastAsia="Aptos" w:hAnsi="Aptos" w:cs="Arial"/>
          <w:kern w:val="2"/>
          <w:sz w:val="22"/>
          <w:szCs w:val="22"/>
          <w14:ligatures w14:val="standardContextual"/>
        </w:rPr>
        <w:t xml:space="preserve">e 125 subscriptions per 100 inhabitants in 2024, </w:t>
      </w:r>
      <w:r w:rsidR="00537260" w:rsidRPr="00215418">
        <w:rPr>
          <w:rFonts w:ascii="Aptos" w:eastAsia="Aptos" w:hAnsi="Aptos" w:cs="Arial"/>
          <w:kern w:val="2"/>
          <w:sz w:val="22"/>
          <w:szCs w:val="22"/>
          <w14:ligatures w14:val="standardContextual"/>
        </w:rPr>
        <w:t>somewhat</w:t>
      </w:r>
      <w:r w:rsidR="0035752E" w:rsidRPr="00215418">
        <w:rPr>
          <w:rFonts w:ascii="Aptos" w:eastAsia="Aptos" w:hAnsi="Aptos" w:cs="Arial"/>
          <w:kern w:val="2"/>
          <w:sz w:val="22"/>
          <w:szCs w:val="22"/>
          <w14:ligatures w14:val="standardContextual"/>
        </w:rPr>
        <w:t xml:space="preserve"> above the global average of </w:t>
      </w:r>
      <w:r w:rsidR="00474FB1" w:rsidRPr="00215418">
        <w:rPr>
          <w:rFonts w:ascii="Aptos" w:eastAsia="Aptos" w:hAnsi="Aptos" w:cs="Arial"/>
          <w:kern w:val="2"/>
          <w:sz w:val="22"/>
          <w:szCs w:val="22"/>
          <w14:ligatures w14:val="standardContextual"/>
        </w:rPr>
        <w:t>112</w:t>
      </w:r>
      <w:r w:rsidR="0088778B" w:rsidRPr="00215418">
        <w:rPr>
          <w:rFonts w:ascii="Aptos" w:eastAsia="Aptos" w:hAnsi="Aptos" w:cs="Arial"/>
          <w:kern w:val="2"/>
          <w:sz w:val="22"/>
          <w:szCs w:val="22"/>
          <w14:ligatures w14:val="standardContextual"/>
        </w:rPr>
        <w:t xml:space="preserve">. </w:t>
      </w:r>
      <w:r w:rsidR="00DF225B" w:rsidRPr="00215418">
        <w:rPr>
          <w:rFonts w:ascii="Aptos" w:eastAsia="Aptos" w:hAnsi="Aptos" w:cs="Arial"/>
          <w:kern w:val="2"/>
          <w:sz w:val="22"/>
          <w:szCs w:val="22"/>
          <w14:ligatures w14:val="standardContextual"/>
        </w:rPr>
        <w:t xml:space="preserve">This indicator is plateauing in Europe, as it has hardly moved </w:t>
      </w:r>
      <w:r w:rsidR="00E836D9" w:rsidRPr="00215418">
        <w:rPr>
          <w:rFonts w:ascii="Aptos" w:eastAsia="Aptos" w:hAnsi="Aptos" w:cs="Arial"/>
          <w:kern w:val="2"/>
          <w:sz w:val="22"/>
          <w:szCs w:val="22"/>
          <w14:ligatures w14:val="standardContextual"/>
        </w:rPr>
        <w:t xml:space="preserve">since 2012. </w:t>
      </w:r>
    </w:p>
    <w:p w14:paraId="3BAAD768" w14:textId="77777777" w:rsidR="006C41B5" w:rsidRPr="00215418"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color w:val="0070C0"/>
          <w:kern w:val="2"/>
          <w:sz w:val="22"/>
          <w:szCs w:val="22"/>
          <w14:ligatures w14:val="standardContextual"/>
        </w:rPr>
        <w:t>Mobile-cellular subscriptions per 100 inhabitants</w:t>
      </w:r>
    </w:p>
    <w:p w14:paraId="73CB7473" w14:textId="14D413B3" w:rsidR="000018FC" w:rsidRPr="00215418" w:rsidRDefault="00B6703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215418">
        <w:rPr>
          <w:noProof/>
        </w:rPr>
        <w:drawing>
          <wp:inline distT="0" distB="0" distL="0" distR="0" wp14:anchorId="2704669D" wp14:editId="6F5FCEE9">
            <wp:extent cx="6120765" cy="2702560"/>
            <wp:effectExtent l="0" t="0" r="0" b="2540"/>
            <wp:docPr id="109151820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518202" name=""/>
                    <pic:cNvPicPr/>
                  </pic:nvPicPr>
                  <pic:blipFill>
                    <a:blip r:embed="rId83">
                      <a:extLst>
                        <a:ext uri="{96DAC541-7B7A-43D3-8B79-37D633B846F1}">
                          <asvg:svgBlip xmlns:asvg="http://schemas.microsoft.com/office/drawing/2016/SVG/main" r:embed="rId84"/>
                        </a:ext>
                      </a:extLst>
                    </a:blip>
                    <a:stretch>
                      <a:fillRect/>
                    </a:stretch>
                  </pic:blipFill>
                  <pic:spPr>
                    <a:xfrm>
                      <a:off x="0" y="0"/>
                      <a:ext cx="6120765" cy="2702560"/>
                    </a:xfrm>
                    <a:prstGeom prst="rect">
                      <a:avLst/>
                    </a:prstGeom>
                  </pic:spPr>
                </pic:pic>
              </a:graphicData>
            </a:graphic>
          </wp:inline>
        </w:drawing>
      </w:r>
    </w:p>
    <w:p w14:paraId="2416908B" w14:textId="23C32D28" w:rsidR="006C41B5" w:rsidRPr="00215418" w:rsidRDefault="006C41B5" w:rsidP="00B1004A">
      <w:pPr>
        <w:pStyle w:val="Sourcetext"/>
      </w:pPr>
      <w:r w:rsidRPr="00215418">
        <w:t>Source: ITU</w:t>
      </w:r>
    </w:p>
    <w:p w14:paraId="4587DFAC" w14:textId="77777777" w:rsidR="00215A5B" w:rsidRPr="00215418" w:rsidRDefault="00215A5B" w:rsidP="00215A5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At the country level, the region was relatively homogeneous, with values ranging from 93 to 156 subscriptions per 100 inhabitants, with one outlier at 207.</w:t>
      </w:r>
    </w:p>
    <w:p w14:paraId="5F3A7413" w14:textId="3CEE446D"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t xml:space="preserve">Mobile-cellular subscriptions per 100 inhabitants, </w:t>
      </w:r>
      <w:r w:rsidR="007B7825" w:rsidRPr="00215418">
        <w:rPr>
          <w:rFonts w:ascii="AvenirNext LT Pro Light" w:eastAsia="Yu Gothic Light" w:hAnsi="AvenirNext LT Pro Light" w:cs="Calibri"/>
          <w:color w:val="0070C0"/>
          <w:spacing w:val="-10"/>
          <w:kern w:val="28"/>
          <w:szCs w:val="24"/>
        </w:rPr>
        <w:t xml:space="preserve">2023 or </w:t>
      </w:r>
      <w:r w:rsidRPr="00215418">
        <w:rPr>
          <w:rFonts w:ascii="AvenirNext LT Pro Light" w:eastAsia="Yu Gothic Light" w:hAnsi="AvenirNext LT Pro Light" w:cs="Calibri"/>
          <w:color w:val="0070C0"/>
          <w:spacing w:val="-10"/>
          <w:kern w:val="28"/>
          <w:szCs w:val="24"/>
        </w:rPr>
        <w:t>latest year available</w:t>
      </w:r>
    </w:p>
    <w:p w14:paraId="3ED82F06" w14:textId="11AE205D" w:rsidR="000018FC" w:rsidRPr="00215418" w:rsidRDefault="003869C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215418">
        <w:rPr>
          <w:noProof/>
        </w:rPr>
        <w:drawing>
          <wp:inline distT="0" distB="0" distL="0" distR="0" wp14:anchorId="601C5A7D" wp14:editId="1B0173F9">
            <wp:extent cx="6120765" cy="2802890"/>
            <wp:effectExtent l="0" t="0" r="0" b="0"/>
            <wp:docPr id="157301737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017373" name=""/>
                    <pic:cNvPicPr/>
                  </pic:nvPicPr>
                  <pic:blipFill>
                    <a:blip r:embed="rId85">
                      <a:extLst>
                        <a:ext uri="{96DAC541-7B7A-43D3-8B79-37D633B846F1}">
                          <asvg:svgBlip xmlns:asvg="http://schemas.microsoft.com/office/drawing/2016/SVG/main" r:embed="rId86"/>
                        </a:ext>
                      </a:extLst>
                    </a:blip>
                    <a:stretch>
                      <a:fillRect/>
                    </a:stretch>
                  </pic:blipFill>
                  <pic:spPr>
                    <a:xfrm>
                      <a:off x="0" y="0"/>
                      <a:ext cx="6120765" cy="2802890"/>
                    </a:xfrm>
                    <a:prstGeom prst="rect">
                      <a:avLst/>
                    </a:prstGeom>
                  </pic:spPr>
                </pic:pic>
              </a:graphicData>
            </a:graphic>
          </wp:inline>
        </w:drawing>
      </w:r>
    </w:p>
    <w:p w14:paraId="3F83E9A8" w14:textId="77777777" w:rsidR="006C41B5" w:rsidRPr="00215418" w:rsidRDefault="006C41B5" w:rsidP="00B1004A">
      <w:pPr>
        <w:pStyle w:val="Sourcetext"/>
      </w:pPr>
      <w:r w:rsidRPr="00215418">
        <w:t>Source: ITU</w:t>
      </w:r>
    </w:p>
    <w:p w14:paraId="36AA0DFA" w14:textId="77777777" w:rsidR="006C41B5" w:rsidRPr="00215418"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215418">
        <w:rPr>
          <w:rFonts w:ascii="Aptos" w:eastAsia="Aptos" w:hAnsi="Aptos" w:cs="Arial"/>
          <w:kern w:val="2"/>
          <w:sz w:val="16"/>
          <w:szCs w:val="28"/>
          <w14:ligatures w14:val="standardContextual"/>
        </w:rPr>
        <w:br w:type="page"/>
      </w:r>
    </w:p>
    <w:p w14:paraId="34E6FA60" w14:textId="77777777" w:rsidR="006C41B5" w:rsidRPr="00215418" w:rsidRDefault="006C41B5" w:rsidP="00DA1CD8">
      <w:pPr>
        <w:pStyle w:val="Section"/>
      </w:pPr>
      <w:bookmarkStart w:id="17" w:name="_Toc188001391"/>
      <w:r w:rsidRPr="00215418">
        <w:lastRenderedPageBreak/>
        <w:t>ICT skills</w:t>
      </w:r>
      <w:bookmarkEnd w:id="17"/>
    </w:p>
    <w:p w14:paraId="1C200474" w14:textId="77777777" w:rsidR="006C41B5" w:rsidRPr="00215418"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15418">
        <w:rPr>
          <w:rFonts w:ascii="Aptos" w:eastAsia="Aptos" w:hAnsi="Aptos" w:cs="Arial"/>
          <w:b/>
          <w:bCs/>
          <w:i/>
          <w:iCs/>
          <w:kern w:val="2"/>
          <w:sz w:val="22"/>
          <w:szCs w:val="22"/>
          <w14:ligatures w14:val="standardContextual"/>
        </w:rPr>
        <w:t>Large variety in ICT skills among Internet users</w:t>
      </w:r>
    </w:p>
    <w:p w14:paraId="37A26D0A" w14:textId="77777777" w:rsidR="00C00CAB" w:rsidRPr="00215418" w:rsidRDefault="00C00CAB" w:rsidP="00C00CA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Because self-reporting of individuals’ ICT skills is subjective, ICT skills are measured based on household surveys asking whether an individual has recently performed certain activities. Performing these activities presupposes a degree of proficiency in relevant digital skills. The activities are grouped into five areas: information and data literacy; communication and collaboration; digital content creation; safety; and problem solving.</w:t>
      </w:r>
    </w:p>
    <w:p w14:paraId="1FB78A8A" w14:textId="7728DE87" w:rsidR="006C41B5" w:rsidRPr="00215418"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While the importance of digital skills in leveraging ICTs for economic prosperity and social well-being is well-documented, data remain very scant</w:t>
      </w:r>
      <w:r w:rsidR="003E06B1" w:rsidRPr="00215418">
        <w:rPr>
          <w:rFonts w:ascii="Aptos" w:eastAsia="Aptos" w:hAnsi="Aptos" w:cs="Arial"/>
          <w:kern w:val="2"/>
          <w:sz w:val="22"/>
          <w:szCs w:val="22"/>
          <w14:ligatures w14:val="standardContextual"/>
        </w:rPr>
        <w:t xml:space="preserve">, although </w:t>
      </w:r>
      <w:r w:rsidR="00EE4FC9" w:rsidRPr="00215418">
        <w:rPr>
          <w:rFonts w:ascii="Aptos" w:eastAsia="Aptos" w:hAnsi="Aptos" w:cs="Arial"/>
          <w:kern w:val="2"/>
          <w:sz w:val="22"/>
          <w:szCs w:val="22"/>
          <w14:ligatures w14:val="standardContextual"/>
        </w:rPr>
        <w:t>better</w:t>
      </w:r>
      <w:r w:rsidRPr="00215418">
        <w:rPr>
          <w:rFonts w:ascii="Aptos" w:eastAsia="Aptos" w:hAnsi="Aptos" w:cs="Arial"/>
          <w:kern w:val="2"/>
          <w:sz w:val="22"/>
          <w:szCs w:val="22"/>
          <w14:ligatures w14:val="standardContextual"/>
        </w:rPr>
        <w:t xml:space="preserve"> </w:t>
      </w:r>
      <w:r w:rsidR="00A45930" w:rsidRPr="00215418">
        <w:rPr>
          <w:rFonts w:ascii="Aptos" w:eastAsia="Aptos" w:hAnsi="Aptos" w:cs="Arial"/>
          <w:kern w:val="2"/>
          <w:sz w:val="22"/>
          <w:szCs w:val="22"/>
          <w14:ligatures w14:val="standardContextual"/>
        </w:rPr>
        <w:t xml:space="preserve">in </w:t>
      </w:r>
      <w:r w:rsidR="00BB6365" w:rsidRPr="00215418">
        <w:rPr>
          <w:rFonts w:ascii="Aptos" w:eastAsia="Aptos" w:hAnsi="Aptos" w:cs="Arial"/>
          <w:kern w:val="2"/>
          <w:sz w:val="22"/>
          <w:szCs w:val="22"/>
          <w14:ligatures w14:val="standardContextual"/>
        </w:rPr>
        <w:t>Europe</w:t>
      </w:r>
      <w:r w:rsidRPr="00215418">
        <w:rPr>
          <w:rFonts w:ascii="Aptos" w:eastAsia="Aptos" w:hAnsi="Aptos" w:cs="Arial"/>
          <w:kern w:val="2"/>
          <w:sz w:val="22"/>
          <w:szCs w:val="22"/>
          <w14:ligatures w14:val="standardContextual"/>
        </w:rPr>
        <w:t xml:space="preserve">, </w:t>
      </w:r>
      <w:r w:rsidR="00EE4FC9" w:rsidRPr="00215418">
        <w:rPr>
          <w:rFonts w:ascii="Aptos" w:eastAsia="Aptos" w:hAnsi="Aptos" w:cs="Arial"/>
          <w:kern w:val="2"/>
          <w:sz w:val="22"/>
          <w:szCs w:val="22"/>
          <w14:ligatures w14:val="standardContextual"/>
        </w:rPr>
        <w:t>with</w:t>
      </w:r>
      <w:r w:rsidRPr="00215418">
        <w:rPr>
          <w:rFonts w:ascii="Aptos" w:eastAsia="Aptos" w:hAnsi="Aptos" w:cs="Arial"/>
          <w:kern w:val="2"/>
          <w:sz w:val="22"/>
          <w:szCs w:val="22"/>
          <w14:ligatures w14:val="standardContextual"/>
        </w:rPr>
        <w:t xml:space="preserve"> </w:t>
      </w:r>
      <w:r w:rsidR="009F1A7F" w:rsidRPr="00215418">
        <w:rPr>
          <w:rFonts w:ascii="Aptos" w:eastAsia="Aptos" w:hAnsi="Aptos" w:cs="Arial"/>
          <w:kern w:val="2"/>
          <w:sz w:val="22"/>
          <w:szCs w:val="22"/>
          <w14:ligatures w14:val="standardContextual"/>
        </w:rPr>
        <w:t>38</w:t>
      </w:r>
      <w:r w:rsidRPr="00215418">
        <w:rPr>
          <w:rFonts w:ascii="Aptos" w:eastAsia="Aptos" w:hAnsi="Aptos" w:cs="Arial"/>
          <w:kern w:val="2"/>
          <w:sz w:val="22"/>
          <w:szCs w:val="22"/>
          <w14:ligatures w14:val="standardContextual"/>
        </w:rPr>
        <w:t xml:space="preserve"> </w:t>
      </w:r>
      <w:r w:rsidR="00EE4FC9" w:rsidRPr="00215418">
        <w:rPr>
          <w:rFonts w:ascii="Aptos" w:eastAsia="Aptos" w:hAnsi="Aptos" w:cs="Arial"/>
          <w:kern w:val="2"/>
          <w:sz w:val="22"/>
          <w:szCs w:val="22"/>
          <w14:ligatures w14:val="standardContextual"/>
        </w:rPr>
        <w:t>countries having</w:t>
      </w:r>
      <w:r w:rsidRPr="00215418">
        <w:rPr>
          <w:rFonts w:ascii="Aptos" w:eastAsia="Aptos" w:hAnsi="Aptos" w:cs="Arial"/>
          <w:kern w:val="2"/>
          <w:sz w:val="22"/>
          <w:szCs w:val="22"/>
          <w14:ligatures w14:val="standardContextual"/>
        </w:rPr>
        <w:t xml:space="preserve"> submitted data since 2020. </w:t>
      </w:r>
      <w:r w:rsidR="00EB1FC7" w:rsidRPr="00215418">
        <w:rPr>
          <w:rFonts w:ascii="Aptos" w:eastAsia="Aptos" w:hAnsi="Aptos" w:cs="Arial"/>
          <w:kern w:val="2"/>
          <w:sz w:val="22"/>
          <w:szCs w:val="22"/>
          <w14:ligatures w14:val="standardContextual"/>
        </w:rPr>
        <w:t>However,</w:t>
      </w:r>
      <w:r w:rsidRPr="00215418">
        <w:rPr>
          <w:rFonts w:ascii="Aptos" w:eastAsia="Aptos" w:hAnsi="Aptos" w:cs="Arial"/>
          <w:kern w:val="2"/>
          <w:sz w:val="22"/>
          <w:szCs w:val="22"/>
          <w14:ligatures w14:val="standardContextual"/>
        </w:rPr>
        <w:t xml:space="preserve"> fewer – just </w:t>
      </w:r>
      <w:r w:rsidR="002D415D" w:rsidRPr="00215418">
        <w:rPr>
          <w:rFonts w:ascii="Aptos" w:eastAsia="Aptos" w:hAnsi="Aptos" w:cs="Arial"/>
          <w:kern w:val="2"/>
          <w:sz w:val="22"/>
          <w:szCs w:val="22"/>
          <w14:ligatures w14:val="standardContextual"/>
        </w:rPr>
        <w:t>20</w:t>
      </w:r>
      <w:r w:rsidRPr="00215418">
        <w:rPr>
          <w:rFonts w:ascii="Aptos" w:eastAsia="Aptos" w:hAnsi="Aptos" w:cs="Arial"/>
          <w:kern w:val="2"/>
          <w:sz w:val="22"/>
          <w:szCs w:val="22"/>
          <w14:ligatures w14:val="standardContextual"/>
        </w:rPr>
        <w:t xml:space="preserve"> countries – provided comparable data on ICT skill levels (see box for details on the methodology for calculating ICT skill levels).</w:t>
      </w:r>
    </w:p>
    <w:p w14:paraId="3DEF477E" w14:textId="1036EBC6" w:rsidR="00EF1EF8" w:rsidRPr="00215418" w:rsidRDefault="00EF1EF8"/>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9016"/>
      </w:tblGrid>
      <w:tr w:rsidR="006C41B5" w:rsidRPr="00215418" w14:paraId="41D5B970" w14:textId="77777777" w:rsidTr="006C41B5">
        <w:tc>
          <w:tcPr>
            <w:tcW w:w="9016" w:type="dxa"/>
            <w:shd w:val="clear" w:color="auto" w:fill="F2F2F2"/>
          </w:tcPr>
          <w:p w14:paraId="0E831F47" w14:textId="5BFAC1F2" w:rsidR="006C41B5" w:rsidRPr="00215418"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b/>
                <w:sz w:val="22"/>
              </w:rPr>
            </w:pPr>
            <w:r w:rsidRPr="00215418">
              <w:rPr>
                <w:rFonts w:ascii="Aptos" w:hAnsi="Aptos"/>
                <w:b/>
                <w:sz w:val="22"/>
              </w:rPr>
              <w:t>Methodology for calculating ICT skill levels</w:t>
            </w:r>
          </w:p>
          <w:p w14:paraId="5753A8F5" w14:textId="77777777" w:rsidR="006C41B5" w:rsidRPr="00215418"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r w:rsidRPr="00215418">
              <w:rPr>
                <w:rFonts w:ascii="Aptos" w:hAnsi="Aptos"/>
                <w:sz w:val="22"/>
              </w:rPr>
              <w:t>At its 11</w:t>
            </w:r>
            <w:r w:rsidRPr="00215418">
              <w:rPr>
                <w:rFonts w:ascii="Aptos" w:hAnsi="Aptos"/>
                <w:sz w:val="22"/>
                <w:vertAlign w:val="superscript"/>
              </w:rPr>
              <w:t>th</w:t>
            </w:r>
            <w:r w:rsidRPr="00215418">
              <w:rPr>
                <w:rFonts w:ascii="Aptos" w:hAnsi="Aptos"/>
                <w:sz w:val="22"/>
              </w:rPr>
              <w:t xml:space="preserve"> meeting in September 2023, ITU’s Expert Group on ICT Household Indicators (EGH) </w:t>
            </w:r>
            <w:hyperlink r:id="rId87">
              <w:r w:rsidRPr="00215418">
                <w:rPr>
                  <w:rFonts w:ascii="Aptos" w:hAnsi="Aptos"/>
                  <w:color w:val="467886"/>
                  <w:sz w:val="22"/>
                  <w:u w:val="single"/>
                </w:rPr>
                <w:t>recommended changes</w:t>
              </w:r>
            </w:hyperlink>
            <w:r w:rsidRPr="00215418">
              <w:rPr>
                <w:rFonts w:ascii="Aptos" w:hAnsi="Aptos"/>
                <w:sz w:val="22"/>
              </w:rPr>
              <w:t xml:space="preserve"> in how data on ICT skill levels are reported – most importantly, that skill levels of individuals should be assessed for different areas. </w:t>
            </w:r>
          </w:p>
          <w:p w14:paraId="3F859865" w14:textId="77777777" w:rsidR="006C41B5" w:rsidRPr="00215418"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p>
          <w:p w14:paraId="033428EC" w14:textId="77777777" w:rsidR="006C41B5" w:rsidRPr="00215418" w:rsidRDefault="006C41B5" w:rsidP="006C41B5">
            <w:pPr>
              <w:tabs>
                <w:tab w:val="clear" w:pos="794"/>
                <w:tab w:val="clear" w:pos="1191"/>
                <w:tab w:val="clear" w:pos="1588"/>
                <w:tab w:val="clear" w:pos="1985"/>
              </w:tabs>
              <w:overflowPunct/>
              <w:autoSpaceDE/>
              <w:autoSpaceDN/>
              <w:adjustRightInd/>
              <w:spacing w:before="0"/>
              <w:ind w:left="284"/>
              <w:textAlignment w:val="auto"/>
              <w:rPr>
                <w:rFonts w:ascii="Aptos" w:hAnsi="Aptos"/>
                <w:i/>
                <w:sz w:val="22"/>
              </w:rPr>
            </w:pPr>
            <w:r w:rsidRPr="00215418">
              <w:rPr>
                <w:rFonts w:ascii="Aptos" w:hAnsi="Aptos"/>
                <w:i/>
                <w:sz w:val="22"/>
              </w:rPr>
              <w:t>Individuals should be assessed on the number of activities within a skill area they report having done in the last three months using the following progression:</w:t>
            </w:r>
          </w:p>
          <w:p w14:paraId="03128B21" w14:textId="77777777" w:rsidR="006C41B5" w:rsidRPr="00215418"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i/>
                <w:sz w:val="22"/>
              </w:rPr>
            </w:pPr>
          </w:p>
          <w:tbl>
            <w:tblPr>
              <w:tblStyle w:val="GridTable2-Accent11"/>
              <w:tblW w:w="0" w:type="auto"/>
              <w:tblInd w:w="612" w:type="dxa"/>
              <w:tblLook w:val="04A0" w:firstRow="1" w:lastRow="0" w:firstColumn="1" w:lastColumn="0" w:noHBand="0" w:noVBand="1"/>
            </w:tblPr>
            <w:tblGrid>
              <w:gridCol w:w="1587"/>
              <w:gridCol w:w="1531"/>
              <w:gridCol w:w="2268"/>
            </w:tblGrid>
            <w:tr w:rsidR="006C41B5" w:rsidRPr="00215418" w14:paraId="495BBFFE" w14:textId="77777777" w:rsidTr="006C41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7970169A" w14:textId="77777777" w:rsidR="006C41B5" w:rsidRPr="00215418" w:rsidRDefault="006C41B5" w:rsidP="006C41B5">
                  <w:pPr>
                    <w:tabs>
                      <w:tab w:val="clear" w:pos="794"/>
                      <w:tab w:val="clear" w:pos="1191"/>
                      <w:tab w:val="clear" w:pos="1588"/>
                      <w:tab w:val="clear" w:pos="1985"/>
                    </w:tabs>
                    <w:overflowPunct/>
                    <w:autoSpaceDE/>
                    <w:autoSpaceDN/>
                    <w:adjustRightInd/>
                    <w:spacing w:before="0"/>
                    <w:contextualSpacing/>
                    <w:textAlignment w:val="auto"/>
                    <w:rPr>
                      <w:rFonts w:ascii="Aptos" w:hAnsi="Aptos"/>
                      <w:sz w:val="18"/>
                      <w:szCs w:val="18"/>
                    </w:rPr>
                  </w:pPr>
                  <w:r w:rsidRPr="00215418">
                    <w:rPr>
                      <w:rFonts w:ascii="Aptos" w:hAnsi="Aptos"/>
                      <w:sz w:val="18"/>
                      <w:szCs w:val="18"/>
                    </w:rPr>
                    <w:t>None</w:t>
                  </w:r>
                </w:p>
              </w:tc>
              <w:tc>
                <w:tcPr>
                  <w:tcW w:w="1531" w:type="dxa"/>
                </w:tcPr>
                <w:p w14:paraId="5C2009D3" w14:textId="77777777" w:rsidR="006C41B5" w:rsidRPr="00215418" w:rsidRDefault="006C41B5" w:rsidP="006C41B5">
                  <w:pPr>
                    <w:tabs>
                      <w:tab w:val="clear" w:pos="794"/>
                      <w:tab w:val="clear" w:pos="1191"/>
                      <w:tab w:val="clear" w:pos="1588"/>
                      <w:tab w:val="clear" w:pos="1985"/>
                    </w:tabs>
                    <w:overflowPunct/>
                    <w:autoSpaceDE/>
                    <w:autoSpaceDN/>
                    <w:adjustRightInd/>
                    <w:spacing w:before="0"/>
                    <w:contextualSpacing/>
                    <w:textAlignment w:val="auto"/>
                    <w:cnfStyle w:val="100000000000" w:firstRow="1" w:lastRow="0" w:firstColumn="0" w:lastColumn="0" w:oddVBand="0" w:evenVBand="0" w:oddHBand="0" w:evenHBand="0" w:firstRowFirstColumn="0" w:firstRowLastColumn="0" w:lastRowFirstColumn="0" w:lastRowLastColumn="0"/>
                    <w:rPr>
                      <w:rFonts w:ascii="Aptos" w:hAnsi="Aptos"/>
                      <w:sz w:val="18"/>
                      <w:szCs w:val="18"/>
                    </w:rPr>
                  </w:pPr>
                  <w:r w:rsidRPr="00215418">
                    <w:rPr>
                      <w:rFonts w:ascii="Aptos" w:hAnsi="Aptos"/>
                      <w:sz w:val="18"/>
                      <w:szCs w:val="18"/>
                    </w:rPr>
                    <w:t>Basic</w:t>
                  </w:r>
                </w:p>
              </w:tc>
              <w:tc>
                <w:tcPr>
                  <w:tcW w:w="2268" w:type="dxa"/>
                </w:tcPr>
                <w:p w14:paraId="5425CDFA" w14:textId="77777777" w:rsidR="006C41B5" w:rsidRPr="00215418" w:rsidRDefault="006C41B5" w:rsidP="006C41B5">
                  <w:pPr>
                    <w:tabs>
                      <w:tab w:val="clear" w:pos="794"/>
                      <w:tab w:val="clear" w:pos="1191"/>
                      <w:tab w:val="clear" w:pos="1588"/>
                      <w:tab w:val="clear" w:pos="1985"/>
                    </w:tabs>
                    <w:overflowPunct/>
                    <w:autoSpaceDE/>
                    <w:autoSpaceDN/>
                    <w:adjustRightInd/>
                    <w:spacing w:before="0"/>
                    <w:contextualSpacing/>
                    <w:textAlignment w:val="auto"/>
                    <w:cnfStyle w:val="100000000000" w:firstRow="1" w:lastRow="0" w:firstColumn="0" w:lastColumn="0" w:oddVBand="0" w:evenVBand="0" w:oddHBand="0" w:evenHBand="0" w:firstRowFirstColumn="0" w:firstRowLastColumn="0" w:lastRowFirstColumn="0" w:lastRowLastColumn="0"/>
                    <w:rPr>
                      <w:rFonts w:ascii="Aptos" w:hAnsi="Aptos"/>
                      <w:sz w:val="18"/>
                      <w:szCs w:val="18"/>
                    </w:rPr>
                  </w:pPr>
                  <w:r w:rsidRPr="00215418">
                    <w:rPr>
                      <w:rFonts w:ascii="Aptos" w:hAnsi="Aptos"/>
                      <w:sz w:val="18"/>
                      <w:szCs w:val="18"/>
                    </w:rPr>
                    <w:t>Above basic</w:t>
                  </w:r>
                </w:p>
              </w:tc>
            </w:tr>
            <w:tr w:rsidR="006C41B5" w:rsidRPr="00215418" w14:paraId="7CFA6A11" w14:textId="77777777" w:rsidTr="006C4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5FE15ABF" w14:textId="77777777" w:rsidR="006C41B5" w:rsidRPr="00215418" w:rsidRDefault="006C41B5" w:rsidP="006C41B5">
                  <w:pPr>
                    <w:tabs>
                      <w:tab w:val="clear" w:pos="794"/>
                      <w:tab w:val="clear" w:pos="1191"/>
                      <w:tab w:val="clear" w:pos="1588"/>
                      <w:tab w:val="clear" w:pos="1985"/>
                    </w:tabs>
                    <w:overflowPunct/>
                    <w:autoSpaceDE/>
                    <w:autoSpaceDN/>
                    <w:adjustRightInd/>
                    <w:spacing w:before="0"/>
                    <w:contextualSpacing/>
                    <w:textAlignment w:val="auto"/>
                    <w:rPr>
                      <w:rFonts w:ascii="Aptos" w:hAnsi="Aptos"/>
                      <w:b w:val="0"/>
                      <w:bCs w:val="0"/>
                      <w:sz w:val="18"/>
                      <w:szCs w:val="18"/>
                    </w:rPr>
                  </w:pPr>
                  <w:r w:rsidRPr="00215418">
                    <w:rPr>
                      <w:rFonts w:ascii="Aptos" w:hAnsi="Aptos"/>
                      <w:b w:val="0"/>
                      <w:bCs w:val="0"/>
                      <w:sz w:val="18"/>
                      <w:szCs w:val="18"/>
                    </w:rPr>
                    <w:t>0 activities</w:t>
                  </w:r>
                </w:p>
              </w:tc>
              <w:tc>
                <w:tcPr>
                  <w:tcW w:w="1531" w:type="dxa"/>
                </w:tcPr>
                <w:p w14:paraId="63634BAB" w14:textId="77777777" w:rsidR="006C41B5" w:rsidRPr="00215418" w:rsidRDefault="006C41B5" w:rsidP="006C41B5">
                  <w:pPr>
                    <w:tabs>
                      <w:tab w:val="clear" w:pos="794"/>
                      <w:tab w:val="clear" w:pos="1191"/>
                      <w:tab w:val="clear" w:pos="1588"/>
                      <w:tab w:val="clear" w:pos="1985"/>
                    </w:tabs>
                    <w:overflowPunct/>
                    <w:autoSpaceDE/>
                    <w:autoSpaceDN/>
                    <w:adjustRightInd/>
                    <w:spacing w:before="0"/>
                    <w:contextualSpacing/>
                    <w:textAlignment w:val="auto"/>
                    <w:cnfStyle w:val="000000100000" w:firstRow="0" w:lastRow="0" w:firstColumn="0" w:lastColumn="0" w:oddVBand="0" w:evenVBand="0" w:oddHBand="1" w:evenHBand="0" w:firstRowFirstColumn="0" w:firstRowLastColumn="0" w:lastRowFirstColumn="0" w:lastRowLastColumn="0"/>
                    <w:rPr>
                      <w:rFonts w:ascii="Aptos" w:hAnsi="Aptos"/>
                      <w:sz w:val="18"/>
                      <w:szCs w:val="18"/>
                    </w:rPr>
                  </w:pPr>
                  <w:r w:rsidRPr="00215418">
                    <w:rPr>
                      <w:rFonts w:ascii="Aptos" w:hAnsi="Aptos"/>
                      <w:sz w:val="18"/>
                      <w:szCs w:val="18"/>
                    </w:rPr>
                    <w:t>1 activity</w:t>
                  </w:r>
                </w:p>
              </w:tc>
              <w:tc>
                <w:tcPr>
                  <w:tcW w:w="2268" w:type="dxa"/>
                </w:tcPr>
                <w:p w14:paraId="735AC9BE" w14:textId="77777777" w:rsidR="006C41B5" w:rsidRPr="00215418" w:rsidRDefault="006C41B5" w:rsidP="006C41B5">
                  <w:pPr>
                    <w:tabs>
                      <w:tab w:val="clear" w:pos="794"/>
                      <w:tab w:val="clear" w:pos="1191"/>
                      <w:tab w:val="clear" w:pos="1588"/>
                      <w:tab w:val="clear" w:pos="1985"/>
                    </w:tabs>
                    <w:overflowPunct/>
                    <w:autoSpaceDE/>
                    <w:autoSpaceDN/>
                    <w:adjustRightInd/>
                    <w:spacing w:before="0"/>
                    <w:contextualSpacing/>
                    <w:textAlignment w:val="auto"/>
                    <w:cnfStyle w:val="000000100000" w:firstRow="0" w:lastRow="0" w:firstColumn="0" w:lastColumn="0" w:oddVBand="0" w:evenVBand="0" w:oddHBand="1" w:evenHBand="0" w:firstRowFirstColumn="0" w:firstRowLastColumn="0" w:lastRowFirstColumn="0" w:lastRowLastColumn="0"/>
                    <w:rPr>
                      <w:rFonts w:ascii="Aptos" w:hAnsi="Aptos"/>
                      <w:sz w:val="18"/>
                      <w:szCs w:val="18"/>
                    </w:rPr>
                  </w:pPr>
                  <w:r w:rsidRPr="00215418">
                    <w:rPr>
                      <w:rFonts w:ascii="Aptos" w:hAnsi="Aptos"/>
                      <w:sz w:val="18"/>
                      <w:szCs w:val="18"/>
                    </w:rPr>
                    <w:t>More than 1 activity</w:t>
                  </w:r>
                </w:p>
              </w:tc>
            </w:tr>
          </w:tbl>
          <w:p w14:paraId="2DC40BAF" w14:textId="77777777" w:rsidR="006C41B5" w:rsidRPr="00215418" w:rsidRDefault="006C41B5" w:rsidP="006C41B5">
            <w:pPr>
              <w:tabs>
                <w:tab w:val="clear" w:pos="794"/>
                <w:tab w:val="clear" w:pos="1191"/>
                <w:tab w:val="clear" w:pos="1588"/>
                <w:tab w:val="clear" w:pos="1985"/>
              </w:tabs>
              <w:overflowPunct/>
              <w:autoSpaceDE/>
              <w:autoSpaceDN/>
              <w:adjustRightInd/>
              <w:spacing w:before="0"/>
              <w:ind w:left="1440"/>
              <w:contextualSpacing/>
              <w:textAlignment w:val="auto"/>
              <w:rPr>
                <w:rFonts w:ascii="Aptos" w:hAnsi="Aptos"/>
                <w:i/>
                <w:sz w:val="22"/>
              </w:rPr>
            </w:pPr>
          </w:p>
          <w:p w14:paraId="5500F5A4" w14:textId="77777777" w:rsidR="006C41B5" w:rsidRPr="00215418" w:rsidRDefault="006C41B5" w:rsidP="006C41B5">
            <w:pPr>
              <w:numPr>
                <w:ilvl w:val="0"/>
                <w:numId w:val="9"/>
              </w:numPr>
              <w:tabs>
                <w:tab w:val="clear" w:pos="794"/>
                <w:tab w:val="clear" w:pos="1191"/>
                <w:tab w:val="clear" w:pos="1588"/>
                <w:tab w:val="clear" w:pos="1985"/>
              </w:tabs>
              <w:overflowPunct/>
              <w:autoSpaceDE/>
              <w:autoSpaceDN/>
              <w:adjustRightInd/>
              <w:spacing w:before="0"/>
              <w:contextualSpacing/>
              <w:textAlignment w:val="auto"/>
              <w:rPr>
                <w:rFonts w:ascii="Aptos" w:hAnsi="Aptos"/>
                <w:i/>
                <w:sz w:val="22"/>
              </w:rPr>
            </w:pPr>
            <w:r w:rsidRPr="00215418">
              <w:rPr>
                <w:rFonts w:ascii="Aptos" w:hAnsi="Aptos"/>
                <w:i/>
                <w:sz w:val="22"/>
              </w:rPr>
              <w:t>Skill levels should not be assessed in skill areas where fewer than two indicators are collected.</w:t>
            </w:r>
          </w:p>
          <w:p w14:paraId="20DC6FD8" w14:textId="77777777" w:rsidR="006C41B5" w:rsidRPr="00215418" w:rsidRDefault="006C41B5" w:rsidP="006C41B5">
            <w:pPr>
              <w:numPr>
                <w:ilvl w:val="0"/>
                <w:numId w:val="9"/>
              </w:numPr>
              <w:tabs>
                <w:tab w:val="clear" w:pos="794"/>
                <w:tab w:val="clear" w:pos="1191"/>
                <w:tab w:val="clear" w:pos="1588"/>
                <w:tab w:val="clear" w:pos="1985"/>
              </w:tabs>
              <w:overflowPunct/>
              <w:autoSpaceDE/>
              <w:autoSpaceDN/>
              <w:adjustRightInd/>
              <w:spacing w:before="0"/>
              <w:contextualSpacing/>
              <w:textAlignment w:val="auto"/>
              <w:rPr>
                <w:rFonts w:ascii="Aptos" w:hAnsi="Aptos"/>
                <w:i/>
                <w:sz w:val="22"/>
              </w:rPr>
            </w:pPr>
            <w:r w:rsidRPr="00215418">
              <w:rPr>
                <w:rFonts w:ascii="Aptos" w:hAnsi="Aptos"/>
                <w:i/>
                <w:sz w:val="22"/>
              </w:rPr>
              <w:t>Indicators should be weighted equally within each skill area.</w:t>
            </w:r>
          </w:p>
          <w:p w14:paraId="43BB6E16" w14:textId="77777777" w:rsidR="006C41B5" w:rsidRPr="00215418" w:rsidRDefault="006C41B5" w:rsidP="006C41B5">
            <w:pPr>
              <w:numPr>
                <w:ilvl w:val="0"/>
                <w:numId w:val="9"/>
              </w:numPr>
              <w:tabs>
                <w:tab w:val="clear" w:pos="794"/>
                <w:tab w:val="clear" w:pos="1191"/>
                <w:tab w:val="clear" w:pos="1588"/>
                <w:tab w:val="clear" w:pos="1985"/>
              </w:tabs>
              <w:overflowPunct/>
              <w:autoSpaceDE/>
              <w:autoSpaceDN/>
              <w:adjustRightInd/>
              <w:spacing w:before="0"/>
              <w:contextualSpacing/>
              <w:textAlignment w:val="auto"/>
              <w:rPr>
                <w:rFonts w:ascii="Aptos" w:hAnsi="Aptos"/>
                <w:i/>
                <w:sz w:val="22"/>
              </w:rPr>
            </w:pPr>
            <w:r w:rsidRPr="00215418">
              <w:rPr>
                <w:rFonts w:ascii="Aptos" w:hAnsi="Aptos"/>
                <w:i/>
                <w:sz w:val="22"/>
              </w:rPr>
              <w:t>Skill areas with different numbers of components should be treated equally.</w:t>
            </w:r>
          </w:p>
          <w:p w14:paraId="087B19D0" w14:textId="77777777" w:rsidR="006C41B5" w:rsidRPr="00215418"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p>
          <w:p w14:paraId="7599EF8A" w14:textId="11618DC6" w:rsidR="006C41B5" w:rsidRPr="00215418"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r w:rsidRPr="00215418">
              <w:rPr>
                <w:rFonts w:ascii="Aptos" w:hAnsi="Aptos"/>
                <w:sz w:val="22"/>
              </w:rPr>
              <w:t xml:space="preserve">While this recommendation does not require any additional data collection, it does require that countries perform additional analysis on existing survey microdata. ITU requested data on ICT skills for the first time in its April 2024 data collection, and received data from 40 countries, </w:t>
            </w:r>
            <w:r w:rsidR="00AE3A56" w:rsidRPr="00215418">
              <w:rPr>
                <w:rFonts w:ascii="Aptos" w:hAnsi="Aptos"/>
                <w:sz w:val="22"/>
              </w:rPr>
              <w:t>i</w:t>
            </w:r>
            <w:r w:rsidR="006A37CE" w:rsidRPr="00215418">
              <w:rPr>
                <w:rFonts w:ascii="Aptos" w:hAnsi="Aptos"/>
                <w:sz w:val="22"/>
              </w:rPr>
              <w:t xml:space="preserve">ncluding </w:t>
            </w:r>
            <w:r w:rsidR="002D7744" w:rsidRPr="00215418">
              <w:rPr>
                <w:rFonts w:ascii="Aptos" w:hAnsi="Aptos"/>
                <w:sz w:val="22"/>
              </w:rPr>
              <w:t>20</w:t>
            </w:r>
            <w:r w:rsidR="006A37CE" w:rsidRPr="00215418">
              <w:rPr>
                <w:rFonts w:ascii="Aptos" w:hAnsi="Aptos"/>
                <w:sz w:val="22"/>
              </w:rPr>
              <w:t xml:space="preserve"> European countries</w:t>
            </w:r>
            <w:r w:rsidRPr="00215418">
              <w:rPr>
                <w:rFonts w:ascii="Aptos" w:hAnsi="Aptos"/>
                <w:sz w:val="22"/>
              </w:rPr>
              <w:t>. However, other countries were unable to provide data, even though in many cases data on the underlying activities had been collected. It is expected that data availability will improve as familiarity with these new recommendations increases.</w:t>
            </w:r>
          </w:p>
          <w:p w14:paraId="2D877D11" w14:textId="77777777" w:rsidR="006C41B5" w:rsidRPr="00215418"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p>
        </w:tc>
      </w:tr>
    </w:tbl>
    <w:p w14:paraId="3F37C35F" w14:textId="77777777" w:rsidR="006C41B5" w:rsidRPr="00215418"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p>
    <w:p w14:paraId="16C88072" w14:textId="386403DA" w:rsidR="00736BBB" w:rsidRPr="00215418" w:rsidRDefault="0000318F"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ICT skills data </w:t>
      </w:r>
      <w:r w:rsidR="00135F19" w:rsidRPr="00215418">
        <w:rPr>
          <w:rFonts w:ascii="Aptos" w:eastAsia="Aptos" w:hAnsi="Aptos" w:cs="Arial"/>
          <w:kern w:val="2"/>
          <w:sz w:val="22"/>
          <w:szCs w:val="22"/>
          <w14:ligatures w14:val="standardContextual"/>
        </w:rPr>
        <w:t xml:space="preserve">goes beyond </w:t>
      </w:r>
      <w:r w:rsidR="001E69F1" w:rsidRPr="00215418">
        <w:rPr>
          <w:rFonts w:ascii="Aptos" w:eastAsia="Aptos" w:hAnsi="Aptos" w:cs="Arial"/>
          <w:kern w:val="2"/>
          <w:sz w:val="22"/>
          <w:szCs w:val="22"/>
          <w14:ligatures w14:val="standardContextual"/>
        </w:rPr>
        <w:t>simple</w:t>
      </w:r>
      <w:r w:rsidR="00135F19" w:rsidRPr="00215418">
        <w:rPr>
          <w:rFonts w:ascii="Aptos" w:eastAsia="Aptos" w:hAnsi="Aptos" w:cs="Arial"/>
          <w:kern w:val="2"/>
          <w:sz w:val="22"/>
          <w:szCs w:val="22"/>
          <w14:ligatures w14:val="standardContextual"/>
        </w:rPr>
        <w:t xml:space="preserve"> </w:t>
      </w:r>
      <w:r w:rsidR="00C7634B" w:rsidRPr="00215418">
        <w:rPr>
          <w:rFonts w:ascii="Aptos" w:eastAsia="Aptos" w:hAnsi="Aptos" w:cs="Arial"/>
          <w:kern w:val="2"/>
          <w:sz w:val="22"/>
          <w:szCs w:val="22"/>
          <w14:ligatures w14:val="standardContextual"/>
        </w:rPr>
        <w:t xml:space="preserve">access </w:t>
      </w:r>
      <w:r w:rsidR="00835154" w:rsidRPr="00215418">
        <w:rPr>
          <w:rFonts w:ascii="Aptos" w:eastAsia="Aptos" w:hAnsi="Aptos" w:cs="Arial"/>
          <w:kern w:val="2"/>
          <w:sz w:val="22"/>
          <w:szCs w:val="22"/>
          <w14:ligatures w14:val="standardContextual"/>
        </w:rPr>
        <w:t>and</w:t>
      </w:r>
      <w:r w:rsidR="00135F19" w:rsidRPr="00215418">
        <w:rPr>
          <w:rFonts w:ascii="Aptos" w:eastAsia="Aptos" w:hAnsi="Aptos" w:cs="Arial"/>
          <w:kern w:val="2"/>
          <w:sz w:val="22"/>
          <w:szCs w:val="22"/>
          <w14:ligatures w14:val="standardContextual"/>
        </w:rPr>
        <w:t xml:space="preserve"> use </w:t>
      </w:r>
      <w:r w:rsidR="001E69F1" w:rsidRPr="00215418">
        <w:rPr>
          <w:rFonts w:ascii="Aptos" w:eastAsia="Aptos" w:hAnsi="Aptos" w:cs="Arial"/>
          <w:kern w:val="2"/>
          <w:sz w:val="22"/>
          <w:szCs w:val="22"/>
          <w14:ligatures w14:val="standardContextual"/>
        </w:rPr>
        <w:t xml:space="preserve">of ICTs </w:t>
      </w:r>
      <w:r w:rsidR="00C7634B" w:rsidRPr="00215418">
        <w:rPr>
          <w:rFonts w:ascii="Aptos" w:eastAsia="Aptos" w:hAnsi="Aptos" w:cs="Arial"/>
          <w:kern w:val="2"/>
          <w:sz w:val="22"/>
          <w:szCs w:val="22"/>
          <w14:ligatures w14:val="standardContextual"/>
        </w:rPr>
        <w:t xml:space="preserve">to </w:t>
      </w:r>
      <w:r w:rsidR="009E7F54" w:rsidRPr="00215418">
        <w:rPr>
          <w:rFonts w:ascii="Aptos" w:eastAsia="Aptos" w:hAnsi="Aptos" w:cs="Arial"/>
          <w:kern w:val="2"/>
          <w:sz w:val="22"/>
          <w:szCs w:val="22"/>
          <w14:ligatures w14:val="standardContextual"/>
        </w:rPr>
        <w:t xml:space="preserve">provide a view of </w:t>
      </w:r>
      <w:r w:rsidR="00DF1568" w:rsidRPr="00215418">
        <w:rPr>
          <w:rFonts w:ascii="Aptos" w:eastAsia="Aptos" w:hAnsi="Aptos" w:cs="Arial"/>
          <w:kern w:val="2"/>
          <w:sz w:val="22"/>
          <w:szCs w:val="22"/>
          <w14:ligatures w14:val="standardContextual"/>
        </w:rPr>
        <w:t xml:space="preserve">the capabilities of </w:t>
      </w:r>
      <w:r w:rsidR="002835F8" w:rsidRPr="00215418">
        <w:rPr>
          <w:rFonts w:ascii="Aptos" w:eastAsia="Aptos" w:hAnsi="Aptos" w:cs="Arial"/>
          <w:kern w:val="2"/>
          <w:sz w:val="22"/>
          <w:szCs w:val="22"/>
          <w14:ligatures w14:val="standardContextual"/>
        </w:rPr>
        <w:t xml:space="preserve">ICT </w:t>
      </w:r>
      <w:r w:rsidR="00C7634B" w:rsidRPr="00215418">
        <w:rPr>
          <w:rFonts w:ascii="Aptos" w:eastAsia="Aptos" w:hAnsi="Aptos" w:cs="Arial"/>
          <w:kern w:val="2"/>
          <w:sz w:val="22"/>
          <w:szCs w:val="22"/>
          <w14:ligatures w14:val="standardContextual"/>
        </w:rPr>
        <w:t>users</w:t>
      </w:r>
      <w:r w:rsidR="00C15027" w:rsidRPr="00215418">
        <w:rPr>
          <w:rFonts w:ascii="Aptos" w:eastAsia="Aptos" w:hAnsi="Aptos" w:cs="Arial"/>
          <w:kern w:val="2"/>
          <w:sz w:val="22"/>
          <w:szCs w:val="22"/>
          <w14:ligatures w14:val="standardContextual"/>
        </w:rPr>
        <w:t>.</w:t>
      </w:r>
      <w:r w:rsidR="00BE69E0" w:rsidRPr="00215418">
        <w:rPr>
          <w:rFonts w:ascii="Aptos" w:eastAsia="Aptos" w:hAnsi="Aptos" w:cs="Arial"/>
          <w:kern w:val="2"/>
          <w:sz w:val="22"/>
          <w:szCs w:val="22"/>
          <w14:ligatures w14:val="standardContextual"/>
        </w:rPr>
        <w:t xml:space="preserve"> </w:t>
      </w:r>
      <w:r w:rsidR="0035530A" w:rsidRPr="00215418">
        <w:rPr>
          <w:rFonts w:ascii="Aptos" w:eastAsia="Aptos" w:hAnsi="Aptos" w:cs="Arial"/>
          <w:kern w:val="2"/>
          <w:sz w:val="22"/>
          <w:szCs w:val="22"/>
          <w14:ligatures w14:val="standardContextual"/>
        </w:rPr>
        <w:t>Data on</w:t>
      </w:r>
      <w:r w:rsidR="00B736C8" w:rsidRPr="00215418">
        <w:rPr>
          <w:rFonts w:ascii="Aptos" w:eastAsia="Aptos" w:hAnsi="Aptos" w:cs="Arial"/>
          <w:kern w:val="2"/>
          <w:sz w:val="22"/>
          <w:szCs w:val="22"/>
          <w14:ligatures w14:val="standardContextual"/>
        </w:rPr>
        <w:t xml:space="preserve"> </w:t>
      </w:r>
      <w:r w:rsidR="00420720" w:rsidRPr="00215418">
        <w:rPr>
          <w:rFonts w:ascii="Aptos" w:eastAsia="Aptos" w:hAnsi="Aptos" w:cs="Arial"/>
          <w:kern w:val="2"/>
          <w:sz w:val="22"/>
          <w:szCs w:val="22"/>
          <w14:ligatures w14:val="standardContextual"/>
        </w:rPr>
        <w:t xml:space="preserve">individuals </w:t>
      </w:r>
      <w:r w:rsidR="007816FB" w:rsidRPr="00215418">
        <w:rPr>
          <w:rFonts w:ascii="Aptos" w:eastAsia="Aptos" w:hAnsi="Aptos" w:cs="Arial"/>
          <w:kern w:val="2"/>
          <w:sz w:val="22"/>
          <w:szCs w:val="22"/>
          <w14:ligatures w14:val="standardContextual"/>
        </w:rPr>
        <w:t xml:space="preserve">in Europe </w:t>
      </w:r>
      <w:r w:rsidR="00420720" w:rsidRPr="00215418">
        <w:rPr>
          <w:rFonts w:ascii="Aptos" w:eastAsia="Aptos" w:hAnsi="Aptos" w:cs="Arial"/>
          <w:kern w:val="2"/>
          <w:sz w:val="22"/>
          <w:szCs w:val="22"/>
          <w14:ligatures w14:val="standardContextual"/>
        </w:rPr>
        <w:t xml:space="preserve">with different levels of </w:t>
      </w:r>
      <w:r w:rsidR="0035530A" w:rsidRPr="00215418">
        <w:rPr>
          <w:rFonts w:ascii="Aptos" w:eastAsia="Aptos" w:hAnsi="Aptos" w:cs="Arial"/>
          <w:kern w:val="2"/>
          <w:sz w:val="22"/>
          <w:szCs w:val="22"/>
          <w14:ligatures w14:val="standardContextual"/>
        </w:rPr>
        <w:t>ICT skill</w:t>
      </w:r>
      <w:r w:rsidR="00420720" w:rsidRPr="00215418">
        <w:rPr>
          <w:rFonts w:ascii="Aptos" w:eastAsia="Aptos" w:hAnsi="Aptos" w:cs="Arial"/>
          <w:kern w:val="2"/>
          <w:sz w:val="22"/>
          <w:szCs w:val="22"/>
          <w14:ligatures w14:val="standardContextual"/>
        </w:rPr>
        <w:t xml:space="preserve">s are </w:t>
      </w:r>
      <w:r w:rsidR="00FF21E6" w:rsidRPr="00215418">
        <w:rPr>
          <w:rFonts w:ascii="Aptos" w:eastAsia="Aptos" w:hAnsi="Aptos" w:cs="Arial"/>
          <w:kern w:val="2"/>
          <w:sz w:val="22"/>
          <w:szCs w:val="22"/>
          <w14:ligatures w14:val="standardContextual"/>
        </w:rPr>
        <w:t xml:space="preserve">shown below as </w:t>
      </w:r>
      <w:r w:rsidR="00420720" w:rsidRPr="00215418">
        <w:rPr>
          <w:rFonts w:ascii="Aptos" w:eastAsia="Aptos" w:hAnsi="Aptos" w:cs="Arial"/>
          <w:kern w:val="2"/>
          <w:sz w:val="22"/>
          <w:szCs w:val="22"/>
          <w14:ligatures w14:val="standardContextual"/>
        </w:rPr>
        <w:t xml:space="preserve">a share of Internet users. </w:t>
      </w:r>
      <w:r w:rsidR="00C73A80" w:rsidRPr="00215418">
        <w:rPr>
          <w:rFonts w:ascii="Aptos" w:eastAsia="Aptos" w:hAnsi="Aptos" w:cs="Arial"/>
          <w:kern w:val="2"/>
          <w:sz w:val="22"/>
          <w:szCs w:val="22"/>
          <w14:ligatures w14:val="standardContextual"/>
        </w:rPr>
        <w:t>These</w:t>
      </w:r>
      <w:r w:rsidR="00CC0729" w:rsidRPr="00215418">
        <w:rPr>
          <w:rFonts w:ascii="Aptos" w:eastAsia="Aptos" w:hAnsi="Aptos" w:cs="Arial"/>
          <w:kern w:val="2"/>
          <w:sz w:val="22"/>
          <w:szCs w:val="22"/>
          <w14:ligatures w14:val="standardContextual"/>
        </w:rPr>
        <w:t xml:space="preserve"> </w:t>
      </w:r>
      <w:r w:rsidR="00A525E8" w:rsidRPr="00215418">
        <w:rPr>
          <w:rFonts w:ascii="Aptos" w:eastAsia="Aptos" w:hAnsi="Aptos" w:cs="Arial"/>
          <w:kern w:val="2"/>
          <w:sz w:val="22"/>
          <w:szCs w:val="22"/>
          <w14:ligatures w14:val="standardContextual"/>
        </w:rPr>
        <w:t>data</w:t>
      </w:r>
      <w:r w:rsidR="00C73A80" w:rsidRPr="00215418">
        <w:rPr>
          <w:rFonts w:ascii="Aptos" w:eastAsia="Aptos" w:hAnsi="Aptos" w:cs="Arial"/>
          <w:kern w:val="2"/>
          <w:sz w:val="22"/>
          <w:szCs w:val="22"/>
          <w14:ligatures w14:val="standardContextual"/>
        </w:rPr>
        <w:t xml:space="preserve"> </w:t>
      </w:r>
      <w:r w:rsidR="0067161F" w:rsidRPr="00215418">
        <w:rPr>
          <w:rFonts w:ascii="Aptos" w:eastAsia="Aptos" w:hAnsi="Aptos" w:cs="Arial"/>
          <w:kern w:val="2"/>
          <w:sz w:val="22"/>
          <w:szCs w:val="22"/>
          <w14:ligatures w14:val="standardContextual"/>
        </w:rPr>
        <w:t xml:space="preserve">demonstrate </w:t>
      </w:r>
      <w:r w:rsidR="00884180" w:rsidRPr="00215418">
        <w:rPr>
          <w:rFonts w:ascii="Aptos" w:eastAsia="Aptos" w:hAnsi="Aptos" w:cs="Arial"/>
          <w:kern w:val="2"/>
          <w:sz w:val="22"/>
          <w:szCs w:val="22"/>
          <w14:ligatures w14:val="standardContextual"/>
        </w:rPr>
        <w:t>th</w:t>
      </w:r>
      <w:r w:rsidR="00A525E8" w:rsidRPr="00215418">
        <w:rPr>
          <w:rFonts w:ascii="Aptos" w:eastAsia="Aptos" w:hAnsi="Aptos" w:cs="Arial"/>
          <w:kern w:val="2"/>
          <w:sz w:val="22"/>
          <w:szCs w:val="22"/>
          <w14:ligatures w14:val="standardContextual"/>
        </w:rPr>
        <w:t>e</w:t>
      </w:r>
      <w:r w:rsidR="00884180" w:rsidRPr="00215418">
        <w:rPr>
          <w:rFonts w:ascii="Aptos" w:eastAsia="Aptos" w:hAnsi="Aptos" w:cs="Arial"/>
          <w:kern w:val="2"/>
          <w:sz w:val="22"/>
          <w:szCs w:val="22"/>
          <w14:ligatures w14:val="standardContextual"/>
        </w:rPr>
        <w:t xml:space="preserve"> substantial variation </w:t>
      </w:r>
      <w:r w:rsidR="00DF1B23" w:rsidRPr="00215418">
        <w:rPr>
          <w:rFonts w:ascii="Aptos" w:eastAsia="Aptos" w:hAnsi="Aptos" w:cs="Arial"/>
          <w:kern w:val="2"/>
          <w:sz w:val="22"/>
          <w:szCs w:val="22"/>
          <w14:ligatures w14:val="standardContextual"/>
        </w:rPr>
        <w:t xml:space="preserve">between countries </w:t>
      </w:r>
      <w:r w:rsidR="00884180" w:rsidRPr="00215418">
        <w:rPr>
          <w:rFonts w:ascii="Aptos" w:eastAsia="Aptos" w:hAnsi="Aptos" w:cs="Arial"/>
          <w:kern w:val="2"/>
          <w:sz w:val="22"/>
          <w:szCs w:val="22"/>
          <w14:ligatures w14:val="standardContextual"/>
        </w:rPr>
        <w:t xml:space="preserve">in </w:t>
      </w:r>
      <w:r w:rsidR="0067161F" w:rsidRPr="00215418">
        <w:rPr>
          <w:rFonts w:ascii="Aptos" w:eastAsia="Aptos" w:hAnsi="Aptos" w:cs="Arial"/>
          <w:kern w:val="2"/>
          <w:sz w:val="22"/>
          <w:szCs w:val="22"/>
          <w14:ligatures w14:val="standardContextual"/>
        </w:rPr>
        <w:t xml:space="preserve">the </w:t>
      </w:r>
      <w:r w:rsidR="00884180" w:rsidRPr="00215418">
        <w:rPr>
          <w:rFonts w:ascii="Aptos" w:eastAsia="Aptos" w:hAnsi="Aptos" w:cs="Arial"/>
          <w:kern w:val="2"/>
          <w:sz w:val="22"/>
          <w:szCs w:val="22"/>
          <w14:ligatures w14:val="standardContextual"/>
        </w:rPr>
        <w:t>level</w:t>
      </w:r>
      <w:r w:rsidR="0067161F" w:rsidRPr="00215418">
        <w:rPr>
          <w:rFonts w:ascii="Aptos" w:eastAsia="Aptos" w:hAnsi="Aptos" w:cs="Arial"/>
          <w:kern w:val="2"/>
          <w:sz w:val="22"/>
          <w:szCs w:val="22"/>
          <w14:ligatures w14:val="standardContextual"/>
        </w:rPr>
        <w:t xml:space="preserve"> of </w:t>
      </w:r>
      <w:r w:rsidR="0026006E" w:rsidRPr="00215418">
        <w:rPr>
          <w:rFonts w:ascii="Aptos" w:eastAsia="Aptos" w:hAnsi="Aptos" w:cs="Arial"/>
          <w:kern w:val="2"/>
          <w:sz w:val="22"/>
          <w:szCs w:val="22"/>
          <w14:ligatures w14:val="standardContextual"/>
        </w:rPr>
        <w:t xml:space="preserve">ICT skills </w:t>
      </w:r>
      <w:r w:rsidR="00796A5A" w:rsidRPr="00215418">
        <w:rPr>
          <w:rFonts w:ascii="Aptos" w:eastAsia="Aptos" w:hAnsi="Aptos" w:cs="Arial"/>
          <w:kern w:val="2"/>
          <w:sz w:val="22"/>
          <w:szCs w:val="22"/>
          <w14:ligatures w14:val="standardContextual"/>
        </w:rPr>
        <w:t>of</w:t>
      </w:r>
      <w:r w:rsidR="00884180" w:rsidRPr="00215418">
        <w:rPr>
          <w:rFonts w:ascii="Aptos" w:eastAsia="Aptos" w:hAnsi="Aptos" w:cs="Arial"/>
          <w:kern w:val="2"/>
          <w:sz w:val="22"/>
          <w:szCs w:val="22"/>
          <w14:ligatures w14:val="standardContextual"/>
        </w:rPr>
        <w:t xml:space="preserve"> </w:t>
      </w:r>
      <w:r w:rsidR="00DF1B23" w:rsidRPr="00215418">
        <w:rPr>
          <w:rFonts w:ascii="Aptos" w:eastAsia="Aptos" w:hAnsi="Aptos" w:cs="Arial"/>
          <w:kern w:val="2"/>
          <w:sz w:val="22"/>
          <w:szCs w:val="22"/>
          <w14:ligatures w14:val="standardContextual"/>
        </w:rPr>
        <w:t xml:space="preserve">those already using the </w:t>
      </w:r>
      <w:r w:rsidR="00884180" w:rsidRPr="00215418">
        <w:rPr>
          <w:rFonts w:ascii="Aptos" w:eastAsia="Aptos" w:hAnsi="Aptos" w:cs="Arial"/>
          <w:kern w:val="2"/>
          <w:sz w:val="22"/>
          <w:szCs w:val="22"/>
          <w14:ligatures w14:val="standardContextual"/>
        </w:rPr>
        <w:t>Internet</w:t>
      </w:r>
      <w:r w:rsidR="00CC0729" w:rsidRPr="00215418">
        <w:rPr>
          <w:rFonts w:ascii="Aptos" w:eastAsia="Aptos" w:hAnsi="Aptos" w:cs="Arial"/>
          <w:kern w:val="2"/>
          <w:sz w:val="22"/>
          <w:szCs w:val="22"/>
          <w14:ligatures w14:val="standardContextual"/>
        </w:rPr>
        <w:t>.</w:t>
      </w:r>
      <w:r w:rsidR="002B5CBA" w:rsidRPr="00215418">
        <w:rPr>
          <w:rFonts w:ascii="Aptos" w:eastAsia="Aptos" w:hAnsi="Aptos" w:cs="Arial"/>
          <w:kern w:val="2"/>
          <w:sz w:val="22"/>
          <w:szCs w:val="22"/>
          <w14:ligatures w14:val="standardContextual"/>
        </w:rPr>
        <w:t xml:space="preserve"> They also show </w:t>
      </w:r>
      <w:r w:rsidR="00222749" w:rsidRPr="00215418">
        <w:rPr>
          <w:rFonts w:ascii="Aptos" w:eastAsia="Aptos" w:hAnsi="Aptos" w:cs="Arial"/>
          <w:kern w:val="2"/>
          <w:sz w:val="22"/>
          <w:szCs w:val="22"/>
          <w14:ligatures w14:val="standardContextual"/>
        </w:rPr>
        <w:t>the</w:t>
      </w:r>
      <w:r w:rsidR="001B255E" w:rsidRPr="00215418">
        <w:rPr>
          <w:rFonts w:ascii="Aptos" w:eastAsia="Aptos" w:hAnsi="Aptos" w:cs="Arial"/>
          <w:kern w:val="2"/>
          <w:sz w:val="22"/>
          <w:szCs w:val="22"/>
          <w14:ligatures w14:val="standardContextual"/>
        </w:rPr>
        <w:t xml:space="preserve"> areas </w:t>
      </w:r>
      <w:r w:rsidR="00222749" w:rsidRPr="00215418">
        <w:rPr>
          <w:rFonts w:ascii="Aptos" w:eastAsia="Aptos" w:hAnsi="Aptos" w:cs="Arial"/>
          <w:kern w:val="2"/>
          <w:sz w:val="22"/>
          <w:szCs w:val="22"/>
          <w14:ligatures w14:val="standardContextual"/>
        </w:rPr>
        <w:t xml:space="preserve">where attention is needed to </w:t>
      </w:r>
      <w:r w:rsidR="007A605A" w:rsidRPr="00215418">
        <w:rPr>
          <w:rFonts w:ascii="Aptos" w:eastAsia="Aptos" w:hAnsi="Aptos" w:cs="Arial"/>
          <w:kern w:val="2"/>
          <w:sz w:val="22"/>
          <w:szCs w:val="22"/>
          <w14:ligatures w14:val="standardContextual"/>
        </w:rPr>
        <w:t xml:space="preserve">increase </w:t>
      </w:r>
      <w:r w:rsidR="009E26B3" w:rsidRPr="00215418">
        <w:rPr>
          <w:rFonts w:ascii="Aptos" w:eastAsia="Aptos" w:hAnsi="Aptos" w:cs="Arial"/>
          <w:kern w:val="2"/>
          <w:sz w:val="22"/>
          <w:szCs w:val="22"/>
          <w14:ligatures w14:val="standardContextual"/>
        </w:rPr>
        <w:t>ICT skills.</w:t>
      </w:r>
    </w:p>
    <w:p w14:paraId="6D4CDD4C" w14:textId="77777777" w:rsidR="0060111E" w:rsidRPr="00215418" w:rsidRDefault="0060111E" w:rsidP="0060111E">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lastRenderedPageBreak/>
        <w:t>Percentage of Internet users with ICT skills in information and data literacy, 2023 or latest year available</w:t>
      </w:r>
    </w:p>
    <w:p w14:paraId="38D2AF36" w14:textId="56A1EC79" w:rsidR="0060111E" w:rsidRPr="00215418" w:rsidRDefault="00C81D24" w:rsidP="00B1004A">
      <w:pPr>
        <w:pStyle w:val="notetext"/>
      </w:pPr>
      <w:r w:rsidRPr="00215418">
        <w:rPr>
          <w:noProof/>
        </w:rPr>
        <w:drawing>
          <wp:inline distT="0" distB="0" distL="0" distR="0" wp14:anchorId="767CF558" wp14:editId="6A060E14">
            <wp:extent cx="6120765" cy="2484120"/>
            <wp:effectExtent l="0" t="0" r="0" b="0"/>
            <wp:docPr id="148124941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249410" name=""/>
                    <pic:cNvPicPr/>
                  </pic:nvPicPr>
                  <pic:blipFill>
                    <a:blip r:embed="rId88">
                      <a:extLst>
                        <a:ext uri="{96DAC541-7B7A-43D3-8B79-37D633B846F1}">
                          <asvg:svgBlip xmlns:asvg="http://schemas.microsoft.com/office/drawing/2016/SVG/main" r:embed="rId89"/>
                        </a:ext>
                      </a:extLst>
                    </a:blip>
                    <a:stretch>
                      <a:fillRect/>
                    </a:stretch>
                  </pic:blipFill>
                  <pic:spPr>
                    <a:xfrm>
                      <a:off x="0" y="0"/>
                      <a:ext cx="6120765" cy="2484120"/>
                    </a:xfrm>
                    <a:prstGeom prst="rect">
                      <a:avLst/>
                    </a:prstGeom>
                  </pic:spPr>
                </pic:pic>
              </a:graphicData>
            </a:graphic>
          </wp:inline>
        </w:drawing>
      </w:r>
      <w:r w:rsidR="0060111E" w:rsidRPr="00215418">
        <w:t>Note:</w:t>
      </w:r>
      <w:r w:rsidR="00B8706B" w:rsidRPr="00215418">
        <w:t xml:space="preserve"> </w:t>
      </w:r>
      <w:r w:rsidR="00A75651" w:rsidRPr="00215418">
        <w:t xml:space="preserve">Bulgaria, </w:t>
      </w:r>
      <w:r w:rsidR="00C07294" w:rsidRPr="00215418">
        <w:t xml:space="preserve">Georgia, Latvia, and </w:t>
      </w:r>
      <w:r w:rsidR="00162734" w:rsidRPr="00215418">
        <w:rPr>
          <w:szCs w:val="16"/>
          <w:lang w:eastAsia="en-GB"/>
        </w:rPr>
        <w:t>Türkiye</w:t>
      </w:r>
      <w:r w:rsidR="00162734" w:rsidRPr="00215418">
        <w:rPr>
          <w:i/>
          <w:iCs/>
        </w:rPr>
        <w:t xml:space="preserve"> </w:t>
      </w:r>
      <w:r w:rsidR="00BD2572" w:rsidRPr="00215418">
        <w:t xml:space="preserve">calculate skill levels using </w:t>
      </w:r>
      <w:r w:rsidR="00154673" w:rsidRPr="00215418">
        <w:t xml:space="preserve">the </w:t>
      </w:r>
      <w:hyperlink r:id="rId90" w:history="1">
        <w:r w:rsidR="00154673" w:rsidRPr="00215418">
          <w:rPr>
            <w:rStyle w:val="Hyperlink"/>
          </w:rPr>
          <w:t>methodology recommended</w:t>
        </w:r>
      </w:hyperlink>
      <w:r w:rsidR="00154673" w:rsidRPr="00215418">
        <w:t xml:space="preserve"> by the </w:t>
      </w:r>
      <w:r w:rsidR="00D44623" w:rsidRPr="00215418">
        <w:t xml:space="preserve">ITU’s Expert Group on ICT Household Indicators. All other countries calculate skill levels using </w:t>
      </w:r>
      <w:r w:rsidR="00BD2572" w:rsidRPr="00215418">
        <w:t xml:space="preserve">the Joint Research Council of the European Commission </w:t>
      </w:r>
      <w:hyperlink r:id="rId91" w:history="1">
        <w:r w:rsidR="00BD2572" w:rsidRPr="00215418">
          <w:rPr>
            <w:rStyle w:val="Hyperlink"/>
          </w:rPr>
          <w:t>Digital Skills Indicator (DSI) 2.0</w:t>
        </w:r>
      </w:hyperlink>
      <w:r w:rsidR="009F73B1" w:rsidRPr="00215418">
        <w:t>.</w:t>
      </w:r>
    </w:p>
    <w:p w14:paraId="0598752D" w14:textId="77777777" w:rsidR="0060111E" w:rsidRPr="00215418" w:rsidRDefault="0060111E" w:rsidP="00B1004A">
      <w:pPr>
        <w:pStyle w:val="Sourcetext"/>
      </w:pPr>
      <w:r w:rsidRPr="00215418">
        <w:t>Source: ITU</w:t>
      </w:r>
    </w:p>
    <w:p w14:paraId="44D3E88F" w14:textId="0367152D" w:rsidR="0060111E" w:rsidRPr="00215418" w:rsidRDefault="007F1FA4" w:rsidP="0060111E">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Skill levels for i</w:t>
      </w:r>
      <w:r w:rsidR="00BF61B3" w:rsidRPr="00215418">
        <w:rPr>
          <w:rFonts w:ascii="Aptos" w:eastAsia="Aptos" w:hAnsi="Aptos" w:cs="Arial"/>
          <w:kern w:val="2"/>
          <w:sz w:val="22"/>
          <w:szCs w:val="22"/>
          <w14:ligatures w14:val="standardContextual"/>
        </w:rPr>
        <w:t xml:space="preserve">nformation and data literacy </w:t>
      </w:r>
      <w:r w:rsidR="000E7493" w:rsidRPr="00215418">
        <w:rPr>
          <w:rFonts w:ascii="Aptos" w:eastAsia="Aptos" w:hAnsi="Aptos" w:cs="Arial"/>
          <w:kern w:val="2"/>
          <w:sz w:val="22"/>
          <w:szCs w:val="22"/>
          <w14:ligatures w14:val="standardContextual"/>
        </w:rPr>
        <w:t>–</w:t>
      </w:r>
      <w:r w:rsidRPr="00215418">
        <w:rPr>
          <w:rFonts w:ascii="Aptos" w:eastAsia="Aptos" w:hAnsi="Aptos" w:cs="Arial"/>
          <w:kern w:val="2"/>
          <w:sz w:val="22"/>
          <w:szCs w:val="22"/>
          <w14:ligatures w14:val="standardContextual"/>
        </w:rPr>
        <w:t xml:space="preserve"> </w:t>
      </w:r>
      <w:r w:rsidR="000E7493" w:rsidRPr="00215418">
        <w:rPr>
          <w:rFonts w:ascii="Aptos" w:eastAsia="Aptos" w:hAnsi="Aptos" w:cs="Arial"/>
          <w:kern w:val="2"/>
          <w:sz w:val="22"/>
          <w:szCs w:val="22"/>
          <w14:ligatures w14:val="standardContextual"/>
        </w:rPr>
        <w:t xml:space="preserve">referring to activities such as </w:t>
      </w:r>
      <w:r w:rsidR="005E6F46" w:rsidRPr="00215418">
        <w:rPr>
          <w:rFonts w:ascii="Aptos" w:eastAsia="Aptos" w:hAnsi="Aptos" w:cs="Arial"/>
          <w:kern w:val="2"/>
          <w:sz w:val="22"/>
          <w:szCs w:val="22"/>
          <w14:ligatures w14:val="standardContextual"/>
        </w:rPr>
        <w:t>reading news online or seeking health information</w:t>
      </w:r>
      <w:r w:rsidR="00CA0C4A" w:rsidRPr="00215418">
        <w:rPr>
          <w:rFonts w:ascii="Aptos" w:eastAsia="Aptos" w:hAnsi="Aptos" w:cs="Arial"/>
          <w:kern w:val="2"/>
          <w:sz w:val="22"/>
          <w:szCs w:val="22"/>
          <w14:ligatures w14:val="standardContextual"/>
        </w:rPr>
        <w:t xml:space="preserve"> </w:t>
      </w:r>
      <w:r w:rsidR="007D714E" w:rsidRPr="00215418">
        <w:rPr>
          <w:rFonts w:ascii="Aptos" w:eastAsia="Aptos" w:hAnsi="Aptos" w:cs="Arial"/>
          <w:kern w:val="2"/>
          <w:sz w:val="22"/>
          <w:szCs w:val="22"/>
          <w14:ligatures w14:val="standardContextual"/>
        </w:rPr>
        <w:t>–</w:t>
      </w:r>
      <w:r w:rsidR="00CA0C4A" w:rsidRPr="00215418">
        <w:rPr>
          <w:rFonts w:ascii="Aptos" w:eastAsia="Aptos" w:hAnsi="Aptos" w:cs="Arial"/>
          <w:kern w:val="2"/>
          <w:sz w:val="22"/>
          <w:szCs w:val="22"/>
          <w14:ligatures w14:val="standardContextual"/>
        </w:rPr>
        <w:t xml:space="preserve"> </w:t>
      </w:r>
      <w:r w:rsidR="00DF1B23" w:rsidRPr="00215418">
        <w:rPr>
          <w:rFonts w:ascii="Aptos" w:eastAsia="Aptos" w:hAnsi="Aptos" w:cs="Arial"/>
          <w:kern w:val="2"/>
          <w:sz w:val="22"/>
          <w:szCs w:val="22"/>
          <w14:ligatures w14:val="standardContextual"/>
        </w:rPr>
        <w:t xml:space="preserve">are </w:t>
      </w:r>
      <w:r w:rsidR="00CD384A" w:rsidRPr="00215418">
        <w:rPr>
          <w:rFonts w:ascii="Aptos" w:eastAsia="Aptos" w:hAnsi="Aptos" w:cs="Arial"/>
          <w:kern w:val="2"/>
          <w:sz w:val="22"/>
          <w:szCs w:val="22"/>
          <w14:ligatures w14:val="standardContextual"/>
        </w:rPr>
        <w:t xml:space="preserve">generally high in Europe. </w:t>
      </w:r>
      <w:r w:rsidR="000A237B" w:rsidRPr="00215418">
        <w:rPr>
          <w:rFonts w:ascii="Aptos" w:eastAsia="Aptos" w:hAnsi="Aptos" w:cs="Arial"/>
          <w:kern w:val="2"/>
          <w:sz w:val="22"/>
          <w:szCs w:val="22"/>
          <w14:ligatures w14:val="standardContextual"/>
        </w:rPr>
        <w:t>In</w:t>
      </w:r>
      <w:r w:rsidR="000A237B" w:rsidRPr="00215418" w:rsidDel="00CD384A">
        <w:rPr>
          <w:rFonts w:ascii="Aptos" w:eastAsia="Aptos" w:hAnsi="Aptos" w:cs="Arial"/>
          <w:kern w:val="2"/>
          <w:sz w:val="22"/>
          <w:szCs w:val="22"/>
          <w14:ligatures w14:val="standardContextual"/>
        </w:rPr>
        <w:t xml:space="preserve"> </w:t>
      </w:r>
      <w:r w:rsidR="00CD384A" w:rsidRPr="00215418">
        <w:rPr>
          <w:rFonts w:ascii="Aptos" w:eastAsia="Aptos" w:hAnsi="Aptos" w:cs="Arial"/>
          <w:kern w:val="2"/>
          <w:sz w:val="22"/>
          <w:szCs w:val="22"/>
          <w14:ligatures w14:val="standardContextual"/>
        </w:rPr>
        <w:t>this</w:t>
      </w:r>
      <w:r w:rsidR="000A237B" w:rsidRPr="00215418">
        <w:rPr>
          <w:rFonts w:ascii="Aptos" w:eastAsia="Aptos" w:hAnsi="Aptos" w:cs="Arial"/>
          <w:kern w:val="2"/>
          <w:sz w:val="22"/>
          <w:szCs w:val="22"/>
          <w14:ligatures w14:val="standardContextual"/>
        </w:rPr>
        <w:t xml:space="preserve"> area</w:t>
      </w:r>
      <w:r w:rsidR="00796822" w:rsidRPr="00215418">
        <w:rPr>
          <w:rFonts w:ascii="Aptos" w:eastAsia="Aptos" w:hAnsi="Aptos" w:cs="Arial"/>
          <w:kern w:val="2"/>
          <w:sz w:val="22"/>
          <w:szCs w:val="22"/>
          <w14:ligatures w14:val="standardContextual"/>
        </w:rPr>
        <w:t>,</w:t>
      </w:r>
      <w:r w:rsidR="00F23549" w:rsidRPr="00215418">
        <w:rPr>
          <w:rFonts w:ascii="Aptos" w:eastAsia="Aptos" w:hAnsi="Aptos" w:cs="Arial"/>
          <w:kern w:val="2"/>
          <w:sz w:val="22"/>
          <w:szCs w:val="22"/>
          <w14:ligatures w14:val="standardContextual"/>
        </w:rPr>
        <w:t xml:space="preserve"> values ranged from 74 per cent of Internet users in Georgia with at least basic skills to 98 per cent in Lithuania. </w:t>
      </w:r>
    </w:p>
    <w:p w14:paraId="3A034A78" w14:textId="4E15A94F" w:rsidR="000118D6" w:rsidRPr="00215418" w:rsidRDefault="000118D6" w:rsidP="000118D6">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t>Percentage of Internet users with ICT skills in communication and collaboration, 2023 or latest year available</w:t>
      </w:r>
    </w:p>
    <w:p w14:paraId="2B4CC1A0" w14:textId="7A6FFD72" w:rsidR="000118D6" w:rsidRPr="00215418" w:rsidRDefault="00C81D24" w:rsidP="00B1004A">
      <w:pPr>
        <w:pStyle w:val="notetext"/>
      </w:pPr>
      <w:r w:rsidRPr="00215418">
        <w:rPr>
          <w:noProof/>
        </w:rPr>
        <w:drawing>
          <wp:inline distT="0" distB="0" distL="0" distR="0" wp14:anchorId="2B92924E" wp14:editId="00F2B73A">
            <wp:extent cx="6120765" cy="2484120"/>
            <wp:effectExtent l="0" t="0" r="0" b="0"/>
            <wp:docPr id="55508725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087258" name=""/>
                    <pic:cNvPicPr/>
                  </pic:nvPicPr>
                  <pic:blipFill>
                    <a:blip r:embed="rId92">
                      <a:extLst>
                        <a:ext uri="{96DAC541-7B7A-43D3-8B79-37D633B846F1}">
                          <asvg:svgBlip xmlns:asvg="http://schemas.microsoft.com/office/drawing/2016/SVG/main" r:embed="rId93"/>
                        </a:ext>
                      </a:extLst>
                    </a:blip>
                    <a:stretch>
                      <a:fillRect/>
                    </a:stretch>
                  </pic:blipFill>
                  <pic:spPr>
                    <a:xfrm>
                      <a:off x="0" y="0"/>
                      <a:ext cx="6120765" cy="2484120"/>
                    </a:xfrm>
                    <a:prstGeom prst="rect">
                      <a:avLst/>
                    </a:prstGeom>
                  </pic:spPr>
                </pic:pic>
              </a:graphicData>
            </a:graphic>
          </wp:inline>
        </w:drawing>
      </w:r>
      <w:r w:rsidR="000118D6" w:rsidRPr="00215418">
        <w:t>Note:</w:t>
      </w:r>
      <w:r w:rsidR="00162636" w:rsidRPr="00215418">
        <w:t xml:space="preserve"> </w:t>
      </w:r>
      <w:r w:rsidR="00A75651" w:rsidRPr="00215418">
        <w:t xml:space="preserve">Bulgaria, </w:t>
      </w:r>
      <w:r w:rsidR="00614DDA" w:rsidRPr="00215418">
        <w:t xml:space="preserve">Georgia, Latvia, and </w:t>
      </w:r>
      <w:r w:rsidR="00614DDA" w:rsidRPr="00215418">
        <w:rPr>
          <w:szCs w:val="16"/>
          <w:lang w:eastAsia="en-GB"/>
        </w:rPr>
        <w:t>Türkiye</w:t>
      </w:r>
      <w:r w:rsidR="00614DDA" w:rsidRPr="00215418">
        <w:rPr>
          <w:i/>
          <w:iCs/>
        </w:rPr>
        <w:t xml:space="preserve"> </w:t>
      </w:r>
      <w:r w:rsidR="00614DDA" w:rsidRPr="00215418">
        <w:t xml:space="preserve">calculate skill levels using the </w:t>
      </w:r>
      <w:hyperlink r:id="rId94" w:history="1">
        <w:r w:rsidR="00614DDA" w:rsidRPr="00215418">
          <w:rPr>
            <w:rStyle w:val="Hyperlink"/>
          </w:rPr>
          <w:t>methodology recommended</w:t>
        </w:r>
      </w:hyperlink>
      <w:r w:rsidR="00614DDA" w:rsidRPr="00215418">
        <w:t xml:space="preserve"> by the ITU’s Expert Group on ICT Household Indicators. All other countries calculate skill levels using the Joint Research Council of the European Commission </w:t>
      </w:r>
      <w:hyperlink r:id="rId95" w:history="1">
        <w:r w:rsidR="00614DDA" w:rsidRPr="00215418">
          <w:rPr>
            <w:rStyle w:val="Hyperlink"/>
          </w:rPr>
          <w:t>Digital Skills Indicator (DSI) 2.0</w:t>
        </w:r>
      </w:hyperlink>
      <w:r w:rsidR="00614DDA" w:rsidRPr="00215418">
        <w:t>.</w:t>
      </w:r>
    </w:p>
    <w:p w14:paraId="3AACDD69" w14:textId="77777777" w:rsidR="000118D6" w:rsidRPr="00215418" w:rsidRDefault="000118D6" w:rsidP="00B1004A">
      <w:pPr>
        <w:pStyle w:val="Sourcetext"/>
      </w:pPr>
      <w:r w:rsidRPr="00215418">
        <w:t>Source: ITU</w:t>
      </w:r>
    </w:p>
    <w:p w14:paraId="14B6C729" w14:textId="38EA8327" w:rsidR="000118D6" w:rsidRPr="00215418" w:rsidRDefault="009103A6" w:rsidP="000118D6">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Communication and collaboration </w:t>
      </w:r>
      <w:r w:rsidR="00A130EC" w:rsidRPr="00215418">
        <w:rPr>
          <w:rFonts w:ascii="Aptos" w:eastAsia="Aptos" w:hAnsi="Aptos" w:cs="Arial"/>
          <w:kern w:val="2"/>
          <w:sz w:val="22"/>
          <w:szCs w:val="22"/>
          <w14:ligatures w14:val="standardContextual"/>
        </w:rPr>
        <w:t xml:space="preserve">are </w:t>
      </w:r>
      <w:r w:rsidRPr="00215418">
        <w:rPr>
          <w:rFonts w:ascii="Aptos" w:eastAsia="Aptos" w:hAnsi="Aptos" w:cs="Arial"/>
          <w:kern w:val="2"/>
          <w:sz w:val="22"/>
          <w:szCs w:val="22"/>
          <w14:ligatures w14:val="standardContextual"/>
        </w:rPr>
        <w:t>typically what most people use the Internet for</w:t>
      </w:r>
      <w:r w:rsidR="001A6FA2" w:rsidRPr="00215418">
        <w:rPr>
          <w:rFonts w:ascii="Aptos" w:eastAsia="Aptos" w:hAnsi="Aptos" w:cs="Arial"/>
          <w:kern w:val="2"/>
          <w:sz w:val="22"/>
          <w:szCs w:val="22"/>
          <w14:ligatures w14:val="standardContextual"/>
        </w:rPr>
        <w:t xml:space="preserve"> – activities in this area include </w:t>
      </w:r>
      <w:r w:rsidR="00F07F5C" w:rsidRPr="00215418">
        <w:rPr>
          <w:rFonts w:ascii="Aptos" w:eastAsia="Aptos" w:hAnsi="Aptos" w:cs="Arial"/>
          <w:kern w:val="2"/>
          <w:sz w:val="22"/>
          <w:szCs w:val="22"/>
          <w14:ligatures w14:val="standardContextual"/>
        </w:rPr>
        <w:t>essential</w:t>
      </w:r>
      <w:r w:rsidR="008E1C64" w:rsidRPr="00215418">
        <w:rPr>
          <w:rFonts w:ascii="Aptos" w:eastAsia="Aptos" w:hAnsi="Aptos" w:cs="Arial"/>
          <w:kern w:val="2"/>
          <w:sz w:val="22"/>
          <w:szCs w:val="22"/>
          <w14:ligatures w14:val="standardContextual"/>
        </w:rPr>
        <w:t>s</w:t>
      </w:r>
      <w:r w:rsidR="00F07F5C" w:rsidRPr="00215418">
        <w:rPr>
          <w:rFonts w:ascii="Aptos" w:eastAsia="Aptos" w:hAnsi="Aptos" w:cs="Arial"/>
          <w:kern w:val="2"/>
          <w:sz w:val="22"/>
          <w:szCs w:val="22"/>
          <w14:ligatures w14:val="standardContextual"/>
        </w:rPr>
        <w:t xml:space="preserve"> such as </w:t>
      </w:r>
      <w:r w:rsidR="00994A64" w:rsidRPr="00215418">
        <w:rPr>
          <w:rFonts w:ascii="Aptos" w:eastAsia="Aptos" w:hAnsi="Aptos" w:cs="Arial"/>
          <w:kern w:val="2"/>
          <w:sz w:val="22"/>
          <w:szCs w:val="22"/>
          <w14:ligatures w14:val="standardContextual"/>
        </w:rPr>
        <w:t>making calls using messaging apps</w:t>
      </w:r>
      <w:r w:rsidR="00F828BA" w:rsidRPr="00215418">
        <w:rPr>
          <w:rFonts w:ascii="Aptos" w:eastAsia="Aptos" w:hAnsi="Aptos" w:cs="Arial"/>
          <w:kern w:val="2"/>
          <w:sz w:val="22"/>
          <w:szCs w:val="22"/>
          <w14:ligatures w14:val="standardContextual"/>
        </w:rPr>
        <w:t xml:space="preserve">. This </w:t>
      </w:r>
      <w:r w:rsidR="00E94016" w:rsidRPr="00215418">
        <w:rPr>
          <w:rFonts w:ascii="Aptos" w:eastAsia="Aptos" w:hAnsi="Aptos" w:cs="Arial"/>
          <w:kern w:val="2"/>
          <w:sz w:val="22"/>
          <w:szCs w:val="22"/>
          <w14:ligatures w14:val="standardContextual"/>
        </w:rPr>
        <w:t>is confirmed by the data for this skill area</w:t>
      </w:r>
      <w:r w:rsidR="002443A3" w:rsidRPr="00215418">
        <w:rPr>
          <w:rFonts w:ascii="Aptos" w:eastAsia="Aptos" w:hAnsi="Aptos" w:cs="Arial"/>
          <w:kern w:val="2"/>
          <w:sz w:val="22"/>
          <w:szCs w:val="22"/>
          <w14:ligatures w14:val="standardContextual"/>
        </w:rPr>
        <w:t>.</w:t>
      </w:r>
      <w:r w:rsidR="00B64EF9" w:rsidRPr="00215418">
        <w:rPr>
          <w:rFonts w:ascii="Aptos" w:eastAsia="Aptos" w:hAnsi="Aptos" w:cs="Arial"/>
          <w:kern w:val="2"/>
          <w:sz w:val="22"/>
          <w:szCs w:val="22"/>
          <w14:ligatures w14:val="standardContextual"/>
        </w:rPr>
        <w:t xml:space="preserve"> </w:t>
      </w:r>
      <w:r w:rsidR="002443A3" w:rsidRPr="00215418">
        <w:rPr>
          <w:rFonts w:ascii="Aptos" w:eastAsia="Aptos" w:hAnsi="Aptos" w:cs="Arial"/>
          <w:kern w:val="2"/>
          <w:sz w:val="22"/>
          <w:szCs w:val="22"/>
          <w14:ligatures w14:val="standardContextual"/>
        </w:rPr>
        <w:t>B</w:t>
      </w:r>
      <w:r w:rsidR="00B64EF9" w:rsidRPr="00215418">
        <w:rPr>
          <w:rFonts w:ascii="Aptos" w:eastAsia="Aptos" w:hAnsi="Aptos" w:cs="Arial"/>
          <w:kern w:val="2"/>
          <w:sz w:val="22"/>
          <w:szCs w:val="22"/>
          <w14:ligatures w14:val="standardContextual"/>
        </w:rPr>
        <w:t xml:space="preserve">etween </w:t>
      </w:r>
      <w:r w:rsidR="00140FDB" w:rsidRPr="00215418">
        <w:rPr>
          <w:rFonts w:ascii="Aptos" w:eastAsia="Aptos" w:hAnsi="Aptos" w:cs="Arial"/>
          <w:kern w:val="2"/>
          <w:sz w:val="22"/>
          <w:szCs w:val="22"/>
          <w14:ligatures w14:val="standardContextual"/>
        </w:rPr>
        <w:t xml:space="preserve">82 and 100 per cent </w:t>
      </w:r>
      <w:r w:rsidR="00237E37" w:rsidRPr="00215418">
        <w:rPr>
          <w:rFonts w:ascii="Aptos" w:eastAsia="Aptos" w:hAnsi="Aptos" w:cs="Arial"/>
          <w:kern w:val="2"/>
          <w:sz w:val="22"/>
          <w:szCs w:val="22"/>
          <w14:ligatures w14:val="standardContextual"/>
        </w:rPr>
        <w:t xml:space="preserve">of Internet users </w:t>
      </w:r>
      <w:r w:rsidR="002F609A" w:rsidRPr="00215418">
        <w:rPr>
          <w:rFonts w:ascii="Aptos" w:eastAsia="Aptos" w:hAnsi="Aptos" w:cs="Arial"/>
          <w:kern w:val="2"/>
          <w:sz w:val="22"/>
          <w:szCs w:val="22"/>
          <w14:ligatures w14:val="standardContextual"/>
        </w:rPr>
        <w:t xml:space="preserve">had </w:t>
      </w:r>
      <w:r w:rsidR="006B665F" w:rsidRPr="00215418">
        <w:rPr>
          <w:rFonts w:ascii="Aptos" w:eastAsia="Aptos" w:hAnsi="Aptos" w:cs="Arial"/>
          <w:kern w:val="2"/>
          <w:sz w:val="22"/>
          <w:szCs w:val="22"/>
          <w14:ligatures w14:val="standardContextual"/>
        </w:rPr>
        <w:t>at least basic skills</w:t>
      </w:r>
      <w:r w:rsidR="002F609A" w:rsidRPr="00215418">
        <w:rPr>
          <w:rFonts w:ascii="Aptos" w:eastAsia="Aptos" w:hAnsi="Aptos" w:cs="Arial"/>
          <w:kern w:val="2"/>
          <w:sz w:val="22"/>
          <w:szCs w:val="22"/>
          <w14:ligatures w14:val="standardContextual"/>
        </w:rPr>
        <w:t xml:space="preserve"> </w:t>
      </w:r>
      <w:r w:rsidR="00671314" w:rsidRPr="00215418">
        <w:rPr>
          <w:rFonts w:ascii="Aptos" w:eastAsia="Aptos" w:hAnsi="Aptos" w:cs="Arial"/>
          <w:kern w:val="2"/>
          <w:sz w:val="22"/>
          <w:szCs w:val="22"/>
          <w14:ligatures w14:val="standardContextual"/>
        </w:rPr>
        <w:t>in the countries for which there are data.</w:t>
      </w:r>
    </w:p>
    <w:p w14:paraId="18476E9C" w14:textId="08470644" w:rsidR="000118D6" w:rsidRPr="00215418" w:rsidRDefault="000118D6" w:rsidP="000118D6">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lastRenderedPageBreak/>
        <w:t xml:space="preserve">Percentage of Internet users with ICT skills in digital content creation, 2023 </w:t>
      </w:r>
    </w:p>
    <w:p w14:paraId="076B0D13" w14:textId="6E661780" w:rsidR="000118D6" w:rsidRPr="00215418" w:rsidRDefault="004412A3" w:rsidP="00B1004A">
      <w:pPr>
        <w:pStyle w:val="notetext"/>
      </w:pPr>
      <w:r w:rsidRPr="00215418">
        <w:rPr>
          <w:noProof/>
        </w:rPr>
        <w:drawing>
          <wp:inline distT="0" distB="0" distL="0" distR="0" wp14:anchorId="09C5F421" wp14:editId="6631AC64">
            <wp:extent cx="6120765" cy="2484120"/>
            <wp:effectExtent l="0" t="0" r="0" b="0"/>
            <wp:docPr id="3020070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007099" name=""/>
                    <pic:cNvPicPr/>
                  </pic:nvPicPr>
                  <pic:blipFill>
                    <a:blip r:embed="rId96">
                      <a:extLst>
                        <a:ext uri="{96DAC541-7B7A-43D3-8B79-37D633B846F1}">
                          <asvg:svgBlip xmlns:asvg="http://schemas.microsoft.com/office/drawing/2016/SVG/main" r:embed="rId97"/>
                        </a:ext>
                      </a:extLst>
                    </a:blip>
                    <a:stretch>
                      <a:fillRect/>
                    </a:stretch>
                  </pic:blipFill>
                  <pic:spPr>
                    <a:xfrm>
                      <a:off x="0" y="0"/>
                      <a:ext cx="6120765" cy="2484120"/>
                    </a:xfrm>
                    <a:prstGeom prst="rect">
                      <a:avLst/>
                    </a:prstGeom>
                  </pic:spPr>
                </pic:pic>
              </a:graphicData>
            </a:graphic>
          </wp:inline>
        </w:drawing>
      </w:r>
      <w:r w:rsidR="000118D6" w:rsidRPr="00215418">
        <w:t>Note:</w:t>
      </w:r>
      <w:r w:rsidR="009F73B1" w:rsidRPr="00215418">
        <w:t xml:space="preserve"> </w:t>
      </w:r>
      <w:r w:rsidR="00A20868" w:rsidRPr="00215418">
        <w:t xml:space="preserve">Bulgaria, </w:t>
      </w:r>
      <w:r w:rsidR="00614DDA" w:rsidRPr="00215418">
        <w:t>Georgia, and Latvia</w:t>
      </w:r>
      <w:r w:rsidR="00614DDA" w:rsidRPr="00215418">
        <w:rPr>
          <w:i/>
          <w:iCs/>
        </w:rPr>
        <w:t xml:space="preserve"> </w:t>
      </w:r>
      <w:r w:rsidR="00614DDA" w:rsidRPr="00215418">
        <w:t xml:space="preserve">calculate skill levels using the </w:t>
      </w:r>
      <w:hyperlink r:id="rId98" w:history="1">
        <w:r w:rsidR="00614DDA" w:rsidRPr="00215418">
          <w:rPr>
            <w:rStyle w:val="Hyperlink"/>
          </w:rPr>
          <w:t>methodology recommended</w:t>
        </w:r>
      </w:hyperlink>
      <w:r w:rsidR="00614DDA" w:rsidRPr="00215418">
        <w:t xml:space="preserve"> by the ITU’s Expert Group on ICT Household Indicators. All other countries calculate skill levels using the Joint Research Council of the European Commission </w:t>
      </w:r>
      <w:hyperlink r:id="rId99" w:history="1">
        <w:r w:rsidR="00614DDA" w:rsidRPr="00215418">
          <w:rPr>
            <w:rStyle w:val="Hyperlink"/>
          </w:rPr>
          <w:t>Digital Skills Indicator (DSI) 2.0</w:t>
        </w:r>
      </w:hyperlink>
      <w:r w:rsidR="00614DDA" w:rsidRPr="00215418">
        <w:t>.</w:t>
      </w:r>
    </w:p>
    <w:p w14:paraId="30E1406F" w14:textId="77777777" w:rsidR="000118D6" w:rsidRPr="00215418" w:rsidRDefault="000118D6" w:rsidP="00B1004A">
      <w:pPr>
        <w:pStyle w:val="Sourcetext"/>
      </w:pPr>
      <w:r w:rsidRPr="00215418">
        <w:t>Source: ITU</w:t>
      </w:r>
    </w:p>
    <w:p w14:paraId="4C71B472" w14:textId="0EED7769" w:rsidR="000118D6" w:rsidRPr="00215418" w:rsidRDefault="00670411" w:rsidP="000118D6">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This</w:t>
      </w:r>
      <w:r w:rsidR="009A1905" w:rsidRPr="00215418">
        <w:rPr>
          <w:rFonts w:ascii="Aptos" w:eastAsia="Aptos" w:hAnsi="Aptos" w:cs="Arial"/>
          <w:kern w:val="2"/>
          <w:sz w:val="22"/>
          <w:szCs w:val="22"/>
          <w14:ligatures w14:val="standardContextual"/>
        </w:rPr>
        <w:t xml:space="preserve"> </w:t>
      </w:r>
      <w:r w:rsidRPr="00215418">
        <w:rPr>
          <w:rFonts w:ascii="Aptos" w:eastAsia="Aptos" w:hAnsi="Aptos" w:cs="Arial"/>
          <w:kern w:val="2"/>
          <w:sz w:val="22"/>
          <w:szCs w:val="22"/>
          <w14:ligatures w14:val="standardContextual"/>
        </w:rPr>
        <w:t>s</w:t>
      </w:r>
      <w:r w:rsidR="009A1905" w:rsidRPr="00215418">
        <w:rPr>
          <w:rFonts w:ascii="Aptos" w:eastAsia="Aptos" w:hAnsi="Aptos" w:cs="Arial"/>
          <w:kern w:val="2"/>
          <w:sz w:val="22"/>
          <w:szCs w:val="22"/>
          <w14:ligatures w14:val="standardContextual"/>
        </w:rPr>
        <w:t xml:space="preserve">tands in contrast with </w:t>
      </w:r>
      <w:r w:rsidR="00FD4EE6" w:rsidRPr="00215418">
        <w:rPr>
          <w:rFonts w:ascii="Aptos" w:eastAsia="Aptos" w:hAnsi="Aptos" w:cs="Arial"/>
          <w:kern w:val="2"/>
          <w:sz w:val="22"/>
          <w:szCs w:val="22"/>
          <w14:ligatures w14:val="standardContextual"/>
        </w:rPr>
        <w:t xml:space="preserve">digital content creation, for which </w:t>
      </w:r>
      <w:r w:rsidR="00F828BA" w:rsidRPr="00215418">
        <w:rPr>
          <w:rFonts w:ascii="Aptos" w:eastAsia="Aptos" w:hAnsi="Aptos" w:cs="Arial"/>
          <w:kern w:val="2"/>
          <w:sz w:val="22"/>
          <w:szCs w:val="22"/>
          <w14:ligatures w14:val="standardContextual"/>
        </w:rPr>
        <w:t>skill levels</w:t>
      </w:r>
      <w:r w:rsidR="00B32374" w:rsidRPr="00215418">
        <w:rPr>
          <w:rFonts w:ascii="Aptos" w:eastAsia="Aptos" w:hAnsi="Aptos" w:cs="Arial"/>
          <w:kern w:val="2"/>
          <w:sz w:val="22"/>
          <w:szCs w:val="22"/>
          <w14:ligatures w14:val="standardContextual"/>
        </w:rPr>
        <w:t xml:space="preserve"> were much </w:t>
      </w:r>
      <w:r w:rsidR="00F828BA" w:rsidRPr="00215418">
        <w:rPr>
          <w:rFonts w:ascii="Aptos" w:eastAsia="Aptos" w:hAnsi="Aptos" w:cs="Arial"/>
          <w:kern w:val="2"/>
          <w:sz w:val="22"/>
          <w:szCs w:val="22"/>
          <w14:ligatures w14:val="standardContextual"/>
        </w:rPr>
        <w:t>lower</w:t>
      </w:r>
      <w:r w:rsidR="003F5C50" w:rsidRPr="00215418">
        <w:rPr>
          <w:rFonts w:ascii="Aptos" w:eastAsia="Aptos" w:hAnsi="Aptos" w:cs="Arial"/>
          <w:kern w:val="2"/>
          <w:sz w:val="22"/>
          <w:szCs w:val="22"/>
          <w14:ligatures w14:val="standardContextual"/>
        </w:rPr>
        <w:t xml:space="preserve">. </w:t>
      </w:r>
      <w:r w:rsidR="006C6E02" w:rsidRPr="00215418">
        <w:rPr>
          <w:rFonts w:ascii="Aptos" w:eastAsia="Aptos" w:hAnsi="Aptos" w:cs="Arial"/>
          <w:kern w:val="2"/>
          <w:sz w:val="22"/>
          <w:szCs w:val="22"/>
          <w14:ligatures w14:val="standardContextual"/>
        </w:rPr>
        <w:t>Skill levels in d</w:t>
      </w:r>
      <w:r w:rsidR="003F5C50" w:rsidRPr="00215418">
        <w:rPr>
          <w:rFonts w:ascii="Aptos" w:eastAsia="Aptos" w:hAnsi="Aptos" w:cs="Arial"/>
          <w:kern w:val="2"/>
          <w:sz w:val="22"/>
          <w:szCs w:val="22"/>
          <w14:ligatures w14:val="standardContextual"/>
        </w:rPr>
        <w:t xml:space="preserve">igital content creation </w:t>
      </w:r>
      <w:r w:rsidR="006C6E02" w:rsidRPr="00215418">
        <w:rPr>
          <w:rFonts w:ascii="Aptos" w:eastAsia="Aptos" w:hAnsi="Aptos" w:cs="Arial"/>
          <w:kern w:val="2"/>
          <w:sz w:val="22"/>
          <w:szCs w:val="22"/>
          <w14:ligatures w14:val="standardContextual"/>
        </w:rPr>
        <w:t xml:space="preserve">– which includes activities such as </w:t>
      </w:r>
      <w:r w:rsidR="00EB6248" w:rsidRPr="00215418">
        <w:rPr>
          <w:rFonts w:ascii="Aptos" w:eastAsia="Aptos" w:hAnsi="Aptos" w:cs="Arial"/>
          <w:kern w:val="2"/>
          <w:sz w:val="22"/>
          <w:szCs w:val="22"/>
          <w14:ligatures w14:val="standardContextual"/>
        </w:rPr>
        <w:t xml:space="preserve">using </w:t>
      </w:r>
      <w:r w:rsidR="002265A3" w:rsidRPr="00215418">
        <w:rPr>
          <w:rFonts w:ascii="Aptos" w:eastAsia="Aptos" w:hAnsi="Aptos" w:cs="Arial"/>
          <w:kern w:val="2"/>
          <w:sz w:val="22"/>
          <w:szCs w:val="22"/>
          <w14:ligatures w14:val="standardContextual"/>
        </w:rPr>
        <w:t xml:space="preserve">spreadsheets or </w:t>
      </w:r>
      <w:r w:rsidR="005F5B35" w:rsidRPr="00215418">
        <w:rPr>
          <w:rFonts w:ascii="Aptos" w:eastAsia="Aptos" w:hAnsi="Aptos" w:cs="Arial"/>
          <w:kern w:val="2"/>
          <w:sz w:val="22"/>
          <w:szCs w:val="22"/>
          <w14:ligatures w14:val="standardContextual"/>
        </w:rPr>
        <w:t>copy and paste tools</w:t>
      </w:r>
      <w:r w:rsidR="00231E3E" w:rsidRPr="00215418">
        <w:rPr>
          <w:rFonts w:ascii="Aptos" w:eastAsia="Aptos" w:hAnsi="Aptos" w:cs="Arial"/>
          <w:kern w:val="2"/>
          <w:sz w:val="22"/>
          <w:szCs w:val="22"/>
          <w14:ligatures w14:val="standardContextual"/>
        </w:rPr>
        <w:t xml:space="preserve"> - </w:t>
      </w:r>
      <w:r w:rsidR="003F5C50" w:rsidRPr="00215418">
        <w:rPr>
          <w:rFonts w:ascii="Aptos" w:eastAsia="Aptos" w:hAnsi="Aptos" w:cs="Arial"/>
          <w:kern w:val="2"/>
          <w:sz w:val="22"/>
          <w:szCs w:val="22"/>
          <w14:ligatures w14:val="standardContextual"/>
        </w:rPr>
        <w:t>also</w:t>
      </w:r>
      <w:r w:rsidR="00A34875" w:rsidRPr="00215418">
        <w:rPr>
          <w:rFonts w:ascii="Aptos" w:eastAsia="Aptos" w:hAnsi="Aptos" w:cs="Arial"/>
          <w:kern w:val="2"/>
          <w:sz w:val="22"/>
          <w:szCs w:val="22"/>
          <w14:ligatures w14:val="standardContextual"/>
        </w:rPr>
        <w:t xml:space="preserve"> </w:t>
      </w:r>
      <w:r w:rsidR="009D3718" w:rsidRPr="00215418">
        <w:rPr>
          <w:rFonts w:ascii="Aptos" w:eastAsia="Aptos" w:hAnsi="Aptos" w:cs="Arial"/>
          <w:kern w:val="2"/>
          <w:sz w:val="22"/>
          <w:szCs w:val="22"/>
          <w14:ligatures w14:val="standardContextual"/>
        </w:rPr>
        <w:t>varied substantially between countries</w:t>
      </w:r>
      <w:r w:rsidR="007D410E" w:rsidRPr="00215418">
        <w:rPr>
          <w:rFonts w:ascii="Aptos" w:eastAsia="Aptos" w:hAnsi="Aptos" w:cs="Arial"/>
          <w:kern w:val="2"/>
          <w:sz w:val="22"/>
          <w:szCs w:val="22"/>
          <w14:ligatures w14:val="standardContextual"/>
        </w:rPr>
        <w:t xml:space="preserve">. The share of Internet users </w:t>
      </w:r>
      <w:r w:rsidR="00CD53EA" w:rsidRPr="00215418">
        <w:rPr>
          <w:rFonts w:ascii="Aptos" w:eastAsia="Aptos" w:hAnsi="Aptos" w:cs="Arial"/>
          <w:kern w:val="2"/>
          <w:sz w:val="22"/>
          <w:szCs w:val="22"/>
          <w14:ligatures w14:val="standardContextual"/>
        </w:rPr>
        <w:t>with at least basic skills in this area</w:t>
      </w:r>
      <w:r w:rsidR="00B32374" w:rsidRPr="00215418">
        <w:rPr>
          <w:rFonts w:ascii="Aptos" w:eastAsia="Aptos" w:hAnsi="Aptos" w:cs="Arial"/>
          <w:kern w:val="2"/>
          <w:sz w:val="22"/>
          <w:szCs w:val="22"/>
          <w14:ligatures w14:val="standardContextual"/>
        </w:rPr>
        <w:t xml:space="preserve"> rang</w:t>
      </w:r>
      <w:r w:rsidR="00CD53EA" w:rsidRPr="00215418">
        <w:rPr>
          <w:rFonts w:ascii="Aptos" w:eastAsia="Aptos" w:hAnsi="Aptos" w:cs="Arial"/>
          <w:kern w:val="2"/>
          <w:sz w:val="22"/>
          <w:szCs w:val="22"/>
          <w14:ligatures w14:val="standardContextual"/>
        </w:rPr>
        <w:t>ed</w:t>
      </w:r>
      <w:r w:rsidR="00B32374" w:rsidRPr="00215418">
        <w:rPr>
          <w:rFonts w:ascii="Aptos" w:eastAsia="Aptos" w:hAnsi="Aptos" w:cs="Arial"/>
          <w:kern w:val="2"/>
          <w:sz w:val="22"/>
          <w:szCs w:val="22"/>
          <w14:ligatures w14:val="standardContextual"/>
        </w:rPr>
        <w:t xml:space="preserve"> </w:t>
      </w:r>
      <w:r w:rsidR="00F20C55" w:rsidRPr="00215418">
        <w:rPr>
          <w:rFonts w:ascii="Aptos" w:eastAsia="Aptos" w:hAnsi="Aptos" w:cs="Arial"/>
          <w:kern w:val="2"/>
          <w:sz w:val="22"/>
          <w:szCs w:val="22"/>
          <w14:ligatures w14:val="standardContextual"/>
        </w:rPr>
        <w:t xml:space="preserve">from </w:t>
      </w:r>
      <w:r w:rsidR="006B665F" w:rsidRPr="00215418">
        <w:rPr>
          <w:rFonts w:ascii="Aptos" w:eastAsia="Aptos" w:hAnsi="Aptos" w:cs="Arial"/>
          <w:kern w:val="2"/>
          <w:sz w:val="22"/>
          <w:szCs w:val="22"/>
          <w14:ligatures w14:val="standardContextual"/>
        </w:rPr>
        <w:t xml:space="preserve">34 to 98 per cent of Internet users. </w:t>
      </w:r>
    </w:p>
    <w:p w14:paraId="3ABFFFD5" w14:textId="26548E63" w:rsidR="00097BB9" w:rsidRPr="00215418" w:rsidRDefault="00097BB9" w:rsidP="00097BB9">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t xml:space="preserve">Percentage of Internet users with ICT skills in safety, </w:t>
      </w:r>
      <w:r w:rsidR="00D6496D" w:rsidRPr="00215418">
        <w:rPr>
          <w:rFonts w:ascii="AvenirNext LT Pro Light" w:eastAsia="Yu Gothic Light" w:hAnsi="AvenirNext LT Pro Light" w:cs="Calibri"/>
          <w:color w:val="0070C0"/>
          <w:spacing w:val="-10"/>
          <w:kern w:val="28"/>
          <w:szCs w:val="24"/>
        </w:rPr>
        <w:t>2023</w:t>
      </w:r>
    </w:p>
    <w:p w14:paraId="72C65FF9" w14:textId="4F05BB79" w:rsidR="00097BB9" w:rsidRPr="00215418" w:rsidRDefault="00C21E25" w:rsidP="00B1004A">
      <w:pPr>
        <w:pStyle w:val="notetext"/>
      </w:pPr>
      <w:r w:rsidRPr="00215418">
        <w:rPr>
          <w:noProof/>
        </w:rPr>
        <w:drawing>
          <wp:inline distT="0" distB="0" distL="0" distR="0" wp14:anchorId="582E77BC" wp14:editId="0F840750">
            <wp:extent cx="6120765" cy="2484120"/>
            <wp:effectExtent l="0" t="0" r="0" b="0"/>
            <wp:docPr id="166960348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603480" name=""/>
                    <pic:cNvPicPr/>
                  </pic:nvPicPr>
                  <pic:blipFill>
                    <a:blip r:embed="rId100">
                      <a:extLst>
                        <a:ext uri="{96DAC541-7B7A-43D3-8B79-37D633B846F1}">
                          <asvg:svgBlip xmlns:asvg="http://schemas.microsoft.com/office/drawing/2016/SVG/main" r:embed="rId101"/>
                        </a:ext>
                      </a:extLst>
                    </a:blip>
                    <a:stretch>
                      <a:fillRect/>
                    </a:stretch>
                  </pic:blipFill>
                  <pic:spPr>
                    <a:xfrm>
                      <a:off x="0" y="0"/>
                      <a:ext cx="6120765" cy="2484120"/>
                    </a:xfrm>
                    <a:prstGeom prst="rect">
                      <a:avLst/>
                    </a:prstGeom>
                  </pic:spPr>
                </pic:pic>
              </a:graphicData>
            </a:graphic>
          </wp:inline>
        </w:drawing>
      </w:r>
      <w:r w:rsidR="00097BB9" w:rsidRPr="00215418">
        <w:t>Note:</w:t>
      </w:r>
      <w:r w:rsidR="00614DDA" w:rsidRPr="00215418">
        <w:t xml:space="preserve"> </w:t>
      </w:r>
      <w:r w:rsidR="00A75651" w:rsidRPr="00215418">
        <w:t>Bulgaria</w:t>
      </w:r>
      <w:r w:rsidR="00614DDA" w:rsidRPr="00215418">
        <w:rPr>
          <w:i/>
          <w:iCs/>
        </w:rPr>
        <w:t xml:space="preserve"> </w:t>
      </w:r>
      <w:r w:rsidR="00614DDA" w:rsidRPr="00215418">
        <w:t xml:space="preserve">calculates skill levels using the </w:t>
      </w:r>
      <w:hyperlink r:id="rId102" w:history="1">
        <w:r w:rsidR="00614DDA" w:rsidRPr="00215418">
          <w:rPr>
            <w:rStyle w:val="Hyperlink"/>
          </w:rPr>
          <w:t>methodology recommended</w:t>
        </w:r>
      </w:hyperlink>
      <w:r w:rsidR="00614DDA" w:rsidRPr="00215418">
        <w:t xml:space="preserve"> by the ITU’s Expert Group on ICT Household Indicators. All other countries calculate skill levels using the Joint Research Council of the European Commission </w:t>
      </w:r>
      <w:hyperlink r:id="rId103" w:history="1">
        <w:r w:rsidR="00614DDA" w:rsidRPr="00215418">
          <w:rPr>
            <w:rStyle w:val="Hyperlink"/>
          </w:rPr>
          <w:t>Digital Skills Indicator (DSI) 2.0</w:t>
        </w:r>
      </w:hyperlink>
      <w:r w:rsidR="00614DDA" w:rsidRPr="00215418">
        <w:t>.</w:t>
      </w:r>
    </w:p>
    <w:p w14:paraId="3F5CCC3E" w14:textId="77777777" w:rsidR="00097BB9" w:rsidRPr="00215418" w:rsidRDefault="00097BB9" w:rsidP="00B1004A">
      <w:pPr>
        <w:pStyle w:val="Sourcetext"/>
      </w:pPr>
      <w:r w:rsidRPr="00215418">
        <w:t>Source: ITU</w:t>
      </w:r>
    </w:p>
    <w:p w14:paraId="1D0145B5" w14:textId="07BAC014" w:rsidR="00CE0A71" w:rsidRPr="00215418" w:rsidRDefault="007142DD" w:rsidP="00CE0A71">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Safety is another essential skill for </w:t>
      </w:r>
      <w:r w:rsidR="00753C3A" w:rsidRPr="00215418">
        <w:rPr>
          <w:rFonts w:ascii="Aptos" w:eastAsia="Aptos" w:hAnsi="Aptos" w:cs="Arial"/>
          <w:kern w:val="2"/>
          <w:sz w:val="22"/>
          <w:szCs w:val="22"/>
          <w14:ligatures w14:val="standardContextual"/>
        </w:rPr>
        <w:t>ICT users</w:t>
      </w:r>
      <w:r w:rsidR="00582029" w:rsidRPr="00215418">
        <w:rPr>
          <w:rFonts w:ascii="Aptos" w:eastAsia="Aptos" w:hAnsi="Aptos" w:cs="Arial"/>
          <w:kern w:val="2"/>
          <w:sz w:val="22"/>
          <w:szCs w:val="22"/>
          <w14:ligatures w14:val="standardContextual"/>
        </w:rPr>
        <w:t xml:space="preserve"> – activities in this area include </w:t>
      </w:r>
      <w:r w:rsidR="00DB2FA0" w:rsidRPr="00215418">
        <w:rPr>
          <w:rFonts w:ascii="Aptos" w:eastAsia="Aptos" w:hAnsi="Aptos" w:cs="Arial"/>
          <w:kern w:val="2"/>
          <w:sz w:val="22"/>
          <w:szCs w:val="22"/>
          <w14:ligatures w14:val="standardContextual"/>
        </w:rPr>
        <w:t>changing privacy setting</w:t>
      </w:r>
      <w:r w:rsidR="004765C0" w:rsidRPr="00215418">
        <w:rPr>
          <w:rFonts w:ascii="Aptos" w:eastAsia="Aptos" w:hAnsi="Aptos" w:cs="Arial"/>
          <w:kern w:val="2"/>
          <w:sz w:val="22"/>
          <w:szCs w:val="22"/>
          <w14:ligatures w14:val="standardContextual"/>
        </w:rPr>
        <w:t>s</w:t>
      </w:r>
      <w:r w:rsidR="00DB2FA0" w:rsidRPr="00215418">
        <w:rPr>
          <w:rFonts w:ascii="Aptos" w:eastAsia="Aptos" w:hAnsi="Aptos" w:cs="Arial"/>
          <w:kern w:val="2"/>
          <w:sz w:val="22"/>
          <w:szCs w:val="22"/>
          <w14:ligatures w14:val="standardContextual"/>
        </w:rPr>
        <w:t xml:space="preserve"> and </w:t>
      </w:r>
      <w:r w:rsidR="004765C0" w:rsidRPr="00215418">
        <w:rPr>
          <w:rFonts w:ascii="Aptos" w:eastAsia="Aptos" w:hAnsi="Aptos" w:cs="Arial"/>
          <w:kern w:val="2"/>
          <w:sz w:val="22"/>
          <w:szCs w:val="22"/>
          <w14:ligatures w14:val="standardContextual"/>
        </w:rPr>
        <w:t xml:space="preserve">setting up security measures. </w:t>
      </w:r>
      <w:r w:rsidR="005569C6" w:rsidRPr="00215418">
        <w:rPr>
          <w:rFonts w:ascii="Aptos" w:eastAsia="Aptos" w:hAnsi="Aptos" w:cs="Arial"/>
          <w:kern w:val="2"/>
          <w:sz w:val="22"/>
          <w:szCs w:val="22"/>
          <w14:ligatures w14:val="standardContextual"/>
        </w:rPr>
        <w:t xml:space="preserve">While only eight countries </w:t>
      </w:r>
      <w:r w:rsidR="00090555" w:rsidRPr="00215418">
        <w:rPr>
          <w:rFonts w:ascii="Aptos" w:eastAsia="Aptos" w:hAnsi="Aptos" w:cs="Arial"/>
          <w:kern w:val="2"/>
          <w:sz w:val="22"/>
          <w:szCs w:val="22"/>
          <w14:ligatures w14:val="standardContextual"/>
        </w:rPr>
        <w:t>report</w:t>
      </w:r>
      <w:r w:rsidR="00342B40" w:rsidRPr="00215418">
        <w:rPr>
          <w:rFonts w:ascii="Aptos" w:eastAsia="Aptos" w:hAnsi="Aptos" w:cs="Arial"/>
          <w:kern w:val="2"/>
          <w:sz w:val="22"/>
          <w:szCs w:val="22"/>
          <w14:ligatures w14:val="standardContextual"/>
        </w:rPr>
        <w:t>ed</w:t>
      </w:r>
      <w:r w:rsidR="00090555" w:rsidRPr="00215418">
        <w:rPr>
          <w:rFonts w:ascii="Aptos" w:eastAsia="Aptos" w:hAnsi="Aptos" w:cs="Arial"/>
          <w:kern w:val="2"/>
          <w:sz w:val="22"/>
          <w:szCs w:val="22"/>
          <w14:ligatures w14:val="standardContextual"/>
        </w:rPr>
        <w:t xml:space="preserve"> </w:t>
      </w:r>
      <w:r w:rsidR="005B7BDA" w:rsidRPr="00215418">
        <w:rPr>
          <w:rFonts w:ascii="Aptos" w:eastAsia="Aptos" w:hAnsi="Aptos" w:cs="Arial"/>
          <w:kern w:val="2"/>
          <w:sz w:val="22"/>
          <w:szCs w:val="22"/>
          <w14:ligatures w14:val="standardContextual"/>
        </w:rPr>
        <w:t xml:space="preserve">data </w:t>
      </w:r>
      <w:r w:rsidR="00E832AE" w:rsidRPr="00215418">
        <w:rPr>
          <w:rFonts w:ascii="Aptos" w:eastAsia="Aptos" w:hAnsi="Aptos" w:cs="Arial"/>
          <w:kern w:val="2"/>
          <w:sz w:val="22"/>
          <w:szCs w:val="22"/>
          <w14:ligatures w14:val="standardContextual"/>
        </w:rPr>
        <w:t>on</w:t>
      </w:r>
      <w:r w:rsidR="005B7BDA" w:rsidRPr="00215418">
        <w:rPr>
          <w:rFonts w:ascii="Aptos" w:eastAsia="Aptos" w:hAnsi="Aptos" w:cs="Arial"/>
          <w:kern w:val="2"/>
          <w:sz w:val="22"/>
          <w:szCs w:val="22"/>
          <w14:ligatures w14:val="standardContextual"/>
        </w:rPr>
        <w:t xml:space="preserve"> </w:t>
      </w:r>
      <w:r w:rsidR="00CF21B0" w:rsidRPr="00215418">
        <w:rPr>
          <w:rFonts w:ascii="Aptos" w:eastAsia="Aptos" w:hAnsi="Aptos" w:cs="Arial"/>
          <w:kern w:val="2"/>
          <w:sz w:val="22"/>
          <w:szCs w:val="22"/>
          <w14:ligatures w14:val="standardContextual"/>
        </w:rPr>
        <w:t xml:space="preserve">safety skill </w:t>
      </w:r>
      <w:r w:rsidR="00947FE6" w:rsidRPr="00215418">
        <w:rPr>
          <w:rFonts w:ascii="Aptos" w:eastAsia="Aptos" w:hAnsi="Aptos" w:cs="Arial"/>
          <w:kern w:val="2"/>
          <w:sz w:val="22"/>
          <w:szCs w:val="22"/>
          <w14:ligatures w14:val="standardContextual"/>
        </w:rPr>
        <w:t>levels</w:t>
      </w:r>
      <w:r w:rsidR="00CF21B0" w:rsidRPr="00215418">
        <w:rPr>
          <w:rFonts w:ascii="Aptos" w:eastAsia="Aptos" w:hAnsi="Aptos" w:cs="Arial"/>
          <w:kern w:val="2"/>
          <w:sz w:val="22"/>
          <w:szCs w:val="22"/>
          <w14:ligatures w14:val="standardContextual"/>
        </w:rPr>
        <w:t xml:space="preserve">, </w:t>
      </w:r>
      <w:r w:rsidR="00060029" w:rsidRPr="00215418">
        <w:rPr>
          <w:rFonts w:ascii="Aptos" w:eastAsia="Aptos" w:hAnsi="Aptos" w:cs="Arial"/>
          <w:kern w:val="2"/>
          <w:sz w:val="22"/>
          <w:szCs w:val="22"/>
          <w14:ligatures w14:val="standardContextual"/>
        </w:rPr>
        <w:t>s</w:t>
      </w:r>
      <w:r w:rsidR="001924AB" w:rsidRPr="00215418">
        <w:rPr>
          <w:rFonts w:ascii="Aptos" w:eastAsia="Aptos" w:hAnsi="Aptos" w:cs="Arial"/>
          <w:kern w:val="2"/>
          <w:sz w:val="22"/>
          <w:szCs w:val="22"/>
          <w14:ligatures w14:val="standardContextual"/>
        </w:rPr>
        <w:t>hares of Internet users with at least basic safety skills ranged</w:t>
      </w:r>
      <w:r w:rsidR="00060029" w:rsidRPr="00215418">
        <w:rPr>
          <w:rFonts w:ascii="Aptos" w:eastAsia="Aptos" w:hAnsi="Aptos" w:cs="Arial"/>
          <w:kern w:val="2"/>
          <w:sz w:val="22"/>
          <w:szCs w:val="22"/>
          <w14:ligatures w14:val="standardContextual"/>
        </w:rPr>
        <w:t xml:space="preserve"> widely -</w:t>
      </w:r>
      <w:r w:rsidR="00404BAC" w:rsidRPr="00215418">
        <w:rPr>
          <w:rFonts w:ascii="Aptos" w:eastAsia="Aptos" w:hAnsi="Aptos" w:cs="Arial"/>
          <w:kern w:val="2"/>
          <w:sz w:val="22"/>
          <w:szCs w:val="22"/>
          <w14:ligatures w14:val="standardContextual"/>
        </w:rPr>
        <w:t xml:space="preserve"> </w:t>
      </w:r>
      <w:r w:rsidR="00096E66" w:rsidRPr="00215418">
        <w:rPr>
          <w:rFonts w:ascii="Aptos" w:eastAsia="Aptos" w:hAnsi="Aptos" w:cs="Arial"/>
          <w:kern w:val="2"/>
          <w:sz w:val="22"/>
          <w:szCs w:val="22"/>
          <w14:ligatures w14:val="standardContextual"/>
        </w:rPr>
        <w:t>from</w:t>
      </w:r>
      <w:r w:rsidR="00404BAC" w:rsidRPr="00215418">
        <w:rPr>
          <w:rFonts w:ascii="Aptos" w:eastAsia="Aptos" w:hAnsi="Aptos" w:cs="Arial"/>
          <w:kern w:val="2"/>
          <w:sz w:val="22"/>
          <w:szCs w:val="22"/>
          <w14:ligatures w14:val="standardContextual"/>
        </w:rPr>
        <w:t xml:space="preserve"> </w:t>
      </w:r>
      <w:r w:rsidR="00DD64C6" w:rsidRPr="00215418">
        <w:rPr>
          <w:rFonts w:ascii="Aptos" w:eastAsia="Aptos" w:hAnsi="Aptos" w:cs="Arial"/>
          <w:kern w:val="2"/>
          <w:sz w:val="22"/>
          <w:szCs w:val="22"/>
          <w14:ligatures w14:val="standardContextual"/>
        </w:rPr>
        <w:t xml:space="preserve">41 </w:t>
      </w:r>
      <w:r w:rsidR="00096E66" w:rsidRPr="00215418">
        <w:rPr>
          <w:rFonts w:ascii="Aptos" w:eastAsia="Aptos" w:hAnsi="Aptos" w:cs="Arial"/>
          <w:kern w:val="2"/>
          <w:sz w:val="22"/>
          <w:szCs w:val="22"/>
          <w14:ligatures w14:val="standardContextual"/>
        </w:rPr>
        <w:t>to</w:t>
      </w:r>
      <w:r w:rsidR="00DD64C6" w:rsidRPr="00215418">
        <w:rPr>
          <w:rFonts w:ascii="Aptos" w:eastAsia="Aptos" w:hAnsi="Aptos" w:cs="Arial"/>
          <w:kern w:val="2"/>
          <w:sz w:val="22"/>
          <w:szCs w:val="22"/>
          <w14:ligatures w14:val="standardContextual"/>
        </w:rPr>
        <w:t xml:space="preserve"> 92 per cent for the</w:t>
      </w:r>
      <w:r w:rsidR="00096E66" w:rsidRPr="00215418">
        <w:rPr>
          <w:rFonts w:ascii="Aptos" w:eastAsia="Aptos" w:hAnsi="Aptos" w:cs="Arial"/>
          <w:kern w:val="2"/>
          <w:sz w:val="22"/>
          <w:szCs w:val="22"/>
          <w14:ligatures w14:val="standardContextual"/>
        </w:rPr>
        <w:t>se</w:t>
      </w:r>
      <w:r w:rsidR="00DD64C6" w:rsidRPr="00215418">
        <w:rPr>
          <w:rFonts w:ascii="Aptos" w:eastAsia="Aptos" w:hAnsi="Aptos" w:cs="Arial"/>
          <w:kern w:val="2"/>
          <w:sz w:val="22"/>
          <w:szCs w:val="22"/>
          <w14:ligatures w14:val="standardContextual"/>
        </w:rPr>
        <w:t xml:space="preserve"> countries.</w:t>
      </w:r>
    </w:p>
    <w:p w14:paraId="2A0DB11D" w14:textId="1C7BFAD4" w:rsidR="000118D6" w:rsidRPr="00215418" w:rsidRDefault="000118D6" w:rsidP="000118D6">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lastRenderedPageBreak/>
        <w:t xml:space="preserve">Percentage of Internet users with ICT skills in </w:t>
      </w:r>
      <w:r w:rsidR="00097BB9" w:rsidRPr="00215418">
        <w:rPr>
          <w:rFonts w:ascii="AvenirNext LT Pro Light" w:eastAsia="Yu Gothic Light" w:hAnsi="AvenirNext LT Pro Light" w:cs="Calibri"/>
          <w:color w:val="0070C0"/>
          <w:spacing w:val="-10"/>
          <w:kern w:val="28"/>
          <w:szCs w:val="24"/>
        </w:rPr>
        <w:t>problem solving</w:t>
      </w:r>
      <w:r w:rsidRPr="00215418">
        <w:rPr>
          <w:rFonts w:ascii="AvenirNext LT Pro Light" w:eastAsia="Yu Gothic Light" w:hAnsi="AvenirNext LT Pro Light" w:cs="Calibri"/>
          <w:color w:val="0070C0"/>
          <w:spacing w:val="-10"/>
          <w:kern w:val="28"/>
          <w:szCs w:val="24"/>
        </w:rPr>
        <w:t>, 2023 or latest year available</w:t>
      </w:r>
    </w:p>
    <w:p w14:paraId="6A507389" w14:textId="4C2EA3A7" w:rsidR="000118D6" w:rsidRPr="00215418" w:rsidRDefault="00001B79" w:rsidP="00B1004A">
      <w:pPr>
        <w:pStyle w:val="notetext"/>
      </w:pPr>
      <w:r w:rsidRPr="00215418">
        <w:rPr>
          <w:noProof/>
        </w:rPr>
        <w:drawing>
          <wp:inline distT="0" distB="0" distL="0" distR="0" wp14:anchorId="677459BE" wp14:editId="75A3AEFA">
            <wp:extent cx="6120765" cy="2474595"/>
            <wp:effectExtent l="0" t="0" r="0" b="1905"/>
            <wp:docPr id="127694031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940311" name=""/>
                    <pic:cNvPicPr/>
                  </pic:nvPicPr>
                  <pic:blipFill>
                    <a:blip r:embed="rId104">
                      <a:extLst>
                        <a:ext uri="{96DAC541-7B7A-43D3-8B79-37D633B846F1}">
                          <asvg:svgBlip xmlns:asvg="http://schemas.microsoft.com/office/drawing/2016/SVG/main" r:embed="rId105"/>
                        </a:ext>
                      </a:extLst>
                    </a:blip>
                    <a:stretch>
                      <a:fillRect/>
                    </a:stretch>
                  </pic:blipFill>
                  <pic:spPr>
                    <a:xfrm>
                      <a:off x="0" y="0"/>
                      <a:ext cx="6120765" cy="2474595"/>
                    </a:xfrm>
                    <a:prstGeom prst="rect">
                      <a:avLst/>
                    </a:prstGeom>
                  </pic:spPr>
                </pic:pic>
              </a:graphicData>
            </a:graphic>
          </wp:inline>
        </w:drawing>
      </w:r>
      <w:r w:rsidRPr="00215418">
        <w:rPr>
          <w:highlight w:val="yellow"/>
        </w:rPr>
        <w:t xml:space="preserve"> </w:t>
      </w:r>
      <w:r w:rsidR="000118D6" w:rsidRPr="00215418">
        <w:t>Note:</w:t>
      </w:r>
      <w:r w:rsidR="00EA266C" w:rsidRPr="00215418">
        <w:t xml:space="preserve"> </w:t>
      </w:r>
      <w:r w:rsidR="001D04A7" w:rsidRPr="00215418">
        <w:t xml:space="preserve">Bulgaria, </w:t>
      </w:r>
      <w:r w:rsidR="00614DDA" w:rsidRPr="00215418">
        <w:t xml:space="preserve">Georgia, Latvia, and </w:t>
      </w:r>
      <w:r w:rsidR="00614DDA" w:rsidRPr="00215418">
        <w:rPr>
          <w:szCs w:val="16"/>
          <w:lang w:eastAsia="en-GB"/>
        </w:rPr>
        <w:t>Türkiye</w:t>
      </w:r>
      <w:r w:rsidR="00614DDA" w:rsidRPr="00215418">
        <w:rPr>
          <w:i/>
          <w:iCs/>
        </w:rPr>
        <w:t xml:space="preserve"> </w:t>
      </w:r>
      <w:r w:rsidR="00614DDA" w:rsidRPr="00215418">
        <w:t xml:space="preserve">calculate skill levels using the </w:t>
      </w:r>
      <w:hyperlink r:id="rId106" w:history="1">
        <w:r w:rsidR="00614DDA" w:rsidRPr="00215418">
          <w:rPr>
            <w:rStyle w:val="Hyperlink"/>
          </w:rPr>
          <w:t>methodology recommended</w:t>
        </w:r>
      </w:hyperlink>
      <w:r w:rsidR="00614DDA" w:rsidRPr="00215418">
        <w:t xml:space="preserve"> by the ITU’s Expert Group on ICT Household Indicators. All other countries calculate skill levels using the Joint Research Council of the European Commission </w:t>
      </w:r>
      <w:hyperlink r:id="rId107" w:history="1">
        <w:r w:rsidR="00614DDA" w:rsidRPr="00215418">
          <w:rPr>
            <w:rStyle w:val="Hyperlink"/>
          </w:rPr>
          <w:t>Digital Skills Indicator (DSI) 2.0</w:t>
        </w:r>
      </w:hyperlink>
      <w:r w:rsidR="00614DDA" w:rsidRPr="00215418">
        <w:t>.</w:t>
      </w:r>
    </w:p>
    <w:p w14:paraId="2B6D2BFB" w14:textId="77777777" w:rsidR="000118D6" w:rsidRPr="00215418" w:rsidRDefault="000118D6" w:rsidP="00B1004A">
      <w:pPr>
        <w:pStyle w:val="Sourcetext"/>
      </w:pPr>
      <w:r w:rsidRPr="00215418">
        <w:t>Source: ITU</w:t>
      </w:r>
    </w:p>
    <w:p w14:paraId="47C39312" w14:textId="47AF0E9B" w:rsidR="006C41B5" w:rsidRPr="00215418" w:rsidRDefault="00364F91"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Finally</w:t>
      </w:r>
      <w:r w:rsidR="00D71344" w:rsidRPr="00215418">
        <w:rPr>
          <w:rFonts w:ascii="Aptos" w:eastAsia="Aptos" w:hAnsi="Aptos" w:cs="Arial"/>
          <w:kern w:val="2"/>
          <w:sz w:val="22"/>
          <w:szCs w:val="22"/>
          <w14:ligatures w14:val="standardContextual"/>
        </w:rPr>
        <w:t xml:space="preserve">, </w:t>
      </w:r>
      <w:r w:rsidR="00DE58A0" w:rsidRPr="00215418">
        <w:rPr>
          <w:rFonts w:ascii="Aptos" w:eastAsia="Aptos" w:hAnsi="Aptos" w:cs="Arial"/>
          <w:kern w:val="2"/>
          <w:sz w:val="22"/>
          <w:szCs w:val="22"/>
          <w14:ligatures w14:val="standardContextual"/>
        </w:rPr>
        <w:t>for problem solving</w:t>
      </w:r>
      <w:r w:rsidR="000234C8" w:rsidRPr="00215418">
        <w:rPr>
          <w:rFonts w:ascii="Aptos" w:eastAsia="Aptos" w:hAnsi="Aptos" w:cs="Arial"/>
          <w:kern w:val="2"/>
          <w:sz w:val="22"/>
          <w:szCs w:val="22"/>
          <w14:ligatures w14:val="standardContextual"/>
        </w:rPr>
        <w:t xml:space="preserve"> </w:t>
      </w:r>
      <w:r w:rsidR="00075C45" w:rsidRPr="00215418">
        <w:rPr>
          <w:rFonts w:ascii="Aptos" w:eastAsia="Aptos" w:hAnsi="Aptos" w:cs="Arial"/>
          <w:kern w:val="2"/>
          <w:sz w:val="22"/>
          <w:szCs w:val="22"/>
          <w14:ligatures w14:val="standardContextual"/>
        </w:rPr>
        <w:t>–</w:t>
      </w:r>
      <w:r w:rsidR="000234C8" w:rsidRPr="00215418">
        <w:rPr>
          <w:rFonts w:ascii="Aptos" w:eastAsia="Aptos" w:hAnsi="Aptos" w:cs="Arial"/>
          <w:kern w:val="2"/>
          <w:sz w:val="22"/>
          <w:szCs w:val="22"/>
          <w14:ligatures w14:val="standardContextual"/>
        </w:rPr>
        <w:t xml:space="preserve"> </w:t>
      </w:r>
      <w:r w:rsidR="00156E88" w:rsidRPr="00215418">
        <w:rPr>
          <w:rFonts w:ascii="Aptos" w:eastAsia="Aptos" w:hAnsi="Aptos" w:cs="Arial"/>
          <w:kern w:val="2"/>
          <w:sz w:val="22"/>
          <w:szCs w:val="22"/>
          <w14:ligatures w14:val="standardContextual"/>
        </w:rPr>
        <w:t xml:space="preserve">an area which </w:t>
      </w:r>
      <w:r w:rsidR="00075C45" w:rsidRPr="00215418">
        <w:rPr>
          <w:rFonts w:ascii="Aptos" w:eastAsia="Aptos" w:hAnsi="Aptos" w:cs="Arial"/>
          <w:kern w:val="2"/>
          <w:sz w:val="22"/>
          <w:szCs w:val="22"/>
          <w14:ligatures w14:val="standardContextual"/>
        </w:rPr>
        <w:t>includ</w:t>
      </w:r>
      <w:r w:rsidR="00156E88" w:rsidRPr="00215418">
        <w:rPr>
          <w:rFonts w:ascii="Aptos" w:eastAsia="Aptos" w:hAnsi="Aptos" w:cs="Arial"/>
          <w:kern w:val="2"/>
          <w:sz w:val="22"/>
          <w:szCs w:val="22"/>
          <w14:ligatures w14:val="standardContextual"/>
        </w:rPr>
        <w:t>es</w:t>
      </w:r>
      <w:r w:rsidR="00075C45" w:rsidRPr="00215418">
        <w:rPr>
          <w:rFonts w:ascii="Aptos" w:eastAsia="Aptos" w:hAnsi="Aptos" w:cs="Arial"/>
          <w:kern w:val="2"/>
          <w:sz w:val="22"/>
          <w:szCs w:val="22"/>
          <w14:ligatures w14:val="standardContextual"/>
        </w:rPr>
        <w:t xml:space="preserve"> activities such as </w:t>
      </w:r>
      <w:r w:rsidR="00F41E15" w:rsidRPr="00215418">
        <w:rPr>
          <w:rFonts w:ascii="Aptos" w:eastAsia="Aptos" w:hAnsi="Aptos" w:cs="Arial"/>
          <w:kern w:val="2"/>
          <w:sz w:val="22"/>
          <w:szCs w:val="22"/>
          <w14:ligatures w14:val="standardContextual"/>
        </w:rPr>
        <w:t xml:space="preserve">installing new devices </w:t>
      </w:r>
      <w:r w:rsidR="00AD1C66" w:rsidRPr="00215418">
        <w:rPr>
          <w:rFonts w:ascii="Aptos" w:eastAsia="Aptos" w:hAnsi="Aptos" w:cs="Arial"/>
          <w:kern w:val="2"/>
          <w:sz w:val="22"/>
          <w:szCs w:val="22"/>
          <w14:ligatures w14:val="standardContextual"/>
        </w:rPr>
        <w:t>or purchasing products online</w:t>
      </w:r>
      <w:r w:rsidR="00156E88" w:rsidRPr="00215418">
        <w:rPr>
          <w:rFonts w:ascii="Aptos" w:eastAsia="Aptos" w:hAnsi="Aptos" w:cs="Arial"/>
          <w:kern w:val="2"/>
          <w:sz w:val="22"/>
          <w:szCs w:val="22"/>
          <w14:ligatures w14:val="standardContextual"/>
        </w:rPr>
        <w:t xml:space="preserve"> - </w:t>
      </w:r>
      <w:r w:rsidR="00046D33" w:rsidRPr="00215418">
        <w:rPr>
          <w:rFonts w:ascii="Aptos" w:eastAsia="Aptos" w:hAnsi="Aptos" w:cs="Arial"/>
          <w:kern w:val="2"/>
          <w:sz w:val="22"/>
          <w:szCs w:val="22"/>
          <w14:ligatures w14:val="standardContextual"/>
        </w:rPr>
        <w:t xml:space="preserve">a </w:t>
      </w:r>
      <w:r w:rsidR="005B37A8" w:rsidRPr="00215418">
        <w:rPr>
          <w:rFonts w:ascii="Aptos" w:eastAsia="Aptos" w:hAnsi="Aptos" w:cs="Arial"/>
          <w:kern w:val="2"/>
          <w:sz w:val="22"/>
          <w:szCs w:val="22"/>
          <w14:ligatures w14:val="standardContextual"/>
        </w:rPr>
        <w:t xml:space="preserve">skills </w:t>
      </w:r>
      <w:r w:rsidR="00046D33" w:rsidRPr="00215418">
        <w:rPr>
          <w:rFonts w:ascii="Aptos" w:eastAsia="Aptos" w:hAnsi="Aptos" w:cs="Arial"/>
          <w:kern w:val="2"/>
          <w:sz w:val="22"/>
          <w:szCs w:val="22"/>
          <w14:ligatures w14:val="standardContextual"/>
        </w:rPr>
        <w:t xml:space="preserve">divide is </w:t>
      </w:r>
      <w:r w:rsidR="000879BB" w:rsidRPr="00215418">
        <w:rPr>
          <w:rFonts w:ascii="Aptos" w:eastAsia="Aptos" w:hAnsi="Aptos" w:cs="Arial"/>
          <w:kern w:val="2"/>
          <w:sz w:val="22"/>
          <w:szCs w:val="22"/>
          <w14:ligatures w14:val="standardContextual"/>
        </w:rPr>
        <w:t>apparent between countries</w:t>
      </w:r>
      <w:r w:rsidR="005B37A8" w:rsidRPr="00215418">
        <w:rPr>
          <w:rFonts w:ascii="Aptos" w:eastAsia="Aptos" w:hAnsi="Aptos" w:cs="Arial"/>
          <w:kern w:val="2"/>
          <w:sz w:val="22"/>
          <w:szCs w:val="22"/>
          <w14:ligatures w14:val="standardContextual"/>
        </w:rPr>
        <w:t>.</w:t>
      </w:r>
      <w:r w:rsidR="00CC7E89" w:rsidRPr="00215418">
        <w:rPr>
          <w:rFonts w:ascii="Aptos" w:eastAsia="Aptos" w:hAnsi="Aptos" w:cs="Arial"/>
          <w:kern w:val="2"/>
          <w:sz w:val="22"/>
          <w:szCs w:val="22"/>
          <w14:ligatures w14:val="standardContextual"/>
        </w:rPr>
        <w:t xml:space="preserve"> </w:t>
      </w:r>
      <w:r w:rsidR="005B37A8" w:rsidRPr="00215418">
        <w:rPr>
          <w:rFonts w:ascii="Aptos" w:eastAsia="Aptos" w:hAnsi="Aptos" w:cs="Arial"/>
          <w:kern w:val="2"/>
          <w:sz w:val="22"/>
          <w:szCs w:val="22"/>
          <w14:ligatures w14:val="standardContextual"/>
        </w:rPr>
        <w:t>F</w:t>
      </w:r>
      <w:r w:rsidR="00184DA4" w:rsidRPr="00215418">
        <w:rPr>
          <w:rFonts w:ascii="Aptos" w:eastAsia="Aptos" w:hAnsi="Aptos" w:cs="Arial"/>
          <w:kern w:val="2"/>
          <w:sz w:val="22"/>
          <w:szCs w:val="22"/>
          <w14:ligatures w14:val="standardContextual"/>
        </w:rPr>
        <w:t>ewer than 60</w:t>
      </w:r>
      <w:r w:rsidR="00F95709" w:rsidRPr="00215418">
        <w:rPr>
          <w:rFonts w:ascii="Aptos" w:eastAsia="Aptos" w:hAnsi="Aptos" w:cs="Arial"/>
          <w:kern w:val="2"/>
          <w:sz w:val="22"/>
          <w:szCs w:val="22"/>
          <w14:ligatures w14:val="standardContextual"/>
        </w:rPr>
        <w:t xml:space="preserve"> per cent of Internet users in Romania</w:t>
      </w:r>
      <w:r w:rsidR="00C13763" w:rsidRPr="00215418">
        <w:rPr>
          <w:rFonts w:ascii="Aptos" w:eastAsia="Aptos" w:hAnsi="Aptos" w:cs="Arial"/>
          <w:kern w:val="2"/>
          <w:sz w:val="22"/>
          <w:szCs w:val="22"/>
          <w14:ligatures w14:val="standardContextual"/>
        </w:rPr>
        <w:t>, Bulgaria and Georgia</w:t>
      </w:r>
      <w:r w:rsidR="00F95709" w:rsidRPr="00215418">
        <w:rPr>
          <w:rFonts w:ascii="Aptos" w:eastAsia="Aptos" w:hAnsi="Aptos" w:cs="Arial"/>
          <w:kern w:val="2"/>
          <w:sz w:val="22"/>
          <w:szCs w:val="22"/>
          <w14:ligatures w14:val="standardContextual"/>
        </w:rPr>
        <w:t xml:space="preserve"> </w:t>
      </w:r>
      <w:r w:rsidR="00153952" w:rsidRPr="00215418">
        <w:rPr>
          <w:rFonts w:ascii="Aptos" w:eastAsia="Aptos" w:hAnsi="Aptos" w:cs="Arial"/>
          <w:kern w:val="2"/>
          <w:sz w:val="22"/>
          <w:szCs w:val="22"/>
          <w14:ligatures w14:val="standardContextual"/>
        </w:rPr>
        <w:t>have</w:t>
      </w:r>
      <w:r w:rsidR="00F95709" w:rsidRPr="00215418">
        <w:rPr>
          <w:rFonts w:ascii="Aptos" w:eastAsia="Aptos" w:hAnsi="Aptos" w:cs="Arial"/>
          <w:kern w:val="2"/>
          <w:sz w:val="22"/>
          <w:szCs w:val="22"/>
          <w14:ligatures w14:val="standardContextual"/>
        </w:rPr>
        <w:t xml:space="preserve"> at least basic </w:t>
      </w:r>
      <w:r w:rsidR="00EF7824" w:rsidRPr="00215418">
        <w:rPr>
          <w:rFonts w:ascii="Aptos" w:eastAsia="Aptos" w:hAnsi="Aptos" w:cs="Arial"/>
          <w:kern w:val="2"/>
          <w:sz w:val="22"/>
          <w:szCs w:val="22"/>
          <w14:ligatures w14:val="standardContextual"/>
        </w:rPr>
        <w:t>skills</w:t>
      </w:r>
      <w:r w:rsidR="00F95709" w:rsidRPr="00215418">
        <w:rPr>
          <w:rFonts w:ascii="Aptos" w:eastAsia="Aptos" w:hAnsi="Aptos" w:cs="Arial"/>
          <w:kern w:val="2"/>
          <w:sz w:val="22"/>
          <w:szCs w:val="22"/>
          <w14:ligatures w14:val="standardContextual"/>
        </w:rPr>
        <w:t xml:space="preserve"> in this area</w:t>
      </w:r>
      <w:r w:rsidR="00C13763" w:rsidRPr="00215418">
        <w:rPr>
          <w:rFonts w:ascii="Aptos" w:eastAsia="Aptos" w:hAnsi="Aptos" w:cs="Arial"/>
          <w:kern w:val="2"/>
          <w:sz w:val="22"/>
          <w:szCs w:val="22"/>
          <w14:ligatures w14:val="standardContextual"/>
        </w:rPr>
        <w:t xml:space="preserve"> </w:t>
      </w:r>
      <w:r w:rsidR="00677BBF" w:rsidRPr="00215418">
        <w:rPr>
          <w:rFonts w:ascii="Aptos" w:eastAsia="Aptos" w:hAnsi="Aptos" w:cs="Arial"/>
          <w:kern w:val="2"/>
          <w:sz w:val="22"/>
          <w:szCs w:val="22"/>
          <w14:ligatures w14:val="standardContextual"/>
        </w:rPr>
        <w:t>while</w:t>
      </w:r>
      <w:r w:rsidR="00C13763" w:rsidRPr="00215418">
        <w:rPr>
          <w:rFonts w:ascii="Aptos" w:eastAsia="Aptos" w:hAnsi="Aptos" w:cs="Arial"/>
          <w:kern w:val="2"/>
          <w:sz w:val="22"/>
          <w:szCs w:val="22"/>
          <w14:ligatures w14:val="standardContextual"/>
        </w:rPr>
        <w:t xml:space="preserve"> </w:t>
      </w:r>
      <w:r w:rsidR="00E97990" w:rsidRPr="00215418">
        <w:rPr>
          <w:rFonts w:ascii="Aptos" w:eastAsia="Aptos" w:hAnsi="Aptos" w:cs="Arial"/>
          <w:kern w:val="2"/>
          <w:sz w:val="22"/>
          <w:szCs w:val="22"/>
          <w14:ligatures w14:val="standardContextual"/>
        </w:rPr>
        <w:t xml:space="preserve">nearly 80 </w:t>
      </w:r>
      <w:r w:rsidR="00232DEE" w:rsidRPr="00215418">
        <w:rPr>
          <w:rFonts w:ascii="Aptos" w:eastAsia="Aptos" w:hAnsi="Aptos" w:cs="Arial"/>
          <w:kern w:val="2"/>
          <w:sz w:val="22"/>
          <w:szCs w:val="22"/>
          <w14:ligatures w14:val="standardContextual"/>
        </w:rPr>
        <w:t xml:space="preserve">per cent </w:t>
      </w:r>
      <w:r w:rsidR="00A84067" w:rsidRPr="00215418">
        <w:rPr>
          <w:rFonts w:ascii="Aptos" w:eastAsia="Aptos" w:hAnsi="Aptos" w:cs="Arial"/>
          <w:kern w:val="2"/>
          <w:sz w:val="22"/>
          <w:szCs w:val="22"/>
          <w14:ligatures w14:val="standardContextual"/>
        </w:rPr>
        <w:t>and</w:t>
      </w:r>
      <w:r w:rsidR="00232DEE" w:rsidRPr="00215418">
        <w:rPr>
          <w:rFonts w:ascii="Aptos" w:eastAsia="Aptos" w:hAnsi="Aptos" w:cs="Arial"/>
          <w:kern w:val="2"/>
          <w:sz w:val="22"/>
          <w:szCs w:val="22"/>
          <w14:ligatures w14:val="standardContextual"/>
        </w:rPr>
        <w:t xml:space="preserve"> more </w:t>
      </w:r>
      <w:r w:rsidR="00153952" w:rsidRPr="00215418">
        <w:rPr>
          <w:rFonts w:ascii="Aptos" w:eastAsia="Aptos" w:hAnsi="Aptos" w:cs="Arial"/>
          <w:kern w:val="2"/>
          <w:sz w:val="22"/>
          <w:szCs w:val="22"/>
          <w14:ligatures w14:val="standardContextual"/>
        </w:rPr>
        <w:t xml:space="preserve">have </w:t>
      </w:r>
      <w:r w:rsidR="00A84067" w:rsidRPr="00215418">
        <w:rPr>
          <w:rFonts w:ascii="Aptos" w:eastAsia="Aptos" w:hAnsi="Aptos" w:cs="Arial"/>
          <w:kern w:val="2"/>
          <w:sz w:val="22"/>
          <w:szCs w:val="22"/>
          <w14:ligatures w14:val="standardContextual"/>
        </w:rPr>
        <w:t>at least basic skills in other reporting countries</w:t>
      </w:r>
      <w:r w:rsidR="00F95709" w:rsidRPr="00215418">
        <w:rPr>
          <w:rFonts w:ascii="Aptos" w:eastAsia="Aptos" w:hAnsi="Aptos" w:cs="Arial"/>
          <w:kern w:val="2"/>
          <w:sz w:val="22"/>
          <w:szCs w:val="22"/>
          <w14:ligatures w14:val="standardContextual"/>
        </w:rPr>
        <w:t>.</w:t>
      </w:r>
    </w:p>
    <w:p w14:paraId="34EDF1BB" w14:textId="77777777" w:rsidR="006C41B5" w:rsidRPr="00215418"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br w:type="page"/>
      </w:r>
    </w:p>
    <w:p w14:paraId="275F64C2" w14:textId="77777777" w:rsidR="006C41B5" w:rsidRPr="00215418" w:rsidRDefault="006C41B5" w:rsidP="000C3666">
      <w:pPr>
        <w:pStyle w:val="Section"/>
      </w:pPr>
      <w:bookmarkStart w:id="18" w:name="_Toc188001392"/>
      <w:r w:rsidRPr="00215418">
        <w:lastRenderedPageBreak/>
        <w:t>Revenues and investment</w:t>
      </w:r>
      <w:bookmarkEnd w:id="18"/>
      <w:r w:rsidRPr="00215418">
        <w:t xml:space="preserve"> </w:t>
      </w:r>
    </w:p>
    <w:p w14:paraId="37CF7549" w14:textId="459D5499" w:rsidR="00524D65" w:rsidRPr="00215418" w:rsidRDefault="00B10E5B"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noProof/>
          <w:kern w:val="2"/>
          <w:sz w:val="22"/>
          <w:szCs w:val="22"/>
          <w14:ligatures w14:val="standardContextual"/>
        </w:rPr>
      </w:pPr>
      <w:r w:rsidRPr="00215418">
        <w:rPr>
          <w:rFonts w:ascii="Aptos" w:eastAsia="Aptos" w:hAnsi="Aptos" w:cs="Arial"/>
          <w:b/>
          <w:bCs/>
          <w:i/>
          <w:iCs/>
          <w:noProof/>
          <w:kern w:val="2"/>
          <w:sz w:val="22"/>
          <w:szCs w:val="22"/>
          <w14:ligatures w14:val="standardContextual"/>
        </w:rPr>
        <w:t>The European telecom sector is a key economic driver</w:t>
      </w:r>
    </w:p>
    <w:p w14:paraId="11A92771" w14:textId="1989A5E8" w:rsidR="006C41B5" w:rsidRPr="00215418"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noProof/>
          <w:kern w:val="2"/>
          <w:sz w:val="22"/>
          <w:szCs w:val="22"/>
          <w14:ligatures w14:val="standardContextual"/>
        </w:rPr>
      </w:pPr>
      <w:r w:rsidRPr="00215418">
        <w:rPr>
          <w:rFonts w:ascii="Aptos" w:eastAsia="Aptos" w:hAnsi="Aptos" w:cs="Arial"/>
          <w:noProof/>
          <w:kern w:val="2"/>
          <w:sz w:val="22"/>
          <w:szCs w:val="22"/>
          <w14:ligatures w14:val="standardContextual"/>
        </w:rPr>
        <w:t>The telecommunications sector is an important enabler of economic development, with both direct and indirect impacts. While it is harder to capture the indirect contribution, recent data on revenues and investment reveals both the significance of its direct contribution, but also of signficant gaps across countries.</w:t>
      </w:r>
    </w:p>
    <w:p w14:paraId="215AE009" w14:textId="21D03A7C" w:rsidR="006C41B5" w:rsidRPr="00215418" w:rsidRDefault="006C41B5" w:rsidP="006C41B5">
      <w:pP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t xml:space="preserve">Revenue from all telecommunication services, in USD </w:t>
      </w:r>
      <w:r w:rsidR="00F52337" w:rsidRPr="00215418">
        <w:rPr>
          <w:rFonts w:ascii="AvenirNext LT Pro Light" w:eastAsia="Yu Gothic Light" w:hAnsi="AvenirNext LT Pro Light" w:cs="Calibri"/>
          <w:color w:val="0070C0"/>
          <w:spacing w:val="-10"/>
          <w:kern w:val="28"/>
          <w:szCs w:val="24"/>
        </w:rPr>
        <w:t>b</w:t>
      </w:r>
      <w:r w:rsidRPr="00215418">
        <w:rPr>
          <w:rFonts w:ascii="AvenirNext LT Pro Light" w:eastAsia="Yu Gothic Light" w:hAnsi="AvenirNext LT Pro Light" w:cs="Calibri"/>
          <w:color w:val="0070C0"/>
          <w:spacing w:val="-10"/>
          <w:kern w:val="28"/>
          <w:szCs w:val="24"/>
        </w:rPr>
        <w:t xml:space="preserve">illion and as a % of GDP, </w:t>
      </w:r>
      <w:r w:rsidR="00F7068F" w:rsidRPr="00215418">
        <w:rPr>
          <w:rFonts w:ascii="AvenirNext LT Pro Light" w:eastAsia="Yu Gothic Light" w:hAnsi="AvenirNext LT Pro Light" w:cs="Calibri"/>
          <w:color w:val="0070C0"/>
          <w:spacing w:val="-10"/>
          <w:kern w:val="28"/>
          <w:szCs w:val="24"/>
        </w:rPr>
        <w:t xml:space="preserve">2023 or </w:t>
      </w:r>
      <w:r w:rsidRPr="00215418">
        <w:rPr>
          <w:rFonts w:ascii="AvenirNext LT Pro Light" w:eastAsia="Yu Gothic Light" w:hAnsi="AvenirNext LT Pro Light" w:cs="Calibri"/>
          <w:color w:val="0070C0"/>
          <w:spacing w:val="-10"/>
          <w:kern w:val="28"/>
          <w:szCs w:val="24"/>
        </w:rPr>
        <w:t>latest available year</w:t>
      </w:r>
    </w:p>
    <w:p w14:paraId="38D4CC11" w14:textId="43DA697A" w:rsidR="00816318" w:rsidRPr="00215418" w:rsidRDefault="003B40A4" w:rsidP="00B1004A">
      <w:pPr>
        <w:pStyle w:val="notetext"/>
      </w:pPr>
      <w:r w:rsidRPr="00215418">
        <w:rPr>
          <w:noProof/>
        </w:rPr>
        <w:drawing>
          <wp:inline distT="0" distB="0" distL="0" distR="0" wp14:anchorId="4314D88B" wp14:editId="471C238D">
            <wp:extent cx="6120765" cy="3801110"/>
            <wp:effectExtent l="0" t="0" r="0" b="8890"/>
            <wp:docPr id="19450283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2832" name=""/>
                    <pic:cNvPicPr/>
                  </pic:nvPicPr>
                  <pic:blipFill>
                    <a:blip r:embed="rId108">
                      <a:extLst>
                        <a:ext uri="{96DAC541-7B7A-43D3-8B79-37D633B846F1}">
                          <asvg:svgBlip xmlns:asvg="http://schemas.microsoft.com/office/drawing/2016/SVG/main" r:embed="rId109"/>
                        </a:ext>
                      </a:extLst>
                    </a:blip>
                    <a:stretch>
                      <a:fillRect/>
                    </a:stretch>
                  </pic:blipFill>
                  <pic:spPr>
                    <a:xfrm>
                      <a:off x="0" y="0"/>
                      <a:ext cx="6120765" cy="3801110"/>
                    </a:xfrm>
                    <a:prstGeom prst="rect">
                      <a:avLst/>
                    </a:prstGeom>
                  </pic:spPr>
                </pic:pic>
              </a:graphicData>
            </a:graphic>
          </wp:inline>
        </w:drawing>
      </w:r>
      <w:r w:rsidR="00816318" w:rsidRPr="00215418">
        <w:t>Note: Annual average exchange rates applied, last available year values at constant 2023 prices.</w:t>
      </w:r>
    </w:p>
    <w:p w14:paraId="566B1952" w14:textId="77777777" w:rsidR="006C41B5" w:rsidRPr="00215418" w:rsidRDefault="006C41B5" w:rsidP="00B1004A">
      <w:pPr>
        <w:pStyle w:val="Sourcetext"/>
        <w:rPr>
          <w:noProof/>
        </w:rPr>
      </w:pPr>
      <w:r w:rsidRPr="00215418">
        <w:rPr>
          <w:noProof/>
        </w:rPr>
        <w:t>Source: ITU, World Bank World Development Indicators</w:t>
      </w:r>
    </w:p>
    <w:p w14:paraId="18C2DD16" w14:textId="3A6C204E" w:rsidR="00043E74" w:rsidRPr="00215418" w:rsidRDefault="00AA1700" w:rsidP="007B4003">
      <w:pPr>
        <w:overflowPunct/>
        <w:autoSpaceDE/>
        <w:autoSpaceDN/>
        <w:adjustRightInd/>
        <w:spacing w:before="0" w:after="160" w:line="259" w:lineRule="auto"/>
        <w:textAlignment w:val="auto"/>
        <w:rPr>
          <w:rFonts w:ascii="Aptos" w:eastAsia="Aptos" w:hAnsi="Aptos" w:cs="Arial"/>
          <w:noProof/>
          <w:kern w:val="2"/>
          <w:sz w:val="22"/>
          <w:szCs w:val="22"/>
          <w14:ligatures w14:val="standardContextual"/>
        </w:rPr>
      </w:pPr>
      <w:r w:rsidRPr="00215418">
        <w:rPr>
          <w:rFonts w:ascii="Aptos" w:eastAsia="Aptos" w:hAnsi="Aptos" w:cs="Arial"/>
          <w:noProof/>
          <w:kern w:val="2"/>
          <w:sz w:val="22"/>
          <w:szCs w:val="22"/>
          <w14:ligatures w14:val="standardContextual"/>
        </w:rPr>
        <w:t>In 2023, the telecom sector in Europe generated total revenues of 290 billion USD, averaging 6.7 billion USD per country. This sector contributed an average of 1.2</w:t>
      </w:r>
      <w:r w:rsidR="007B4003" w:rsidRPr="00215418">
        <w:rPr>
          <w:rFonts w:ascii="Aptos" w:eastAsia="Aptos" w:hAnsi="Aptos" w:cs="Arial"/>
          <w:noProof/>
          <w:kern w:val="2"/>
          <w:sz w:val="22"/>
          <w:szCs w:val="22"/>
          <w14:ligatures w14:val="standardContextual"/>
        </w:rPr>
        <w:t xml:space="preserve"> per cent</w:t>
      </w:r>
      <w:r w:rsidRPr="00215418">
        <w:rPr>
          <w:rFonts w:ascii="Aptos" w:eastAsia="Aptos" w:hAnsi="Aptos" w:cs="Arial"/>
          <w:noProof/>
          <w:kern w:val="2"/>
          <w:sz w:val="22"/>
          <w:szCs w:val="22"/>
          <w14:ligatures w14:val="standardContextual"/>
        </w:rPr>
        <w:t xml:space="preserve"> to the region's GDP. The </w:t>
      </w:r>
      <w:r w:rsidR="00612B5B" w:rsidRPr="00215418">
        <w:rPr>
          <w:rFonts w:ascii="Aptos" w:eastAsia="Aptos" w:hAnsi="Aptos" w:cs="Arial"/>
          <w:noProof/>
          <w:kern w:val="2"/>
          <w:sz w:val="22"/>
          <w:szCs w:val="22"/>
          <w14:ligatures w14:val="standardContextual"/>
        </w:rPr>
        <w:t xml:space="preserve">size of the telecom market </w:t>
      </w:r>
      <w:r w:rsidRPr="00215418">
        <w:rPr>
          <w:rFonts w:ascii="Aptos" w:eastAsia="Aptos" w:hAnsi="Aptos" w:cs="Arial"/>
          <w:noProof/>
          <w:kern w:val="2"/>
          <w:sz w:val="22"/>
          <w:szCs w:val="22"/>
          <w14:ligatures w14:val="standardContextual"/>
        </w:rPr>
        <w:t>varies significantly</w:t>
      </w:r>
      <w:r w:rsidR="00612B5B" w:rsidRPr="00215418">
        <w:rPr>
          <w:rFonts w:ascii="Aptos" w:eastAsia="Aptos" w:hAnsi="Aptos" w:cs="Arial"/>
          <w:noProof/>
          <w:kern w:val="2"/>
          <w:sz w:val="22"/>
          <w:szCs w:val="22"/>
          <w14:ligatures w14:val="standardContextual"/>
        </w:rPr>
        <w:t xml:space="preserve"> across </w:t>
      </w:r>
      <w:r w:rsidRPr="00215418">
        <w:rPr>
          <w:rFonts w:ascii="Aptos" w:eastAsia="Aptos" w:hAnsi="Aptos" w:cs="Arial"/>
          <w:noProof/>
          <w:kern w:val="2"/>
          <w:sz w:val="22"/>
          <w:szCs w:val="22"/>
          <w14:ligatures w14:val="standardContextual"/>
        </w:rPr>
        <w:t xml:space="preserve">European </w:t>
      </w:r>
      <w:r w:rsidR="00612B5B" w:rsidRPr="00215418">
        <w:rPr>
          <w:rFonts w:ascii="Aptos" w:eastAsia="Aptos" w:hAnsi="Aptos" w:cs="Arial"/>
          <w:noProof/>
          <w:kern w:val="2"/>
          <w:sz w:val="22"/>
          <w:szCs w:val="22"/>
          <w14:ligatures w14:val="standardContextual"/>
        </w:rPr>
        <w:t>countries</w:t>
      </w:r>
      <w:r w:rsidRPr="00215418">
        <w:rPr>
          <w:rFonts w:ascii="Aptos" w:eastAsia="Aptos" w:hAnsi="Aptos" w:cs="Arial"/>
          <w:noProof/>
          <w:kern w:val="2"/>
          <w:sz w:val="22"/>
          <w:szCs w:val="22"/>
          <w14:ligatures w14:val="standardContextual"/>
        </w:rPr>
        <w:t>, with</w:t>
      </w:r>
      <w:r w:rsidR="00612B5B" w:rsidRPr="00215418">
        <w:rPr>
          <w:rFonts w:ascii="Aptos" w:eastAsia="Aptos" w:hAnsi="Aptos" w:cs="Arial"/>
          <w:noProof/>
          <w:kern w:val="2"/>
          <w:sz w:val="22"/>
          <w:szCs w:val="22"/>
          <w14:ligatures w14:val="standardContextual"/>
        </w:rPr>
        <w:t xml:space="preserve"> </w:t>
      </w:r>
      <w:r w:rsidR="00BE610F" w:rsidRPr="00215418">
        <w:rPr>
          <w:rFonts w:ascii="Aptos" w:eastAsia="Aptos" w:hAnsi="Aptos" w:cs="Arial"/>
          <w:noProof/>
          <w:kern w:val="2"/>
          <w:sz w:val="22"/>
          <w:szCs w:val="22"/>
          <w14:ligatures w14:val="standardContextual"/>
        </w:rPr>
        <w:t xml:space="preserve">11 countries </w:t>
      </w:r>
      <w:r w:rsidRPr="00215418">
        <w:rPr>
          <w:rFonts w:ascii="Aptos" w:eastAsia="Aptos" w:hAnsi="Aptos" w:cs="Arial"/>
          <w:noProof/>
          <w:kern w:val="2"/>
          <w:sz w:val="22"/>
          <w:szCs w:val="22"/>
          <w14:ligatures w14:val="standardContextual"/>
        </w:rPr>
        <w:t xml:space="preserve">reporting </w:t>
      </w:r>
      <w:r w:rsidR="00BE610F" w:rsidRPr="00215418">
        <w:rPr>
          <w:rFonts w:ascii="Aptos" w:eastAsia="Aptos" w:hAnsi="Aptos" w:cs="Arial"/>
          <w:noProof/>
          <w:kern w:val="2"/>
          <w:sz w:val="22"/>
          <w:szCs w:val="22"/>
          <w14:ligatures w14:val="standardContextual"/>
        </w:rPr>
        <w:t xml:space="preserve">revenues up to 500 million USD, </w:t>
      </w:r>
      <w:r w:rsidR="00BD08B9" w:rsidRPr="00215418">
        <w:rPr>
          <w:rFonts w:ascii="Aptos" w:eastAsia="Aptos" w:hAnsi="Aptos" w:cs="Arial"/>
          <w:noProof/>
          <w:kern w:val="2"/>
          <w:sz w:val="22"/>
          <w:szCs w:val="22"/>
          <w14:ligatures w14:val="standardContextual"/>
        </w:rPr>
        <w:t xml:space="preserve">while Germany, the largest market, </w:t>
      </w:r>
      <w:r w:rsidRPr="00215418">
        <w:rPr>
          <w:rFonts w:ascii="Aptos" w:eastAsia="Aptos" w:hAnsi="Aptos" w:cs="Arial"/>
          <w:noProof/>
          <w:kern w:val="2"/>
          <w:sz w:val="22"/>
          <w:szCs w:val="22"/>
          <w14:ligatures w14:val="standardContextual"/>
        </w:rPr>
        <w:t>achieved</w:t>
      </w:r>
      <w:r w:rsidR="00043E74" w:rsidRPr="00215418">
        <w:rPr>
          <w:rFonts w:ascii="Aptos" w:eastAsia="Aptos" w:hAnsi="Aptos" w:cs="Arial"/>
          <w:noProof/>
          <w:kern w:val="2"/>
          <w:sz w:val="22"/>
          <w:szCs w:val="22"/>
          <w14:ligatures w14:val="standardContextual"/>
        </w:rPr>
        <w:t xml:space="preserve"> nearly</w:t>
      </w:r>
      <w:r w:rsidR="00BD08B9" w:rsidRPr="00215418">
        <w:rPr>
          <w:rFonts w:ascii="Aptos" w:eastAsia="Aptos" w:hAnsi="Aptos" w:cs="Arial"/>
          <w:noProof/>
          <w:kern w:val="2"/>
          <w:sz w:val="22"/>
          <w:szCs w:val="22"/>
          <w14:ligatures w14:val="standardContextual"/>
        </w:rPr>
        <w:t xml:space="preserve"> 50 billion</w:t>
      </w:r>
      <w:r w:rsidR="00043E74" w:rsidRPr="00215418">
        <w:rPr>
          <w:rFonts w:ascii="Aptos" w:eastAsia="Aptos" w:hAnsi="Aptos" w:cs="Arial"/>
          <w:noProof/>
          <w:kern w:val="2"/>
          <w:sz w:val="22"/>
          <w:szCs w:val="22"/>
          <w14:ligatures w14:val="standardContextual"/>
        </w:rPr>
        <w:t xml:space="preserve"> USD</w:t>
      </w:r>
      <w:r w:rsidR="00BD08B9" w:rsidRPr="00215418">
        <w:rPr>
          <w:rFonts w:ascii="Aptos" w:eastAsia="Aptos" w:hAnsi="Aptos" w:cs="Arial"/>
          <w:noProof/>
          <w:kern w:val="2"/>
          <w:sz w:val="22"/>
          <w:szCs w:val="22"/>
          <w14:ligatures w14:val="standardContextual"/>
        </w:rPr>
        <w:t>.</w:t>
      </w:r>
      <w:r w:rsidRPr="00215418">
        <w:rPr>
          <w:rFonts w:ascii="Aptos" w:eastAsia="Aptos" w:hAnsi="Aptos" w:cs="Arial"/>
          <w:noProof/>
          <w:kern w:val="2"/>
          <w:sz w:val="22"/>
          <w:szCs w:val="22"/>
          <w14:ligatures w14:val="standardContextual"/>
        </w:rPr>
        <w:t xml:space="preserve"> Although</w:t>
      </w:r>
      <w:r w:rsidR="00323693" w:rsidRPr="00215418">
        <w:rPr>
          <w:rFonts w:ascii="Aptos" w:eastAsia="Aptos" w:hAnsi="Aptos" w:cs="Arial"/>
          <w:noProof/>
          <w:kern w:val="2"/>
          <w:sz w:val="22"/>
          <w:szCs w:val="22"/>
          <w14:ligatures w14:val="standardContextual"/>
        </w:rPr>
        <w:t xml:space="preserve"> the </w:t>
      </w:r>
      <w:r w:rsidR="00A17DBB" w:rsidRPr="00215418">
        <w:rPr>
          <w:rFonts w:ascii="Aptos" w:eastAsia="Aptos" w:hAnsi="Aptos" w:cs="Arial"/>
          <w:noProof/>
          <w:kern w:val="2"/>
          <w:sz w:val="22"/>
          <w:szCs w:val="22"/>
          <w14:ligatures w14:val="standardContextual"/>
        </w:rPr>
        <w:t xml:space="preserve">sector </w:t>
      </w:r>
      <w:r w:rsidR="005D0ABC" w:rsidRPr="00215418">
        <w:rPr>
          <w:rFonts w:ascii="Aptos" w:eastAsia="Aptos" w:hAnsi="Aptos" w:cs="Arial"/>
          <w:noProof/>
          <w:kern w:val="2"/>
          <w:sz w:val="22"/>
          <w:szCs w:val="22"/>
          <w14:ligatures w14:val="standardContextual"/>
        </w:rPr>
        <w:t xml:space="preserve">typically </w:t>
      </w:r>
      <w:r w:rsidRPr="00215418">
        <w:rPr>
          <w:rFonts w:ascii="Aptos" w:eastAsia="Aptos" w:hAnsi="Aptos" w:cs="Arial"/>
          <w:noProof/>
          <w:kern w:val="2"/>
          <w:sz w:val="22"/>
          <w:szCs w:val="22"/>
          <w14:ligatures w14:val="standardContextual"/>
        </w:rPr>
        <w:t>represents</w:t>
      </w:r>
      <w:r w:rsidR="005D0ABC" w:rsidRPr="00215418">
        <w:rPr>
          <w:rFonts w:ascii="Aptos" w:eastAsia="Aptos" w:hAnsi="Aptos" w:cs="Arial"/>
          <w:noProof/>
          <w:kern w:val="2"/>
          <w:sz w:val="22"/>
          <w:szCs w:val="22"/>
          <w14:ligatures w14:val="standardContextual"/>
        </w:rPr>
        <w:t xml:space="preserve"> 1.2 per cent of </w:t>
      </w:r>
      <w:r w:rsidRPr="00215418">
        <w:rPr>
          <w:rFonts w:ascii="Aptos" w:eastAsia="Aptos" w:hAnsi="Aptos" w:cs="Arial"/>
          <w:noProof/>
          <w:kern w:val="2"/>
          <w:sz w:val="22"/>
          <w:szCs w:val="22"/>
          <w14:ligatures w14:val="standardContextual"/>
        </w:rPr>
        <w:t>a country's</w:t>
      </w:r>
      <w:r w:rsidR="005D0ABC" w:rsidRPr="00215418">
        <w:rPr>
          <w:rFonts w:ascii="Aptos" w:eastAsia="Aptos" w:hAnsi="Aptos" w:cs="Arial"/>
          <w:noProof/>
          <w:kern w:val="2"/>
          <w:sz w:val="22"/>
          <w:szCs w:val="22"/>
          <w14:ligatures w14:val="standardContextual"/>
        </w:rPr>
        <w:t xml:space="preserve"> GDP</w:t>
      </w:r>
      <w:r w:rsidRPr="00215418">
        <w:rPr>
          <w:rFonts w:ascii="Aptos" w:eastAsia="Aptos" w:hAnsi="Aptos" w:cs="Arial"/>
          <w:noProof/>
          <w:kern w:val="2"/>
          <w:sz w:val="22"/>
          <w:szCs w:val="22"/>
          <w14:ligatures w14:val="standardContextual"/>
        </w:rPr>
        <w:t>, this proportion fluctuates,</w:t>
      </w:r>
      <w:r w:rsidR="00BE209B" w:rsidRPr="00215418">
        <w:rPr>
          <w:rFonts w:ascii="Aptos" w:eastAsia="Aptos" w:hAnsi="Aptos" w:cs="Arial"/>
          <w:noProof/>
          <w:kern w:val="2"/>
          <w:sz w:val="22"/>
          <w:szCs w:val="22"/>
          <w14:ligatures w14:val="standardContextual"/>
        </w:rPr>
        <w:t xml:space="preserve"> </w:t>
      </w:r>
      <w:r w:rsidR="00CB751B" w:rsidRPr="00215418">
        <w:rPr>
          <w:rFonts w:ascii="Aptos" w:eastAsia="Aptos" w:hAnsi="Aptos" w:cs="Arial"/>
          <w:noProof/>
          <w:kern w:val="2"/>
          <w:sz w:val="22"/>
          <w:szCs w:val="22"/>
          <w14:ligatures w14:val="standardContextual"/>
        </w:rPr>
        <w:t xml:space="preserve">ranging from </w:t>
      </w:r>
      <w:r w:rsidR="00BE22D7" w:rsidRPr="00215418">
        <w:rPr>
          <w:rFonts w:ascii="Aptos" w:eastAsia="Aptos" w:hAnsi="Aptos" w:cs="Arial"/>
          <w:noProof/>
          <w:kern w:val="2"/>
          <w:sz w:val="22"/>
          <w:szCs w:val="22"/>
          <w14:ligatures w14:val="standardContextual"/>
        </w:rPr>
        <w:t>less than 1 per cent</w:t>
      </w:r>
      <w:r w:rsidR="00CB751B" w:rsidRPr="00215418">
        <w:rPr>
          <w:rFonts w:ascii="Aptos" w:eastAsia="Aptos" w:hAnsi="Aptos" w:cs="Arial"/>
          <w:noProof/>
          <w:kern w:val="2"/>
          <w:sz w:val="22"/>
          <w:szCs w:val="22"/>
          <w14:ligatures w14:val="standardContextual"/>
        </w:rPr>
        <w:t xml:space="preserve"> in </w:t>
      </w:r>
      <w:r w:rsidRPr="00215418">
        <w:rPr>
          <w:rFonts w:ascii="Aptos" w:eastAsia="Aptos" w:hAnsi="Aptos" w:cs="Arial"/>
          <w:noProof/>
          <w:kern w:val="2"/>
          <w:sz w:val="22"/>
          <w:szCs w:val="22"/>
          <w14:ligatures w14:val="standardContextual"/>
        </w:rPr>
        <w:t>nine</w:t>
      </w:r>
      <w:r w:rsidR="00BE22D7" w:rsidRPr="00215418">
        <w:rPr>
          <w:rFonts w:ascii="Aptos" w:eastAsia="Aptos" w:hAnsi="Aptos" w:cs="Arial"/>
          <w:noProof/>
          <w:kern w:val="2"/>
          <w:sz w:val="22"/>
          <w:szCs w:val="22"/>
          <w14:ligatures w14:val="standardContextual"/>
        </w:rPr>
        <w:t xml:space="preserve"> countries</w:t>
      </w:r>
      <w:r w:rsidR="00CB751B" w:rsidRPr="00215418">
        <w:rPr>
          <w:rFonts w:ascii="Aptos" w:eastAsia="Aptos" w:hAnsi="Aptos" w:cs="Arial"/>
          <w:noProof/>
          <w:kern w:val="2"/>
          <w:sz w:val="22"/>
          <w:szCs w:val="22"/>
          <w14:ligatures w14:val="standardContextual"/>
        </w:rPr>
        <w:t xml:space="preserve"> to </w:t>
      </w:r>
      <w:r w:rsidR="00BE22D7" w:rsidRPr="00215418">
        <w:rPr>
          <w:rFonts w:ascii="Aptos" w:eastAsia="Aptos" w:hAnsi="Aptos" w:cs="Arial"/>
          <w:noProof/>
          <w:kern w:val="2"/>
          <w:sz w:val="22"/>
          <w:szCs w:val="22"/>
          <w14:ligatures w14:val="standardContextual"/>
        </w:rPr>
        <w:t xml:space="preserve">over 3 per cent in </w:t>
      </w:r>
      <w:r w:rsidR="00346555" w:rsidRPr="00215418">
        <w:rPr>
          <w:rFonts w:ascii="Aptos" w:eastAsia="Aptos" w:hAnsi="Aptos" w:cs="Arial"/>
          <w:noProof/>
          <w:kern w:val="2"/>
          <w:sz w:val="22"/>
          <w:szCs w:val="22"/>
          <w14:ligatures w14:val="standardContextual"/>
        </w:rPr>
        <w:t>two countries.</w:t>
      </w:r>
    </w:p>
    <w:p w14:paraId="74B6F1A2" w14:textId="77777777" w:rsidR="002B11D5" w:rsidRPr="00215418" w:rsidRDefault="002B11D5" w:rsidP="002B11D5">
      <w:pPr>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The European telecom sector attracted around 90 billion USD investments in recent years, amounting to around 0.3 per cent of the region’s GDP. By nature, the level of investments fluctuates annually, which is why statistics are presented as the period average for 2021-2023.</w:t>
      </w:r>
    </w:p>
    <w:p w14:paraId="0239D9B3" w14:textId="77777777" w:rsidR="0066386A" w:rsidRPr="00215418" w:rsidRDefault="0066386A" w:rsidP="0066386A">
      <w:pPr>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The five largest European economies with investment levels of at least 6 billion USD account for around two-thirds of the region’s total telecom investments, whereas 13 economies hardly reach investment levels of 200 million USD.</w:t>
      </w:r>
    </w:p>
    <w:p w14:paraId="00615B95" w14:textId="77777777" w:rsidR="0066386A" w:rsidRPr="00215418" w:rsidRDefault="0066386A" w:rsidP="0066386A">
      <w:pPr>
        <w:overflowPunct/>
        <w:autoSpaceDE/>
        <w:autoSpaceDN/>
        <w:adjustRightInd/>
        <w:spacing w:before="0" w:after="160" w:line="259" w:lineRule="auto"/>
        <w:textAlignment w:val="auto"/>
        <w:rPr>
          <w:rFonts w:ascii="Aptos" w:eastAsia="Aptos" w:hAnsi="Aptos" w:cs="Arial"/>
          <w:kern w:val="2"/>
          <w:sz w:val="22"/>
          <w:szCs w:val="22"/>
          <w14:ligatures w14:val="standardContextual"/>
        </w:rPr>
      </w:pPr>
    </w:p>
    <w:p w14:paraId="32031569" w14:textId="77777777" w:rsidR="0066386A" w:rsidRPr="00215418" w:rsidRDefault="0066386A" w:rsidP="0066386A">
      <w:pPr>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lastRenderedPageBreak/>
        <w:t xml:space="preserve">Investment capacity is shaped by the actual and potential size of the telecom market in a country. Typically, investments amount to a quarter of the revenues in the sector, but this rate varies significantly, with seven European countries investing only around 15 to 20 per cent of their sectoral revenues on the lower end, and six countries investing between 35 and 47 per cent on the higher end. </w:t>
      </w:r>
    </w:p>
    <w:p w14:paraId="13F098A6" w14:textId="4011894B" w:rsidR="0047619F" w:rsidRPr="00215418" w:rsidRDefault="0047619F" w:rsidP="006025C0">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t xml:space="preserve">Annual investment in telecommunication services, in USD </w:t>
      </w:r>
      <w:r w:rsidR="00D470D7" w:rsidRPr="00215418">
        <w:rPr>
          <w:rFonts w:ascii="AvenirNext LT Pro Light" w:eastAsia="Yu Gothic Light" w:hAnsi="AvenirNext LT Pro Light" w:cs="Calibri"/>
          <w:color w:val="0070C0"/>
          <w:spacing w:val="-10"/>
          <w:kern w:val="28"/>
          <w:szCs w:val="24"/>
        </w:rPr>
        <w:t>b</w:t>
      </w:r>
      <w:r w:rsidRPr="00215418">
        <w:rPr>
          <w:rFonts w:ascii="AvenirNext LT Pro Light" w:eastAsia="Yu Gothic Light" w:hAnsi="AvenirNext LT Pro Light" w:cs="Calibri"/>
          <w:color w:val="0070C0"/>
          <w:spacing w:val="-10"/>
          <w:kern w:val="28"/>
          <w:szCs w:val="24"/>
        </w:rPr>
        <w:t>illion and as % of GDP</w:t>
      </w:r>
    </w:p>
    <w:p w14:paraId="3F79FE86" w14:textId="72B1F71C" w:rsidR="0047619F" w:rsidRPr="00215418" w:rsidRDefault="00A72149" w:rsidP="00B1004A">
      <w:pPr>
        <w:pStyle w:val="notetext"/>
      </w:pPr>
      <w:r w:rsidRPr="00215418">
        <w:rPr>
          <w:noProof/>
        </w:rPr>
        <w:drawing>
          <wp:inline distT="0" distB="0" distL="0" distR="0" wp14:anchorId="223395CF" wp14:editId="7B6874E0">
            <wp:extent cx="6120765" cy="3571240"/>
            <wp:effectExtent l="0" t="0" r="0" b="0"/>
            <wp:docPr id="57640308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403087" name=""/>
                    <pic:cNvPicPr/>
                  </pic:nvPicPr>
                  <pic:blipFill>
                    <a:blip r:embed="rId110">
                      <a:extLst>
                        <a:ext uri="{96DAC541-7B7A-43D3-8B79-37D633B846F1}">
                          <asvg:svgBlip xmlns:asvg="http://schemas.microsoft.com/office/drawing/2016/SVG/main" r:embed="rId111"/>
                        </a:ext>
                      </a:extLst>
                    </a:blip>
                    <a:stretch>
                      <a:fillRect/>
                    </a:stretch>
                  </pic:blipFill>
                  <pic:spPr>
                    <a:xfrm>
                      <a:off x="0" y="0"/>
                      <a:ext cx="6120765" cy="3571240"/>
                    </a:xfrm>
                    <a:prstGeom prst="rect">
                      <a:avLst/>
                    </a:prstGeom>
                  </pic:spPr>
                </pic:pic>
              </a:graphicData>
            </a:graphic>
          </wp:inline>
        </w:drawing>
      </w:r>
      <w:r w:rsidR="0047619F" w:rsidRPr="00215418">
        <w:t>Note: Data are a three-year (2021-2023) average of available data points to correct for annual fluctuations and gaps. Investment figures are in constant 2023 US dollars.</w:t>
      </w:r>
    </w:p>
    <w:p w14:paraId="46261EB7" w14:textId="77777777" w:rsidR="0047619F" w:rsidRPr="00215418" w:rsidRDefault="0047619F" w:rsidP="00B1004A">
      <w:pPr>
        <w:pStyle w:val="Sourcetext"/>
      </w:pPr>
      <w:r w:rsidRPr="00215418">
        <w:t>Source: ITU, World Bank World Development Indicators</w:t>
      </w:r>
    </w:p>
    <w:p w14:paraId="12C33CC1" w14:textId="50E4B01E" w:rsidR="006C41B5" w:rsidRPr="00215418" w:rsidRDefault="006C41B5" w:rsidP="002E63AD">
      <w:pPr>
        <w:overflowPunct/>
        <w:autoSpaceDE/>
        <w:autoSpaceDN/>
        <w:adjustRightInd/>
        <w:spacing w:before="0" w:after="160" w:line="259" w:lineRule="auto"/>
        <w:textAlignment w:val="auto"/>
        <w:rPr>
          <w:rFonts w:ascii="Aptos" w:eastAsia="Aptos" w:hAnsi="Aptos" w:cs="Arial"/>
          <w:kern w:val="2"/>
          <w:sz w:val="22"/>
          <w:szCs w:val="22"/>
          <w14:ligatures w14:val="standardContextual"/>
        </w:rPr>
      </w:pPr>
    </w:p>
    <w:p w14:paraId="66FE690A" w14:textId="77777777" w:rsidR="006C41B5" w:rsidRPr="00215418"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br w:type="page"/>
      </w:r>
    </w:p>
    <w:p w14:paraId="491095ED" w14:textId="77777777" w:rsidR="006C41B5" w:rsidRPr="00215418" w:rsidRDefault="006C41B5" w:rsidP="000C3666">
      <w:pPr>
        <w:pStyle w:val="Section"/>
      </w:pPr>
      <w:bookmarkStart w:id="19" w:name="_Toc188001393"/>
      <w:r w:rsidRPr="00215418">
        <w:lastRenderedPageBreak/>
        <w:t>Cybersecurity</w:t>
      </w:r>
      <w:bookmarkEnd w:id="19"/>
    </w:p>
    <w:p w14:paraId="1C547127" w14:textId="59482713" w:rsidR="006C41B5" w:rsidRPr="00215418" w:rsidRDefault="001D5B5A"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15418">
        <w:rPr>
          <w:b/>
          <w:bCs/>
          <w:i/>
          <w:iCs/>
        </w:rPr>
        <w:t xml:space="preserve">European countries </w:t>
      </w:r>
      <w:r w:rsidR="00D64D42" w:rsidRPr="00215418">
        <w:rPr>
          <w:b/>
          <w:bCs/>
          <w:i/>
          <w:iCs/>
        </w:rPr>
        <w:t xml:space="preserve">exhibit </w:t>
      </w:r>
      <w:r w:rsidRPr="00215418">
        <w:rPr>
          <w:b/>
          <w:bCs/>
          <w:i/>
          <w:iCs/>
        </w:rPr>
        <w:t>high levels of cybersecurity commitments</w:t>
      </w:r>
    </w:p>
    <w:p w14:paraId="6E85A6A7" w14:textId="4149CFEB" w:rsidR="006C41B5" w:rsidRPr="00215418" w:rsidRDefault="00EA19DE"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Meaningful connectivity requires trustworthy and secure communications. With over 5.5 billion people now online, cybersecurity in the digital economy is no longer an afterthought. Addressing cybersecurity requires a holistic approach encompassing legal, technical, organizational, capacity development, and cooperation issues. Since 2015, the Global Cybersecurity Index (GCI) has tracked countries' performance on these issues, each represented by a pillar of the index, with an aggregate GCI score on a 0-100 scale. The 2024 edition revealed a notable improvement in countries’ commitment to cybersecurity: the average GCI score reached 66, up 14 points from the 2021 edition.</w:t>
      </w:r>
      <w:r w:rsidR="00877042" w:rsidRPr="00215418">
        <w:rPr>
          <w:rFonts w:ascii="Aptos" w:eastAsia="Aptos" w:hAnsi="Aptos" w:cs="Arial"/>
          <w:kern w:val="2"/>
          <w:sz w:val="22"/>
          <w:szCs w:val="22"/>
          <w14:ligatures w14:val="standardContextual"/>
        </w:rPr>
        <w:t xml:space="preserve"> </w:t>
      </w:r>
    </w:p>
    <w:p w14:paraId="18574B6F" w14:textId="0290DA65"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t>Global Cybersecurity Index scores, 2017-2024</w:t>
      </w:r>
    </w:p>
    <w:p w14:paraId="67F5910D" w14:textId="100B5759" w:rsidR="006C41B5" w:rsidRPr="00215418" w:rsidRDefault="00143527" w:rsidP="006C41B5">
      <w:pPr>
        <w:rPr>
          <w:rFonts w:ascii="Aptos" w:eastAsia="Aptos" w:hAnsi="Aptos" w:cs="Arial"/>
          <w:kern w:val="2"/>
          <w:sz w:val="22"/>
          <w:szCs w:val="22"/>
          <w14:ligatures w14:val="standardContextual"/>
        </w:rPr>
      </w:pPr>
      <w:r w:rsidRPr="00215418">
        <w:rPr>
          <w:noProof/>
        </w:rPr>
        <w:drawing>
          <wp:inline distT="0" distB="0" distL="0" distR="0" wp14:anchorId="3BB0EA2E" wp14:editId="2DDCB92F">
            <wp:extent cx="6120765" cy="2122805"/>
            <wp:effectExtent l="0" t="0" r="0" b="0"/>
            <wp:docPr id="31343325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33258" name=""/>
                    <pic:cNvPicPr/>
                  </pic:nvPicPr>
                  <pic:blipFill>
                    <a:blip r:embed="rId112">
                      <a:extLst>
                        <a:ext uri="{96DAC541-7B7A-43D3-8B79-37D633B846F1}">
                          <asvg:svgBlip xmlns:asvg="http://schemas.microsoft.com/office/drawing/2016/SVG/main" r:embed="rId113"/>
                        </a:ext>
                      </a:extLst>
                    </a:blip>
                    <a:stretch>
                      <a:fillRect/>
                    </a:stretch>
                  </pic:blipFill>
                  <pic:spPr>
                    <a:xfrm>
                      <a:off x="0" y="0"/>
                      <a:ext cx="6120765" cy="2122805"/>
                    </a:xfrm>
                    <a:prstGeom prst="rect">
                      <a:avLst/>
                    </a:prstGeom>
                  </pic:spPr>
                </pic:pic>
              </a:graphicData>
            </a:graphic>
          </wp:inline>
        </w:drawing>
      </w:r>
    </w:p>
    <w:p w14:paraId="52CA949C" w14:textId="77777777" w:rsidR="006C41B5" w:rsidRPr="00215418" w:rsidRDefault="006C41B5" w:rsidP="00B1004A">
      <w:pPr>
        <w:pStyle w:val="notetext"/>
      </w:pPr>
      <w:r w:rsidRPr="00215418">
        <w:t xml:space="preserve">Note: Questions and weightings have been updated between editions, in collaboration with the GCI Expert Group, to better measure cybersecurity commitments by countries. </w:t>
      </w:r>
    </w:p>
    <w:p w14:paraId="40B40C4C" w14:textId="77777777" w:rsidR="006C41B5" w:rsidRPr="00215418" w:rsidRDefault="006C41B5" w:rsidP="00B1004A">
      <w:pPr>
        <w:pStyle w:val="Sourcetext"/>
      </w:pPr>
      <w:r w:rsidRPr="00215418">
        <w:t>Source: ITU</w:t>
      </w:r>
    </w:p>
    <w:p w14:paraId="5648A177" w14:textId="2187C167" w:rsidR="006C41B5" w:rsidRPr="00215418" w:rsidRDefault="00402AEE"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The European countries have continued to expand their commitments with the same average score of 86 and a gain of 5 points from the previous edition.</w:t>
      </w:r>
    </w:p>
    <w:p w14:paraId="3B67349D" w14:textId="77777777"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t>Global Cybersecurity Index scores, by pillar and overall, 2024</w:t>
      </w:r>
    </w:p>
    <w:p w14:paraId="7C28988A" w14:textId="125E3C81" w:rsidR="006C41B5" w:rsidRPr="00215418" w:rsidRDefault="00D4150B" w:rsidP="00B1004A">
      <w:pPr>
        <w:pStyle w:val="notetext"/>
      </w:pPr>
      <w:r w:rsidRPr="00215418">
        <w:rPr>
          <w:noProof/>
        </w:rPr>
        <w:drawing>
          <wp:inline distT="0" distB="0" distL="0" distR="0" wp14:anchorId="4443D098" wp14:editId="1DE8D8A7">
            <wp:extent cx="5943600" cy="2700179"/>
            <wp:effectExtent l="0" t="0" r="0" b="5080"/>
            <wp:docPr id="18766313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63134" name=""/>
                    <pic:cNvPicPr/>
                  </pic:nvPicPr>
                  <pic:blipFill>
                    <a:blip r:embed="rId114">
                      <a:extLst>
                        <a:ext uri="{96DAC541-7B7A-43D3-8B79-37D633B846F1}">
                          <asvg:svgBlip xmlns:asvg="http://schemas.microsoft.com/office/drawing/2016/SVG/main" r:embed="rId115"/>
                        </a:ext>
                      </a:extLst>
                    </a:blip>
                    <a:stretch>
                      <a:fillRect/>
                    </a:stretch>
                  </pic:blipFill>
                  <pic:spPr>
                    <a:xfrm>
                      <a:off x="0" y="0"/>
                      <a:ext cx="5954259" cy="2705021"/>
                    </a:xfrm>
                    <a:prstGeom prst="rect">
                      <a:avLst/>
                    </a:prstGeom>
                  </pic:spPr>
                </pic:pic>
              </a:graphicData>
            </a:graphic>
          </wp:inline>
        </w:drawing>
      </w:r>
      <w:r w:rsidR="006C41B5" w:rsidRPr="00215418">
        <w:t>Note: The overall CGI score shown is the sum of the score of the five pillars</w:t>
      </w:r>
    </w:p>
    <w:p w14:paraId="3C70DF12" w14:textId="77777777" w:rsidR="006C41B5" w:rsidRPr="00215418" w:rsidRDefault="006C41B5" w:rsidP="00B1004A">
      <w:pPr>
        <w:pStyle w:val="Sourcetext"/>
      </w:pPr>
      <w:r w:rsidRPr="00215418">
        <w:t>Source: ITU</w:t>
      </w:r>
    </w:p>
    <w:p w14:paraId="2C51B9B0" w14:textId="0AC393B6" w:rsidR="00A4048B" w:rsidRPr="00215418" w:rsidRDefault="00A4048B" w:rsidP="00A4048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lastRenderedPageBreak/>
        <w:t xml:space="preserve">The performance in the GCI of European countries is mixed with a </w:t>
      </w:r>
      <w:r w:rsidR="00813203" w:rsidRPr="00215418">
        <w:rPr>
          <w:rFonts w:ascii="Aptos" w:eastAsia="Aptos" w:hAnsi="Aptos" w:cs="Arial"/>
          <w:kern w:val="2"/>
          <w:sz w:val="22"/>
          <w:szCs w:val="22"/>
          <w14:ligatures w14:val="standardContextual"/>
        </w:rPr>
        <w:t>7</w:t>
      </w:r>
      <w:r w:rsidRPr="00215418">
        <w:rPr>
          <w:rFonts w:ascii="Aptos" w:eastAsia="Aptos" w:hAnsi="Aptos" w:cs="Arial"/>
          <w:kern w:val="2"/>
          <w:sz w:val="22"/>
          <w:szCs w:val="22"/>
          <w14:ligatures w14:val="standardContextual"/>
        </w:rPr>
        <w:t xml:space="preserve">4-point </w:t>
      </w:r>
      <w:r w:rsidR="00D5116F" w:rsidRPr="00215418">
        <w:rPr>
          <w:rFonts w:ascii="Aptos" w:eastAsia="Aptos" w:hAnsi="Aptos" w:cs="Arial"/>
          <w:kern w:val="2"/>
          <w:sz w:val="22"/>
          <w:szCs w:val="22"/>
          <w14:ligatures w14:val="standardContextual"/>
        </w:rPr>
        <w:t xml:space="preserve">difference </w:t>
      </w:r>
      <w:r w:rsidRPr="00215418">
        <w:rPr>
          <w:rFonts w:ascii="Aptos" w:eastAsia="Aptos" w:hAnsi="Aptos" w:cs="Arial"/>
          <w:kern w:val="2"/>
          <w:sz w:val="22"/>
          <w:szCs w:val="22"/>
          <w14:ligatures w14:val="standardContextual"/>
        </w:rPr>
        <w:t>between the region’s best performers, which achieved the maximum score of 100, and the region’s worst performer San Marino, scoring 25.9.</w:t>
      </w:r>
    </w:p>
    <w:p w14:paraId="564D4CC2" w14:textId="77777777" w:rsidR="00A4048B" w:rsidRPr="00215418" w:rsidRDefault="00A4048B" w:rsidP="00A4048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Globally, all development groups are represented among the top scoring countries in the GCI, indicating that development level is not a reliable predictor of cybersecurity efforts. Europe’s large number of high-income countries, particularly Northern European countries, continue to score very well. While Southern Europe is the lowest scoring subregion, it has also made the largest improvement from the last edition – increasing from 70 to 78.8 points.</w:t>
      </w:r>
    </w:p>
    <w:p w14:paraId="685C88CB" w14:textId="16C23974" w:rsidR="00500CF9" w:rsidRPr="00215418" w:rsidRDefault="00500CF9" w:rsidP="00500CF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The technical pillar of the GCI assesses the effectiveness of national mechanisms and institutional structures in detecting, preventing, responding to, and mitigating cyberthreats and incidents. Computer incident response teams (CIRTs) are responsible for protection against, detection of, and response to cybersecurity incidents, and can enhance a country’s ability to manage such incidents. </w:t>
      </w:r>
      <w:r w:rsidR="00FA079E" w:rsidRPr="00215418">
        <w:rPr>
          <w:rFonts w:ascii="Aptos" w:eastAsia="Aptos" w:hAnsi="Aptos" w:cs="Arial"/>
          <w:kern w:val="2"/>
          <w:sz w:val="22"/>
          <w:szCs w:val="22"/>
          <w14:ligatures w14:val="standardContextual"/>
        </w:rPr>
        <w:t>Nearly all countries in Europe have established their national CIRTs, and many are participating in regional cyber exercises. Still, there is need for further development of these CIRTS, and expanding efforts around the protection of critical information infrastructure.</w:t>
      </w:r>
    </w:p>
    <w:p w14:paraId="40F8BE85" w14:textId="4D3CBE26" w:rsidR="00500CF9" w:rsidRPr="00215418" w:rsidRDefault="00500CF9" w:rsidP="00500CF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Child online protection (COP) encompasses strategies and initiatives to protect children from harm or exploitation online. This includes ensuring children are using age-appropriate software and filtering tools and educating parents and children about staying safe online. Child online protection is tracked through questions under the legal, organizational, and capacity development pillars. A total of 164 countries reported having legal measures on COP in the GCI 2024, compared to 130 countries in the previous edition. These measures were sometimes part of other rules, regulations, and substantive law, such as on online crime or sexual exploitation. </w:t>
      </w:r>
      <w:r w:rsidR="00816718" w:rsidRPr="00215418">
        <w:rPr>
          <w:rFonts w:ascii="Aptos" w:eastAsia="Aptos" w:hAnsi="Aptos" w:cs="Arial"/>
          <w:kern w:val="2"/>
          <w:sz w:val="22"/>
          <w:szCs w:val="22"/>
          <w14:ligatures w14:val="standardContextual"/>
        </w:rPr>
        <w:t xml:space="preserve">74 per cent of European countries have some form a </w:t>
      </w:r>
      <w:r w:rsidR="00D23E50" w:rsidRPr="00215418">
        <w:rPr>
          <w:rFonts w:ascii="Aptos" w:eastAsia="Aptos" w:hAnsi="Aptos" w:cs="Arial"/>
          <w:kern w:val="2"/>
          <w:sz w:val="22"/>
          <w:szCs w:val="22"/>
          <w14:ligatures w14:val="standardContextual"/>
        </w:rPr>
        <w:t xml:space="preserve">COP </w:t>
      </w:r>
      <w:r w:rsidR="00816718" w:rsidRPr="00215418">
        <w:rPr>
          <w:rFonts w:ascii="Aptos" w:eastAsia="Aptos" w:hAnsi="Aptos" w:cs="Arial"/>
          <w:kern w:val="2"/>
          <w:sz w:val="22"/>
          <w:szCs w:val="22"/>
          <w14:ligatures w14:val="standardContextual"/>
        </w:rPr>
        <w:t>strategy with associated actions. However, linking these efforts to educational efforts for educators, parents, and policy makers is key.</w:t>
      </w:r>
    </w:p>
    <w:p w14:paraId="1835A1DD" w14:textId="1B8F288F" w:rsidR="00500CF9" w:rsidRPr="00215418" w:rsidRDefault="00500CF9" w:rsidP="00807CE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Finally, to meet the demand for cybersecurity professionals, countries are increasingly developing cybersecurity skills within their populations. </w:t>
      </w:r>
      <w:r w:rsidR="00DA505A" w:rsidRPr="00215418">
        <w:rPr>
          <w:rFonts w:ascii="Aptos" w:eastAsia="Aptos" w:hAnsi="Aptos" w:cs="Arial"/>
          <w:kern w:val="2"/>
          <w:sz w:val="22"/>
          <w:szCs w:val="22"/>
          <w14:ligatures w14:val="standardContextual"/>
        </w:rPr>
        <w:t>While 91 per cent of European countries have cybersecurity-focused university degrees, ensuring that there are multiple pathways towards building cybersecurity competency is important to meet ongoing cyber needs</w:t>
      </w:r>
      <w:r w:rsidRPr="00215418">
        <w:rPr>
          <w:rFonts w:ascii="Aptos" w:eastAsia="Aptos" w:hAnsi="Aptos" w:cs="Arial"/>
          <w:kern w:val="2"/>
          <w:sz w:val="22"/>
          <w:szCs w:val="22"/>
          <w14:ligatures w14:val="standardContextual"/>
        </w:rPr>
        <w:t>.</w:t>
      </w:r>
    </w:p>
    <w:p w14:paraId="25F0EDAF" w14:textId="77777777" w:rsidR="00500CF9" w:rsidRPr="00215418" w:rsidRDefault="00500CF9">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color w:val="0F4761"/>
          <w:kern w:val="2"/>
          <w:sz w:val="32"/>
          <w:szCs w:val="32"/>
          <w14:ligatures w14:val="standardContextual"/>
        </w:rPr>
      </w:pPr>
      <w:r w:rsidRPr="00215418">
        <w:rPr>
          <w:rFonts w:ascii="Aptos Display" w:eastAsia="Yu Gothic Light" w:hAnsi="Aptos Display"/>
          <w:color w:val="0F4761"/>
          <w:kern w:val="2"/>
          <w:sz w:val="32"/>
          <w:szCs w:val="32"/>
          <w14:ligatures w14:val="standardContextual"/>
        </w:rPr>
        <w:br w:type="page"/>
      </w:r>
    </w:p>
    <w:p w14:paraId="2D7E8F86" w14:textId="6A85B155" w:rsidR="006C41B5" w:rsidRPr="00215418" w:rsidRDefault="006C41B5" w:rsidP="000C3666">
      <w:pPr>
        <w:pStyle w:val="Section"/>
      </w:pPr>
      <w:bookmarkStart w:id="20" w:name="_Toc188001394"/>
      <w:r w:rsidRPr="00215418">
        <w:lastRenderedPageBreak/>
        <w:t>E-waste management</w:t>
      </w:r>
      <w:bookmarkEnd w:id="20"/>
    </w:p>
    <w:p w14:paraId="0CBBF4F0" w14:textId="77777777" w:rsidR="00F57571" w:rsidRPr="00215418" w:rsidRDefault="00F57571" w:rsidP="00F57571">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kern w:val="2"/>
          <w:sz w:val="22"/>
          <w14:ligatures w14:val="standardContextual"/>
        </w:rPr>
      </w:pPr>
      <w:r w:rsidRPr="00215418">
        <w:rPr>
          <w:rFonts w:ascii="Aptos" w:eastAsia="Aptos" w:hAnsi="Aptos"/>
          <w:kern w:val="2"/>
          <w:sz w:val="22"/>
          <w14:ligatures w14:val="standardContextual"/>
        </w:rPr>
        <w:t>As countries strive to harness the benefits of technology to drive economic growth and achieve their national development priorities, the challenge of managing electronic waste has become increasingly urgent. Strengthened e-waste policy and regulatory e-waste management are pivotal for ensuring environmental sustainability, supporting circular economy practices, and advancing progress towards the sustainable development goals (SDGs).</w:t>
      </w:r>
    </w:p>
    <w:p w14:paraId="21B04CF1" w14:textId="7BC11F28" w:rsidR="00F57571" w:rsidRPr="00215418" w:rsidRDefault="00F57571" w:rsidP="00F57571">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t xml:space="preserve">E-waste generated, in millions of </w:t>
      </w:r>
      <w:r w:rsidR="00723598" w:rsidRPr="00215418">
        <w:rPr>
          <w:rFonts w:ascii="AvenirNext LT Pro Light" w:eastAsia="Yu Gothic Light" w:hAnsi="AvenirNext LT Pro Light" w:cs="Calibri"/>
          <w:color w:val="0070C0"/>
          <w:spacing w:val="-10"/>
          <w:kern w:val="28"/>
          <w:szCs w:val="24"/>
        </w:rPr>
        <w:t>kilograms</w:t>
      </w:r>
      <w:r w:rsidRPr="00215418">
        <w:rPr>
          <w:rFonts w:ascii="AvenirNext LT Pro Light" w:eastAsia="Yu Gothic Light" w:hAnsi="AvenirNext LT Pro Light" w:cs="Calibri"/>
          <w:color w:val="0070C0"/>
          <w:spacing w:val="-10"/>
          <w:kern w:val="28"/>
          <w:szCs w:val="24"/>
        </w:rPr>
        <w:t xml:space="preserve">, 2022 </w:t>
      </w:r>
    </w:p>
    <w:p w14:paraId="34B0179E" w14:textId="0619952C" w:rsidR="006C41B5" w:rsidRPr="00215418" w:rsidRDefault="0044447C" w:rsidP="00B1004A">
      <w:pPr>
        <w:pStyle w:val="Sourcetext"/>
        <w:rPr>
          <w:rFonts w:eastAsia="Aptos" w:cs="Arial"/>
        </w:rPr>
      </w:pPr>
      <w:r w:rsidRPr="00215418">
        <w:rPr>
          <w:noProof/>
        </w:rPr>
        <w:drawing>
          <wp:inline distT="0" distB="0" distL="0" distR="0" wp14:anchorId="67B04AB3" wp14:editId="7F4164BB">
            <wp:extent cx="6042991" cy="3179796"/>
            <wp:effectExtent l="0" t="0" r="0" b="1905"/>
            <wp:docPr id="114964674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646740" name=""/>
                    <pic:cNvPicPr/>
                  </pic:nvPicPr>
                  <pic:blipFill>
                    <a:blip r:embed="rId116">
                      <a:extLst>
                        <a:ext uri="{96DAC541-7B7A-43D3-8B79-37D633B846F1}">
                          <asvg:svgBlip xmlns:asvg="http://schemas.microsoft.com/office/drawing/2016/SVG/main" r:embed="rId117"/>
                        </a:ext>
                      </a:extLst>
                    </a:blip>
                    <a:stretch>
                      <a:fillRect/>
                    </a:stretch>
                  </pic:blipFill>
                  <pic:spPr>
                    <a:xfrm>
                      <a:off x="0" y="0"/>
                      <a:ext cx="6042991" cy="3179796"/>
                    </a:xfrm>
                    <a:prstGeom prst="rect">
                      <a:avLst/>
                    </a:prstGeom>
                  </pic:spPr>
                </pic:pic>
              </a:graphicData>
            </a:graphic>
          </wp:inline>
        </w:drawing>
      </w:r>
      <w:r w:rsidR="006C41B5" w:rsidRPr="00215418">
        <w:rPr>
          <w:rFonts w:eastAsia="Aptos" w:cs="Arial"/>
        </w:rPr>
        <w:t xml:space="preserve">Source: ITU and UNITAR, </w:t>
      </w:r>
      <w:hyperlink r:id="rId118" w:history="1">
        <w:r w:rsidR="006C41B5" w:rsidRPr="00215418">
          <w:rPr>
            <w:rFonts w:eastAsia="Aptos" w:cs="Arial"/>
            <w:color w:val="467886"/>
            <w:u w:val="single"/>
          </w:rPr>
          <w:t>Global E-waste Monitor, 2024</w:t>
        </w:r>
      </w:hyperlink>
    </w:p>
    <w:p w14:paraId="4269BDD2" w14:textId="53372EFE" w:rsidR="00684156" w:rsidRPr="00215418" w:rsidRDefault="00684156" w:rsidP="00D406C1">
      <w:pPr>
        <w:spacing w:after="120" w:line="259" w:lineRule="auto"/>
        <w:rPr>
          <w:rFonts w:ascii="Aptos" w:eastAsia="Aptos" w:hAnsi="Aptos"/>
          <w:sz w:val="22"/>
          <w:szCs w:val="22"/>
        </w:rPr>
      </w:pPr>
      <w:r w:rsidRPr="00215418">
        <w:rPr>
          <w:rFonts w:ascii="Aptos" w:eastAsia="Aptos" w:hAnsi="Aptos"/>
          <w:sz w:val="22"/>
          <w:szCs w:val="22"/>
        </w:rPr>
        <w:t xml:space="preserve">The </w:t>
      </w:r>
      <w:hyperlink r:id="rId119" w:history="1">
        <w:r w:rsidR="00301206" w:rsidRPr="00215418">
          <w:rPr>
            <w:rFonts w:ascii="Aptos" w:eastAsia="Aptos" w:hAnsi="Aptos" w:cs="Arial"/>
            <w:color w:val="467886"/>
            <w:sz w:val="22"/>
            <w:szCs w:val="22"/>
            <w:u w:val="single"/>
          </w:rPr>
          <w:t>Global E-waste Monitor, 2024</w:t>
        </w:r>
      </w:hyperlink>
      <w:r w:rsidRPr="00215418">
        <w:rPr>
          <w:rFonts w:ascii="Aptos" w:eastAsia="Aptos" w:hAnsi="Aptos"/>
          <w:sz w:val="22"/>
          <w:szCs w:val="22"/>
        </w:rPr>
        <w:t xml:space="preserve"> finds that in 2022, Europe generated approximately 12</w:t>
      </w:r>
      <w:r w:rsidR="009C6846" w:rsidRPr="00215418">
        <w:rPr>
          <w:rFonts w:ascii="Aptos" w:eastAsia="Aptos" w:hAnsi="Aptos"/>
          <w:sz w:val="22"/>
          <w:szCs w:val="22"/>
        </w:rPr>
        <w:t>.3</w:t>
      </w:r>
      <w:r w:rsidRPr="00215418">
        <w:rPr>
          <w:rFonts w:ascii="Aptos" w:eastAsia="Aptos" w:hAnsi="Aptos"/>
          <w:sz w:val="22"/>
          <w:szCs w:val="22"/>
        </w:rPr>
        <w:t xml:space="preserve"> </w:t>
      </w:r>
      <w:r w:rsidR="009C6846" w:rsidRPr="00215418">
        <w:rPr>
          <w:rFonts w:ascii="Aptos" w:eastAsia="Aptos" w:hAnsi="Aptos"/>
          <w:sz w:val="22"/>
          <w:szCs w:val="22"/>
        </w:rPr>
        <w:t>b</w:t>
      </w:r>
      <w:r w:rsidRPr="00215418">
        <w:rPr>
          <w:rFonts w:ascii="Aptos" w:eastAsia="Aptos" w:hAnsi="Aptos"/>
          <w:sz w:val="22"/>
          <w:szCs w:val="22"/>
        </w:rPr>
        <w:t xml:space="preserve">illion </w:t>
      </w:r>
      <w:r w:rsidR="00723598" w:rsidRPr="00215418">
        <w:rPr>
          <w:rFonts w:ascii="Aptos" w:eastAsia="Aptos" w:hAnsi="Aptos"/>
          <w:sz w:val="22"/>
          <w:szCs w:val="22"/>
        </w:rPr>
        <w:t>kilograms</w:t>
      </w:r>
      <w:r w:rsidRPr="00215418">
        <w:rPr>
          <w:rFonts w:ascii="Aptos" w:eastAsia="Aptos" w:hAnsi="Aptos"/>
          <w:sz w:val="22"/>
          <w:szCs w:val="22"/>
        </w:rPr>
        <w:t xml:space="preserve"> </w:t>
      </w:r>
      <w:r w:rsidR="00723598" w:rsidRPr="00215418">
        <w:rPr>
          <w:rFonts w:ascii="Aptos" w:eastAsia="Aptos" w:hAnsi="Aptos"/>
          <w:sz w:val="22"/>
          <w:szCs w:val="22"/>
        </w:rPr>
        <w:t xml:space="preserve">(kg) </w:t>
      </w:r>
      <w:r w:rsidRPr="00215418">
        <w:rPr>
          <w:rFonts w:ascii="Aptos" w:eastAsia="Aptos" w:hAnsi="Aptos"/>
          <w:sz w:val="22"/>
          <w:szCs w:val="22"/>
        </w:rPr>
        <w:t xml:space="preserve">of e-waste, representing almost 20 percent of global e-waste generation (62 billion kg). However, significant disparities exist across the region. Countries like Germany (1,767 million kg), the United Kingdom (1,652 million kg), and France (1,445 million kg) were the largest contributors, together accounting for nearly 40 percent of the region’s total e-waste. In contrast, countries like San Marino, Iceland, and Malta generated close to 20 million kg of e-waste combined, representing less than 0.2 percent of Europe’s total e-waste generation. This significant variation reflects differences in population size, economic development, and technological adoption across the region. </w:t>
      </w:r>
    </w:p>
    <w:p w14:paraId="6CF82071" w14:textId="77777777"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lastRenderedPageBreak/>
        <w:t>E-waste per capita generated in kg, 2022</w:t>
      </w:r>
    </w:p>
    <w:p w14:paraId="085DAA6A" w14:textId="54BB907A" w:rsidR="006C41B5" w:rsidRPr="00215418" w:rsidRDefault="000D50FC" w:rsidP="00B1004A">
      <w:pPr>
        <w:pStyle w:val="Sourcetext"/>
        <w:rPr>
          <w:rFonts w:eastAsia="Aptos" w:cs="Arial"/>
        </w:rPr>
      </w:pPr>
      <w:r w:rsidRPr="00215418">
        <w:rPr>
          <w:noProof/>
        </w:rPr>
        <w:drawing>
          <wp:inline distT="0" distB="0" distL="0" distR="0" wp14:anchorId="31C162A0" wp14:editId="3AA289C3">
            <wp:extent cx="6120765" cy="3159125"/>
            <wp:effectExtent l="0" t="0" r="0" b="3175"/>
            <wp:docPr id="105832614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26146" name=""/>
                    <pic:cNvPicPr/>
                  </pic:nvPicPr>
                  <pic:blipFill>
                    <a:blip r:embed="rId120">
                      <a:extLst>
                        <a:ext uri="{96DAC541-7B7A-43D3-8B79-37D633B846F1}">
                          <asvg:svgBlip xmlns:asvg="http://schemas.microsoft.com/office/drawing/2016/SVG/main" r:embed="rId121"/>
                        </a:ext>
                      </a:extLst>
                    </a:blip>
                    <a:stretch>
                      <a:fillRect/>
                    </a:stretch>
                  </pic:blipFill>
                  <pic:spPr>
                    <a:xfrm>
                      <a:off x="0" y="0"/>
                      <a:ext cx="6120765" cy="3159125"/>
                    </a:xfrm>
                    <a:prstGeom prst="rect">
                      <a:avLst/>
                    </a:prstGeom>
                  </pic:spPr>
                </pic:pic>
              </a:graphicData>
            </a:graphic>
          </wp:inline>
        </w:drawing>
      </w:r>
      <w:r w:rsidR="006C41B5" w:rsidRPr="00215418">
        <w:rPr>
          <w:rFonts w:eastAsia="Aptos" w:cs="Arial"/>
        </w:rPr>
        <w:t xml:space="preserve">Source: ITU and UNITAR, </w:t>
      </w:r>
      <w:hyperlink r:id="rId122" w:history="1">
        <w:r w:rsidR="006C41B5" w:rsidRPr="00215418">
          <w:rPr>
            <w:rFonts w:eastAsia="Aptos" w:cs="Arial"/>
            <w:color w:val="467886"/>
            <w:u w:val="single"/>
          </w:rPr>
          <w:t>Global E-waste Monitor, 2024</w:t>
        </w:r>
      </w:hyperlink>
    </w:p>
    <w:p w14:paraId="2D811C29" w14:textId="40AFF515" w:rsidR="004F6195" w:rsidRPr="00215418" w:rsidRDefault="004F6195" w:rsidP="004F619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The analysis of e-waste trends in Europe can be further deepened by examining per capita e-waste generation. While Europe collectively exceeds the global per capita e-waste average of 7.8 kg, disparities between countries are significant. The regional average of </w:t>
      </w:r>
      <w:r w:rsidR="009C45E0" w:rsidRPr="00215418">
        <w:rPr>
          <w:rFonts w:ascii="Aptos" w:eastAsia="Aptos" w:hAnsi="Aptos" w:cs="Arial"/>
          <w:kern w:val="2"/>
          <w:sz w:val="22"/>
          <w:szCs w:val="22"/>
          <w14:ligatures w14:val="standardContextual"/>
        </w:rPr>
        <w:t>18</w:t>
      </w:r>
      <w:r w:rsidRPr="00215418">
        <w:rPr>
          <w:rFonts w:ascii="Aptos" w:eastAsia="Aptos" w:hAnsi="Aptos" w:cs="Arial"/>
          <w:kern w:val="2"/>
          <w:sz w:val="22"/>
          <w:szCs w:val="22"/>
          <w14:ligatures w14:val="standardContextual"/>
        </w:rPr>
        <w:t xml:space="preserve"> kg per capita reflects a diverse landscape where high-income nations drive up the overall figure. For instance, Norway and the United Kingdom stand out with the highest per capita e-waste generation at 26.8 kg and 24.5 kg, respectively—more than three times the global average. Similarly, Switzerland and France, with per capita e-waste generation of 23.4 kg and 22.4 kg, respectively, also exhibit high figures, aligning with their economic status and widespread access to advanced digital technologies. In contrast, lower-income nations such as Moldova (6.8 kg) and Albania (8.3 kg) generate significantly less e-waste per capita. Meanwhile, mid-range contributors such as Czech Republic (16.5 kg) and Portugal (17.8 kg) hover closer to the regional average yet still generate more than twice the global average. </w:t>
      </w:r>
    </w:p>
    <w:p w14:paraId="2FC34304" w14:textId="77777777" w:rsidR="004F6195" w:rsidRPr="00215418" w:rsidRDefault="004F6195" w:rsidP="004F619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Europe is among the regions generating the most e-waste. However, it also boasts one of the highest documented collection and recycling rates, recycling 46.2 percent (5,704 million kg) of the e-waste generated—double the global rate of 22.3 percent. Notably, Germany reported recycling 956.6 million kg of e-waste in 2022. In contrast, a few countries in the region, such as Albania and Georgia, lack significant formal recycling activity. </w:t>
      </w:r>
    </w:p>
    <w:p w14:paraId="26A873C9" w14:textId="77777777" w:rsidR="00795D13" w:rsidRPr="00215418" w:rsidRDefault="00795D13">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br w:type="page"/>
      </w:r>
    </w:p>
    <w:p w14:paraId="382CF483" w14:textId="6FFBB700"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lastRenderedPageBreak/>
        <w:t>E-waste policies and regulations in place, 2022</w:t>
      </w:r>
    </w:p>
    <w:tbl>
      <w:tblPr>
        <w:tblW w:w="5000" w:type="pct"/>
        <w:tblLook w:val="04A0" w:firstRow="1" w:lastRow="0" w:firstColumn="1" w:lastColumn="0" w:noHBand="0" w:noVBand="1"/>
      </w:tblPr>
      <w:tblGrid>
        <w:gridCol w:w="2263"/>
        <w:gridCol w:w="2020"/>
        <w:gridCol w:w="2141"/>
        <w:gridCol w:w="1639"/>
        <w:gridCol w:w="1566"/>
      </w:tblGrid>
      <w:tr w:rsidR="006C41B5" w:rsidRPr="00215418" w14:paraId="43D5D3B1" w14:textId="77777777" w:rsidTr="0063119E">
        <w:trPr>
          <w:trHeight w:val="20"/>
        </w:trPr>
        <w:tc>
          <w:tcPr>
            <w:tcW w:w="1175" w:type="pct"/>
            <w:tcBorders>
              <w:top w:val="single" w:sz="4" w:space="0" w:color="auto"/>
              <w:left w:val="single" w:sz="4" w:space="0" w:color="auto"/>
              <w:bottom w:val="single" w:sz="4" w:space="0" w:color="auto"/>
              <w:right w:val="single" w:sz="4" w:space="0" w:color="auto"/>
            </w:tcBorders>
            <w:shd w:val="clear" w:color="000000" w:fill="CAEDFB"/>
            <w:vAlign w:val="center"/>
          </w:tcPr>
          <w:p w14:paraId="2FAD09ED" w14:textId="77777777" w:rsidR="006C41B5" w:rsidRPr="00215418"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b/>
                <w:color w:val="404040"/>
                <w:sz w:val="18"/>
                <w:szCs w:val="18"/>
                <w:lang w:eastAsia="en-GB"/>
              </w:rPr>
            </w:pPr>
          </w:p>
        </w:tc>
        <w:tc>
          <w:tcPr>
            <w:tcW w:w="1049" w:type="pct"/>
            <w:tcBorders>
              <w:top w:val="single" w:sz="4" w:space="0" w:color="auto"/>
              <w:left w:val="nil"/>
              <w:bottom w:val="single" w:sz="4" w:space="0" w:color="auto"/>
              <w:right w:val="single" w:sz="4" w:space="0" w:color="auto"/>
            </w:tcBorders>
            <w:shd w:val="clear" w:color="000000" w:fill="CAEDFB"/>
            <w:vAlign w:val="center"/>
            <w:hideMark/>
          </w:tcPr>
          <w:p w14:paraId="1C6295C0" w14:textId="77777777" w:rsidR="006C41B5" w:rsidRPr="00215418"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ptos" w:hAnsi="Aptos"/>
                <w:b/>
                <w:color w:val="404040"/>
                <w:sz w:val="18"/>
                <w:szCs w:val="18"/>
                <w:lang w:eastAsia="en-GB"/>
              </w:rPr>
            </w:pPr>
            <w:r w:rsidRPr="00215418">
              <w:rPr>
                <w:rFonts w:ascii="Aptos" w:hAnsi="Aptos"/>
                <w:b/>
                <w:color w:val="404040"/>
                <w:sz w:val="18"/>
                <w:szCs w:val="18"/>
                <w:lang w:eastAsia="en-GB"/>
              </w:rPr>
              <w:t xml:space="preserve">National e-waste legislation/policy or regulation </w:t>
            </w:r>
          </w:p>
        </w:tc>
        <w:tc>
          <w:tcPr>
            <w:tcW w:w="1112" w:type="pct"/>
            <w:tcBorders>
              <w:top w:val="single" w:sz="4" w:space="0" w:color="auto"/>
              <w:left w:val="nil"/>
              <w:bottom w:val="single" w:sz="4" w:space="0" w:color="auto"/>
              <w:right w:val="single" w:sz="4" w:space="0" w:color="auto"/>
            </w:tcBorders>
            <w:shd w:val="clear" w:color="000000" w:fill="CAEDFB"/>
            <w:vAlign w:val="center"/>
            <w:hideMark/>
          </w:tcPr>
          <w:p w14:paraId="0D17B9A0" w14:textId="0A3E8F12" w:rsidR="006C41B5" w:rsidRPr="00215418"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ptos" w:hAnsi="Aptos"/>
                <w:b/>
                <w:color w:val="404040"/>
                <w:sz w:val="18"/>
                <w:szCs w:val="18"/>
                <w:lang w:eastAsia="en-GB"/>
              </w:rPr>
            </w:pPr>
            <w:r w:rsidRPr="00215418">
              <w:rPr>
                <w:rFonts w:ascii="Aptos" w:hAnsi="Aptos"/>
                <w:b/>
                <w:color w:val="404040"/>
                <w:sz w:val="18"/>
                <w:szCs w:val="18"/>
                <w:lang w:eastAsia="en-GB"/>
              </w:rPr>
              <w:t xml:space="preserve">Extended </w:t>
            </w:r>
            <w:r w:rsidR="0090627A" w:rsidRPr="00215418">
              <w:rPr>
                <w:rFonts w:ascii="Aptos" w:hAnsi="Aptos"/>
                <w:b/>
                <w:color w:val="404040"/>
                <w:sz w:val="18"/>
                <w:szCs w:val="18"/>
                <w:lang w:eastAsia="en-GB"/>
              </w:rPr>
              <w:t>p</w:t>
            </w:r>
            <w:r w:rsidRPr="00215418">
              <w:rPr>
                <w:rFonts w:ascii="Aptos" w:hAnsi="Aptos"/>
                <w:b/>
                <w:color w:val="404040"/>
                <w:sz w:val="18"/>
                <w:szCs w:val="18"/>
                <w:lang w:eastAsia="en-GB"/>
              </w:rPr>
              <w:t xml:space="preserve">roducer </w:t>
            </w:r>
            <w:r w:rsidR="008C00E1" w:rsidRPr="00215418">
              <w:rPr>
                <w:rFonts w:ascii="Aptos" w:hAnsi="Aptos"/>
                <w:b/>
                <w:color w:val="404040"/>
                <w:sz w:val="18"/>
                <w:szCs w:val="18"/>
                <w:lang w:eastAsia="en-GB"/>
              </w:rPr>
              <w:t>r</w:t>
            </w:r>
            <w:r w:rsidRPr="00215418">
              <w:rPr>
                <w:rFonts w:ascii="Aptos" w:hAnsi="Aptos"/>
                <w:b/>
                <w:color w:val="404040"/>
                <w:sz w:val="18"/>
                <w:szCs w:val="18"/>
                <w:lang w:eastAsia="en-GB"/>
              </w:rPr>
              <w:t>esponsibility (EPR) framework for e-waste</w:t>
            </w:r>
          </w:p>
        </w:tc>
        <w:tc>
          <w:tcPr>
            <w:tcW w:w="851" w:type="pct"/>
            <w:tcBorders>
              <w:top w:val="single" w:sz="4" w:space="0" w:color="auto"/>
              <w:left w:val="nil"/>
              <w:bottom w:val="single" w:sz="4" w:space="0" w:color="auto"/>
              <w:right w:val="single" w:sz="4" w:space="0" w:color="auto"/>
            </w:tcBorders>
            <w:shd w:val="clear" w:color="000000" w:fill="CAEDFB"/>
            <w:vAlign w:val="center"/>
            <w:hideMark/>
          </w:tcPr>
          <w:p w14:paraId="6238DE8E" w14:textId="77777777" w:rsidR="006C41B5" w:rsidRPr="00215418"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ptos" w:hAnsi="Aptos"/>
                <w:b/>
                <w:color w:val="404040"/>
                <w:sz w:val="18"/>
                <w:szCs w:val="18"/>
                <w:lang w:eastAsia="en-GB"/>
              </w:rPr>
            </w:pPr>
            <w:r w:rsidRPr="00215418">
              <w:rPr>
                <w:rFonts w:ascii="Aptos" w:hAnsi="Aptos"/>
                <w:b/>
                <w:color w:val="404040"/>
                <w:sz w:val="18"/>
                <w:szCs w:val="18"/>
                <w:lang w:eastAsia="en-GB"/>
              </w:rPr>
              <w:t>Collection targets</w:t>
            </w:r>
          </w:p>
        </w:tc>
        <w:tc>
          <w:tcPr>
            <w:tcW w:w="813" w:type="pct"/>
            <w:tcBorders>
              <w:top w:val="single" w:sz="4" w:space="0" w:color="auto"/>
              <w:left w:val="nil"/>
              <w:bottom w:val="single" w:sz="4" w:space="0" w:color="auto"/>
              <w:right w:val="single" w:sz="4" w:space="0" w:color="auto"/>
            </w:tcBorders>
            <w:shd w:val="clear" w:color="000000" w:fill="CAEDFB"/>
            <w:vAlign w:val="center"/>
            <w:hideMark/>
          </w:tcPr>
          <w:p w14:paraId="3ABEC69A" w14:textId="77777777" w:rsidR="006C41B5" w:rsidRPr="00215418"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ptos" w:hAnsi="Aptos"/>
                <w:b/>
                <w:color w:val="404040"/>
                <w:sz w:val="18"/>
                <w:szCs w:val="18"/>
                <w:lang w:eastAsia="en-GB"/>
              </w:rPr>
            </w:pPr>
            <w:r w:rsidRPr="00215418">
              <w:rPr>
                <w:rFonts w:ascii="Aptos" w:hAnsi="Aptos"/>
                <w:b/>
                <w:color w:val="404040"/>
                <w:sz w:val="18"/>
                <w:szCs w:val="18"/>
                <w:lang w:eastAsia="en-GB"/>
              </w:rPr>
              <w:t>Recycling targets</w:t>
            </w:r>
          </w:p>
        </w:tc>
      </w:tr>
      <w:tr w:rsidR="00760E48" w:rsidRPr="00215418" w14:paraId="501CEA4D"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73BE7D28"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Albania</w:t>
            </w:r>
          </w:p>
        </w:tc>
        <w:tc>
          <w:tcPr>
            <w:tcW w:w="1049" w:type="pct"/>
            <w:tcBorders>
              <w:top w:val="nil"/>
              <w:left w:val="nil"/>
              <w:bottom w:val="single" w:sz="4" w:space="0" w:color="auto"/>
              <w:right w:val="single" w:sz="4" w:space="0" w:color="auto"/>
            </w:tcBorders>
            <w:shd w:val="clear" w:color="auto" w:fill="auto"/>
            <w:noWrap/>
            <w:vAlign w:val="center"/>
          </w:tcPr>
          <w:p w14:paraId="6DD46542"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083D8D64"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3C65E4E8"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tcPr>
          <w:p w14:paraId="2C0B7F3C"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No</w:t>
            </w:r>
          </w:p>
        </w:tc>
      </w:tr>
      <w:tr w:rsidR="00760E48" w:rsidRPr="00215418" w14:paraId="0A219B73"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00556D15"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Andorra</w:t>
            </w:r>
          </w:p>
        </w:tc>
        <w:tc>
          <w:tcPr>
            <w:tcW w:w="1049" w:type="pct"/>
            <w:tcBorders>
              <w:top w:val="nil"/>
              <w:left w:val="nil"/>
              <w:bottom w:val="single" w:sz="4" w:space="0" w:color="auto"/>
              <w:right w:val="single" w:sz="4" w:space="0" w:color="auto"/>
            </w:tcBorders>
            <w:shd w:val="clear" w:color="auto" w:fill="auto"/>
            <w:noWrap/>
            <w:vAlign w:val="center"/>
          </w:tcPr>
          <w:p w14:paraId="684681B0"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N/A</w:t>
            </w:r>
          </w:p>
        </w:tc>
        <w:tc>
          <w:tcPr>
            <w:tcW w:w="1112" w:type="pct"/>
            <w:tcBorders>
              <w:top w:val="nil"/>
              <w:left w:val="nil"/>
              <w:bottom w:val="single" w:sz="4" w:space="0" w:color="auto"/>
              <w:right w:val="single" w:sz="4" w:space="0" w:color="auto"/>
            </w:tcBorders>
            <w:shd w:val="clear" w:color="auto" w:fill="auto"/>
            <w:noWrap/>
            <w:vAlign w:val="center"/>
          </w:tcPr>
          <w:p w14:paraId="73EA2C94"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N/A</w:t>
            </w:r>
          </w:p>
        </w:tc>
        <w:tc>
          <w:tcPr>
            <w:tcW w:w="851" w:type="pct"/>
            <w:tcBorders>
              <w:top w:val="nil"/>
              <w:left w:val="nil"/>
              <w:bottom w:val="single" w:sz="4" w:space="0" w:color="auto"/>
              <w:right w:val="single" w:sz="4" w:space="0" w:color="auto"/>
            </w:tcBorders>
            <w:shd w:val="clear" w:color="auto" w:fill="auto"/>
            <w:noWrap/>
            <w:vAlign w:val="center"/>
          </w:tcPr>
          <w:p w14:paraId="79BD2AB7"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N/A</w:t>
            </w:r>
          </w:p>
        </w:tc>
        <w:tc>
          <w:tcPr>
            <w:tcW w:w="813" w:type="pct"/>
            <w:tcBorders>
              <w:top w:val="nil"/>
              <w:left w:val="nil"/>
              <w:bottom w:val="single" w:sz="4" w:space="0" w:color="auto"/>
              <w:right w:val="single" w:sz="4" w:space="0" w:color="auto"/>
            </w:tcBorders>
            <w:shd w:val="clear" w:color="auto" w:fill="auto"/>
            <w:noWrap/>
            <w:vAlign w:val="center"/>
          </w:tcPr>
          <w:p w14:paraId="691C9F8C"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N/A</w:t>
            </w:r>
          </w:p>
        </w:tc>
      </w:tr>
      <w:tr w:rsidR="00760E48" w:rsidRPr="00215418" w14:paraId="7268D072"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4655393C"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Austria</w:t>
            </w:r>
          </w:p>
        </w:tc>
        <w:tc>
          <w:tcPr>
            <w:tcW w:w="1049" w:type="pct"/>
            <w:tcBorders>
              <w:top w:val="nil"/>
              <w:left w:val="nil"/>
              <w:bottom w:val="single" w:sz="4" w:space="0" w:color="auto"/>
              <w:right w:val="single" w:sz="4" w:space="0" w:color="auto"/>
            </w:tcBorders>
            <w:shd w:val="clear" w:color="auto" w:fill="auto"/>
            <w:noWrap/>
            <w:vAlign w:val="center"/>
          </w:tcPr>
          <w:p w14:paraId="4E817DF3"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58C9B43C"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4D143D49"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1C7FEB0B"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17FE3C3B"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3A11A23F"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Belgium</w:t>
            </w:r>
          </w:p>
        </w:tc>
        <w:tc>
          <w:tcPr>
            <w:tcW w:w="1049" w:type="pct"/>
            <w:tcBorders>
              <w:top w:val="nil"/>
              <w:left w:val="nil"/>
              <w:bottom w:val="single" w:sz="4" w:space="0" w:color="auto"/>
              <w:right w:val="single" w:sz="4" w:space="0" w:color="auto"/>
            </w:tcBorders>
            <w:shd w:val="clear" w:color="auto" w:fill="auto"/>
            <w:noWrap/>
            <w:vAlign w:val="center"/>
          </w:tcPr>
          <w:p w14:paraId="518A160A"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397C5E97"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7345A257"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5171DB7D"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3048C3EC"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0F59538A"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Bosnia and Herzegovina</w:t>
            </w:r>
          </w:p>
        </w:tc>
        <w:tc>
          <w:tcPr>
            <w:tcW w:w="1049" w:type="pct"/>
            <w:tcBorders>
              <w:top w:val="nil"/>
              <w:left w:val="nil"/>
              <w:bottom w:val="single" w:sz="4" w:space="0" w:color="auto"/>
              <w:right w:val="single" w:sz="4" w:space="0" w:color="auto"/>
            </w:tcBorders>
            <w:shd w:val="clear" w:color="auto" w:fill="auto"/>
            <w:noWrap/>
            <w:vAlign w:val="center"/>
          </w:tcPr>
          <w:p w14:paraId="70E6A022"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5A9A31BC"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6872DD06"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19962651"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37C4E2F4"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72910E0C"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Bulgaria</w:t>
            </w:r>
          </w:p>
        </w:tc>
        <w:tc>
          <w:tcPr>
            <w:tcW w:w="1049" w:type="pct"/>
            <w:tcBorders>
              <w:top w:val="nil"/>
              <w:left w:val="nil"/>
              <w:bottom w:val="single" w:sz="4" w:space="0" w:color="auto"/>
              <w:right w:val="single" w:sz="4" w:space="0" w:color="auto"/>
            </w:tcBorders>
            <w:shd w:val="clear" w:color="auto" w:fill="auto"/>
            <w:noWrap/>
            <w:vAlign w:val="center"/>
          </w:tcPr>
          <w:p w14:paraId="41D4CFFB"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1C3BA022"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367B0AEC"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295EE005"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0FA07ADB"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17437AE4"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Croatia</w:t>
            </w:r>
          </w:p>
        </w:tc>
        <w:tc>
          <w:tcPr>
            <w:tcW w:w="1049" w:type="pct"/>
            <w:tcBorders>
              <w:top w:val="nil"/>
              <w:left w:val="nil"/>
              <w:bottom w:val="single" w:sz="4" w:space="0" w:color="auto"/>
              <w:right w:val="single" w:sz="4" w:space="0" w:color="auto"/>
            </w:tcBorders>
            <w:shd w:val="clear" w:color="auto" w:fill="auto"/>
            <w:noWrap/>
            <w:vAlign w:val="center"/>
          </w:tcPr>
          <w:p w14:paraId="12CE44EA"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0E366E72"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5937D00C"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4D3544E2"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593F8DBB"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1A95D47D"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Cyprus</w:t>
            </w:r>
          </w:p>
        </w:tc>
        <w:tc>
          <w:tcPr>
            <w:tcW w:w="1049" w:type="pct"/>
            <w:tcBorders>
              <w:top w:val="nil"/>
              <w:left w:val="nil"/>
              <w:bottom w:val="single" w:sz="4" w:space="0" w:color="auto"/>
              <w:right w:val="single" w:sz="4" w:space="0" w:color="auto"/>
            </w:tcBorders>
            <w:shd w:val="clear" w:color="auto" w:fill="auto"/>
            <w:noWrap/>
            <w:vAlign w:val="center"/>
          </w:tcPr>
          <w:p w14:paraId="01058A58"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4C98F7A8"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2361CFE3"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7A70ECF6"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02415202"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762D1C37"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Czech Republic</w:t>
            </w:r>
          </w:p>
        </w:tc>
        <w:tc>
          <w:tcPr>
            <w:tcW w:w="1049" w:type="pct"/>
            <w:tcBorders>
              <w:top w:val="nil"/>
              <w:left w:val="nil"/>
              <w:bottom w:val="single" w:sz="4" w:space="0" w:color="auto"/>
              <w:right w:val="single" w:sz="4" w:space="0" w:color="auto"/>
            </w:tcBorders>
            <w:shd w:val="clear" w:color="auto" w:fill="auto"/>
            <w:noWrap/>
            <w:vAlign w:val="center"/>
          </w:tcPr>
          <w:p w14:paraId="3BA06FA7"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14E8354F"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2B51D0CC"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7CC3E551"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5D4A04CF"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1EF3DAB0"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Denmark</w:t>
            </w:r>
          </w:p>
        </w:tc>
        <w:tc>
          <w:tcPr>
            <w:tcW w:w="1049" w:type="pct"/>
            <w:tcBorders>
              <w:top w:val="nil"/>
              <w:left w:val="nil"/>
              <w:bottom w:val="single" w:sz="4" w:space="0" w:color="auto"/>
              <w:right w:val="single" w:sz="4" w:space="0" w:color="auto"/>
            </w:tcBorders>
            <w:shd w:val="clear" w:color="auto" w:fill="auto"/>
            <w:noWrap/>
            <w:vAlign w:val="center"/>
          </w:tcPr>
          <w:p w14:paraId="0C19621E"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44D5CAA7"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58CC3385"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2CE160C4"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768910D1"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7BA76F95"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Estonia</w:t>
            </w:r>
          </w:p>
        </w:tc>
        <w:tc>
          <w:tcPr>
            <w:tcW w:w="1049" w:type="pct"/>
            <w:tcBorders>
              <w:top w:val="nil"/>
              <w:left w:val="nil"/>
              <w:bottom w:val="single" w:sz="4" w:space="0" w:color="auto"/>
              <w:right w:val="single" w:sz="4" w:space="0" w:color="auto"/>
            </w:tcBorders>
            <w:shd w:val="clear" w:color="auto" w:fill="auto"/>
            <w:noWrap/>
            <w:vAlign w:val="center"/>
          </w:tcPr>
          <w:p w14:paraId="6170A708"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39C4BA25"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4B25E7EB"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083F1158"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6DD4DB84"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03571671"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Finland</w:t>
            </w:r>
          </w:p>
        </w:tc>
        <w:tc>
          <w:tcPr>
            <w:tcW w:w="1049" w:type="pct"/>
            <w:tcBorders>
              <w:top w:val="nil"/>
              <w:left w:val="nil"/>
              <w:bottom w:val="single" w:sz="4" w:space="0" w:color="auto"/>
              <w:right w:val="single" w:sz="4" w:space="0" w:color="auto"/>
            </w:tcBorders>
            <w:shd w:val="clear" w:color="auto" w:fill="auto"/>
            <w:noWrap/>
            <w:vAlign w:val="center"/>
          </w:tcPr>
          <w:p w14:paraId="3F04B1E9"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322A0EB6"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12833882"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4F1B8547"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7EDB9F5E"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19F65848"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France</w:t>
            </w:r>
          </w:p>
        </w:tc>
        <w:tc>
          <w:tcPr>
            <w:tcW w:w="1049" w:type="pct"/>
            <w:tcBorders>
              <w:top w:val="nil"/>
              <w:left w:val="nil"/>
              <w:bottom w:val="single" w:sz="4" w:space="0" w:color="auto"/>
              <w:right w:val="single" w:sz="4" w:space="0" w:color="auto"/>
            </w:tcBorders>
            <w:shd w:val="clear" w:color="auto" w:fill="auto"/>
            <w:noWrap/>
            <w:vAlign w:val="center"/>
          </w:tcPr>
          <w:p w14:paraId="1AA5896A"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5B957761"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1011B635"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1287CD4C"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798EC8A3"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4A7DD348"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Georgia</w:t>
            </w:r>
          </w:p>
        </w:tc>
        <w:tc>
          <w:tcPr>
            <w:tcW w:w="1049" w:type="pct"/>
            <w:tcBorders>
              <w:top w:val="nil"/>
              <w:left w:val="nil"/>
              <w:bottom w:val="single" w:sz="4" w:space="0" w:color="auto"/>
              <w:right w:val="single" w:sz="4" w:space="0" w:color="auto"/>
            </w:tcBorders>
            <w:shd w:val="clear" w:color="auto" w:fill="auto"/>
            <w:noWrap/>
            <w:vAlign w:val="center"/>
          </w:tcPr>
          <w:p w14:paraId="581F4DFE"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43FFE523"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4B063DB7"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497A72B1"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No</w:t>
            </w:r>
          </w:p>
        </w:tc>
      </w:tr>
      <w:tr w:rsidR="00760E48" w:rsidRPr="00215418" w14:paraId="36A5019D"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75B41B55"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Germany</w:t>
            </w:r>
          </w:p>
        </w:tc>
        <w:tc>
          <w:tcPr>
            <w:tcW w:w="1049" w:type="pct"/>
            <w:tcBorders>
              <w:top w:val="nil"/>
              <w:left w:val="nil"/>
              <w:bottom w:val="single" w:sz="4" w:space="0" w:color="auto"/>
              <w:right w:val="single" w:sz="4" w:space="0" w:color="auto"/>
            </w:tcBorders>
            <w:shd w:val="clear" w:color="auto" w:fill="auto"/>
            <w:noWrap/>
            <w:vAlign w:val="center"/>
          </w:tcPr>
          <w:p w14:paraId="1989917B"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4D9ECA10"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5FBAB25C"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18595881"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466323D9"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733BB913"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Greece</w:t>
            </w:r>
          </w:p>
        </w:tc>
        <w:tc>
          <w:tcPr>
            <w:tcW w:w="1049" w:type="pct"/>
            <w:tcBorders>
              <w:top w:val="nil"/>
              <w:left w:val="nil"/>
              <w:bottom w:val="single" w:sz="4" w:space="0" w:color="auto"/>
              <w:right w:val="single" w:sz="4" w:space="0" w:color="auto"/>
            </w:tcBorders>
            <w:shd w:val="clear" w:color="auto" w:fill="auto"/>
            <w:noWrap/>
            <w:vAlign w:val="center"/>
          </w:tcPr>
          <w:p w14:paraId="55381453"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637088E5"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6F40A3BD"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1DD66EBE"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2B7EE987"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646317D8"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Hungary</w:t>
            </w:r>
          </w:p>
        </w:tc>
        <w:tc>
          <w:tcPr>
            <w:tcW w:w="1049" w:type="pct"/>
            <w:tcBorders>
              <w:top w:val="nil"/>
              <w:left w:val="nil"/>
              <w:bottom w:val="single" w:sz="4" w:space="0" w:color="auto"/>
              <w:right w:val="single" w:sz="4" w:space="0" w:color="auto"/>
            </w:tcBorders>
            <w:shd w:val="clear" w:color="auto" w:fill="auto"/>
            <w:noWrap/>
            <w:vAlign w:val="center"/>
          </w:tcPr>
          <w:p w14:paraId="48969568"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53EE8BC0"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01741DD8"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5EA999D2"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0EDD6C19"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3ED1B5FC"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Iceland</w:t>
            </w:r>
          </w:p>
        </w:tc>
        <w:tc>
          <w:tcPr>
            <w:tcW w:w="1049" w:type="pct"/>
            <w:tcBorders>
              <w:top w:val="nil"/>
              <w:left w:val="nil"/>
              <w:bottom w:val="single" w:sz="4" w:space="0" w:color="auto"/>
              <w:right w:val="single" w:sz="4" w:space="0" w:color="auto"/>
            </w:tcBorders>
            <w:shd w:val="clear" w:color="auto" w:fill="auto"/>
            <w:noWrap/>
            <w:vAlign w:val="center"/>
          </w:tcPr>
          <w:p w14:paraId="0E3F6B80"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320BD701"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0B442279"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4FEB3F04"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77209241"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5F88C748"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Ireland</w:t>
            </w:r>
          </w:p>
        </w:tc>
        <w:tc>
          <w:tcPr>
            <w:tcW w:w="1049" w:type="pct"/>
            <w:tcBorders>
              <w:top w:val="nil"/>
              <w:left w:val="nil"/>
              <w:bottom w:val="single" w:sz="4" w:space="0" w:color="auto"/>
              <w:right w:val="single" w:sz="4" w:space="0" w:color="auto"/>
            </w:tcBorders>
            <w:shd w:val="clear" w:color="auto" w:fill="auto"/>
            <w:noWrap/>
            <w:vAlign w:val="center"/>
          </w:tcPr>
          <w:p w14:paraId="1D520AF2"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6F7AAE11"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5074BF4E"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29DBFA5D"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14133F16"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3797CAF7"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Israel</w:t>
            </w:r>
          </w:p>
        </w:tc>
        <w:tc>
          <w:tcPr>
            <w:tcW w:w="1049" w:type="pct"/>
            <w:tcBorders>
              <w:top w:val="nil"/>
              <w:left w:val="nil"/>
              <w:bottom w:val="single" w:sz="4" w:space="0" w:color="auto"/>
              <w:right w:val="single" w:sz="4" w:space="0" w:color="auto"/>
            </w:tcBorders>
            <w:shd w:val="clear" w:color="auto" w:fill="auto"/>
            <w:noWrap/>
            <w:vAlign w:val="center"/>
          </w:tcPr>
          <w:p w14:paraId="5552293D"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4C04FC40"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764DFD16"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tcPr>
          <w:p w14:paraId="28F32D07"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No</w:t>
            </w:r>
          </w:p>
        </w:tc>
      </w:tr>
      <w:tr w:rsidR="00760E48" w:rsidRPr="00215418" w14:paraId="5ECAD859"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4167E4CA"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Italy</w:t>
            </w:r>
          </w:p>
        </w:tc>
        <w:tc>
          <w:tcPr>
            <w:tcW w:w="1049" w:type="pct"/>
            <w:tcBorders>
              <w:top w:val="nil"/>
              <w:left w:val="nil"/>
              <w:bottom w:val="single" w:sz="4" w:space="0" w:color="auto"/>
              <w:right w:val="single" w:sz="4" w:space="0" w:color="auto"/>
            </w:tcBorders>
            <w:shd w:val="clear" w:color="auto" w:fill="auto"/>
            <w:noWrap/>
            <w:vAlign w:val="center"/>
          </w:tcPr>
          <w:p w14:paraId="49C10342"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0CA6C7B5"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75481E3A"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6ABC8F1A"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2796EFC9"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26DAAA7F"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Latvia</w:t>
            </w:r>
          </w:p>
        </w:tc>
        <w:tc>
          <w:tcPr>
            <w:tcW w:w="1049" w:type="pct"/>
            <w:tcBorders>
              <w:top w:val="nil"/>
              <w:left w:val="nil"/>
              <w:bottom w:val="single" w:sz="4" w:space="0" w:color="auto"/>
              <w:right w:val="single" w:sz="4" w:space="0" w:color="auto"/>
            </w:tcBorders>
            <w:shd w:val="clear" w:color="auto" w:fill="auto"/>
            <w:noWrap/>
            <w:vAlign w:val="center"/>
          </w:tcPr>
          <w:p w14:paraId="2DCB8DA6"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7505E607"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7E569ABE"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5B7B6322"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289EABA0"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6479C317"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Liechtenstein</w:t>
            </w:r>
          </w:p>
        </w:tc>
        <w:tc>
          <w:tcPr>
            <w:tcW w:w="1049" w:type="pct"/>
            <w:tcBorders>
              <w:top w:val="nil"/>
              <w:left w:val="nil"/>
              <w:bottom w:val="single" w:sz="4" w:space="0" w:color="auto"/>
              <w:right w:val="single" w:sz="4" w:space="0" w:color="auto"/>
            </w:tcBorders>
            <w:shd w:val="clear" w:color="auto" w:fill="auto"/>
            <w:noWrap/>
            <w:vAlign w:val="center"/>
          </w:tcPr>
          <w:p w14:paraId="2E3E37BA"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N/A</w:t>
            </w:r>
          </w:p>
        </w:tc>
        <w:tc>
          <w:tcPr>
            <w:tcW w:w="1112" w:type="pct"/>
            <w:tcBorders>
              <w:top w:val="nil"/>
              <w:left w:val="nil"/>
              <w:bottom w:val="single" w:sz="4" w:space="0" w:color="auto"/>
              <w:right w:val="single" w:sz="4" w:space="0" w:color="auto"/>
            </w:tcBorders>
            <w:shd w:val="clear" w:color="auto" w:fill="auto"/>
            <w:noWrap/>
            <w:vAlign w:val="center"/>
          </w:tcPr>
          <w:p w14:paraId="23ECA367"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N/A</w:t>
            </w:r>
          </w:p>
        </w:tc>
        <w:tc>
          <w:tcPr>
            <w:tcW w:w="851" w:type="pct"/>
            <w:tcBorders>
              <w:top w:val="nil"/>
              <w:left w:val="nil"/>
              <w:bottom w:val="single" w:sz="4" w:space="0" w:color="auto"/>
              <w:right w:val="single" w:sz="4" w:space="0" w:color="auto"/>
            </w:tcBorders>
            <w:shd w:val="clear" w:color="auto" w:fill="auto"/>
            <w:noWrap/>
            <w:vAlign w:val="center"/>
          </w:tcPr>
          <w:p w14:paraId="48456F2C"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N/A</w:t>
            </w:r>
          </w:p>
        </w:tc>
        <w:tc>
          <w:tcPr>
            <w:tcW w:w="813" w:type="pct"/>
            <w:tcBorders>
              <w:top w:val="nil"/>
              <w:left w:val="nil"/>
              <w:bottom w:val="single" w:sz="4" w:space="0" w:color="auto"/>
              <w:right w:val="single" w:sz="4" w:space="0" w:color="auto"/>
            </w:tcBorders>
            <w:shd w:val="clear" w:color="auto" w:fill="auto"/>
            <w:noWrap/>
            <w:vAlign w:val="center"/>
          </w:tcPr>
          <w:p w14:paraId="2AC6D323"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N/A</w:t>
            </w:r>
          </w:p>
        </w:tc>
      </w:tr>
      <w:tr w:rsidR="00760E48" w:rsidRPr="00215418" w14:paraId="682D7406"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6A2ADEA8"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Lithuania</w:t>
            </w:r>
          </w:p>
        </w:tc>
        <w:tc>
          <w:tcPr>
            <w:tcW w:w="1049" w:type="pct"/>
            <w:tcBorders>
              <w:top w:val="nil"/>
              <w:left w:val="nil"/>
              <w:bottom w:val="single" w:sz="4" w:space="0" w:color="auto"/>
              <w:right w:val="single" w:sz="4" w:space="0" w:color="auto"/>
            </w:tcBorders>
            <w:shd w:val="clear" w:color="auto" w:fill="auto"/>
            <w:noWrap/>
            <w:vAlign w:val="center"/>
          </w:tcPr>
          <w:p w14:paraId="09ACC274"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43AC9370"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4EA10B79"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13420E5B"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63BA0111"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32C90883"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Luxembourg</w:t>
            </w:r>
          </w:p>
        </w:tc>
        <w:tc>
          <w:tcPr>
            <w:tcW w:w="1049" w:type="pct"/>
            <w:tcBorders>
              <w:top w:val="nil"/>
              <w:left w:val="nil"/>
              <w:bottom w:val="single" w:sz="4" w:space="0" w:color="auto"/>
              <w:right w:val="single" w:sz="4" w:space="0" w:color="auto"/>
            </w:tcBorders>
            <w:shd w:val="clear" w:color="auto" w:fill="auto"/>
            <w:noWrap/>
            <w:vAlign w:val="center"/>
          </w:tcPr>
          <w:p w14:paraId="65584681"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0695B68E"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38892A72"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012E2E7C"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5A4A000A"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71C7E7F4"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Malta</w:t>
            </w:r>
          </w:p>
        </w:tc>
        <w:tc>
          <w:tcPr>
            <w:tcW w:w="1049" w:type="pct"/>
            <w:tcBorders>
              <w:top w:val="nil"/>
              <w:left w:val="nil"/>
              <w:bottom w:val="single" w:sz="4" w:space="0" w:color="auto"/>
              <w:right w:val="single" w:sz="4" w:space="0" w:color="auto"/>
            </w:tcBorders>
            <w:shd w:val="clear" w:color="auto" w:fill="auto"/>
            <w:noWrap/>
            <w:vAlign w:val="center"/>
          </w:tcPr>
          <w:p w14:paraId="1D1A6DD5"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19F45754"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4DC6E7EA"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62BBD0E6"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3DCC1A5B"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63F05C78"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Moldova</w:t>
            </w:r>
          </w:p>
        </w:tc>
        <w:tc>
          <w:tcPr>
            <w:tcW w:w="1049" w:type="pct"/>
            <w:tcBorders>
              <w:top w:val="nil"/>
              <w:left w:val="nil"/>
              <w:bottom w:val="single" w:sz="4" w:space="0" w:color="auto"/>
              <w:right w:val="single" w:sz="4" w:space="0" w:color="auto"/>
            </w:tcBorders>
            <w:shd w:val="clear" w:color="auto" w:fill="auto"/>
            <w:noWrap/>
            <w:vAlign w:val="center"/>
          </w:tcPr>
          <w:p w14:paraId="17184375"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18E0AD82"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7E6D0B12"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384EB03E"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No</w:t>
            </w:r>
          </w:p>
        </w:tc>
      </w:tr>
      <w:tr w:rsidR="00760E48" w:rsidRPr="00215418" w14:paraId="2C19A1B0"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5A1BFB1C"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Monaco</w:t>
            </w:r>
          </w:p>
        </w:tc>
        <w:tc>
          <w:tcPr>
            <w:tcW w:w="1049" w:type="pct"/>
            <w:tcBorders>
              <w:top w:val="nil"/>
              <w:left w:val="nil"/>
              <w:bottom w:val="single" w:sz="4" w:space="0" w:color="auto"/>
              <w:right w:val="single" w:sz="4" w:space="0" w:color="auto"/>
            </w:tcBorders>
            <w:shd w:val="clear" w:color="auto" w:fill="auto"/>
            <w:noWrap/>
            <w:vAlign w:val="center"/>
          </w:tcPr>
          <w:p w14:paraId="7E7D4A25"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N/A</w:t>
            </w:r>
          </w:p>
        </w:tc>
        <w:tc>
          <w:tcPr>
            <w:tcW w:w="1112" w:type="pct"/>
            <w:tcBorders>
              <w:top w:val="nil"/>
              <w:left w:val="nil"/>
              <w:bottom w:val="single" w:sz="4" w:space="0" w:color="auto"/>
              <w:right w:val="single" w:sz="4" w:space="0" w:color="auto"/>
            </w:tcBorders>
            <w:shd w:val="clear" w:color="auto" w:fill="auto"/>
            <w:noWrap/>
            <w:vAlign w:val="center"/>
          </w:tcPr>
          <w:p w14:paraId="279259A4"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N/A</w:t>
            </w:r>
          </w:p>
        </w:tc>
        <w:tc>
          <w:tcPr>
            <w:tcW w:w="851" w:type="pct"/>
            <w:tcBorders>
              <w:top w:val="nil"/>
              <w:left w:val="nil"/>
              <w:bottom w:val="single" w:sz="4" w:space="0" w:color="auto"/>
              <w:right w:val="single" w:sz="4" w:space="0" w:color="auto"/>
            </w:tcBorders>
            <w:shd w:val="clear" w:color="auto" w:fill="auto"/>
            <w:noWrap/>
            <w:vAlign w:val="center"/>
          </w:tcPr>
          <w:p w14:paraId="3485A725"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N/A</w:t>
            </w:r>
          </w:p>
        </w:tc>
        <w:tc>
          <w:tcPr>
            <w:tcW w:w="813" w:type="pct"/>
            <w:tcBorders>
              <w:top w:val="nil"/>
              <w:left w:val="nil"/>
              <w:bottom w:val="single" w:sz="4" w:space="0" w:color="auto"/>
              <w:right w:val="single" w:sz="4" w:space="0" w:color="auto"/>
            </w:tcBorders>
            <w:shd w:val="clear" w:color="auto" w:fill="auto"/>
            <w:noWrap/>
            <w:vAlign w:val="center"/>
          </w:tcPr>
          <w:p w14:paraId="066A039F"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N/A</w:t>
            </w:r>
          </w:p>
        </w:tc>
      </w:tr>
      <w:tr w:rsidR="00760E48" w:rsidRPr="00215418" w14:paraId="2BE34D67"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6E5C95E1"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Montenegro</w:t>
            </w:r>
          </w:p>
        </w:tc>
        <w:tc>
          <w:tcPr>
            <w:tcW w:w="1049" w:type="pct"/>
            <w:tcBorders>
              <w:top w:val="nil"/>
              <w:left w:val="nil"/>
              <w:bottom w:val="single" w:sz="4" w:space="0" w:color="auto"/>
              <w:right w:val="single" w:sz="4" w:space="0" w:color="auto"/>
            </w:tcBorders>
            <w:shd w:val="clear" w:color="auto" w:fill="auto"/>
            <w:noWrap/>
            <w:vAlign w:val="center"/>
          </w:tcPr>
          <w:p w14:paraId="70EEDABC"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164A6432"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tcPr>
          <w:p w14:paraId="3EF29C6B"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tcPr>
          <w:p w14:paraId="7C678EEE"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No</w:t>
            </w:r>
          </w:p>
        </w:tc>
      </w:tr>
      <w:tr w:rsidR="00760E48" w:rsidRPr="00215418" w14:paraId="2E0E5603"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4A1D3585"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Netherlands</w:t>
            </w:r>
          </w:p>
        </w:tc>
        <w:tc>
          <w:tcPr>
            <w:tcW w:w="1049" w:type="pct"/>
            <w:tcBorders>
              <w:top w:val="nil"/>
              <w:left w:val="nil"/>
              <w:bottom w:val="single" w:sz="4" w:space="0" w:color="auto"/>
              <w:right w:val="single" w:sz="4" w:space="0" w:color="auto"/>
            </w:tcBorders>
            <w:shd w:val="clear" w:color="auto" w:fill="auto"/>
            <w:noWrap/>
            <w:vAlign w:val="center"/>
          </w:tcPr>
          <w:p w14:paraId="5D9B05A2"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1F33FB49"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283BD46C"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1A50EFDB"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46D64D5C"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7706866E"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North Macedonia</w:t>
            </w:r>
          </w:p>
        </w:tc>
        <w:tc>
          <w:tcPr>
            <w:tcW w:w="1049" w:type="pct"/>
            <w:tcBorders>
              <w:top w:val="nil"/>
              <w:left w:val="nil"/>
              <w:bottom w:val="single" w:sz="4" w:space="0" w:color="auto"/>
              <w:right w:val="single" w:sz="4" w:space="0" w:color="auto"/>
            </w:tcBorders>
            <w:shd w:val="clear" w:color="auto" w:fill="auto"/>
            <w:noWrap/>
            <w:vAlign w:val="center"/>
          </w:tcPr>
          <w:p w14:paraId="506025E4"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139A8674"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2A24D5D3"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622BD6A4"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No</w:t>
            </w:r>
          </w:p>
        </w:tc>
      </w:tr>
      <w:tr w:rsidR="00760E48" w:rsidRPr="00215418" w14:paraId="38533BAA"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26629EF6"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Norway</w:t>
            </w:r>
          </w:p>
        </w:tc>
        <w:tc>
          <w:tcPr>
            <w:tcW w:w="1049" w:type="pct"/>
            <w:tcBorders>
              <w:top w:val="nil"/>
              <w:left w:val="nil"/>
              <w:bottom w:val="single" w:sz="4" w:space="0" w:color="auto"/>
              <w:right w:val="single" w:sz="4" w:space="0" w:color="auto"/>
            </w:tcBorders>
            <w:shd w:val="clear" w:color="auto" w:fill="auto"/>
            <w:noWrap/>
            <w:vAlign w:val="center"/>
          </w:tcPr>
          <w:p w14:paraId="3079035B"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2D82988B"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0622E836"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04331FAF"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1B4EA175"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6C24C059"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Poland</w:t>
            </w:r>
          </w:p>
        </w:tc>
        <w:tc>
          <w:tcPr>
            <w:tcW w:w="1049" w:type="pct"/>
            <w:tcBorders>
              <w:top w:val="nil"/>
              <w:left w:val="nil"/>
              <w:bottom w:val="single" w:sz="4" w:space="0" w:color="auto"/>
              <w:right w:val="single" w:sz="4" w:space="0" w:color="auto"/>
            </w:tcBorders>
            <w:shd w:val="clear" w:color="auto" w:fill="auto"/>
            <w:noWrap/>
            <w:vAlign w:val="center"/>
          </w:tcPr>
          <w:p w14:paraId="58F3FD22"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2342E349"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58162A81"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65697F89"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717DB705"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3294D48E"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Portugal</w:t>
            </w:r>
          </w:p>
        </w:tc>
        <w:tc>
          <w:tcPr>
            <w:tcW w:w="1049" w:type="pct"/>
            <w:tcBorders>
              <w:top w:val="nil"/>
              <w:left w:val="nil"/>
              <w:bottom w:val="single" w:sz="4" w:space="0" w:color="auto"/>
              <w:right w:val="single" w:sz="4" w:space="0" w:color="auto"/>
            </w:tcBorders>
            <w:shd w:val="clear" w:color="auto" w:fill="auto"/>
            <w:noWrap/>
            <w:vAlign w:val="center"/>
          </w:tcPr>
          <w:p w14:paraId="12AB1744"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48A850B6"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7C2D3B1E"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6E41E867"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79939003"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7EE3218A"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Romania</w:t>
            </w:r>
          </w:p>
        </w:tc>
        <w:tc>
          <w:tcPr>
            <w:tcW w:w="1049" w:type="pct"/>
            <w:tcBorders>
              <w:top w:val="nil"/>
              <w:left w:val="nil"/>
              <w:bottom w:val="single" w:sz="4" w:space="0" w:color="auto"/>
              <w:right w:val="single" w:sz="4" w:space="0" w:color="auto"/>
            </w:tcBorders>
            <w:shd w:val="clear" w:color="auto" w:fill="auto"/>
            <w:noWrap/>
            <w:vAlign w:val="center"/>
          </w:tcPr>
          <w:p w14:paraId="6A8AAC88"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6509D1EB"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44C70F85"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23AB316B"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02EB46ED"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2D08C17F"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San Marino</w:t>
            </w:r>
          </w:p>
        </w:tc>
        <w:tc>
          <w:tcPr>
            <w:tcW w:w="1049" w:type="pct"/>
            <w:tcBorders>
              <w:top w:val="nil"/>
              <w:left w:val="nil"/>
              <w:bottom w:val="single" w:sz="4" w:space="0" w:color="auto"/>
              <w:right w:val="single" w:sz="4" w:space="0" w:color="auto"/>
            </w:tcBorders>
            <w:shd w:val="clear" w:color="auto" w:fill="auto"/>
            <w:noWrap/>
            <w:vAlign w:val="center"/>
          </w:tcPr>
          <w:p w14:paraId="43F3E919"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tcPr>
          <w:p w14:paraId="7F423440"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tcPr>
          <w:p w14:paraId="29DB8917"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tcPr>
          <w:p w14:paraId="66270B59"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No</w:t>
            </w:r>
          </w:p>
        </w:tc>
      </w:tr>
      <w:tr w:rsidR="00760E48" w:rsidRPr="00215418" w14:paraId="7A3082E7"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170CB3AA"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Serbia</w:t>
            </w:r>
          </w:p>
        </w:tc>
        <w:tc>
          <w:tcPr>
            <w:tcW w:w="1049" w:type="pct"/>
            <w:tcBorders>
              <w:top w:val="nil"/>
              <w:left w:val="nil"/>
              <w:bottom w:val="single" w:sz="4" w:space="0" w:color="auto"/>
              <w:right w:val="single" w:sz="4" w:space="0" w:color="auto"/>
            </w:tcBorders>
            <w:shd w:val="clear" w:color="auto" w:fill="auto"/>
            <w:noWrap/>
            <w:vAlign w:val="center"/>
          </w:tcPr>
          <w:p w14:paraId="5D5531C3"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2862EEBE"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766DADE3"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68B4C683"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No</w:t>
            </w:r>
          </w:p>
        </w:tc>
      </w:tr>
      <w:tr w:rsidR="00760E48" w:rsidRPr="00215418" w14:paraId="6330771C"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321AC6AA"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Slovakia</w:t>
            </w:r>
          </w:p>
        </w:tc>
        <w:tc>
          <w:tcPr>
            <w:tcW w:w="1049" w:type="pct"/>
            <w:tcBorders>
              <w:top w:val="nil"/>
              <w:left w:val="nil"/>
              <w:bottom w:val="single" w:sz="4" w:space="0" w:color="auto"/>
              <w:right w:val="single" w:sz="4" w:space="0" w:color="auto"/>
            </w:tcBorders>
            <w:shd w:val="clear" w:color="auto" w:fill="auto"/>
            <w:noWrap/>
            <w:vAlign w:val="center"/>
          </w:tcPr>
          <w:p w14:paraId="48442D37"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7A877F6D"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3B3080BE"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4EC7D483"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2F88D29B"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55565EFD"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Slovenia</w:t>
            </w:r>
          </w:p>
        </w:tc>
        <w:tc>
          <w:tcPr>
            <w:tcW w:w="1049" w:type="pct"/>
            <w:tcBorders>
              <w:top w:val="nil"/>
              <w:left w:val="nil"/>
              <w:bottom w:val="single" w:sz="4" w:space="0" w:color="auto"/>
              <w:right w:val="single" w:sz="4" w:space="0" w:color="auto"/>
            </w:tcBorders>
            <w:shd w:val="clear" w:color="auto" w:fill="auto"/>
            <w:noWrap/>
            <w:vAlign w:val="center"/>
          </w:tcPr>
          <w:p w14:paraId="6D86E660"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6B40E23D"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3334379F"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7546932B"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62405808"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2F04530F"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Spain</w:t>
            </w:r>
          </w:p>
        </w:tc>
        <w:tc>
          <w:tcPr>
            <w:tcW w:w="1049" w:type="pct"/>
            <w:tcBorders>
              <w:top w:val="nil"/>
              <w:left w:val="nil"/>
              <w:bottom w:val="single" w:sz="4" w:space="0" w:color="auto"/>
              <w:right w:val="single" w:sz="4" w:space="0" w:color="auto"/>
            </w:tcBorders>
            <w:shd w:val="clear" w:color="auto" w:fill="auto"/>
            <w:noWrap/>
            <w:vAlign w:val="center"/>
          </w:tcPr>
          <w:p w14:paraId="53F33C9E"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35694EE5"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24046456"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5789F31C"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42909DA1"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597E0318"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Sweden</w:t>
            </w:r>
          </w:p>
        </w:tc>
        <w:tc>
          <w:tcPr>
            <w:tcW w:w="1049" w:type="pct"/>
            <w:tcBorders>
              <w:top w:val="nil"/>
              <w:left w:val="nil"/>
              <w:bottom w:val="single" w:sz="4" w:space="0" w:color="auto"/>
              <w:right w:val="single" w:sz="4" w:space="0" w:color="auto"/>
            </w:tcBorders>
            <w:shd w:val="clear" w:color="auto" w:fill="auto"/>
            <w:noWrap/>
            <w:vAlign w:val="center"/>
          </w:tcPr>
          <w:p w14:paraId="5249A7E7"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6EBB303E"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1E36A6DF"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31AC85AA"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6AA29CE5"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40FBFF48"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Switzerland</w:t>
            </w:r>
          </w:p>
        </w:tc>
        <w:tc>
          <w:tcPr>
            <w:tcW w:w="1049" w:type="pct"/>
            <w:tcBorders>
              <w:top w:val="nil"/>
              <w:left w:val="nil"/>
              <w:bottom w:val="single" w:sz="4" w:space="0" w:color="auto"/>
              <w:right w:val="single" w:sz="4" w:space="0" w:color="auto"/>
            </w:tcBorders>
            <w:shd w:val="clear" w:color="auto" w:fill="auto"/>
            <w:noWrap/>
            <w:vAlign w:val="center"/>
          </w:tcPr>
          <w:p w14:paraId="1E7D462C"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46F9D7BB"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79D6014A"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21FC645A"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07FDB3B8"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7B69F2FA" w14:textId="064359FF"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Türkiye</w:t>
            </w:r>
          </w:p>
        </w:tc>
        <w:tc>
          <w:tcPr>
            <w:tcW w:w="1049" w:type="pct"/>
            <w:tcBorders>
              <w:top w:val="nil"/>
              <w:left w:val="nil"/>
              <w:bottom w:val="single" w:sz="4" w:space="0" w:color="auto"/>
              <w:right w:val="single" w:sz="4" w:space="0" w:color="auto"/>
            </w:tcBorders>
            <w:shd w:val="clear" w:color="auto" w:fill="auto"/>
            <w:noWrap/>
            <w:vAlign w:val="center"/>
          </w:tcPr>
          <w:p w14:paraId="2A9B4F57"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233F9373"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59086A42"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32E14AC2"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398C8753"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2AE45903"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Ukraine</w:t>
            </w:r>
          </w:p>
        </w:tc>
        <w:tc>
          <w:tcPr>
            <w:tcW w:w="1049" w:type="pct"/>
            <w:tcBorders>
              <w:top w:val="nil"/>
              <w:left w:val="nil"/>
              <w:bottom w:val="single" w:sz="4" w:space="0" w:color="auto"/>
              <w:right w:val="single" w:sz="4" w:space="0" w:color="auto"/>
            </w:tcBorders>
            <w:shd w:val="clear" w:color="auto" w:fill="auto"/>
            <w:noWrap/>
            <w:vAlign w:val="center"/>
          </w:tcPr>
          <w:p w14:paraId="1537804A"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0D415334"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tcPr>
          <w:p w14:paraId="1E21ADD6"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tcPr>
          <w:p w14:paraId="0D16AA36"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No</w:t>
            </w:r>
          </w:p>
        </w:tc>
      </w:tr>
      <w:tr w:rsidR="00760E48" w:rsidRPr="00215418" w14:paraId="656A83B2"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5F304D59"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United Kingdom</w:t>
            </w:r>
          </w:p>
        </w:tc>
        <w:tc>
          <w:tcPr>
            <w:tcW w:w="1049" w:type="pct"/>
            <w:tcBorders>
              <w:top w:val="nil"/>
              <w:left w:val="nil"/>
              <w:bottom w:val="single" w:sz="4" w:space="0" w:color="auto"/>
              <w:right w:val="single" w:sz="4" w:space="0" w:color="auto"/>
            </w:tcBorders>
            <w:shd w:val="clear" w:color="auto" w:fill="auto"/>
            <w:noWrap/>
            <w:vAlign w:val="center"/>
          </w:tcPr>
          <w:p w14:paraId="5B143323"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30FA9D75"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19775FE2"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13A6146E"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bl>
    <w:p w14:paraId="60BA3804" w14:textId="77777777" w:rsidR="006C41B5" w:rsidRPr="00215418" w:rsidRDefault="006C41B5" w:rsidP="00B1004A">
      <w:pPr>
        <w:pStyle w:val="Sourcetext"/>
        <w:rPr>
          <w:rFonts w:eastAsia="Aptos" w:cs="Arial"/>
        </w:rPr>
      </w:pPr>
      <w:r w:rsidRPr="00215418">
        <w:rPr>
          <w:rFonts w:eastAsia="Aptos" w:cs="Arial"/>
        </w:rPr>
        <w:t xml:space="preserve">Source: ITU and UNITAR, </w:t>
      </w:r>
      <w:hyperlink r:id="rId123" w:history="1">
        <w:r w:rsidRPr="00215418">
          <w:rPr>
            <w:rFonts w:eastAsia="Aptos" w:cs="Arial"/>
          </w:rPr>
          <w:t>Global E-waste Monitor, 2024</w:t>
        </w:r>
      </w:hyperlink>
    </w:p>
    <w:p w14:paraId="5F786A14" w14:textId="77777777" w:rsidR="00E03063" w:rsidRPr="00215418" w:rsidRDefault="00E03063" w:rsidP="00E0306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European countries, particularly those within the European Union, stand out as global leaders in effective e-waste legislation and management. Globally, only 42 percent of countries (81 out of 193) have enacted national e-waste policies, legislation, or regulations. Europe emerges as one of the regions with the most extensive implementation, with 41 countries having implemented such frameworks, representing 89.1 percent of the region. Moreover, 39 European countries have adopted extended producer responsibility (EPR) frameworks for e-waste, accounting for 84.8 percent of the region. This represents nearly half of the 67 countries worldwide with legal provisions on EPR for e-</w:t>
      </w:r>
      <w:r w:rsidRPr="00215418">
        <w:rPr>
          <w:rFonts w:ascii="Aptos" w:eastAsia="Aptos" w:hAnsi="Aptos" w:cs="Arial"/>
          <w:kern w:val="2"/>
          <w:sz w:val="22"/>
          <w:szCs w:val="22"/>
          <w14:ligatures w14:val="standardContextual"/>
        </w:rPr>
        <w:lastRenderedPageBreak/>
        <w:t xml:space="preserve">waste. These frameworks are critical for holding producers accountable for the entire lifecycle of their products, from design to disposal, and underline Europe’s leadership in promoting sustainable e-waste management practices. </w:t>
      </w:r>
    </w:p>
    <w:p w14:paraId="7C56B7BD" w14:textId="2811A055" w:rsidR="00F779AF" w:rsidRPr="00215418" w:rsidRDefault="00E03063"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Countries with national e-waste legislation, policy, or regulation tend to have a wide network of collection points for the separate collection of e-waste, as well as better documentation and e-waste management infrastructure. However, the stagnation of the global e-waste collection and recycling rate is likely exacerbated by the fact that only 46 countries worldwide have collection rate targets and only 36 have recycling rate targets. Of these, 37 and 33, respectively, are European countries. Expanding national e-waste legislation and establishing collection and recycling targets in the remaining countries will further strengthen Europe’s efforts to advance a circular economy and reduce environmental and health impacts.</w:t>
      </w:r>
    </w:p>
    <w:p w14:paraId="37A261FC" w14:textId="77777777" w:rsidR="006C41B5" w:rsidRPr="00215418"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br w:type="page"/>
      </w:r>
    </w:p>
    <w:p w14:paraId="6B95C5EE" w14:textId="14DAD658" w:rsidR="006C41B5" w:rsidRPr="00215418" w:rsidRDefault="006C41B5" w:rsidP="000C3666">
      <w:pPr>
        <w:pStyle w:val="Section"/>
      </w:pPr>
      <w:bookmarkStart w:id="21" w:name="_Toc188001395"/>
      <w:r w:rsidRPr="00215418">
        <w:lastRenderedPageBreak/>
        <w:t>Disparit</w:t>
      </w:r>
      <w:r w:rsidR="005B2B24" w:rsidRPr="00215418">
        <w:t>ies</w:t>
      </w:r>
      <w:r w:rsidRPr="00215418">
        <w:t xml:space="preserve"> within the region</w:t>
      </w:r>
      <w:bookmarkEnd w:id="21"/>
    </w:p>
    <w:p w14:paraId="6BD71CF1" w14:textId="5B6C9E83" w:rsidR="006C41B5" w:rsidRPr="00215418"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15418">
        <w:rPr>
          <w:rFonts w:ascii="Aptos" w:eastAsia="Aptos" w:hAnsi="Aptos" w:cs="Arial"/>
          <w:b/>
          <w:bCs/>
          <w:i/>
          <w:iCs/>
          <w:kern w:val="2"/>
          <w:sz w:val="22"/>
          <w:szCs w:val="22"/>
          <w14:ligatures w14:val="standardContextual"/>
        </w:rPr>
        <w:t xml:space="preserve">Regional averages conceal disparities in connectivity among </w:t>
      </w:r>
      <w:r w:rsidR="00BB6365" w:rsidRPr="00215418">
        <w:rPr>
          <w:rFonts w:ascii="Aptos" w:eastAsia="Aptos" w:hAnsi="Aptos" w:cs="Arial"/>
          <w:b/>
          <w:i/>
          <w:kern w:val="2"/>
          <w:sz w:val="22"/>
          <w:szCs w:val="22"/>
          <w14:ligatures w14:val="standardContextual"/>
        </w:rPr>
        <w:t>Europe</w:t>
      </w:r>
      <w:r w:rsidR="009E635F" w:rsidRPr="00215418">
        <w:rPr>
          <w:rFonts w:ascii="Aptos" w:eastAsia="Aptos" w:hAnsi="Aptos" w:cs="Arial"/>
          <w:b/>
          <w:bCs/>
          <w:i/>
          <w:iCs/>
          <w:kern w:val="2"/>
          <w:sz w:val="22"/>
          <w:szCs w:val="22"/>
          <w14:ligatures w14:val="standardContextual"/>
        </w:rPr>
        <w:t>an countries</w:t>
      </w:r>
    </w:p>
    <w:p w14:paraId="44DC9613" w14:textId="1B785185" w:rsidR="0092371A" w:rsidRPr="00215418" w:rsidRDefault="0092371A" w:rsidP="0092371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Europe is diverse in many respects: income level, with the wealthiest country’s GNI per capita nearly </w:t>
      </w:r>
      <w:r w:rsidR="007D0D16" w:rsidRPr="00215418">
        <w:rPr>
          <w:rFonts w:ascii="Aptos" w:eastAsia="Aptos" w:hAnsi="Aptos" w:cs="Arial"/>
          <w:kern w:val="2"/>
          <w:sz w:val="22"/>
          <w:szCs w:val="22"/>
          <w14:ligatures w14:val="standardContextual"/>
        </w:rPr>
        <w:t>50</w:t>
      </w:r>
      <w:r w:rsidRPr="00215418">
        <w:rPr>
          <w:rFonts w:ascii="Aptos" w:eastAsia="Aptos" w:hAnsi="Aptos" w:cs="Arial"/>
          <w:kern w:val="2"/>
          <w:sz w:val="22"/>
          <w:szCs w:val="22"/>
          <w14:ligatures w14:val="standardContextual"/>
        </w:rPr>
        <w:t xml:space="preserve"> times larger than the poorest; urbanization rate, which ranges from </w:t>
      </w:r>
      <w:r w:rsidR="00943C20" w:rsidRPr="00215418">
        <w:rPr>
          <w:rFonts w:ascii="Aptos" w:eastAsia="Aptos" w:hAnsi="Aptos" w:cs="Arial"/>
          <w:kern w:val="2"/>
          <w:sz w:val="22"/>
          <w:szCs w:val="22"/>
          <w14:ligatures w14:val="standardContextual"/>
        </w:rPr>
        <w:t>less than 50</w:t>
      </w:r>
      <w:r w:rsidRPr="00215418">
        <w:rPr>
          <w:rFonts w:ascii="Aptos" w:eastAsia="Aptos" w:hAnsi="Aptos" w:cs="Arial"/>
          <w:kern w:val="2"/>
          <w:sz w:val="22"/>
          <w:szCs w:val="22"/>
          <w14:ligatures w14:val="standardContextual"/>
        </w:rPr>
        <w:t xml:space="preserve"> per cent to 100 per cent; and population, which ranges from </w:t>
      </w:r>
      <w:r w:rsidR="00AE7AB1" w:rsidRPr="00215418">
        <w:rPr>
          <w:rFonts w:ascii="Aptos" w:eastAsia="Aptos" w:hAnsi="Aptos" w:cs="Arial"/>
          <w:kern w:val="2"/>
          <w:sz w:val="22"/>
          <w:szCs w:val="22"/>
          <w14:ligatures w14:val="standardContextual"/>
        </w:rPr>
        <w:t xml:space="preserve">microstates with less than 100,000 </w:t>
      </w:r>
      <w:r w:rsidR="002D3B50" w:rsidRPr="00215418">
        <w:rPr>
          <w:rFonts w:ascii="Aptos" w:eastAsia="Aptos" w:hAnsi="Aptos" w:cs="Arial"/>
          <w:kern w:val="2"/>
          <w:sz w:val="22"/>
          <w:szCs w:val="22"/>
          <w14:ligatures w14:val="standardContextual"/>
        </w:rPr>
        <w:t>residents</w:t>
      </w:r>
      <w:r w:rsidRPr="00215418">
        <w:rPr>
          <w:rFonts w:ascii="Aptos" w:eastAsia="Aptos" w:hAnsi="Aptos" w:cs="Arial"/>
          <w:kern w:val="2"/>
          <w:sz w:val="22"/>
          <w:szCs w:val="22"/>
          <w14:ligatures w14:val="standardContextual"/>
        </w:rPr>
        <w:t xml:space="preserve"> to </w:t>
      </w:r>
      <w:r w:rsidR="00C33248" w:rsidRPr="00215418">
        <w:rPr>
          <w:rFonts w:ascii="Aptos" w:eastAsia="Aptos" w:hAnsi="Aptos" w:cs="Arial"/>
          <w:kern w:val="2"/>
          <w:sz w:val="22"/>
          <w:szCs w:val="22"/>
          <w14:ligatures w14:val="standardContextual"/>
        </w:rPr>
        <w:t xml:space="preserve">large countries with </w:t>
      </w:r>
      <w:r w:rsidR="00F60BD1" w:rsidRPr="00215418">
        <w:rPr>
          <w:rFonts w:ascii="Aptos" w:eastAsia="Aptos" w:hAnsi="Aptos" w:cs="Arial"/>
          <w:kern w:val="2"/>
          <w:sz w:val="22"/>
          <w:szCs w:val="22"/>
          <w14:ligatures w14:val="standardContextual"/>
        </w:rPr>
        <w:t>more than 80</w:t>
      </w:r>
      <w:r w:rsidRPr="00215418">
        <w:rPr>
          <w:rFonts w:ascii="Aptos" w:eastAsia="Aptos" w:hAnsi="Aptos" w:cs="Arial"/>
          <w:kern w:val="2"/>
          <w:sz w:val="22"/>
          <w:szCs w:val="22"/>
          <w14:ligatures w14:val="standardContextual"/>
        </w:rPr>
        <w:t xml:space="preserve"> million </w:t>
      </w:r>
      <w:r w:rsidR="00F60BD1" w:rsidRPr="00215418">
        <w:rPr>
          <w:rFonts w:ascii="Aptos" w:eastAsia="Aptos" w:hAnsi="Aptos" w:cs="Arial"/>
          <w:kern w:val="2"/>
          <w:sz w:val="22"/>
          <w:szCs w:val="22"/>
          <w14:ligatures w14:val="standardContextual"/>
        </w:rPr>
        <w:t>residents</w:t>
      </w:r>
      <w:r w:rsidRPr="00215418">
        <w:rPr>
          <w:rFonts w:ascii="Aptos" w:eastAsia="Aptos" w:hAnsi="Aptos" w:cs="Arial"/>
          <w:kern w:val="2"/>
          <w:sz w:val="22"/>
          <w:szCs w:val="22"/>
          <w14:ligatures w14:val="standardContextual"/>
        </w:rPr>
        <w:t xml:space="preserve">. </w:t>
      </w:r>
    </w:p>
    <w:p w14:paraId="5D762726" w14:textId="29432A13" w:rsidR="0092371A" w:rsidRPr="00215418" w:rsidRDefault="0092371A" w:rsidP="0092371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Given these differences, it can be useful to group </w:t>
      </w:r>
      <w:r w:rsidR="00F60BD1" w:rsidRPr="00215418">
        <w:rPr>
          <w:rFonts w:ascii="Aptos" w:eastAsia="Aptos" w:hAnsi="Aptos" w:cs="Arial"/>
          <w:kern w:val="2"/>
          <w:sz w:val="22"/>
          <w:szCs w:val="22"/>
          <w14:ligatures w14:val="standardContextual"/>
        </w:rPr>
        <w:t>European countries</w:t>
      </w:r>
      <w:r w:rsidRPr="00215418">
        <w:rPr>
          <w:rFonts w:ascii="Aptos" w:eastAsia="Aptos" w:hAnsi="Aptos" w:cs="Arial"/>
          <w:kern w:val="2"/>
          <w:sz w:val="22"/>
          <w:szCs w:val="22"/>
          <w14:ligatures w14:val="standardContextual"/>
        </w:rPr>
        <w:t xml:space="preserve"> into clusters, according to their scores on indicators of Internet use, mobile phone ownership, mobile broadband and fixed broadband subscription rates, affordability of entry-level mobile and fixed broadband, and gender equality. This ‘cluster analysis’ yields </w:t>
      </w:r>
      <w:r w:rsidR="00892007" w:rsidRPr="00215418">
        <w:rPr>
          <w:rFonts w:ascii="Aptos" w:eastAsia="Aptos" w:hAnsi="Aptos" w:cs="Arial"/>
          <w:kern w:val="2"/>
          <w:sz w:val="22"/>
          <w:szCs w:val="22"/>
          <w14:ligatures w14:val="standardContextual"/>
        </w:rPr>
        <w:t>four</w:t>
      </w:r>
      <w:r w:rsidRPr="00215418">
        <w:rPr>
          <w:rFonts w:ascii="Aptos" w:eastAsia="Aptos" w:hAnsi="Aptos" w:cs="Arial"/>
          <w:kern w:val="2"/>
          <w:sz w:val="22"/>
          <w:szCs w:val="22"/>
          <w14:ligatures w14:val="standardContextual"/>
        </w:rPr>
        <w:t xml:space="preserve"> distinct groups, whose respective members share similar ICT profiles.</w:t>
      </w:r>
    </w:p>
    <w:p w14:paraId="18C8CB40" w14:textId="20D735FE" w:rsidR="0092371A" w:rsidRPr="00215418" w:rsidRDefault="0092371A" w:rsidP="0092371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The first group, </w:t>
      </w:r>
      <w:r w:rsidR="00B959C6" w:rsidRPr="00215418">
        <w:rPr>
          <w:rFonts w:ascii="Aptos" w:eastAsia="Aptos" w:hAnsi="Aptos" w:cs="Arial"/>
          <w:kern w:val="2"/>
          <w:sz w:val="22"/>
          <w:szCs w:val="22"/>
          <w14:ligatures w14:val="standardContextual"/>
        </w:rPr>
        <w:t xml:space="preserve">consisting of </w:t>
      </w:r>
      <w:r w:rsidR="00352D9A" w:rsidRPr="00215418">
        <w:rPr>
          <w:rFonts w:ascii="Aptos" w:eastAsia="Aptos" w:hAnsi="Aptos" w:cs="Arial"/>
          <w:kern w:val="2"/>
          <w:sz w:val="22"/>
          <w:szCs w:val="22"/>
          <w14:ligatures w14:val="standardContextual"/>
        </w:rPr>
        <w:t>three quarters of</w:t>
      </w:r>
      <w:r w:rsidR="00D95A59" w:rsidRPr="00215418">
        <w:rPr>
          <w:rFonts w:ascii="Aptos" w:eastAsia="Aptos" w:hAnsi="Aptos" w:cs="Arial"/>
          <w:kern w:val="2"/>
          <w:sz w:val="22"/>
          <w:szCs w:val="22"/>
          <w14:ligatures w14:val="standardContextual"/>
        </w:rPr>
        <w:t xml:space="preserve"> European countries (34 of </w:t>
      </w:r>
      <w:r w:rsidR="00BA0BB3" w:rsidRPr="00215418">
        <w:rPr>
          <w:rFonts w:ascii="Aptos" w:eastAsia="Aptos" w:hAnsi="Aptos" w:cs="Arial"/>
          <w:kern w:val="2"/>
          <w:sz w:val="22"/>
          <w:szCs w:val="22"/>
          <w14:ligatures w14:val="standardContextual"/>
        </w:rPr>
        <w:t xml:space="preserve">the 45 </w:t>
      </w:r>
      <w:r w:rsidR="005270BE" w:rsidRPr="00215418">
        <w:rPr>
          <w:rFonts w:ascii="Aptos" w:eastAsia="Aptos" w:hAnsi="Aptos" w:cs="Arial"/>
          <w:kern w:val="2"/>
          <w:sz w:val="22"/>
          <w:szCs w:val="22"/>
          <w14:ligatures w14:val="standardContextual"/>
        </w:rPr>
        <w:t>countries analyzed)</w:t>
      </w:r>
      <w:r w:rsidRPr="00215418">
        <w:rPr>
          <w:rFonts w:ascii="Aptos" w:eastAsia="Aptos" w:hAnsi="Aptos"/>
          <w:kern w:val="2"/>
          <w:sz w:val="22"/>
          <w14:ligatures w14:val="standardContextual"/>
        </w:rPr>
        <w:t xml:space="preserve"> </w:t>
      </w:r>
      <w:r w:rsidRPr="00215418">
        <w:rPr>
          <w:rFonts w:ascii="Aptos" w:eastAsia="Aptos" w:hAnsi="Aptos" w:cs="Arial"/>
          <w:kern w:val="2"/>
          <w:sz w:val="22"/>
          <w:szCs w:val="22"/>
          <w14:ligatures w14:val="standardContextual"/>
        </w:rPr>
        <w:t xml:space="preserve">is characterized by rates of ICT usage and ownership that are well above the world average. </w:t>
      </w:r>
      <w:r w:rsidR="00F31230" w:rsidRPr="00215418">
        <w:rPr>
          <w:rFonts w:ascii="Aptos" w:eastAsia="Aptos" w:hAnsi="Aptos" w:cs="Arial"/>
          <w:kern w:val="2"/>
          <w:sz w:val="22"/>
          <w:szCs w:val="22"/>
          <w14:ligatures w14:val="standardContextual"/>
        </w:rPr>
        <w:t>Both</w:t>
      </w:r>
      <w:r w:rsidRPr="00215418">
        <w:rPr>
          <w:rFonts w:ascii="Aptos" w:eastAsia="Aptos" w:hAnsi="Aptos" w:cs="Arial"/>
          <w:kern w:val="2"/>
          <w:sz w:val="22"/>
          <w:szCs w:val="22"/>
          <w14:ligatures w14:val="standardContextual"/>
        </w:rPr>
        <w:t xml:space="preserve"> fixed </w:t>
      </w:r>
      <w:r w:rsidR="00EA2C8D" w:rsidRPr="00215418">
        <w:rPr>
          <w:rFonts w:ascii="Aptos" w:eastAsia="Aptos" w:hAnsi="Aptos" w:cs="Arial"/>
          <w:kern w:val="2"/>
          <w:sz w:val="22"/>
          <w:szCs w:val="22"/>
          <w14:ligatures w14:val="standardContextual"/>
        </w:rPr>
        <w:t xml:space="preserve">broadband and data-only mobile broadband </w:t>
      </w:r>
      <w:r w:rsidR="00F31230" w:rsidRPr="00215418">
        <w:rPr>
          <w:rFonts w:ascii="Aptos" w:eastAsia="Aptos" w:hAnsi="Aptos" w:cs="Arial"/>
          <w:kern w:val="2"/>
          <w:sz w:val="22"/>
          <w:szCs w:val="22"/>
          <w14:ligatures w14:val="standardContextual"/>
        </w:rPr>
        <w:t>are very affordable relative to the world average</w:t>
      </w:r>
      <w:r w:rsidRPr="00215418">
        <w:rPr>
          <w:rFonts w:ascii="Aptos" w:eastAsia="Aptos" w:hAnsi="Aptos" w:cs="Arial"/>
          <w:kern w:val="2"/>
          <w:sz w:val="22"/>
          <w:szCs w:val="22"/>
          <w14:ligatures w14:val="standardContextual"/>
        </w:rPr>
        <w:t>, with the median entry-level price</w:t>
      </w:r>
      <w:r w:rsidR="00F31230" w:rsidRPr="00215418">
        <w:rPr>
          <w:rFonts w:ascii="Aptos" w:eastAsia="Aptos" w:hAnsi="Aptos" w:cs="Arial"/>
          <w:kern w:val="2"/>
          <w:sz w:val="22"/>
          <w:szCs w:val="22"/>
          <w14:ligatures w14:val="standardContextual"/>
        </w:rPr>
        <w:t>s</w:t>
      </w:r>
      <w:r w:rsidRPr="00215418">
        <w:rPr>
          <w:rFonts w:ascii="Aptos" w:eastAsia="Aptos" w:hAnsi="Aptos" w:cs="Arial"/>
          <w:kern w:val="2"/>
          <w:sz w:val="22"/>
          <w:szCs w:val="22"/>
          <w14:ligatures w14:val="standardContextual"/>
        </w:rPr>
        <w:t xml:space="preserve"> as a share of monthly GNI per capita </w:t>
      </w:r>
      <w:r w:rsidR="00F31230" w:rsidRPr="00215418">
        <w:rPr>
          <w:rFonts w:ascii="Aptos" w:eastAsia="Aptos" w:hAnsi="Aptos" w:cs="Arial"/>
          <w:kern w:val="2"/>
          <w:sz w:val="22"/>
          <w:szCs w:val="22"/>
          <w14:ligatures w14:val="standardContextual"/>
        </w:rPr>
        <w:t>far below</w:t>
      </w:r>
      <w:r w:rsidRPr="00215418">
        <w:rPr>
          <w:rFonts w:ascii="Aptos" w:eastAsia="Aptos" w:hAnsi="Aptos" w:cs="Arial"/>
          <w:kern w:val="2"/>
          <w:sz w:val="22"/>
          <w:szCs w:val="22"/>
          <w14:ligatures w14:val="standardContextual"/>
        </w:rPr>
        <w:t xml:space="preserve"> the Broadband Commission target of 2 per cent of monthly GNI per capita or lower. </w:t>
      </w:r>
      <w:r w:rsidR="00A97952" w:rsidRPr="00215418">
        <w:rPr>
          <w:rFonts w:ascii="Aptos" w:eastAsia="Aptos" w:hAnsi="Aptos" w:cs="Arial"/>
          <w:kern w:val="2"/>
          <w:sz w:val="22"/>
          <w:szCs w:val="22"/>
          <w14:ligatures w14:val="standardContextual"/>
        </w:rPr>
        <w:t xml:space="preserve">There is also </w:t>
      </w:r>
      <w:r w:rsidR="007F1063" w:rsidRPr="00215418">
        <w:rPr>
          <w:rFonts w:ascii="Aptos" w:eastAsia="Aptos" w:hAnsi="Aptos" w:cs="Arial"/>
          <w:kern w:val="2"/>
          <w:sz w:val="22"/>
          <w:szCs w:val="22"/>
          <w14:ligatures w14:val="standardContextual"/>
        </w:rPr>
        <w:t>a high level of g</w:t>
      </w:r>
      <w:r w:rsidR="00134891" w:rsidRPr="00215418">
        <w:rPr>
          <w:rFonts w:ascii="Aptos" w:eastAsia="Aptos" w:hAnsi="Aptos" w:cs="Arial"/>
          <w:kern w:val="2"/>
          <w:sz w:val="22"/>
          <w:szCs w:val="22"/>
          <w14:ligatures w14:val="standardContextual"/>
        </w:rPr>
        <w:t xml:space="preserve">ender parity </w:t>
      </w:r>
      <w:r w:rsidR="004851FF" w:rsidRPr="00215418">
        <w:rPr>
          <w:rFonts w:ascii="Aptos" w:eastAsia="Aptos" w:hAnsi="Aptos" w:cs="Arial"/>
          <w:kern w:val="2"/>
          <w:sz w:val="22"/>
          <w:szCs w:val="22"/>
          <w14:ligatures w14:val="standardContextual"/>
        </w:rPr>
        <w:t xml:space="preserve">in terms of </w:t>
      </w:r>
      <w:r w:rsidR="00A559D5" w:rsidRPr="00215418">
        <w:rPr>
          <w:rFonts w:ascii="Aptos" w:eastAsia="Aptos" w:hAnsi="Aptos" w:cs="Arial"/>
          <w:kern w:val="2"/>
          <w:sz w:val="22"/>
          <w:szCs w:val="22"/>
          <w14:ligatures w14:val="standardContextual"/>
        </w:rPr>
        <w:t xml:space="preserve">Internet use </w:t>
      </w:r>
      <w:r w:rsidR="007F1063" w:rsidRPr="00215418">
        <w:rPr>
          <w:rFonts w:ascii="Aptos" w:eastAsia="Aptos" w:hAnsi="Aptos" w:cs="Arial"/>
          <w:kern w:val="2"/>
          <w:sz w:val="22"/>
          <w:szCs w:val="22"/>
          <w14:ligatures w14:val="standardContextual"/>
        </w:rPr>
        <w:t>in this group.</w:t>
      </w:r>
    </w:p>
    <w:p w14:paraId="6A2A260C" w14:textId="70455F23" w:rsidR="0092371A" w:rsidRPr="00215418" w:rsidRDefault="0092371A" w:rsidP="0092371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The second group, consisting of </w:t>
      </w:r>
      <w:r w:rsidR="00F31230" w:rsidRPr="00215418">
        <w:rPr>
          <w:rFonts w:ascii="Aptos" w:eastAsia="Aptos" w:hAnsi="Aptos" w:cs="Arial"/>
          <w:kern w:val="2"/>
          <w:sz w:val="22"/>
          <w:szCs w:val="22"/>
          <w14:ligatures w14:val="standardContextual"/>
        </w:rPr>
        <w:t>Estonia</w:t>
      </w:r>
      <w:r w:rsidRPr="00215418">
        <w:rPr>
          <w:rFonts w:ascii="Aptos" w:eastAsia="Aptos" w:hAnsi="Aptos" w:cs="Arial"/>
          <w:kern w:val="2"/>
          <w:sz w:val="22"/>
          <w:szCs w:val="22"/>
          <w14:ligatures w14:val="standardContextual"/>
        </w:rPr>
        <w:t xml:space="preserve"> and </w:t>
      </w:r>
      <w:r w:rsidR="00F31230" w:rsidRPr="00215418">
        <w:rPr>
          <w:rFonts w:ascii="Aptos" w:eastAsia="Aptos" w:hAnsi="Aptos" w:cs="Arial"/>
          <w:kern w:val="2"/>
          <w:sz w:val="22"/>
          <w:szCs w:val="22"/>
          <w14:ligatures w14:val="standardContextual"/>
        </w:rPr>
        <w:t>Poland</w:t>
      </w:r>
      <w:r w:rsidRPr="00215418">
        <w:rPr>
          <w:rFonts w:ascii="Aptos" w:eastAsia="Aptos" w:hAnsi="Aptos" w:cs="Arial"/>
          <w:kern w:val="2"/>
          <w:sz w:val="22"/>
          <w:szCs w:val="22"/>
          <w14:ligatures w14:val="standardContextual"/>
        </w:rPr>
        <w:t xml:space="preserve">, </w:t>
      </w:r>
      <w:r w:rsidR="007628A9" w:rsidRPr="00215418">
        <w:rPr>
          <w:rFonts w:ascii="Aptos" w:eastAsia="Aptos" w:hAnsi="Aptos" w:cs="Arial"/>
          <w:kern w:val="2"/>
          <w:sz w:val="22"/>
          <w:szCs w:val="22"/>
          <w14:ligatures w14:val="standardContextual"/>
        </w:rPr>
        <w:t xml:space="preserve">is similar to </w:t>
      </w:r>
      <w:r w:rsidR="00C23E35" w:rsidRPr="00215418">
        <w:rPr>
          <w:rFonts w:ascii="Aptos" w:eastAsia="Aptos" w:hAnsi="Aptos" w:cs="Arial"/>
          <w:kern w:val="2"/>
          <w:sz w:val="22"/>
          <w:szCs w:val="22"/>
          <w14:ligatures w14:val="standardContextual"/>
        </w:rPr>
        <w:t>the main group of European countries</w:t>
      </w:r>
      <w:r w:rsidR="00ED280E" w:rsidRPr="00215418">
        <w:rPr>
          <w:rFonts w:ascii="Aptos" w:eastAsia="Aptos" w:hAnsi="Aptos" w:cs="Arial"/>
          <w:kern w:val="2"/>
          <w:sz w:val="22"/>
          <w:szCs w:val="22"/>
          <w14:ligatures w14:val="standardContextual"/>
        </w:rPr>
        <w:t>. These countries</w:t>
      </w:r>
      <w:r w:rsidR="00C23E35" w:rsidRPr="00215418">
        <w:rPr>
          <w:rFonts w:ascii="Aptos" w:eastAsia="Aptos" w:hAnsi="Aptos" w:cs="Arial"/>
          <w:kern w:val="2"/>
          <w:sz w:val="22"/>
          <w:szCs w:val="22"/>
          <w14:ligatures w14:val="standardContextual"/>
        </w:rPr>
        <w:t xml:space="preserve"> </w:t>
      </w:r>
      <w:r w:rsidRPr="00215418">
        <w:rPr>
          <w:rFonts w:ascii="Aptos" w:eastAsia="Aptos" w:hAnsi="Aptos" w:cs="Arial"/>
          <w:kern w:val="2"/>
          <w:sz w:val="22"/>
          <w:szCs w:val="22"/>
          <w14:ligatures w14:val="standardContextual"/>
        </w:rPr>
        <w:t>also ha</w:t>
      </w:r>
      <w:r w:rsidR="00ED280E" w:rsidRPr="00215418">
        <w:rPr>
          <w:rFonts w:ascii="Aptos" w:eastAsia="Aptos" w:hAnsi="Aptos" w:cs="Arial"/>
          <w:kern w:val="2"/>
          <w:sz w:val="22"/>
          <w:szCs w:val="22"/>
          <w14:ligatures w14:val="standardContextual"/>
        </w:rPr>
        <w:t>ve</w:t>
      </w:r>
      <w:r w:rsidRPr="00215418">
        <w:rPr>
          <w:rFonts w:ascii="Aptos" w:eastAsia="Aptos" w:hAnsi="Aptos" w:cs="Arial"/>
          <w:kern w:val="2"/>
          <w:sz w:val="22"/>
          <w:szCs w:val="22"/>
          <w14:ligatures w14:val="standardContextual"/>
        </w:rPr>
        <w:t xml:space="preserve"> above-average rates of ICT usage and ownership</w:t>
      </w:r>
      <w:r w:rsidR="00ED280E" w:rsidRPr="00215418">
        <w:rPr>
          <w:rFonts w:ascii="Aptos" w:eastAsia="Aptos" w:hAnsi="Aptos" w:cs="Arial"/>
          <w:kern w:val="2"/>
          <w:sz w:val="22"/>
          <w:szCs w:val="22"/>
          <w14:ligatures w14:val="standardContextual"/>
        </w:rPr>
        <w:t xml:space="preserve"> and </w:t>
      </w:r>
      <w:r w:rsidR="001D78E3" w:rsidRPr="00215418">
        <w:rPr>
          <w:rFonts w:ascii="Aptos" w:eastAsia="Aptos" w:hAnsi="Aptos" w:cs="Arial"/>
          <w:kern w:val="2"/>
          <w:sz w:val="22"/>
          <w:szCs w:val="22"/>
          <w14:ligatures w14:val="standardContextual"/>
        </w:rPr>
        <w:t>excellent</w:t>
      </w:r>
      <w:r w:rsidR="00ED280E" w:rsidRPr="00215418">
        <w:rPr>
          <w:rFonts w:ascii="Aptos" w:eastAsia="Aptos" w:hAnsi="Aptos" w:cs="Arial"/>
          <w:kern w:val="2"/>
          <w:sz w:val="22"/>
          <w:szCs w:val="22"/>
          <w14:ligatures w14:val="standardContextual"/>
        </w:rPr>
        <w:t xml:space="preserve"> affor</w:t>
      </w:r>
      <w:r w:rsidR="001D78E3" w:rsidRPr="00215418">
        <w:rPr>
          <w:rFonts w:ascii="Aptos" w:eastAsia="Aptos" w:hAnsi="Aptos" w:cs="Arial"/>
          <w:kern w:val="2"/>
          <w:sz w:val="22"/>
          <w:szCs w:val="22"/>
          <w14:ligatures w14:val="standardContextual"/>
        </w:rPr>
        <w:t>d</w:t>
      </w:r>
      <w:r w:rsidR="00ED280E" w:rsidRPr="00215418">
        <w:rPr>
          <w:rFonts w:ascii="Aptos" w:eastAsia="Aptos" w:hAnsi="Aptos" w:cs="Arial"/>
          <w:kern w:val="2"/>
          <w:sz w:val="22"/>
          <w:szCs w:val="22"/>
          <w14:ligatures w14:val="standardContextual"/>
        </w:rPr>
        <w:t>ability</w:t>
      </w:r>
      <w:r w:rsidR="005976F8" w:rsidRPr="00215418">
        <w:rPr>
          <w:rFonts w:ascii="Aptos" w:eastAsia="Aptos" w:hAnsi="Aptos" w:cs="Arial"/>
          <w:kern w:val="2"/>
          <w:sz w:val="22"/>
          <w:szCs w:val="22"/>
          <w14:ligatures w14:val="standardContextual"/>
        </w:rPr>
        <w:t xml:space="preserve"> and gender </w:t>
      </w:r>
      <w:r w:rsidR="00134891" w:rsidRPr="00215418">
        <w:rPr>
          <w:rFonts w:ascii="Aptos" w:eastAsia="Aptos" w:hAnsi="Aptos" w:cs="Arial"/>
          <w:kern w:val="2"/>
          <w:sz w:val="22"/>
          <w:szCs w:val="22"/>
          <w14:ligatures w14:val="standardContextual"/>
        </w:rPr>
        <w:t>parity</w:t>
      </w:r>
      <w:r w:rsidR="005976F8" w:rsidRPr="00215418">
        <w:rPr>
          <w:rFonts w:ascii="Aptos" w:eastAsia="Aptos" w:hAnsi="Aptos" w:cs="Arial"/>
          <w:kern w:val="2"/>
          <w:sz w:val="22"/>
          <w:szCs w:val="22"/>
          <w14:ligatures w14:val="standardContextual"/>
        </w:rPr>
        <w:t xml:space="preserve">. The </w:t>
      </w:r>
      <w:r w:rsidR="007F1063" w:rsidRPr="00215418">
        <w:rPr>
          <w:rFonts w:ascii="Aptos" w:eastAsia="Aptos" w:hAnsi="Aptos" w:cs="Arial"/>
          <w:kern w:val="2"/>
          <w:sz w:val="22"/>
          <w:szCs w:val="22"/>
          <w14:ligatures w14:val="standardContextual"/>
        </w:rPr>
        <w:t>primary difference with these countries is their higher</w:t>
      </w:r>
      <w:r w:rsidR="005976F8" w:rsidRPr="00215418">
        <w:rPr>
          <w:rFonts w:ascii="Aptos" w:eastAsia="Aptos" w:hAnsi="Aptos" w:cs="Arial"/>
          <w:kern w:val="2"/>
          <w:sz w:val="22"/>
          <w:szCs w:val="22"/>
          <w14:ligatures w14:val="standardContextual"/>
        </w:rPr>
        <w:t xml:space="preserve"> </w:t>
      </w:r>
      <w:r w:rsidR="0083727D" w:rsidRPr="00215418">
        <w:rPr>
          <w:rFonts w:ascii="Aptos" w:eastAsia="Aptos" w:hAnsi="Aptos" w:cs="Arial"/>
          <w:kern w:val="2"/>
          <w:sz w:val="22"/>
          <w:szCs w:val="22"/>
          <w14:ligatures w14:val="standardContextual"/>
        </w:rPr>
        <w:t xml:space="preserve">subscription rates for both mobile </w:t>
      </w:r>
      <w:r w:rsidR="005A3271" w:rsidRPr="00215418">
        <w:rPr>
          <w:rFonts w:ascii="Aptos" w:eastAsia="Aptos" w:hAnsi="Aptos" w:cs="Arial"/>
          <w:kern w:val="2"/>
          <w:sz w:val="22"/>
          <w:szCs w:val="22"/>
          <w14:ligatures w14:val="standardContextual"/>
        </w:rPr>
        <w:t>broadband and fixed broadband</w:t>
      </w:r>
      <w:r w:rsidRPr="00215418">
        <w:rPr>
          <w:rFonts w:ascii="Aptos" w:eastAsia="Aptos" w:hAnsi="Aptos" w:cs="Arial"/>
          <w:kern w:val="2"/>
          <w:sz w:val="22"/>
          <w:szCs w:val="22"/>
          <w14:ligatures w14:val="standardContextual"/>
        </w:rPr>
        <w:t xml:space="preserve">. </w:t>
      </w:r>
    </w:p>
    <w:p w14:paraId="6E02855B" w14:textId="2C4C7A20" w:rsidR="0092371A" w:rsidRPr="00215418" w:rsidRDefault="0064262C" w:rsidP="0092371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highlight w:val="yellow"/>
          <w14:ligatures w14:val="standardContextual"/>
        </w:rPr>
      </w:pPr>
      <w:r w:rsidRPr="00215418">
        <w:rPr>
          <w:rFonts w:ascii="Aptos" w:eastAsia="Aptos" w:hAnsi="Aptos" w:cs="Arial"/>
          <w:kern w:val="2"/>
          <w:sz w:val="22"/>
          <w:szCs w:val="22"/>
          <w14:ligatures w14:val="standardContextual"/>
        </w:rPr>
        <w:t>When comparing</w:t>
      </w:r>
      <w:r w:rsidR="0092371A" w:rsidRPr="00215418">
        <w:rPr>
          <w:rFonts w:ascii="Aptos" w:eastAsia="Aptos" w:hAnsi="Aptos" w:cs="Arial"/>
          <w:kern w:val="2"/>
          <w:sz w:val="22"/>
          <w:szCs w:val="22"/>
          <w14:ligatures w14:val="standardContextual"/>
        </w:rPr>
        <w:t xml:space="preserve"> to the first two</w:t>
      </w:r>
      <w:r w:rsidRPr="00215418">
        <w:rPr>
          <w:rFonts w:ascii="Aptos" w:eastAsia="Aptos" w:hAnsi="Aptos" w:cs="Arial"/>
          <w:kern w:val="2"/>
          <w:sz w:val="22"/>
          <w:szCs w:val="22"/>
          <w14:ligatures w14:val="standardContextual"/>
        </w:rPr>
        <w:t xml:space="preserve"> groups</w:t>
      </w:r>
      <w:r w:rsidR="0092371A" w:rsidRPr="00215418">
        <w:rPr>
          <w:rFonts w:ascii="Aptos" w:eastAsia="Aptos" w:hAnsi="Aptos" w:cs="Arial"/>
          <w:kern w:val="2"/>
          <w:sz w:val="22"/>
          <w:szCs w:val="22"/>
          <w14:ligatures w14:val="standardContextual"/>
        </w:rPr>
        <w:t xml:space="preserve">, the next, consisting of </w:t>
      </w:r>
      <w:r w:rsidR="005A3271" w:rsidRPr="00215418">
        <w:rPr>
          <w:rFonts w:ascii="Aptos" w:eastAsia="Aptos" w:hAnsi="Aptos" w:cs="Arial"/>
          <w:kern w:val="2"/>
          <w:sz w:val="22"/>
          <w:szCs w:val="22"/>
          <w14:ligatures w14:val="standardContextual"/>
        </w:rPr>
        <w:t>Croatia, Moldova,</w:t>
      </w:r>
      <w:r w:rsidR="0092371A" w:rsidRPr="00215418">
        <w:rPr>
          <w:rFonts w:ascii="Aptos" w:eastAsia="Aptos" w:hAnsi="Aptos" w:cs="Arial"/>
          <w:kern w:val="2"/>
          <w:sz w:val="22"/>
          <w:szCs w:val="22"/>
          <w14:ligatures w14:val="standardContextual"/>
        </w:rPr>
        <w:t xml:space="preserve"> and </w:t>
      </w:r>
      <w:r w:rsidRPr="00215418">
        <w:rPr>
          <w:rFonts w:ascii="Aptos" w:eastAsia="Aptos" w:hAnsi="Aptos" w:cs="Arial"/>
          <w:kern w:val="2"/>
          <w:sz w:val="22"/>
          <w:szCs w:val="22"/>
          <w14:ligatures w14:val="standardContextual"/>
        </w:rPr>
        <w:t>Türkiye</w:t>
      </w:r>
      <w:r w:rsidR="0092371A" w:rsidRPr="00215418">
        <w:rPr>
          <w:rFonts w:ascii="Aptos" w:eastAsia="Aptos" w:hAnsi="Aptos" w:cs="Arial"/>
          <w:kern w:val="2"/>
          <w:sz w:val="22"/>
          <w:szCs w:val="22"/>
          <w14:ligatures w14:val="standardContextual"/>
        </w:rPr>
        <w:t xml:space="preserve">, has </w:t>
      </w:r>
      <w:r w:rsidRPr="00215418">
        <w:rPr>
          <w:rFonts w:ascii="Aptos" w:eastAsia="Aptos" w:hAnsi="Aptos" w:cs="Arial"/>
          <w:kern w:val="2"/>
          <w:sz w:val="22"/>
          <w:szCs w:val="22"/>
          <w14:ligatures w14:val="standardContextual"/>
        </w:rPr>
        <w:t>somewhat</w:t>
      </w:r>
      <w:r w:rsidR="0092371A" w:rsidRPr="00215418">
        <w:rPr>
          <w:rFonts w:ascii="Aptos" w:eastAsia="Aptos" w:hAnsi="Aptos" w:cs="Arial"/>
          <w:kern w:val="2"/>
          <w:sz w:val="22"/>
          <w:szCs w:val="22"/>
          <w14:ligatures w14:val="standardContextual"/>
        </w:rPr>
        <w:t xml:space="preserve"> lower rates of ICT use</w:t>
      </w:r>
      <w:r w:rsidR="004E2BE6" w:rsidRPr="00215418">
        <w:rPr>
          <w:rFonts w:ascii="Aptos" w:eastAsia="Aptos" w:hAnsi="Aptos" w:cs="Arial"/>
          <w:kern w:val="2"/>
          <w:sz w:val="22"/>
          <w:szCs w:val="22"/>
          <w14:ligatures w14:val="standardContextual"/>
        </w:rPr>
        <w:t>.</w:t>
      </w:r>
      <w:r w:rsidR="0092371A" w:rsidRPr="00215418">
        <w:rPr>
          <w:rFonts w:ascii="Aptos" w:eastAsia="Aptos" w:hAnsi="Aptos" w:cs="Arial"/>
          <w:kern w:val="2"/>
          <w:sz w:val="22"/>
          <w:szCs w:val="22"/>
          <w14:ligatures w14:val="standardContextual"/>
        </w:rPr>
        <w:t xml:space="preserve"> </w:t>
      </w:r>
      <w:r w:rsidR="004E2BE6" w:rsidRPr="00215418">
        <w:rPr>
          <w:rFonts w:ascii="Aptos" w:eastAsia="Aptos" w:hAnsi="Aptos" w:cs="Arial"/>
          <w:kern w:val="2"/>
          <w:sz w:val="22"/>
          <w:szCs w:val="22"/>
          <w14:ligatures w14:val="standardContextual"/>
        </w:rPr>
        <w:t xml:space="preserve">This is </w:t>
      </w:r>
      <w:r w:rsidR="0092371A" w:rsidRPr="00215418">
        <w:rPr>
          <w:rFonts w:ascii="Aptos" w:eastAsia="Aptos" w:hAnsi="Aptos" w:cs="Arial"/>
          <w:kern w:val="2"/>
          <w:sz w:val="22"/>
          <w:szCs w:val="22"/>
          <w14:ligatures w14:val="standardContextual"/>
        </w:rPr>
        <w:t>in addition to low</w:t>
      </w:r>
      <w:r w:rsidR="004E2BE6" w:rsidRPr="00215418">
        <w:rPr>
          <w:rFonts w:ascii="Aptos" w:eastAsia="Aptos" w:hAnsi="Aptos" w:cs="Arial"/>
          <w:kern w:val="2"/>
          <w:sz w:val="22"/>
          <w:szCs w:val="22"/>
          <w14:ligatures w14:val="standardContextual"/>
        </w:rPr>
        <w:t>er</w:t>
      </w:r>
      <w:r w:rsidR="0092371A" w:rsidRPr="00215418">
        <w:rPr>
          <w:rFonts w:ascii="Aptos" w:eastAsia="Aptos" w:hAnsi="Aptos" w:cs="Arial"/>
          <w:kern w:val="2"/>
          <w:sz w:val="22"/>
          <w:szCs w:val="22"/>
          <w14:ligatures w14:val="standardContextual"/>
        </w:rPr>
        <w:t xml:space="preserve"> subscription rates and </w:t>
      </w:r>
      <w:r w:rsidR="004E2BE6" w:rsidRPr="00215418">
        <w:rPr>
          <w:rFonts w:ascii="Aptos" w:eastAsia="Aptos" w:hAnsi="Aptos" w:cs="Arial"/>
          <w:kern w:val="2"/>
          <w:sz w:val="22"/>
          <w:szCs w:val="22"/>
          <w14:ligatures w14:val="standardContextual"/>
        </w:rPr>
        <w:t xml:space="preserve">somewhat worse </w:t>
      </w:r>
      <w:r w:rsidR="0092371A" w:rsidRPr="00215418">
        <w:rPr>
          <w:rFonts w:ascii="Aptos" w:eastAsia="Aptos" w:hAnsi="Aptos" w:cs="Arial"/>
          <w:kern w:val="2"/>
          <w:sz w:val="22"/>
          <w:szCs w:val="22"/>
          <w14:ligatures w14:val="standardContextual"/>
        </w:rPr>
        <w:t xml:space="preserve">affordability scores. </w:t>
      </w:r>
      <w:r w:rsidR="00AC493D" w:rsidRPr="00215418">
        <w:rPr>
          <w:rFonts w:ascii="Aptos" w:eastAsia="Aptos" w:hAnsi="Aptos" w:cs="Arial"/>
          <w:kern w:val="2"/>
          <w:sz w:val="22"/>
          <w:szCs w:val="22"/>
          <w14:ligatures w14:val="standardContextual"/>
        </w:rPr>
        <w:t xml:space="preserve">However, </w:t>
      </w:r>
      <w:r w:rsidR="00B62CD5" w:rsidRPr="00215418">
        <w:rPr>
          <w:rFonts w:ascii="Aptos" w:eastAsia="Aptos" w:hAnsi="Aptos" w:cs="Arial"/>
          <w:kern w:val="2"/>
          <w:sz w:val="22"/>
          <w:szCs w:val="22"/>
          <w14:ligatures w14:val="standardContextual"/>
        </w:rPr>
        <w:t>averages in</w:t>
      </w:r>
      <w:r w:rsidR="0092371A" w:rsidRPr="00215418">
        <w:rPr>
          <w:rFonts w:ascii="Aptos" w:eastAsia="Aptos" w:hAnsi="Aptos" w:cs="Arial"/>
          <w:kern w:val="2"/>
          <w:sz w:val="22"/>
          <w:szCs w:val="22"/>
          <w14:ligatures w14:val="standardContextual"/>
        </w:rPr>
        <w:t xml:space="preserve"> this group</w:t>
      </w:r>
      <w:r w:rsidR="006D3F12" w:rsidRPr="00215418">
        <w:rPr>
          <w:rFonts w:ascii="Aptos" w:eastAsia="Aptos" w:hAnsi="Aptos" w:cs="Arial"/>
          <w:kern w:val="2"/>
          <w:sz w:val="22"/>
          <w:szCs w:val="22"/>
          <w14:ligatures w14:val="standardContextual"/>
        </w:rPr>
        <w:t xml:space="preserve"> are </w:t>
      </w:r>
      <w:r w:rsidR="00335931" w:rsidRPr="00215418">
        <w:rPr>
          <w:rFonts w:ascii="Aptos" w:eastAsia="Aptos" w:hAnsi="Aptos" w:cs="Arial"/>
          <w:kern w:val="2"/>
          <w:sz w:val="22"/>
          <w:szCs w:val="22"/>
          <w14:ligatures w14:val="standardContextual"/>
        </w:rPr>
        <w:t xml:space="preserve">still substantially </w:t>
      </w:r>
      <w:r w:rsidR="005C5FEB" w:rsidRPr="00215418">
        <w:rPr>
          <w:rFonts w:ascii="Aptos" w:eastAsia="Aptos" w:hAnsi="Aptos" w:cs="Arial"/>
          <w:kern w:val="2"/>
          <w:sz w:val="22"/>
          <w:szCs w:val="22"/>
          <w14:ligatures w14:val="standardContextual"/>
        </w:rPr>
        <w:t>above global average</w:t>
      </w:r>
      <w:r w:rsidR="00D312C2" w:rsidRPr="00215418">
        <w:rPr>
          <w:rFonts w:ascii="Aptos" w:eastAsia="Aptos" w:hAnsi="Aptos" w:cs="Arial"/>
          <w:kern w:val="2"/>
          <w:sz w:val="22"/>
          <w:szCs w:val="22"/>
          <w14:ligatures w14:val="standardContextual"/>
        </w:rPr>
        <w:t>s</w:t>
      </w:r>
      <w:r w:rsidR="00C665EC" w:rsidRPr="00215418">
        <w:rPr>
          <w:rFonts w:ascii="Aptos" w:eastAsia="Aptos" w:hAnsi="Aptos" w:cs="Arial"/>
          <w:kern w:val="2"/>
          <w:sz w:val="22"/>
          <w:szCs w:val="22"/>
          <w14:ligatures w14:val="standardContextual"/>
        </w:rPr>
        <w:t xml:space="preserve"> in nearly all cases</w:t>
      </w:r>
      <w:r w:rsidR="00B31D36" w:rsidRPr="00215418">
        <w:rPr>
          <w:rFonts w:ascii="Aptos" w:eastAsia="Aptos" w:hAnsi="Aptos" w:cs="Arial"/>
          <w:kern w:val="2"/>
          <w:sz w:val="22"/>
          <w:szCs w:val="22"/>
          <w14:ligatures w14:val="standardContextual"/>
        </w:rPr>
        <w:t xml:space="preserve"> with mobile phone ownership </w:t>
      </w:r>
      <w:r w:rsidR="00406C27" w:rsidRPr="00215418">
        <w:rPr>
          <w:rFonts w:ascii="Aptos" w:eastAsia="Aptos" w:hAnsi="Aptos" w:cs="Arial"/>
          <w:kern w:val="2"/>
          <w:sz w:val="22"/>
          <w:szCs w:val="22"/>
          <w14:ligatures w14:val="standardContextual"/>
        </w:rPr>
        <w:t xml:space="preserve">on the same level as in </w:t>
      </w:r>
      <w:r w:rsidR="00332D8C" w:rsidRPr="00215418">
        <w:rPr>
          <w:rFonts w:ascii="Aptos" w:eastAsia="Aptos" w:hAnsi="Aptos" w:cs="Arial"/>
          <w:kern w:val="2"/>
          <w:sz w:val="22"/>
          <w:szCs w:val="22"/>
          <w14:ligatures w14:val="standardContextual"/>
        </w:rPr>
        <w:t xml:space="preserve">the </w:t>
      </w:r>
      <w:r w:rsidR="00B25339" w:rsidRPr="00215418">
        <w:rPr>
          <w:rFonts w:ascii="Aptos" w:eastAsia="Aptos" w:hAnsi="Aptos" w:cs="Arial"/>
          <w:kern w:val="2"/>
          <w:sz w:val="22"/>
          <w:szCs w:val="22"/>
          <w14:ligatures w14:val="standardContextual"/>
        </w:rPr>
        <w:t xml:space="preserve">above </w:t>
      </w:r>
      <w:r w:rsidR="007F20EF" w:rsidRPr="00215418">
        <w:rPr>
          <w:rFonts w:ascii="Aptos" w:eastAsia="Aptos" w:hAnsi="Aptos" w:cs="Arial"/>
          <w:kern w:val="2"/>
          <w:sz w:val="22"/>
          <w:szCs w:val="22"/>
          <w14:ligatures w14:val="standardContextual"/>
        </w:rPr>
        <w:t>groups</w:t>
      </w:r>
      <w:r w:rsidR="00D312C2" w:rsidRPr="00215418">
        <w:rPr>
          <w:rFonts w:ascii="Aptos" w:eastAsia="Aptos" w:hAnsi="Aptos" w:cs="Arial"/>
          <w:kern w:val="2"/>
          <w:sz w:val="22"/>
          <w:szCs w:val="22"/>
          <w14:ligatures w14:val="standardContextual"/>
        </w:rPr>
        <w:t xml:space="preserve">. </w:t>
      </w:r>
      <w:r w:rsidR="009869B0" w:rsidRPr="00215418">
        <w:rPr>
          <w:rFonts w:ascii="Aptos" w:eastAsia="Aptos" w:hAnsi="Aptos" w:cs="Arial"/>
          <w:kern w:val="2"/>
          <w:sz w:val="22"/>
          <w:szCs w:val="22"/>
          <w14:ligatures w14:val="standardContextual"/>
        </w:rPr>
        <w:t xml:space="preserve">The average </w:t>
      </w:r>
      <w:r w:rsidR="0057027C" w:rsidRPr="00215418">
        <w:rPr>
          <w:rFonts w:ascii="Aptos" w:eastAsia="Aptos" w:hAnsi="Aptos" w:cs="Arial"/>
          <w:kern w:val="2"/>
          <w:sz w:val="22"/>
          <w:szCs w:val="22"/>
          <w14:ligatures w14:val="standardContextual"/>
        </w:rPr>
        <w:t>Internet use for these</w:t>
      </w:r>
      <w:r w:rsidR="001741CB" w:rsidRPr="00215418">
        <w:rPr>
          <w:rFonts w:ascii="Aptos" w:eastAsia="Aptos" w:hAnsi="Aptos" w:cs="Arial"/>
          <w:kern w:val="2"/>
          <w:sz w:val="22"/>
          <w:szCs w:val="22"/>
          <w14:ligatures w14:val="standardContextual"/>
        </w:rPr>
        <w:t xml:space="preserve"> countries </w:t>
      </w:r>
      <w:r w:rsidR="0057027C" w:rsidRPr="00215418">
        <w:rPr>
          <w:rFonts w:ascii="Aptos" w:eastAsia="Aptos" w:hAnsi="Aptos" w:cs="Arial"/>
          <w:kern w:val="2"/>
          <w:sz w:val="22"/>
          <w:szCs w:val="22"/>
          <w14:ligatures w14:val="standardContextual"/>
        </w:rPr>
        <w:t>is still</w:t>
      </w:r>
      <w:r w:rsidR="001741CB" w:rsidRPr="00215418">
        <w:rPr>
          <w:rFonts w:ascii="Aptos" w:eastAsia="Aptos" w:hAnsi="Aptos" w:cs="Arial"/>
          <w:kern w:val="2"/>
          <w:sz w:val="22"/>
          <w:szCs w:val="22"/>
          <w14:ligatures w14:val="standardContextual"/>
        </w:rPr>
        <w:t xml:space="preserve"> </w:t>
      </w:r>
      <w:r w:rsidR="00D76426" w:rsidRPr="00215418">
        <w:rPr>
          <w:rFonts w:ascii="Aptos" w:eastAsia="Aptos" w:hAnsi="Aptos" w:cs="Arial"/>
          <w:kern w:val="2"/>
          <w:sz w:val="22"/>
          <w:szCs w:val="22"/>
          <w14:ligatures w14:val="standardContextual"/>
        </w:rPr>
        <w:t>83 per cent</w:t>
      </w:r>
      <w:r w:rsidR="0057027C" w:rsidRPr="00215418">
        <w:rPr>
          <w:rFonts w:ascii="Aptos" w:eastAsia="Aptos" w:hAnsi="Aptos" w:cs="Arial"/>
          <w:kern w:val="2"/>
          <w:sz w:val="22"/>
          <w:szCs w:val="22"/>
          <w14:ligatures w14:val="standardContextual"/>
        </w:rPr>
        <w:t xml:space="preserve"> compared to </w:t>
      </w:r>
      <w:r w:rsidR="00B43EE5" w:rsidRPr="00215418">
        <w:rPr>
          <w:rFonts w:ascii="Aptos" w:eastAsia="Aptos" w:hAnsi="Aptos" w:cs="Arial"/>
          <w:kern w:val="2"/>
          <w:sz w:val="22"/>
          <w:szCs w:val="22"/>
          <w14:ligatures w14:val="standardContextual"/>
        </w:rPr>
        <w:t>only</w:t>
      </w:r>
      <w:r w:rsidR="005C5FEB" w:rsidRPr="00215418">
        <w:rPr>
          <w:rFonts w:ascii="Aptos" w:eastAsia="Aptos" w:hAnsi="Aptos" w:cs="Arial"/>
          <w:kern w:val="2"/>
          <w:sz w:val="22"/>
          <w:szCs w:val="22"/>
          <w14:ligatures w14:val="standardContextual"/>
        </w:rPr>
        <w:t xml:space="preserve"> </w:t>
      </w:r>
      <w:r w:rsidR="0057027C" w:rsidRPr="00215418">
        <w:rPr>
          <w:rFonts w:ascii="Aptos" w:eastAsia="Aptos" w:hAnsi="Aptos" w:cs="Arial"/>
          <w:kern w:val="2"/>
          <w:sz w:val="22"/>
          <w:szCs w:val="22"/>
          <w14:ligatures w14:val="standardContextual"/>
        </w:rPr>
        <w:t>65</w:t>
      </w:r>
      <w:r w:rsidR="00F72C87" w:rsidRPr="00215418">
        <w:rPr>
          <w:rFonts w:ascii="Aptos" w:eastAsia="Aptos" w:hAnsi="Aptos" w:cs="Arial"/>
          <w:kern w:val="2"/>
          <w:sz w:val="22"/>
          <w:szCs w:val="22"/>
          <w14:ligatures w14:val="standardContextual"/>
        </w:rPr>
        <w:t xml:space="preserve"> per cent</w:t>
      </w:r>
      <w:r w:rsidR="00D76426" w:rsidRPr="00215418">
        <w:rPr>
          <w:rFonts w:ascii="Aptos" w:eastAsia="Aptos" w:hAnsi="Aptos" w:cs="Arial"/>
          <w:kern w:val="2"/>
          <w:sz w:val="22"/>
          <w:szCs w:val="22"/>
          <w14:ligatures w14:val="standardContextual"/>
        </w:rPr>
        <w:t xml:space="preserve"> </w:t>
      </w:r>
      <w:r w:rsidR="00F23C61" w:rsidRPr="00215418">
        <w:rPr>
          <w:rFonts w:ascii="Aptos" w:eastAsia="Aptos" w:hAnsi="Aptos" w:cs="Arial"/>
          <w:kern w:val="2"/>
          <w:sz w:val="22"/>
          <w:szCs w:val="22"/>
          <w14:ligatures w14:val="standardContextual"/>
        </w:rPr>
        <w:t>for</w:t>
      </w:r>
      <w:r w:rsidR="00E32E61" w:rsidRPr="00215418">
        <w:rPr>
          <w:rFonts w:ascii="Aptos" w:eastAsia="Aptos" w:hAnsi="Aptos" w:cs="Arial"/>
          <w:kern w:val="2"/>
          <w:sz w:val="22"/>
          <w:szCs w:val="22"/>
          <w14:ligatures w14:val="standardContextual"/>
        </w:rPr>
        <w:t xml:space="preserve"> the </w:t>
      </w:r>
      <w:r w:rsidR="00F23C61" w:rsidRPr="00215418">
        <w:rPr>
          <w:rFonts w:ascii="Aptos" w:eastAsia="Aptos" w:hAnsi="Aptos" w:cs="Arial"/>
          <w:kern w:val="2"/>
          <w:sz w:val="22"/>
          <w:szCs w:val="22"/>
          <w14:ligatures w14:val="standardContextual"/>
        </w:rPr>
        <w:t>world</w:t>
      </w:r>
      <w:r w:rsidR="00E32E61" w:rsidRPr="00215418">
        <w:rPr>
          <w:rFonts w:ascii="Aptos" w:eastAsia="Aptos" w:hAnsi="Aptos" w:cs="Arial"/>
          <w:kern w:val="2"/>
          <w:sz w:val="22"/>
          <w:szCs w:val="22"/>
          <w14:ligatures w14:val="standardContextual"/>
        </w:rPr>
        <w:t>.</w:t>
      </w:r>
      <w:r w:rsidR="00F23C61" w:rsidRPr="00215418">
        <w:rPr>
          <w:rFonts w:ascii="Aptos" w:eastAsia="Aptos" w:hAnsi="Aptos" w:cs="Arial"/>
          <w:kern w:val="2"/>
          <w:sz w:val="22"/>
          <w:szCs w:val="22"/>
          <w14:ligatures w14:val="standardContextual"/>
        </w:rPr>
        <w:t xml:space="preserve"> </w:t>
      </w:r>
      <w:r w:rsidR="00C665EC" w:rsidRPr="00215418">
        <w:rPr>
          <w:rFonts w:ascii="Aptos" w:eastAsia="Aptos" w:hAnsi="Aptos" w:cs="Arial"/>
          <w:kern w:val="2"/>
          <w:sz w:val="22"/>
          <w:szCs w:val="22"/>
          <w14:ligatures w14:val="standardContextual"/>
        </w:rPr>
        <w:t>Conversely</w:t>
      </w:r>
      <w:r w:rsidR="00F23C61" w:rsidRPr="00215418">
        <w:rPr>
          <w:rFonts w:ascii="Aptos" w:eastAsia="Aptos" w:hAnsi="Aptos" w:cs="Arial"/>
          <w:kern w:val="2"/>
          <w:sz w:val="22"/>
          <w:szCs w:val="22"/>
          <w14:ligatures w14:val="standardContextual"/>
        </w:rPr>
        <w:t xml:space="preserve">, gender parity </w:t>
      </w:r>
      <w:r w:rsidR="00584836" w:rsidRPr="00215418">
        <w:rPr>
          <w:rFonts w:ascii="Aptos" w:eastAsia="Aptos" w:hAnsi="Aptos" w:cs="Arial"/>
          <w:kern w:val="2"/>
          <w:sz w:val="22"/>
          <w:szCs w:val="22"/>
          <w14:ligatures w14:val="standardContextual"/>
        </w:rPr>
        <w:t xml:space="preserve">is </w:t>
      </w:r>
      <w:r w:rsidR="00B84BB0" w:rsidRPr="00215418">
        <w:rPr>
          <w:rFonts w:ascii="Aptos" w:eastAsia="Aptos" w:hAnsi="Aptos" w:cs="Arial"/>
          <w:kern w:val="2"/>
          <w:sz w:val="22"/>
          <w:szCs w:val="22"/>
          <w14:ligatures w14:val="standardContextual"/>
        </w:rPr>
        <w:t xml:space="preserve">less positive </w:t>
      </w:r>
      <w:r w:rsidR="00C665EC" w:rsidRPr="00215418">
        <w:rPr>
          <w:rFonts w:ascii="Aptos" w:eastAsia="Aptos" w:hAnsi="Aptos" w:cs="Arial"/>
          <w:kern w:val="2"/>
          <w:sz w:val="22"/>
          <w:szCs w:val="22"/>
          <w14:ligatures w14:val="standardContextual"/>
        </w:rPr>
        <w:t xml:space="preserve">for this group </w:t>
      </w:r>
      <w:r w:rsidR="00D42C8F" w:rsidRPr="00215418">
        <w:rPr>
          <w:rFonts w:ascii="Aptos" w:eastAsia="Aptos" w:hAnsi="Aptos" w:cs="Arial"/>
          <w:kern w:val="2"/>
          <w:sz w:val="22"/>
          <w:szCs w:val="22"/>
          <w14:ligatures w14:val="standardContextual"/>
        </w:rPr>
        <w:t xml:space="preserve">with the </w:t>
      </w:r>
      <w:r w:rsidR="00D50F32" w:rsidRPr="00215418">
        <w:rPr>
          <w:rFonts w:ascii="Aptos" w:eastAsia="Aptos" w:hAnsi="Aptos" w:cs="Arial"/>
          <w:kern w:val="2"/>
          <w:sz w:val="22"/>
          <w:szCs w:val="22"/>
          <w14:ligatures w14:val="standardContextual"/>
        </w:rPr>
        <w:t xml:space="preserve">average </w:t>
      </w:r>
      <w:r w:rsidR="00CF5231" w:rsidRPr="00215418">
        <w:rPr>
          <w:rFonts w:ascii="Aptos" w:eastAsia="Aptos" w:hAnsi="Aptos" w:cs="Arial"/>
          <w:kern w:val="2"/>
          <w:sz w:val="22"/>
          <w:szCs w:val="22"/>
          <w14:ligatures w14:val="standardContextual"/>
        </w:rPr>
        <w:t xml:space="preserve">Internet use gender parity score </w:t>
      </w:r>
      <w:r w:rsidR="005708DE" w:rsidRPr="00215418">
        <w:rPr>
          <w:rFonts w:ascii="Aptos" w:eastAsia="Aptos" w:hAnsi="Aptos" w:cs="Arial"/>
          <w:kern w:val="2"/>
          <w:sz w:val="22"/>
          <w:szCs w:val="22"/>
          <w14:ligatures w14:val="standardContextual"/>
        </w:rPr>
        <w:t xml:space="preserve">falling </w:t>
      </w:r>
      <w:r w:rsidR="009D5A85" w:rsidRPr="00215418">
        <w:rPr>
          <w:rFonts w:ascii="Aptos" w:eastAsia="Aptos" w:hAnsi="Aptos" w:cs="Arial"/>
          <w:kern w:val="2"/>
          <w:sz w:val="22"/>
          <w:szCs w:val="22"/>
          <w14:ligatures w14:val="standardContextual"/>
        </w:rPr>
        <w:t>below th</w:t>
      </w:r>
      <w:r w:rsidR="00D50F32" w:rsidRPr="00215418">
        <w:rPr>
          <w:rFonts w:ascii="Aptos" w:eastAsia="Aptos" w:hAnsi="Aptos" w:cs="Arial"/>
          <w:kern w:val="2"/>
          <w:sz w:val="22"/>
          <w:szCs w:val="22"/>
          <w14:ligatures w14:val="standardContextual"/>
        </w:rPr>
        <w:t>at for the world.</w:t>
      </w:r>
      <w:r w:rsidR="00E32E61" w:rsidRPr="00215418">
        <w:rPr>
          <w:rFonts w:ascii="Aptos" w:eastAsia="Aptos" w:hAnsi="Aptos" w:cs="Arial"/>
          <w:kern w:val="2"/>
          <w:sz w:val="22"/>
          <w:szCs w:val="22"/>
          <w14:ligatures w14:val="standardContextual"/>
        </w:rPr>
        <w:t xml:space="preserve"> </w:t>
      </w:r>
    </w:p>
    <w:p w14:paraId="71C2DC95" w14:textId="1B1BF152" w:rsidR="0092371A" w:rsidRPr="00215418" w:rsidRDefault="00F20F09" w:rsidP="0092371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This group is also similar in most respect</w:t>
      </w:r>
      <w:r w:rsidR="00D962C6" w:rsidRPr="00215418">
        <w:rPr>
          <w:rFonts w:ascii="Aptos" w:eastAsia="Aptos" w:hAnsi="Aptos" w:cs="Arial"/>
          <w:kern w:val="2"/>
          <w:sz w:val="22"/>
          <w:szCs w:val="22"/>
          <w14:ligatures w14:val="standardContextual"/>
        </w:rPr>
        <w:t>s</w:t>
      </w:r>
      <w:r w:rsidRPr="00215418">
        <w:rPr>
          <w:rFonts w:ascii="Aptos" w:eastAsia="Aptos" w:hAnsi="Aptos" w:cs="Arial"/>
          <w:kern w:val="2"/>
          <w:sz w:val="22"/>
          <w:szCs w:val="22"/>
          <w14:ligatures w14:val="standardContextual"/>
        </w:rPr>
        <w:t xml:space="preserve"> to t</w:t>
      </w:r>
      <w:r w:rsidR="00D50F32" w:rsidRPr="00215418">
        <w:rPr>
          <w:rFonts w:ascii="Aptos" w:eastAsia="Aptos" w:hAnsi="Aptos" w:cs="Arial"/>
          <w:kern w:val="2"/>
          <w:sz w:val="22"/>
          <w:szCs w:val="22"/>
          <w14:ligatures w14:val="standardContextual"/>
        </w:rPr>
        <w:t>he final group</w:t>
      </w:r>
      <w:r w:rsidRPr="00215418">
        <w:rPr>
          <w:rFonts w:ascii="Aptos" w:eastAsia="Aptos" w:hAnsi="Aptos" w:cs="Arial"/>
          <w:kern w:val="2"/>
          <w:sz w:val="22"/>
          <w:szCs w:val="22"/>
          <w14:ligatures w14:val="standardContextual"/>
        </w:rPr>
        <w:t xml:space="preserve"> -</w:t>
      </w:r>
      <w:r w:rsidR="0092371A" w:rsidRPr="00215418">
        <w:rPr>
          <w:rFonts w:ascii="Aptos" w:eastAsia="Aptos" w:hAnsi="Aptos" w:cs="Arial"/>
          <w:kern w:val="2"/>
          <w:sz w:val="22"/>
          <w:szCs w:val="22"/>
          <w14:ligatures w14:val="standardContextual"/>
        </w:rPr>
        <w:t xml:space="preserve"> </w:t>
      </w:r>
      <w:r w:rsidR="006B206D" w:rsidRPr="00215418">
        <w:rPr>
          <w:rFonts w:ascii="Aptos" w:eastAsia="Aptos" w:hAnsi="Aptos" w:cs="Arial"/>
          <w:kern w:val="2"/>
          <w:sz w:val="22"/>
          <w:szCs w:val="22"/>
          <w14:ligatures w14:val="standardContextual"/>
        </w:rPr>
        <w:t>Albania, Bosnia and Herzegovina, Georgia, North Macedonia, Serbia, and Ukraine</w:t>
      </w:r>
      <w:r w:rsidRPr="00215418">
        <w:rPr>
          <w:rFonts w:ascii="Aptos" w:eastAsia="Aptos" w:hAnsi="Aptos" w:cs="Arial"/>
          <w:kern w:val="2"/>
          <w:sz w:val="22"/>
          <w:szCs w:val="22"/>
          <w14:ligatures w14:val="standardContextual"/>
        </w:rPr>
        <w:t xml:space="preserve">. </w:t>
      </w:r>
      <w:r w:rsidR="008A042D" w:rsidRPr="00215418">
        <w:rPr>
          <w:rFonts w:ascii="Aptos" w:eastAsia="Aptos" w:hAnsi="Aptos" w:cs="Arial"/>
          <w:kern w:val="2"/>
          <w:sz w:val="22"/>
          <w:szCs w:val="22"/>
          <w14:ligatures w14:val="standardContextual"/>
        </w:rPr>
        <w:t xml:space="preserve">ICT use and ownership is still higher than global averages </w:t>
      </w:r>
      <w:r w:rsidR="00232368" w:rsidRPr="00215418">
        <w:rPr>
          <w:rFonts w:ascii="Aptos" w:eastAsia="Aptos" w:hAnsi="Aptos" w:cs="Arial"/>
          <w:kern w:val="2"/>
          <w:sz w:val="22"/>
          <w:szCs w:val="22"/>
          <w14:ligatures w14:val="standardContextual"/>
        </w:rPr>
        <w:t xml:space="preserve">in these countries </w:t>
      </w:r>
      <w:r w:rsidR="00253917" w:rsidRPr="00215418">
        <w:rPr>
          <w:rFonts w:ascii="Aptos" w:eastAsia="Aptos" w:hAnsi="Aptos" w:cs="Arial"/>
          <w:kern w:val="2"/>
          <w:sz w:val="22"/>
          <w:szCs w:val="22"/>
          <w14:ligatures w14:val="standardContextual"/>
        </w:rPr>
        <w:t xml:space="preserve">though not quite as high as </w:t>
      </w:r>
      <w:r w:rsidR="00BE4A2D" w:rsidRPr="00215418">
        <w:rPr>
          <w:rFonts w:ascii="Aptos" w:eastAsia="Aptos" w:hAnsi="Aptos" w:cs="Arial"/>
          <w:kern w:val="2"/>
          <w:sz w:val="22"/>
          <w:szCs w:val="22"/>
          <w14:ligatures w14:val="standardContextual"/>
        </w:rPr>
        <w:t xml:space="preserve">for </w:t>
      </w:r>
      <w:r w:rsidR="00CC2438" w:rsidRPr="00215418">
        <w:rPr>
          <w:rFonts w:ascii="Aptos" w:eastAsia="Aptos" w:hAnsi="Aptos" w:cs="Arial"/>
          <w:kern w:val="2"/>
          <w:sz w:val="22"/>
          <w:szCs w:val="22"/>
          <w14:ligatures w14:val="standardContextual"/>
        </w:rPr>
        <w:t xml:space="preserve">other European countries. </w:t>
      </w:r>
      <w:r w:rsidR="003B65AB" w:rsidRPr="00215418">
        <w:rPr>
          <w:rFonts w:ascii="Aptos" w:eastAsia="Aptos" w:hAnsi="Aptos" w:cs="Arial"/>
          <w:kern w:val="2"/>
          <w:sz w:val="22"/>
          <w:szCs w:val="22"/>
          <w14:ligatures w14:val="standardContextual"/>
        </w:rPr>
        <w:t xml:space="preserve">ICT services are somewhat less affordable as well with the </w:t>
      </w:r>
      <w:r w:rsidR="00BF263E" w:rsidRPr="00215418">
        <w:rPr>
          <w:rFonts w:ascii="Aptos" w:eastAsia="Aptos" w:hAnsi="Aptos" w:cs="Arial"/>
          <w:kern w:val="2"/>
          <w:sz w:val="22"/>
          <w:szCs w:val="22"/>
          <w14:ligatures w14:val="standardContextual"/>
        </w:rPr>
        <w:t xml:space="preserve">average </w:t>
      </w:r>
      <w:r w:rsidR="003B65AB" w:rsidRPr="00215418">
        <w:rPr>
          <w:rFonts w:ascii="Aptos" w:eastAsia="Aptos" w:hAnsi="Aptos" w:cs="Arial"/>
          <w:kern w:val="2"/>
          <w:sz w:val="22"/>
          <w:szCs w:val="22"/>
          <w14:ligatures w14:val="standardContextual"/>
        </w:rPr>
        <w:t xml:space="preserve">price for </w:t>
      </w:r>
      <w:r w:rsidR="00D92455" w:rsidRPr="00215418">
        <w:rPr>
          <w:rFonts w:ascii="Aptos" w:eastAsia="Aptos" w:hAnsi="Aptos" w:cs="Arial"/>
          <w:kern w:val="2"/>
          <w:sz w:val="22"/>
          <w:szCs w:val="22"/>
          <w14:ligatures w14:val="standardContextual"/>
        </w:rPr>
        <w:t>the data-only</w:t>
      </w:r>
      <w:r w:rsidR="003B65AB" w:rsidRPr="00215418">
        <w:rPr>
          <w:rFonts w:ascii="Aptos" w:eastAsia="Aptos" w:hAnsi="Aptos" w:cs="Arial"/>
          <w:kern w:val="2"/>
          <w:sz w:val="22"/>
          <w:szCs w:val="22"/>
          <w14:ligatures w14:val="standardContextual"/>
        </w:rPr>
        <w:t xml:space="preserve"> mobile </w:t>
      </w:r>
      <w:r w:rsidR="00D92455" w:rsidRPr="00215418">
        <w:rPr>
          <w:rFonts w:ascii="Aptos" w:eastAsia="Aptos" w:hAnsi="Aptos" w:cs="Arial"/>
          <w:kern w:val="2"/>
          <w:sz w:val="22"/>
          <w:szCs w:val="22"/>
          <w14:ligatures w14:val="standardContextual"/>
        </w:rPr>
        <w:t xml:space="preserve">broadband basket </w:t>
      </w:r>
      <w:r w:rsidR="00BF263E" w:rsidRPr="00215418">
        <w:rPr>
          <w:rFonts w:ascii="Aptos" w:eastAsia="Aptos" w:hAnsi="Aptos" w:cs="Arial"/>
          <w:kern w:val="2"/>
          <w:sz w:val="22"/>
          <w:szCs w:val="22"/>
          <w14:ligatures w14:val="standardContextual"/>
        </w:rPr>
        <w:t xml:space="preserve">above the </w:t>
      </w:r>
      <w:r w:rsidR="001236B2" w:rsidRPr="00215418">
        <w:rPr>
          <w:rFonts w:ascii="Aptos" w:eastAsia="Aptos" w:hAnsi="Aptos" w:cs="Arial"/>
          <w:kern w:val="2"/>
          <w:sz w:val="22"/>
          <w:szCs w:val="22"/>
          <w14:ligatures w14:val="standardContextual"/>
        </w:rPr>
        <w:t>Broadband Commission target of 2 per cent of monthly GNI per capita or lower. Gender parity, however,</w:t>
      </w:r>
      <w:r w:rsidR="007F29D0" w:rsidRPr="00215418">
        <w:rPr>
          <w:rFonts w:ascii="Aptos" w:eastAsia="Aptos" w:hAnsi="Aptos" w:cs="Arial"/>
          <w:kern w:val="2"/>
          <w:sz w:val="22"/>
          <w:szCs w:val="22"/>
          <w14:ligatures w14:val="standardContextual"/>
        </w:rPr>
        <w:t xml:space="preserve"> </w:t>
      </w:r>
      <w:r w:rsidR="00831F1F" w:rsidRPr="00215418">
        <w:rPr>
          <w:rFonts w:ascii="Aptos" w:eastAsia="Aptos" w:hAnsi="Aptos" w:cs="Arial"/>
          <w:kern w:val="2"/>
          <w:sz w:val="22"/>
          <w:szCs w:val="22"/>
          <w14:ligatures w14:val="standardContextual"/>
        </w:rPr>
        <w:t xml:space="preserve">is </w:t>
      </w:r>
      <w:r w:rsidR="00FE493F" w:rsidRPr="00215418">
        <w:rPr>
          <w:rFonts w:ascii="Aptos" w:eastAsia="Aptos" w:hAnsi="Aptos" w:cs="Arial"/>
          <w:kern w:val="2"/>
          <w:sz w:val="22"/>
          <w:szCs w:val="22"/>
          <w14:ligatures w14:val="standardContextual"/>
        </w:rPr>
        <w:t xml:space="preserve">improved </w:t>
      </w:r>
      <w:r w:rsidR="00CA19C3" w:rsidRPr="00215418">
        <w:rPr>
          <w:rFonts w:ascii="Aptos" w:eastAsia="Aptos" w:hAnsi="Aptos" w:cs="Arial"/>
          <w:kern w:val="2"/>
          <w:sz w:val="22"/>
          <w:szCs w:val="22"/>
          <w14:ligatures w14:val="standardContextual"/>
        </w:rPr>
        <w:t xml:space="preserve">in this </w:t>
      </w:r>
      <w:r w:rsidR="00895245" w:rsidRPr="00215418">
        <w:rPr>
          <w:rFonts w:ascii="Aptos" w:eastAsia="Aptos" w:hAnsi="Aptos" w:cs="Arial"/>
          <w:kern w:val="2"/>
          <w:sz w:val="22"/>
          <w:szCs w:val="22"/>
          <w14:ligatures w14:val="standardContextual"/>
        </w:rPr>
        <w:t>final</w:t>
      </w:r>
      <w:r w:rsidR="00CA19C3" w:rsidRPr="00215418">
        <w:rPr>
          <w:rFonts w:ascii="Aptos" w:eastAsia="Aptos" w:hAnsi="Aptos" w:cs="Arial"/>
          <w:kern w:val="2"/>
          <w:sz w:val="22"/>
          <w:szCs w:val="22"/>
          <w14:ligatures w14:val="standardContextual"/>
        </w:rPr>
        <w:t xml:space="preserve"> group compared to th</w:t>
      </w:r>
      <w:r w:rsidR="00895245" w:rsidRPr="00215418">
        <w:rPr>
          <w:rFonts w:ascii="Aptos" w:eastAsia="Aptos" w:hAnsi="Aptos" w:cs="Arial"/>
          <w:kern w:val="2"/>
          <w:sz w:val="22"/>
          <w:szCs w:val="22"/>
          <w14:ligatures w14:val="standardContextual"/>
        </w:rPr>
        <w:t xml:space="preserve">at in </w:t>
      </w:r>
      <w:r w:rsidR="00CA19C3" w:rsidRPr="00215418">
        <w:rPr>
          <w:rFonts w:ascii="Aptos" w:eastAsia="Aptos" w:hAnsi="Aptos" w:cs="Arial"/>
          <w:kern w:val="2"/>
          <w:sz w:val="22"/>
          <w:szCs w:val="22"/>
          <w14:ligatures w14:val="standardContextual"/>
        </w:rPr>
        <w:t xml:space="preserve">the </w:t>
      </w:r>
      <w:r w:rsidR="00895245" w:rsidRPr="00215418">
        <w:rPr>
          <w:rFonts w:ascii="Aptos" w:eastAsia="Aptos" w:hAnsi="Aptos" w:cs="Arial"/>
          <w:kern w:val="2"/>
          <w:sz w:val="22"/>
          <w:szCs w:val="22"/>
          <w14:ligatures w14:val="standardContextual"/>
        </w:rPr>
        <w:t xml:space="preserve">third group and </w:t>
      </w:r>
      <w:r w:rsidR="00831F1F" w:rsidRPr="00215418">
        <w:rPr>
          <w:rFonts w:ascii="Aptos" w:eastAsia="Aptos" w:hAnsi="Aptos" w:cs="Arial"/>
          <w:kern w:val="2"/>
          <w:sz w:val="22"/>
          <w:szCs w:val="22"/>
          <w14:ligatures w14:val="standardContextual"/>
        </w:rPr>
        <w:t xml:space="preserve">similar </w:t>
      </w:r>
      <w:r w:rsidR="00C97ED1" w:rsidRPr="00215418">
        <w:rPr>
          <w:rFonts w:ascii="Aptos" w:eastAsia="Aptos" w:hAnsi="Aptos" w:cs="Arial"/>
          <w:kern w:val="2"/>
          <w:sz w:val="22"/>
          <w:szCs w:val="22"/>
          <w14:ligatures w14:val="standardContextual"/>
        </w:rPr>
        <w:t xml:space="preserve">to </w:t>
      </w:r>
      <w:r w:rsidR="0021692A" w:rsidRPr="00215418">
        <w:rPr>
          <w:rFonts w:ascii="Aptos" w:eastAsia="Aptos" w:hAnsi="Aptos" w:cs="Arial"/>
          <w:kern w:val="2"/>
          <w:sz w:val="22"/>
          <w:szCs w:val="22"/>
          <w14:ligatures w14:val="standardContextual"/>
        </w:rPr>
        <w:t xml:space="preserve">that in </w:t>
      </w:r>
      <w:r w:rsidR="00333131" w:rsidRPr="00215418">
        <w:rPr>
          <w:rFonts w:ascii="Aptos" w:eastAsia="Aptos" w:hAnsi="Aptos" w:cs="Arial"/>
          <w:kern w:val="2"/>
          <w:sz w:val="22"/>
          <w:szCs w:val="22"/>
          <w14:ligatures w14:val="standardContextual"/>
        </w:rPr>
        <w:t>most European countries.</w:t>
      </w:r>
      <w:r w:rsidR="00C97ED1" w:rsidRPr="00215418">
        <w:rPr>
          <w:rFonts w:ascii="Aptos" w:eastAsia="Aptos" w:hAnsi="Aptos" w:cs="Arial"/>
          <w:kern w:val="2"/>
          <w:sz w:val="22"/>
          <w:szCs w:val="22"/>
          <w14:ligatures w14:val="standardContextual"/>
        </w:rPr>
        <w:t xml:space="preserve"> </w:t>
      </w:r>
    </w:p>
    <w:p w14:paraId="5B9528F4" w14:textId="77777777" w:rsidR="0092371A" w:rsidRPr="00215418" w:rsidRDefault="0092371A" w:rsidP="0092371A">
      <w:pPr>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The diversity of these groups of countries underlines the need to design tailored approaches to</w:t>
      </w:r>
      <w:r w:rsidRPr="00215418" w:rsidDel="00D14485">
        <w:rPr>
          <w:rFonts w:ascii="Aptos" w:eastAsia="Aptos" w:hAnsi="Aptos" w:cs="Arial"/>
          <w:kern w:val="2"/>
          <w:sz w:val="22"/>
          <w:szCs w:val="22"/>
          <w14:ligatures w14:val="standardContextual"/>
        </w:rPr>
        <w:t xml:space="preserve"> </w:t>
      </w:r>
      <w:r w:rsidRPr="00215418">
        <w:rPr>
          <w:rFonts w:ascii="Aptos" w:eastAsia="Aptos" w:hAnsi="Aptos" w:cs="Arial"/>
          <w:kern w:val="2"/>
          <w:sz w:val="22"/>
          <w:szCs w:val="22"/>
          <w14:ligatures w14:val="standardContextual"/>
        </w:rPr>
        <w:t>achieve universal and meaningful connectivity.</w:t>
      </w:r>
    </w:p>
    <w:p w14:paraId="311FA299" w14:textId="77777777" w:rsidR="0092371A" w:rsidRPr="00215418" w:rsidRDefault="0092371A" w:rsidP="0092371A">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br w:type="page"/>
      </w:r>
    </w:p>
    <w:p w14:paraId="70351E4E" w14:textId="288146B6"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lastRenderedPageBreak/>
        <w:t xml:space="preserve">Average of key ICT indicators by groups of similar </w:t>
      </w:r>
      <w:r w:rsidR="00BB6365" w:rsidRPr="00215418">
        <w:rPr>
          <w:rFonts w:ascii="AvenirNext LT Pro Light" w:eastAsia="Yu Gothic Light" w:hAnsi="AvenirNext LT Pro Light" w:cs="Calibri"/>
          <w:color w:val="0070C0"/>
          <w:spacing w:val="-10"/>
          <w:kern w:val="28"/>
          <w:szCs w:val="24"/>
        </w:rPr>
        <w:t>Europ</w:t>
      </w:r>
      <w:r w:rsidR="006971B8" w:rsidRPr="00215418">
        <w:rPr>
          <w:rFonts w:ascii="AvenirNext LT Pro Light" w:eastAsia="Yu Gothic Light" w:hAnsi="AvenirNext LT Pro Light" w:cs="Calibri"/>
          <w:color w:val="0070C0"/>
          <w:spacing w:val="-10"/>
          <w:kern w:val="28"/>
          <w:szCs w:val="24"/>
        </w:rPr>
        <w:t>ean countries</w:t>
      </w:r>
      <w:r w:rsidRPr="00215418">
        <w:rPr>
          <w:rFonts w:ascii="AvenirNext LT Pro Light" w:eastAsia="Yu Gothic Light" w:hAnsi="AvenirNext LT Pro Light" w:cs="Calibri"/>
          <w:color w:val="0070C0"/>
          <w:spacing w:val="-10"/>
          <w:kern w:val="28"/>
          <w:szCs w:val="24"/>
        </w:rPr>
        <w:t>, 202</w:t>
      </w:r>
      <w:r w:rsidR="005E05D1" w:rsidRPr="00215418">
        <w:rPr>
          <w:rFonts w:ascii="AvenirNext LT Pro Light" w:eastAsia="Yu Gothic Light" w:hAnsi="AvenirNext LT Pro Light" w:cs="Calibri"/>
          <w:color w:val="0070C0"/>
          <w:spacing w:val="-10"/>
          <w:kern w:val="28"/>
          <w:szCs w:val="24"/>
        </w:rPr>
        <w:t>3</w:t>
      </w:r>
    </w:p>
    <w:tbl>
      <w:tblPr>
        <w:tblW w:w="46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4"/>
        <w:gridCol w:w="1226"/>
        <w:gridCol w:w="1276"/>
        <w:gridCol w:w="1275"/>
        <w:gridCol w:w="1278"/>
        <w:gridCol w:w="1417"/>
      </w:tblGrid>
      <w:tr w:rsidR="00F345C5" w:rsidRPr="00215418" w14:paraId="159E3EFE" w14:textId="77777777" w:rsidTr="002D5DD5">
        <w:trPr>
          <w:trHeight w:val="315"/>
        </w:trPr>
        <w:tc>
          <w:tcPr>
            <w:tcW w:w="1374" w:type="pct"/>
            <w:shd w:val="clear" w:color="auto" w:fill="C1E4F5"/>
            <w:noWrap/>
            <w:vAlign w:val="bottom"/>
            <w:hideMark/>
          </w:tcPr>
          <w:p w14:paraId="40D87E7D" w14:textId="77777777" w:rsidR="00A2613A" w:rsidRPr="00215418" w:rsidRDefault="00A2613A"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color w:val="000000"/>
                <w:spacing w:val="-10"/>
                <w:kern w:val="28"/>
                <w:sz w:val="16"/>
                <w:szCs w:val="16"/>
                <w:lang w:eastAsia="en-GB"/>
              </w:rPr>
            </w:pPr>
            <w:r w:rsidRPr="00215418">
              <w:rPr>
                <w:rFonts w:ascii="Aptos" w:hAnsi="Aptos" w:cs="Calibri"/>
                <w:color w:val="000000"/>
                <w:spacing w:val="-10"/>
                <w:kern w:val="28"/>
                <w:sz w:val="16"/>
                <w:szCs w:val="16"/>
                <w:lang w:eastAsia="en-GB"/>
              </w:rPr>
              <w:t> </w:t>
            </w:r>
          </w:p>
        </w:tc>
        <w:tc>
          <w:tcPr>
            <w:tcW w:w="2832" w:type="pct"/>
            <w:gridSpan w:val="4"/>
            <w:shd w:val="clear" w:color="auto" w:fill="C1E4F5"/>
            <w:noWrap/>
            <w:vAlign w:val="bottom"/>
            <w:hideMark/>
          </w:tcPr>
          <w:p w14:paraId="48A49A23" w14:textId="1516703F" w:rsidR="00A2613A" w:rsidRPr="00215418" w:rsidRDefault="00A2613A"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color w:val="000000"/>
                <w:spacing w:val="-10"/>
                <w:kern w:val="28"/>
                <w:sz w:val="16"/>
                <w:szCs w:val="16"/>
                <w:lang w:eastAsia="en-GB"/>
              </w:rPr>
            </w:pPr>
            <w:r w:rsidRPr="00215418">
              <w:rPr>
                <w:rFonts w:ascii="Aptos" w:hAnsi="Aptos" w:cs="Calibri"/>
                <w:color w:val="000000"/>
                <w:spacing w:val="-10"/>
                <w:kern w:val="28"/>
                <w:sz w:val="16"/>
                <w:szCs w:val="16"/>
                <w:lang w:eastAsia="en-GB"/>
              </w:rPr>
              <w:t>Group</w:t>
            </w:r>
          </w:p>
        </w:tc>
        <w:tc>
          <w:tcPr>
            <w:tcW w:w="794" w:type="pct"/>
            <w:shd w:val="clear" w:color="auto" w:fill="C1E4F5"/>
            <w:noWrap/>
            <w:vAlign w:val="bottom"/>
            <w:hideMark/>
          </w:tcPr>
          <w:p w14:paraId="63B79A10" w14:textId="1B633994" w:rsidR="00A2613A" w:rsidRPr="00215418" w:rsidRDefault="00A2613A"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color w:val="000000"/>
                <w:spacing w:val="-10"/>
                <w:kern w:val="28"/>
                <w:sz w:val="16"/>
                <w:szCs w:val="16"/>
                <w:lang w:eastAsia="en-GB"/>
              </w:rPr>
            </w:pPr>
            <w:r w:rsidRPr="00215418">
              <w:rPr>
                <w:rFonts w:ascii="Aptos" w:hAnsi="Aptos" w:cs="Calibri"/>
                <w:color w:val="000000"/>
                <w:spacing w:val="-10"/>
                <w:kern w:val="28"/>
                <w:sz w:val="16"/>
                <w:szCs w:val="16"/>
                <w:lang w:eastAsia="en-GB"/>
              </w:rPr>
              <w:t> </w:t>
            </w:r>
          </w:p>
        </w:tc>
      </w:tr>
      <w:tr w:rsidR="00712266" w:rsidRPr="00215418" w14:paraId="222DA800" w14:textId="77777777" w:rsidTr="002D5DD5">
        <w:trPr>
          <w:trHeight w:val="315"/>
        </w:trPr>
        <w:tc>
          <w:tcPr>
            <w:tcW w:w="1374" w:type="pct"/>
            <w:shd w:val="clear" w:color="auto" w:fill="C1E4F5"/>
            <w:vAlign w:val="bottom"/>
            <w:hideMark/>
          </w:tcPr>
          <w:p w14:paraId="72E34E51" w14:textId="77777777" w:rsidR="00F779AF" w:rsidRPr="00215418" w:rsidRDefault="00F779AF"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eastAsia="Yu Gothic Light" w:hAnsi="Aptos" w:cs="Calibri"/>
                <w:b/>
                <w:color w:val="000000"/>
                <w:spacing w:val="-10"/>
                <w:kern w:val="28"/>
                <w:sz w:val="16"/>
                <w:szCs w:val="16"/>
              </w:rPr>
            </w:pPr>
            <w:r w:rsidRPr="00215418">
              <w:rPr>
                <w:rFonts w:ascii="Aptos" w:hAnsi="Aptos" w:cs="Calibri"/>
                <w:b/>
                <w:color w:val="000000"/>
                <w:spacing w:val="-10"/>
                <w:kern w:val="28"/>
                <w:sz w:val="16"/>
                <w:szCs w:val="16"/>
                <w:lang w:eastAsia="en-GB"/>
              </w:rPr>
              <w:t> </w:t>
            </w:r>
            <w:r w:rsidRPr="00215418">
              <w:rPr>
                <w:rFonts w:ascii="Aptos" w:eastAsia="Yu Gothic Light" w:hAnsi="Aptos" w:cs="Calibri"/>
                <w:b/>
                <w:color w:val="000000"/>
                <w:spacing w:val="-10"/>
                <w:kern w:val="28"/>
                <w:sz w:val="16"/>
                <w:szCs w:val="16"/>
              </w:rPr>
              <w:t>Indicator (units)</w:t>
            </w:r>
          </w:p>
        </w:tc>
        <w:tc>
          <w:tcPr>
            <w:tcW w:w="687" w:type="pct"/>
            <w:shd w:val="clear" w:color="auto" w:fill="C1E4F5"/>
            <w:noWrap/>
            <w:vAlign w:val="bottom"/>
            <w:hideMark/>
          </w:tcPr>
          <w:p w14:paraId="15407489" w14:textId="77777777" w:rsidR="00F779AF" w:rsidRPr="00215418" w:rsidRDefault="00F779AF"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color w:val="000000"/>
                <w:spacing w:val="-10"/>
                <w:kern w:val="28"/>
                <w:sz w:val="16"/>
                <w:szCs w:val="16"/>
                <w:lang w:eastAsia="en-GB"/>
              </w:rPr>
            </w:pPr>
            <w:r w:rsidRPr="00215418">
              <w:rPr>
                <w:rFonts w:ascii="Aptos" w:hAnsi="Aptos" w:cs="Calibri"/>
                <w:color w:val="000000"/>
                <w:spacing w:val="-10"/>
                <w:kern w:val="28"/>
                <w:sz w:val="16"/>
                <w:szCs w:val="16"/>
                <w:lang w:eastAsia="en-GB"/>
              </w:rPr>
              <w:t xml:space="preserve">1 </w:t>
            </w:r>
          </w:p>
          <w:p w14:paraId="64C37007" w14:textId="5CE78E53" w:rsidR="00F779AF" w:rsidRPr="00215418" w:rsidRDefault="00F779AF"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color w:val="000000"/>
                <w:spacing w:val="-10"/>
                <w:kern w:val="28"/>
                <w:sz w:val="16"/>
                <w:szCs w:val="16"/>
                <w:lang w:eastAsia="en-GB"/>
              </w:rPr>
            </w:pPr>
            <w:r w:rsidRPr="00215418">
              <w:rPr>
                <w:rFonts w:ascii="Aptos" w:hAnsi="Aptos" w:cs="Calibri"/>
                <w:color w:val="000000"/>
                <w:spacing w:val="-10"/>
                <w:kern w:val="28"/>
                <w:sz w:val="16"/>
                <w:szCs w:val="16"/>
                <w:lang w:eastAsia="en-GB"/>
              </w:rPr>
              <w:t>(</w:t>
            </w:r>
            <w:r w:rsidR="00205F62" w:rsidRPr="00215418">
              <w:rPr>
                <w:rFonts w:ascii="Aptos" w:hAnsi="Aptos" w:cs="Calibri"/>
                <w:color w:val="000000"/>
                <w:spacing w:val="-10"/>
                <w:kern w:val="28"/>
                <w:sz w:val="16"/>
                <w:szCs w:val="16"/>
                <w:lang w:eastAsia="en-GB"/>
              </w:rPr>
              <w:t>34 European countries</w:t>
            </w:r>
            <w:r w:rsidRPr="00215418">
              <w:rPr>
                <w:rFonts w:ascii="Aptos" w:hAnsi="Aptos" w:cs="Calibri"/>
                <w:color w:val="000000"/>
                <w:spacing w:val="-10"/>
                <w:kern w:val="28"/>
                <w:sz w:val="16"/>
                <w:szCs w:val="16"/>
                <w:lang w:eastAsia="en-GB"/>
              </w:rPr>
              <w:t>)</w:t>
            </w:r>
          </w:p>
        </w:tc>
        <w:tc>
          <w:tcPr>
            <w:tcW w:w="715" w:type="pct"/>
            <w:shd w:val="clear" w:color="auto" w:fill="C1E4F5"/>
            <w:noWrap/>
            <w:vAlign w:val="bottom"/>
            <w:hideMark/>
          </w:tcPr>
          <w:p w14:paraId="38ADA897" w14:textId="77777777" w:rsidR="00F779AF" w:rsidRPr="00215418" w:rsidRDefault="00F779AF"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color w:val="000000"/>
                <w:spacing w:val="-10"/>
                <w:kern w:val="28"/>
                <w:sz w:val="16"/>
                <w:szCs w:val="16"/>
                <w:lang w:eastAsia="en-GB"/>
              </w:rPr>
            </w:pPr>
            <w:r w:rsidRPr="00215418">
              <w:rPr>
                <w:rFonts w:ascii="Aptos" w:hAnsi="Aptos" w:cs="Calibri"/>
                <w:color w:val="000000"/>
                <w:spacing w:val="-10"/>
                <w:kern w:val="28"/>
                <w:sz w:val="16"/>
                <w:szCs w:val="16"/>
                <w:lang w:eastAsia="en-GB"/>
              </w:rPr>
              <w:t xml:space="preserve">2 </w:t>
            </w:r>
          </w:p>
          <w:p w14:paraId="79297FD8" w14:textId="453979C6" w:rsidR="00F779AF" w:rsidRPr="00215418" w:rsidRDefault="00F779AF"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color w:val="000000"/>
                <w:spacing w:val="-10"/>
                <w:kern w:val="28"/>
                <w:sz w:val="16"/>
                <w:szCs w:val="16"/>
                <w:lang w:eastAsia="en-GB"/>
              </w:rPr>
            </w:pPr>
            <w:r w:rsidRPr="00215418">
              <w:rPr>
                <w:rFonts w:ascii="Aptos" w:hAnsi="Aptos" w:cs="Calibri"/>
                <w:color w:val="000000"/>
                <w:spacing w:val="-10"/>
                <w:kern w:val="28"/>
                <w:sz w:val="16"/>
                <w:szCs w:val="16"/>
                <w:lang w:eastAsia="en-GB"/>
              </w:rPr>
              <w:t>(</w:t>
            </w:r>
            <w:r w:rsidR="00205F62" w:rsidRPr="00215418">
              <w:rPr>
                <w:rFonts w:ascii="Aptos" w:hAnsi="Aptos" w:cs="Calibri"/>
                <w:color w:val="000000"/>
                <w:spacing w:val="-10"/>
                <w:kern w:val="28"/>
                <w:sz w:val="16"/>
                <w:szCs w:val="16"/>
                <w:lang w:eastAsia="en-GB"/>
              </w:rPr>
              <w:t>2 European countries</w:t>
            </w:r>
            <w:r w:rsidRPr="00215418">
              <w:rPr>
                <w:rFonts w:ascii="Aptos" w:hAnsi="Aptos" w:cs="Calibri"/>
                <w:color w:val="000000"/>
                <w:spacing w:val="-10"/>
                <w:kern w:val="28"/>
                <w:sz w:val="16"/>
                <w:szCs w:val="16"/>
                <w:lang w:eastAsia="en-GB"/>
              </w:rPr>
              <w:t>)</w:t>
            </w:r>
          </w:p>
        </w:tc>
        <w:tc>
          <w:tcPr>
            <w:tcW w:w="714" w:type="pct"/>
            <w:shd w:val="clear" w:color="auto" w:fill="C1E4F5"/>
            <w:noWrap/>
            <w:vAlign w:val="bottom"/>
            <w:hideMark/>
          </w:tcPr>
          <w:p w14:paraId="481A7D40" w14:textId="77777777" w:rsidR="00F779AF" w:rsidRPr="00215418" w:rsidRDefault="00F779AF"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color w:val="000000"/>
                <w:spacing w:val="-10"/>
                <w:kern w:val="28"/>
                <w:sz w:val="16"/>
                <w:szCs w:val="16"/>
                <w:lang w:eastAsia="en-GB"/>
              </w:rPr>
            </w:pPr>
            <w:r w:rsidRPr="00215418">
              <w:rPr>
                <w:rFonts w:ascii="Aptos" w:hAnsi="Aptos" w:cs="Calibri"/>
                <w:color w:val="000000"/>
                <w:spacing w:val="-10"/>
                <w:kern w:val="28"/>
                <w:sz w:val="16"/>
                <w:szCs w:val="16"/>
                <w:lang w:eastAsia="en-GB"/>
              </w:rPr>
              <w:t xml:space="preserve">3 </w:t>
            </w:r>
          </w:p>
          <w:p w14:paraId="3B43DCC9" w14:textId="56CEDB28" w:rsidR="00F779AF" w:rsidRPr="00215418" w:rsidRDefault="00F779AF"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color w:val="000000"/>
                <w:spacing w:val="-10"/>
                <w:kern w:val="28"/>
                <w:sz w:val="16"/>
                <w:szCs w:val="16"/>
                <w:lang w:eastAsia="en-GB"/>
              </w:rPr>
            </w:pPr>
            <w:r w:rsidRPr="00215418">
              <w:rPr>
                <w:rFonts w:ascii="Aptos" w:hAnsi="Aptos" w:cs="Calibri"/>
                <w:color w:val="000000"/>
                <w:spacing w:val="-10"/>
                <w:kern w:val="28"/>
                <w:sz w:val="16"/>
                <w:szCs w:val="16"/>
                <w:lang w:eastAsia="en-GB"/>
              </w:rPr>
              <w:t>(</w:t>
            </w:r>
            <w:r w:rsidR="00205F62" w:rsidRPr="00215418">
              <w:rPr>
                <w:rFonts w:ascii="Aptos" w:hAnsi="Aptos" w:cs="Calibri"/>
                <w:color w:val="000000"/>
                <w:spacing w:val="-10"/>
                <w:kern w:val="28"/>
                <w:sz w:val="16"/>
                <w:szCs w:val="16"/>
                <w:lang w:eastAsia="en-GB"/>
              </w:rPr>
              <w:t>3 European countries</w:t>
            </w:r>
            <w:r w:rsidRPr="00215418">
              <w:rPr>
                <w:rFonts w:ascii="Aptos" w:hAnsi="Aptos" w:cs="Calibri"/>
                <w:color w:val="000000"/>
                <w:spacing w:val="-10"/>
                <w:kern w:val="28"/>
                <w:sz w:val="16"/>
                <w:szCs w:val="16"/>
                <w:lang w:eastAsia="en-GB"/>
              </w:rPr>
              <w:t>)</w:t>
            </w:r>
          </w:p>
        </w:tc>
        <w:tc>
          <w:tcPr>
            <w:tcW w:w="715" w:type="pct"/>
            <w:shd w:val="clear" w:color="auto" w:fill="C1E4F5"/>
          </w:tcPr>
          <w:p w14:paraId="1573CCFD" w14:textId="77777777" w:rsidR="00F779AF" w:rsidRPr="00215418" w:rsidRDefault="00A2613A"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bCs/>
                <w:color w:val="000000"/>
                <w:spacing w:val="-10"/>
                <w:kern w:val="28"/>
                <w:sz w:val="16"/>
                <w:szCs w:val="16"/>
                <w:lang w:eastAsia="en-GB"/>
              </w:rPr>
            </w:pPr>
            <w:r w:rsidRPr="00215418">
              <w:rPr>
                <w:rFonts w:ascii="Aptos" w:hAnsi="Aptos" w:cs="Calibri"/>
                <w:bCs/>
                <w:color w:val="000000"/>
                <w:spacing w:val="-10"/>
                <w:kern w:val="28"/>
                <w:sz w:val="16"/>
                <w:szCs w:val="16"/>
                <w:lang w:eastAsia="en-GB"/>
              </w:rPr>
              <w:t>4</w:t>
            </w:r>
          </w:p>
          <w:p w14:paraId="36948860" w14:textId="1A28038E" w:rsidR="00A2613A" w:rsidRPr="00215418" w:rsidRDefault="00A2613A"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b/>
                <w:color w:val="000000"/>
                <w:spacing w:val="-10"/>
                <w:kern w:val="28"/>
                <w:sz w:val="16"/>
                <w:szCs w:val="16"/>
                <w:lang w:eastAsia="en-GB"/>
              </w:rPr>
            </w:pPr>
            <w:r w:rsidRPr="00215418">
              <w:rPr>
                <w:rFonts w:ascii="Aptos" w:hAnsi="Aptos" w:cs="Calibri"/>
                <w:bCs/>
                <w:color w:val="000000"/>
                <w:spacing w:val="-10"/>
                <w:kern w:val="28"/>
                <w:sz w:val="16"/>
                <w:szCs w:val="16"/>
                <w:lang w:eastAsia="en-GB"/>
              </w:rPr>
              <w:t>(</w:t>
            </w:r>
            <w:r w:rsidR="002D5DD5" w:rsidRPr="00215418">
              <w:rPr>
                <w:rFonts w:ascii="Aptos" w:hAnsi="Aptos" w:cs="Calibri"/>
                <w:bCs/>
                <w:color w:val="000000"/>
                <w:spacing w:val="-10"/>
                <w:kern w:val="28"/>
                <w:sz w:val="16"/>
                <w:szCs w:val="16"/>
                <w:lang w:eastAsia="en-GB"/>
              </w:rPr>
              <w:t>6 European countries</w:t>
            </w:r>
            <w:r w:rsidRPr="00215418">
              <w:rPr>
                <w:rFonts w:ascii="Aptos" w:hAnsi="Aptos" w:cs="Calibri"/>
                <w:bCs/>
                <w:color w:val="000000"/>
                <w:spacing w:val="-10"/>
                <w:kern w:val="28"/>
                <w:sz w:val="16"/>
                <w:szCs w:val="16"/>
                <w:lang w:eastAsia="en-GB"/>
              </w:rPr>
              <w:t>)</w:t>
            </w:r>
          </w:p>
        </w:tc>
        <w:tc>
          <w:tcPr>
            <w:tcW w:w="794" w:type="pct"/>
            <w:shd w:val="clear" w:color="auto" w:fill="C1E4F5"/>
            <w:noWrap/>
            <w:vAlign w:val="bottom"/>
            <w:hideMark/>
          </w:tcPr>
          <w:p w14:paraId="3579F15F" w14:textId="3F5EE56E" w:rsidR="00F779AF" w:rsidRPr="00215418" w:rsidRDefault="00F779AF"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b/>
                <w:color w:val="000000"/>
                <w:spacing w:val="-10"/>
                <w:kern w:val="28"/>
                <w:sz w:val="16"/>
                <w:szCs w:val="16"/>
                <w:lang w:eastAsia="en-GB"/>
              </w:rPr>
            </w:pPr>
            <w:r w:rsidRPr="00215418">
              <w:rPr>
                <w:rFonts w:ascii="Aptos" w:hAnsi="Aptos" w:cs="Calibri"/>
                <w:b/>
                <w:color w:val="000000"/>
                <w:spacing w:val="-10"/>
                <w:kern w:val="28"/>
                <w:sz w:val="16"/>
                <w:szCs w:val="16"/>
                <w:lang w:eastAsia="en-GB"/>
              </w:rPr>
              <w:t>World average</w:t>
            </w:r>
          </w:p>
        </w:tc>
      </w:tr>
      <w:tr w:rsidR="00712266" w:rsidRPr="00215418" w14:paraId="7BC9A59C" w14:textId="77777777" w:rsidTr="002D5DD5">
        <w:trPr>
          <w:trHeight w:val="510"/>
        </w:trPr>
        <w:tc>
          <w:tcPr>
            <w:tcW w:w="1374" w:type="pct"/>
            <w:shd w:val="clear" w:color="auto" w:fill="FFFFFF"/>
            <w:vAlign w:val="center"/>
            <w:hideMark/>
          </w:tcPr>
          <w:p w14:paraId="4C92BD59" w14:textId="77777777" w:rsidR="00F779AF" w:rsidRPr="00215418" w:rsidRDefault="00F779AF"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ptos" w:hAnsi="Aptos" w:cs="Calibri"/>
                <w:color w:val="000000"/>
                <w:kern w:val="28"/>
                <w:sz w:val="16"/>
                <w:szCs w:val="16"/>
                <w:lang w:eastAsia="en-GB"/>
              </w:rPr>
            </w:pPr>
            <w:r w:rsidRPr="00215418">
              <w:rPr>
                <w:rFonts w:ascii="Aptos" w:hAnsi="Aptos" w:cs="Calibri"/>
                <w:color w:val="000000"/>
                <w:kern w:val="28"/>
                <w:sz w:val="16"/>
                <w:szCs w:val="16"/>
                <w:lang w:eastAsia="en-GB"/>
              </w:rPr>
              <w:t>Share of individuals using</w:t>
            </w:r>
            <w:r w:rsidRPr="00215418">
              <w:rPr>
                <w:rFonts w:ascii="Aptos" w:hAnsi="Aptos" w:cs="Calibri"/>
                <w:color w:val="000000"/>
                <w:kern w:val="28"/>
                <w:sz w:val="16"/>
                <w:szCs w:val="16"/>
                <w:lang w:eastAsia="en-GB"/>
              </w:rPr>
              <w:br/>
              <w:t>the Internet</w:t>
            </w:r>
            <w:r w:rsidRPr="00215418">
              <w:rPr>
                <w:rFonts w:ascii="Aptos" w:hAnsi="Aptos" w:cs="Calibri"/>
                <w:color w:val="A6A6A6"/>
                <w:kern w:val="28"/>
                <w:sz w:val="16"/>
                <w:szCs w:val="16"/>
                <w:lang w:eastAsia="en-GB"/>
              </w:rPr>
              <w:t xml:space="preserve"> (%)</w:t>
            </w:r>
          </w:p>
        </w:tc>
        <w:tc>
          <w:tcPr>
            <w:tcW w:w="687" w:type="pct"/>
            <w:shd w:val="clear" w:color="auto" w:fill="FFFFFF"/>
            <w:noWrap/>
            <w:vAlign w:val="bottom"/>
          </w:tcPr>
          <w:p w14:paraId="3476E5C3" w14:textId="796328DF"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215418">
              <w:rPr>
                <w:rFonts w:ascii="Aptos" w:hAnsi="Aptos" w:cs="Calibri"/>
                <w:color w:val="000000"/>
                <w:sz w:val="16"/>
                <w:szCs w:val="16"/>
              </w:rPr>
              <w:t>92.4</w:t>
            </w:r>
          </w:p>
        </w:tc>
        <w:tc>
          <w:tcPr>
            <w:tcW w:w="715" w:type="pct"/>
            <w:shd w:val="clear" w:color="auto" w:fill="FFFFFF"/>
            <w:noWrap/>
            <w:vAlign w:val="bottom"/>
          </w:tcPr>
          <w:p w14:paraId="505928EE" w14:textId="6C23DC49"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215418">
              <w:rPr>
                <w:rFonts w:ascii="Aptos" w:hAnsi="Aptos" w:cs="Calibri"/>
                <w:color w:val="000000"/>
                <w:sz w:val="16"/>
                <w:szCs w:val="16"/>
              </w:rPr>
              <w:t>89.8</w:t>
            </w:r>
          </w:p>
        </w:tc>
        <w:tc>
          <w:tcPr>
            <w:tcW w:w="714" w:type="pct"/>
            <w:shd w:val="clear" w:color="auto" w:fill="FFFFFF"/>
            <w:noWrap/>
            <w:vAlign w:val="bottom"/>
          </w:tcPr>
          <w:p w14:paraId="07840A0E" w14:textId="36C6BE4D"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215418">
              <w:rPr>
                <w:rFonts w:ascii="Aptos" w:hAnsi="Aptos" w:cs="Calibri"/>
                <w:color w:val="000000"/>
                <w:sz w:val="16"/>
                <w:szCs w:val="16"/>
              </w:rPr>
              <w:t>83.1</w:t>
            </w:r>
          </w:p>
        </w:tc>
        <w:tc>
          <w:tcPr>
            <w:tcW w:w="715" w:type="pct"/>
            <w:shd w:val="clear" w:color="auto" w:fill="FFFFFF"/>
            <w:vAlign w:val="bottom"/>
          </w:tcPr>
          <w:p w14:paraId="752A41A0" w14:textId="017F6B77" w:rsidR="00F779AF" w:rsidRPr="00215418" w:rsidRDefault="00205F62" w:rsidP="006971B8">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color w:val="000000"/>
                <w:kern w:val="28"/>
                <w:sz w:val="16"/>
                <w:szCs w:val="16"/>
                <w:lang w:eastAsia="en-GB"/>
              </w:rPr>
            </w:pPr>
            <w:r w:rsidRPr="00215418">
              <w:rPr>
                <w:rFonts w:ascii="Aptos" w:hAnsi="Aptos" w:cs="Calibri"/>
                <w:color w:val="000000"/>
                <w:sz w:val="16"/>
                <w:szCs w:val="16"/>
              </w:rPr>
              <w:t>83.9</w:t>
            </w:r>
          </w:p>
        </w:tc>
        <w:tc>
          <w:tcPr>
            <w:tcW w:w="794" w:type="pct"/>
            <w:shd w:val="clear" w:color="auto" w:fill="FFFFFF"/>
            <w:noWrap/>
            <w:vAlign w:val="bottom"/>
          </w:tcPr>
          <w:p w14:paraId="6F827B86" w14:textId="104A5F64"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kern w:val="28"/>
                <w:sz w:val="16"/>
                <w:szCs w:val="16"/>
                <w:lang w:eastAsia="en-GB"/>
              </w:rPr>
            </w:pPr>
            <w:r w:rsidRPr="006025C0">
              <w:rPr>
                <w:rFonts w:ascii="Aptos" w:hAnsi="Aptos" w:cs="Calibri"/>
                <w:b/>
                <w:color w:val="000000"/>
                <w:sz w:val="16"/>
                <w:szCs w:val="16"/>
              </w:rPr>
              <w:t>65.4</w:t>
            </w:r>
          </w:p>
        </w:tc>
      </w:tr>
      <w:tr w:rsidR="00712266" w:rsidRPr="00215418" w14:paraId="51093069" w14:textId="77777777" w:rsidTr="002D5DD5">
        <w:trPr>
          <w:trHeight w:val="510"/>
        </w:trPr>
        <w:tc>
          <w:tcPr>
            <w:tcW w:w="1374" w:type="pct"/>
            <w:shd w:val="clear" w:color="auto" w:fill="FFFFFF"/>
            <w:vAlign w:val="center"/>
            <w:hideMark/>
          </w:tcPr>
          <w:p w14:paraId="01E33B1A" w14:textId="245F7F0A" w:rsidR="00F779AF" w:rsidRPr="00215418" w:rsidRDefault="00F779AF"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ptos" w:hAnsi="Aptos" w:cs="Calibri"/>
                <w:color w:val="000000"/>
                <w:kern w:val="28"/>
                <w:sz w:val="16"/>
                <w:szCs w:val="16"/>
                <w:lang w:eastAsia="en-GB"/>
              </w:rPr>
            </w:pPr>
            <w:r w:rsidRPr="00215418">
              <w:rPr>
                <w:rFonts w:ascii="Aptos" w:hAnsi="Aptos" w:cs="Calibri"/>
                <w:color w:val="000000"/>
                <w:kern w:val="28"/>
                <w:sz w:val="16"/>
                <w:szCs w:val="16"/>
                <w:lang w:eastAsia="en-GB"/>
              </w:rPr>
              <w:t xml:space="preserve">Gender equality - Internet use </w:t>
            </w:r>
            <w:r w:rsidRPr="00215418">
              <w:rPr>
                <w:rFonts w:ascii="Aptos" w:hAnsi="Aptos" w:cs="Calibri"/>
                <w:color w:val="000000"/>
                <w:kern w:val="28"/>
                <w:sz w:val="16"/>
                <w:szCs w:val="16"/>
                <w:lang w:eastAsia="en-GB"/>
              </w:rPr>
              <w:br/>
            </w:r>
            <w:r w:rsidRPr="00215418">
              <w:rPr>
                <w:rFonts w:ascii="Aptos" w:hAnsi="Aptos" w:cs="Calibri"/>
                <w:color w:val="A6A6A6"/>
                <w:kern w:val="28"/>
                <w:sz w:val="16"/>
                <w:szCs w:val="16"/>
                <w:lang w:eastAsia="en-GB"/>
              </w:rPr>
              <w:t>(</w:t>
            </w:r>
            <w:r w:rsidR="00333131" w:rsidRPr="00215418">
              <w:rPr>
                <w:rFonts w:ascii="Aptos" w:hAnsi="Aptos" w:cs="Calibri"/>
                <w:color w:val="A6A6A6"/>
                <w:kern w:val="28"/>
                <w:sz w:val="16"/>
                <w:szCs w:val="16"/>
                <w:lang w:eastAsia="en-GB"/>
              </w:rPr>
              <w:t>gender parity score</w:t>
            </w:r>
            <w:r w:rsidRPr="00215418">
              <w:rPr>
                <w:rFonts w:ascii="Aptos" w:hAnsi="Aptos" w:cs="Calibri"/>
                <w:color w:val="A6A6A6"/>
                <w:kern w:val="28"/>
                <w:sz w:val="16"/>
                <w:szCs w:val="16"/>
                <w:lang w:eastAsia="en-GB"/>
              </w:rPr>
              <w:t>)</w:t>
            </w:r>
          </w:p>
        </w:tc>
        <w:tc>
          <w:tcPr>
            <w:tcW w:w="687" w:type="pct"/>
            <w:shd w:val="clear" w:color="auto" w:fill="FFFFFF"/>
            <w:noWrap/>
            <w:vAlign w:val="bottom"/>
          </w:tcPr>
          <w:p w14:paraId="055EF771" w14:textId="103A4AC9"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215418">
              <w:rPr>
                <w:rFonts w:ascii="Aptos" w:hAnsi="Aptos" w:cs="Calibri"/>
                <w:color w:val="000000"/>
                <w:sz w:val="16"/>
                <w:szCs w:val="16"/>
              </w:rPr>
              <w:t>0.99</w:t>
            </w:r>
          </w:p>
        </w:tc>
        <w:tc>
          <w:tcPr>
            <w:tcW w:w="715" w:type="pct"/>
            <w:shd w:val="clear" w:color="auto" w:fill="FFFFFF"/>
            <w:noWrap/>
            <w:vAlign w:val="bottom"/>
          </w:tcPr>
          <w:p w14:paraId="274756DD" w14:textId="2753BCA0"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215418">
              <w:rPr>
                <w:rFonts w:ascii="Aptos" w:hAnsi="Aptos" w:cs="Calibri"/>
                <w:color w:val="000000"/>
                <w:sz w:val="16"/>
                <w:szCs w:val="16"/>
              </w:rPr>
              <w:t>1.02</w:t>
            </w:r>
          </w:p>
        </w:tc>
        <w:tc>
          <w:tcPr>
            <w:tcW w:w="714" w:type="pct"/>
            <w:shd w:val="clear" w:color="auto" w:fill="FFFFFF"/>
            <w:noWrap/>
            <w:vAlign w:val="bottom"/>
          </w:tcPr>
          <w:p w14:paraId="76DC1837" w14:textId="52781FC7"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215418">
              <w:rPr>
                <w:rFonts w:ascii="Aptos" w:hAnsi="Aptos" w:cs="Calibri"/>
                <w:color w:val="000000"/>
                <w:sz w:val="16"/>
                <w:szCs w:val="16"/>
              </w:rPr>
              <w:t>0.92</w:t>
            </w:r>
          </w:p>
        </w:tc>
        <w:tc>
          <w:tcPr>
            <w:tcW w:w="715" w:type="pct"/>
            <w:shd w:val="clear" w:color="auto" w:fill="FFFFFF"/>
            <w:vAlign w:val="bottom"/>
          </w:tcPr>
          <w:p w14:paraId="4C175440" w14:textId="6567E8B9" w:rsidR="00F779AF" w:rsidRPr="00215418" w:rsidRDefault="00205F62" w:rsidP="006971B8">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color w:val="000000"/>
                <w:kern w:val="28"/>
                <w:sz w:val="16"/>
                <w:szCs w:val="16"/>
                <w:lang w:eastAsia="en-GB"/>
              </w:rPr>
            </w:pPr>
            <w:r w:rsidRPr="00215418">
              <w:rPr>
                <w:rFonts w:ascii="Aptos" w:hAnsi="Aptos" w:cs="Calibri"/>
                <w:color w:val="000000"/>
                <w:sz w:val="16"/>
                <w:szCs w:val="16"/>
              </w:rPr>
              <w:t>0.98</w:t>
            </w:r>
          </w:p>
        </w:tc>
        <w:tc>
          <w:tcPr>
            <w:tcW w:w="794" w:type="pct"/>
            <w:shd w:val="clear" w:color="auto" w:fill="FFFFFF"/>
            <w:noWrap/>
            <w:vAlign w:val="bottom"/>
          </w:tcPr>
          <w:p w14:paraId="7499F2EC" w14:textId="5E57F80B"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kern w:val="28"/>
                <w:sz w:val="16"/>
                <w:szCs w:val="16"/>
                <w:lang w:eastAsia="en-GB"/>
              </w:rPr>
            </w:pPr>
            <w:r w:rsidRPr="006025C0">
              <w:rPr>
                <w:rFonts w:ascii="Aptos" w:hAnsi="Aptos" w:cs="Calibri"/>
                <w:b/>
                <w:color w:val="000000"/>
                <w:sz w:val="16"/>
                <w:szCs w:val="16"/>
              </w:rPr>
              <w:t>0.93</w:t>
            </w:r>
          </w:p>
        </w:tc>
      </w:tr>
      <w:tr w:rsidR="00712266" w:rsidRPr="00215418" w14:paraId="10D0A118" w14:textId="77777777" w:rsidTr="002D5DD5">
        <w:trPr>
          <w:trHeight w:val="510"/>
        </w:trPr>
        <w:tc>
          <w:tcPr>
            <w:tcW w:w="1374" w:type="pct"/>
            <w:shd w:val="clear" w:color="auto" w:fill="FFFFFF"/>
            <w:vAlign w:val="center"/>
            <w:hideMark/>
          </w:tcPr>
          <w:p w14:paraId="6892FC8A" w14:textId="77777777" w:rsidR="00F779AF" w:rsidRPr="00215418" w:rsidRDefault="00F779AF"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ptos" w:hAnsi="Aptos" w:cs="Calibri"/>
                <w:color w:val="000000"/>
                <w:kern w:val="28"/>
                <w:sz w:val="16"/>
                <w:szCs w:val="16"/>
                <w:lang w:eastAsia="en-GB"/>
              </w:rPr>
            </w:pPr>
            <w:r w:rsidRPr="00215418">
              <w:rPr>
                <w:rFonts w:ascii="Aptos" w:hAnsi="Aptos" w:cs="Calibri"/>
                <w:color w:val="000000"/>
                <w:kern w:val="28"/>
                <w:sz w:val="16"/>
                <w:szCs w:val="16"/>
                <w:lang w:eastAsia="en-GB"/>
              </w:rPr>
              <w:t>Share of individuals owning mobile phones</w:t>
            </w:r>
            <w:r w:rsidRPr="00215418">
              <w:rPr>
                <w:rFonts w:ascii="Aptos" w:hAnsi="Aptos" w:cs="Calibri"/>
                <w:color w:val="A6A6A6"/>
                <w:kern w:val="28"/>
                <w:sz w:val="16"/>
                <w:szCs w:val="16"/>
                <w:lang w:eastAsia="en-GB"/>
              </w:rPr>
              <w:t xml:space="preserve"> (%)</w:t>
            </w:r>
          </w:p>
        </w:tc>
        <w:tc>
          <w:tcPr>
            <w:tcW w:w="687" w:type="pct"/>
            <w:shd w:val="clear" w:color="auto" w:fill="FFFFFF"/>
            <w:noWrap/>
            <w:vAlign w:val="bottom"/>
          </w:tcPr>
          <w:p w14:paraId="69EF3683" w14:textId="6FD39AFB"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215418">
              <w:rPr>
                <w:rFonts w:ascii="Aptos" w:hAnsi="Aptos" w:cs="Calibri"/>
                <w:color w:val="000000"/>
                <w:sz w:val="16"/>
                <w:szCs w:val="16"/>
              </w:rPr>
              <w:t>95.6</w:t>
            </w:r>
          </w:p>
        </w:tc>
        <w:tc>
          <w:tcPr>
            <w:tcW w:w="715" w:type="pct"/>
            <w:shd w:val="clear" w:color="auto" w:fill="FFFFFF"/>
            <w:noWrap/>
            <w:vAlign w:val="bottom"/>
          </w:tcPr>
          <w:p w14:paraId="190B2D83" w14:textId="23ED78FC"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215418">
              <w:rPr>
                <w:rFonts w:ascii="Aptos" w:hAnsi="Aptos" w:cs="Calibri"/>
                <w:color w:val="000000"/>
                <w:sz w:val="16"/>
                <w:szCs w:val="16"/>
              </w:rPr>
              <w:t>95.5</w:t>
            </w:r>
          </w:p>
        </w:tc>
        <w:tc>
          <w:tcPr>
            <w:tcW w:w="714" w:type="pct"/>
            <w:shd w:val="clear" w:color="auto" w:fill="FFFFFF"/>
            <w:noWrap/>
            <w:vAlign w:val="bottom"/>
          </w:tcPr>
          <w:p w14:paraId="5CDDBFF9" w14:textId="6847214E"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215418">
              <w:rPr>
                <w:rFonts w:ascii="Aptos" w:hAnsi="Aptos" w:cs="Calibri"/>
                <w:color w:val="000000"/>
                <w:sz w:val="16"/>
                <w:szCs w:val="16"/>
              </w:rPr>
              <w:t>94.6</w:t>
            </w:r>
          </w:p>
        </w:tc>
        <w:tc>
          <w:tcPr>
            <w:tcW w:w="715" w:type="pct"/>
            <w:shd w:val="clear" w:color="auto" w:fill="FFFFFF"/>
            <w:vAlign w:val="bottom"/>
          </w:tcPr>
          <w:p w14:paraId="710E28E2" w14:textId="0BD58B4D" w:rsidR="00F779AF" w:rsidRPr="00215418" w:rsidRDefault="00205F62" w:rsidP="006971B8">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color w:val="000000"/>
                <w:kern w:val="28"/>
                <w:sz w:val="16"/>
                <w:szCs w:val="16"/>
                <w:lang w:eastAsia="en-GB"/>
              </w:rPr>
            </w:pPr>
            <w:r w:rsidRPr="00215418">
              <w:rPr>
                <w:rFonts w:ascii="Aptos" w:hAnsi="Aptos" w:cs="Calibri"/>
                <w:color w:val="000000"/>
                <w:sz w:val="16"/>
                <w:szCs w:val="16"/>
              </w:rPr>
              <w:t>91.2</w:t>
            </w:r>
          </w:p>
        </w:tc>
        <w:tc>
          <w:tcPr>
            <w:tcW w:w="794" w:type="pct"/>
            <w:shd w:val="clear" w:color="auto" w:fill="FFFFFF"/>
            <w:noWrap/>
            <w:vAlign w:val="bottom"/>
          </w:tcPr>
          <w:p w14:paraId="421A94F0" w14:textId="1A4DB3E9"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kern w:val="28"/>
                <w:sz w:val="16"/>
                <w:szCs w:val="16"/>
                <w:lang w:eastAsia="en-GB"/>
              </w:rPr>
            </w:pPr>
            <w:r w:rsidRPr="006025C0">
              <w:rPr>
                <w:rFonts w:ascii="Aptos" w:hAnsi="Aptos" w:cs="Calibri"/>
                <w:b/>
                <w:color w:val="000000"/>
                <w:sz w:val="16"/>
                <w:szCs w:val="16"/>
              </w:rPr>
              <w:t>78.6</w:t>
            </w:r>
          </w:p>
        </w:tc>
      </w:tr>
      <w:tr w:rsidR="00712266" w:rsidRPr="00215418" w14:paraId="31F71ECC" w14:textId="77777777" w:rsidTr="002D5DD5">
        <w:trPr>
          <w:trHeight w:val="510"/>
        </w:trPr>
        <w:tc>
          <w:tcPr>
            <w:tcW w:w="1374" w:type="pct"/>
            <w:shd w:val="clear" w:color="auto" w:fill="FFFFFF"/>
            <w:vAlign w:val="center"/>
            <w:hideMark/>
          </w:tcPr>
          <w:p w14:paraId="2EC0CA65" w14:textId="77777777" w:rsidR="00F779AF" w:rsidRPr="00215418" w:rsidRDefault="00F779AF"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ptos" w:hAnsi="Aptos" w:cs="Calibri"/>
                <w:color w:val="000000"/>
                <w:kern w:val="28"/>
                <w:sz w:val="16"/>
                <w:szCs w:val="16"/>
                <w:lang w:eastAsia="en-GB"/>
              </w:rPr>
            </w:pPr>
            <w:r w:rsidRPr="00215418">
              <w:rPr>
                <w:rFonts w:ascii="Aptos" w:hAnsi="Aptos" w:cs="Calibri"/>
                <w:color w:val="000000"/>
                <w:kern w:val="28"/>
                <w:sz w:val="16"/>
                <w:szCs w:val="16"/>
                <w:lang w:eastAsia="en-GB"/>
              </w:rPr>
              <w:t xml:space="preserve">Mobile-broadband subscriptions </w:t>
            </w:r>
            <w:r w:rsidRPr="00215418">
              <w:rPr>
                <w:rFonts w:ascii="Aptos" w:hAnsi="Aptos" w:cs="Calibri"/>
                <w:color w:val="000000"/>
                <w:kern w:val="28"/>
                <w:sz w:val="16"/>
                <w:szCs w:val="16"/>
                <w:lang w:eastAsia="en-GB"/>
              </w:rPr>
              <w:br/>
            </w:r>
            <w:r w:rsidRPr="00215418">
              <w:rPr>
                <w:rFonts w:ascii="Aptos" w:hAnsi="Aptos" w:cs="Calibri"/>
                <w:color w:val="A6A6A6"/>
                <w:kern w:val="28"/>
                <w:sz w:val="16"/>
                <w:szCs w:val="16"/>
                <w:lang w:eastAsia="en-GB"/>
              </w:rPr>
              <w:t>(per 100 inhabitants)</w:t>
            </w:r>
          </w:p>
        </w:tc>
        <w:tc>
          <w:tcPr>
            <w:tcW w:w="687" w:type="pct"/>
            <w:shd w:val="clear" w:color="auto" w:fill="FFFFFF"/>
            <w:noWrap/>
            <w:vAlign w:val="bottom"/>
          </w:tcPr>
          <w:p w14:paraId="352152C5" w14:textId="31FBA832"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215418">
              <w:rPr>
                <w:rFonts w:ascii="Aptos" w:hAnsi="Aptos" w:cs="Calibri"/>
                <w:color w:val="000000"/>
                <w:sz w:val="16"/>
                <w:szCs w:val="16"/>
              </w:rPr>
              <w:t>115.0</w:t>
            </w:r>
          </w:p>
        </w:tc>
        <w:tc>
          <w:tcPr>
            <w:tcW w:w="715" w:type="pct"/>
            <w:shd w:val="clear" w:color="auto" w:fill="FFFFFF"/>
            <w:noWrap/>
            <w:vAlign w:val="bottom"/>
          </w:tcPr>
          <w:p w14:paraId="5A710D62" w14:textId="1E7042A2"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215418">
              <w:rPr>
                <w:rFonts w:ascii="Aptos" w:hAnsi="Aptos" w:cs="Calibri"/>
                <w:color w:val="000000"/>
                <w:sz w:val="16"/>
                <w:szCs w:val="16"/>
              </w:rPr>
              <w:t>202.3</w:t>
            </w:r>
          </w:p>
        </w:tc>
        <w:tc>
          <w:tcPr>
            <w:tcW w:w="714" w:type="pct"/>
            <w:shd w:val="clear" w:color="auto" w:fill="FFFFFF"/>
            <w:noWrap/>
            <w:vAlign w:val="bottom"/>
          </w:tcPr>
          <w:p w14:paraId="3E1B3CD2" w14:textId="53B90ABB"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215418">
              <w:rPr>
                <w:rFonts w:ascii="Aptos" w:hAnsi="Aptos" w:cs="Calibri"/>
                <w:color w:val="000000"/>
                <w:sz w:val="16"/>
                <w:szCs w:val="16"/>
              </w:rPr>
              <w:t>103.8</w:t>
            </w:r>
          </w:p>
        </w:tc>
        <w:tc>
          <w:tcPr>
            <w:tcW w:w="715" w:type="pct"/>
            <w:shd w:val="clear" w:color="auto" w:fill="FFFFFF"/>
            <w:vAlign w:val="bottom"/>
          </w:tcPr>
          <w:p w14:paraId="717A2071" w14:textId="7CDD8584" w:rsidR="00F779AF" w:rsidRPr="00215418" w:rsidRDefault="00205F62" w:rsidP="006971B8">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color w:val="000000"/>
                <w:kern w:val="28"/>
                <w:sz w:val="16"/>
                <w:szCs w:val="16"/>
                <w:lang w:eastAsia="en-GB"/>
              </w:rPr>
            </w:pPr>
            <w:r w:rsidRPr="00215418">
              <w:rPr>
                <w:rFonts w:ascii="Aptos" w:hAnsi="Aptos" w:cs="Calibri"/>
                <w:color w:val="000000"/>
                <w:sz w:val="16"/>
                <w:szCs w:val="16"/>
              </w:rPr>
              <w:t>89.4</w:t>
            </w:r>
          </w:p>
        </w:tc>
        <w:tc>
          <w:tcPr>
            <w:tcW w:w="794" w:type="pct"/>
            <w:shd w:val="clear" w:color="auto" w:fill="FFFFFF"/>
            <w:noWrap/>
            <w:vAlign w:val="bottom"/>
          </w:tcPr>
          <w:p w14:paraId="35F9246C" w14:textId="59581422"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kern w:val="28"/>
                <w:sz w:val="16"/>
                <w:szCs w:val="16"/>
                <w:lang w:eastAsia="en-GB"/>
              </w:rPr>
            </w:pPr>
            <w:r w:rsidRPr="006025C0">
              <w:rPr>
                <w:rFonts w:ascii="Aptos" w:hAnsi="Aptos" w:cs="Calibri"/>
                <w:b/>
                <w:color w:val="000000"/>
                <w:sz w:val="16"/>
                <w:szCs w:val="16"/>
              </w:rPr>
              <w:t>89.9</w:t>
            </w:r>
          </w:p>
        </w:tc>
      </w:tr>
      <w:tr w:rsidR="00712266" w:rsidRPr="00215418" w14:paraId="1096FC8C" w14:textId="77777777" w:rsidTr="002D5DD5">
        <w:trPr>
          <w:trHeight w:val="510"/>
        </w:trPr>
        <w:tc>
          <w:tcPr>
            <w:tcW w:w="1374" w:type="pct"/>
            <w:shd w:val="clear" w:color="auto" w:fill="FFFFFF"/>
            <w:vAlign w:val="center"/>
            <w:hideMark/>
          </w:tcPr>
          <w:p w14:paraId="70655099" w14:textId="77777777" w:rsidR="00F779AF" w:rsidRPr="00215418" w:rsidRDefault="00F779AF"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ptos" w:hAnsi="Aptos" w:cs="Calibri"/>
                <w:color w:val="000000"/>
                <w:kern w:val="28"/>
                <w:sz w:val="16"/>
                <w:szCs w:val="16"/>
                <w:lang w:eastAsia="en-GB"/>
              </w:rPr>
            </w:pPr>
            <w:r w:rsidRPr="00215418">
              <w:rPr>
                <w:rFonts w:ascii="Aptos" w:hAnsi="Aptos" w:cs="Calibri"/>
                <w:color w:val="000000"/>
                <w:kern w:val="28"/>
                <w:sz w:val="16"/>
                <w:szCs w:val="16"/>
                <w:lang w:eastAsia="en-GB"/>
              </w:rPr>
              <w:t xml:space="preserve">Fixed-broadband subscriptions </w:t>
            </w:r>
            <w:r w:rsidRPr="00215418">
              <w:rPr>
                <w:rFonts w:ascii="Aptos" w:hAnsi="Aptos" w:cs="Calibri"/>
                <w:color w:val="000000"/>
                <w:kern w:val="28"/>
                <w:sz w:val="16"/>
                <w:szCs w:val="16"/>
                <w:lang w:eastAsia="en-GB"/>
              </w:rPr>
              <w:br/>
            </w:r>
            <w:r w:rsidRPr="00215418">
              <w:rPr>
                <w:rFonts w:ascii="Aptos" w:hAnsi="Aptos" w:cs="Calibri"/>
                <w:color w:val="A6A6A6"/>
                <w:kern w:val="28"/>
                <w:sz w:val="16"/>
                <w:szCs w:val="16"/>
                <w:lang w:eastAsia="en-GB"/>
              </w:rPr>
              <w:t>(per 100 inhabitants)</w:t>
            </w:r>
          </w:p>
        </w:tc>
        <w:tc>
          <w:tcPr>
            <w:tcW w:w="687" w:type="pct"/>
            <w:shd w:val="clear" w:color="auto" w:fill="FFFFFF"/>
            <w:noWrap/>
            <w:vAlign w:val="bottom"/>
          </w:tcPr>
          <w:p w14:paraId="79D1EB46" w14:textId="23094DDF"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215418">
              <w:rPr>
                <w:rFonts w:ascii="Aptos" w:hAnsi="Aptos" w:cs="Calibri"/>
                <w:color w:val="000000"/>
                <w:sz w:val="16"/>
                <w:szCs w:val="16"/>
              </w:rPr>
              <w:t>39.5</w:t>
            </w:r>
          </w:p>
        </w:tc>
        <w:tc>
          <w:tcPr>
            <w:tcW w:w="715" w:type="pct"/>
            <w:shd w:val="clear" w:color="auto" w:fill="FFFFFF"/>
            <w:noWrap/>
            <w:vAlign w:val="bottom"/>
          </w:tcPr>
          <w:p w14:paraId="053BD9A4" w14:textId="36FD1E9B"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215418">
              <w:rPr>
                <w:rFonts w:ascii="Aptos" w:hAnsi="Aptos" w:cs="Calibri"/>
                <w:color w:val="000000"/>
                <w:sz w:val="16"/>
                <w:szCs w:val="16"/>
              </w:rPr>
              <w:t>30.7</w:t>
            </w:r>
          </w:p>
        </w:tc>
        <w:tc>
          <w:tcPr>
            <w:tcW w:w="714" w:type="pct"/>
            <w:shd w:val="clear" w:color="auto" w:fill="FFFFFF"/>
            <w:noWrap/>
            <w:vAlign w:val="bottom"/>
          </w:tcPr>
          <w:p w14:paraId="641909C5" w14:textId="278BFBCC"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215418">
              <w:rPr>
                <w:rFonts w:ascii="Aptos" w:hAnsi="Aptos" w:cs="Calibri"/>
                <w:color w:val="000000"/>
                <w:sz w:val="16"/>
                <w:szCs w:val="16"/>
              </w:rPr>
              <w:t>26.1</w:t>
            </w:r>
          </w:p>
        </w:tc>
        <w:tc>
          <w:tcPr>
            <w:tcW w:w="715" w:type="pct"/>
            <w:shd w:val="clear" w:color="auto" w:fill="FFFFFF"/>
            <w:vAlign w:val="bottom"/>
          </w:tcPr>
          <w:p w14:paraId="4D042657" w14:textId="404792A2" w:rsidR="00F779AF" w:rsidRPr="00215418" w:rsidRDefault="00205F62" w:rsidP="006971B8">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color w:val="000000"/>
                <w:kern w:val="28"/>
                <w:sz w:val="16"/>
                <w:szCs w:val="16"/>
                <w:lang w:eastAsia="en-GB"/>
              </w:rPr>
            </w:pPr>
            <w:r w:rsidRPr="00215418">
              <w:rPr>
                <w:rFonts w:ascii="Aptos" w:hAnsi="Aptos" w:cs="Calibri"/>
                <w:color w:val="000000"/>
                <w:sz w:val="16"/>
                <w:szCs w:val="16"/>
              </w:rPr>
              <w:t>26.7</w:t>
            </w:r>
          </w:p>
        </w:tc>
        <w:tc>
          <w:tcPr>
            <w:tcW w:w="794" w:type="pct"/>
            <w:shd w:val="clear" w:color="auto" w:fill="FFFFFF"/>
            <w:noWrap/>
            <w:vAlign w:val="bottom"/>
          </w:tcPr>
          <w:p w14:paraId="2F98B651" w14:textId="14D11C4F"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kern w:val="28"/>
                <w:sz w:val="16"/>
                <w:szCs w:val="16"/>
                <w:lang w:eastAsia="en-GB"/>
              </w:rPr>
            </w:pPr>
            <w:r w:rsidRPr="006025C0">
              <w:rPr>
                <w:rFonts w:ascii="Aptos" w:hAnsi="Aptos" w:cs="Calibri"/>
                <w:b/>
                <w:color w:val="000000"/>
                <w:sz w:val="16"/>
                <w:szCs w:val="16"/>
              </w:rPr>
              <w:t>18.6</w:t>
            </w:r>
          </w:p>
        </w:tc>
      </w:tr>
      <w:tr w:rsidR="00712266" w:rsidRPr="00215418" w14:paraId="28610658" w14:textId="77777777" w:rsidTr="002D5DD5">
        <w:trPr>
          <w:trHeight w:val="479"/>
        </w:trPr>
        <w:tc>
          <w:tcPr>
            <w:tcW w:w="1374" w:type="pct"/>
            <w:shd w:val="clear" w:color="auto" w:fill="FFFFFF"/>
            <w:vAlign w:val="center"/>
            <w:hideMark/>
          </w:tcPr>
          <w:p w14:paraId="0B634667" w14:textId="77777777" w:rsidR="00F779AF" w:rsidRPr="00215418" w:rsidRDefault="00F779AF"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ptos" w:hAnsi="Aptos" w:cs="Calibri"/>
                <w:color w:val="A6A6A6"/>
                <w:kern w:val="28"/>
                <w:sz w:val="16"/>
                <w:szCs w:val="16"/>
                <w:lang w:eastAsia="en-GB"/>
              </w:rPr>
            </w:pPr>
            <w:r w:rsidRPr="00215418">
              <w:rPr>
                <w:rFonts w:ascii="Aptos" w:hAnsi="Aptos" w:cs="Calibri"/>
                <w:color w:val="000000"/>
                <w:kern w:val="28"/>
                <w:sz w:val="16"/>
                <w:szCs w:val="16"/>
                <w:lang w:eastAsia="en-GB"/>
              </w:rPr>
              <w:t xml:space="preserve">Data-only mobile broadband prices </w:t>
            </w:r>
            <w:r w:rsidRPr="00215418">
              <w:rPr>
                <w:rFonts w:ascii="Aptos" w:hAnsi="Aptos" w:cs="Calibri"/>
                <w:color w:val="A6A6A6"/>
                <w:kern w:val="28"/>
                <w:sz w:val="16"/>
                <w:szCs w:val="16"/>
                <w:lang w:eastAsia="en-GB"/>
              </w:rPr>
              <w:br/>
              <w:t>(as a % of GNI per capita)</w:t>
            </w:r>
          </w:p>
        </w:tc>
        <w:tc>
          <w:tcPr>
            <w:tcW w:w="687" w:type="pct"/>
            <w:shd w:val="clear" w:color="auto" w:fill="FFFFFF"/>
            <w:noWrap/>
            <w:vAlign w:val="bottom"/>
          </w:tcPr>
          <w:p w14:paraId="7A909217" w14:textId="3537B2CE"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215418">
              <w:rPr>
                <w:rFonts w:ascii="Aptos" w:hAnsi="Aptos" w:cs="Calibri"/>
                <w:color w:val="000000"/>
                <w:sz w:val="16"/>
                <w:szCs w:val="16"/>
              </w:rPr>
              <w:t>0.3</w:t>
            </w:r>
          </w:p>
        </w:tc>
        <w:tc>
          <w:tcPr>
            <w:tcW w:w="715" w:type="pct"/>
            <w:shd w:val="clear" w:color="auto" w:fill="FFFFFF"/>
            <w:noWrap/>
            <w:vAlign w:val="bottom"/>
          </w:tcPr>
          <w:p w14:paraId="174170CC" w14:textId="34D353D7"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215418">
              <w:rPr>
                <w:rFonts w:ascii="Aptos" w:hAnsi="Aptos" w:cs="Calibri"/>
                <w:color w:val="000000"/>
                <w:sz w:val="16"/>
                <w:szCs w:val="16"/>
              </w:rPr>
              <w:t>0.3</w:t>
            </w:r>
          </w:p>
        </w:tc>
        <w:tc>
          <w:tcPr>
            <w:tcW w:w="714" w:type="pct"/>
            <w:shd w:val="clear" w:color="auto" w:fill="FFFFFF"/>
            <w:noWrap/>
            <w:vAlign w:val="bottom"/>
          </w:tcPr>
          <w:p w14:paraId="44910013" w14:textId="2A443221"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215418">
              <w:rPr>
                <w:rFonts w:ascii="Aptos" w:hAnsi="Aptos" w:cs="Calibri"/>
                <w:color w:val="000000"/>
                <w:sz w:val="16"/>
                <w:szCs w:val="16"/>
              </w:rPr>
              <w:t>0.7</w:t>
            </w:r>
          </w:p>
        </w:tc>
        <w:tc>
          <w:tcPr>
            <w:tcW w:w="715" w:type="pct"/>
            <w:shd w:val="clear" w:color="auto" w:fill="FFFFFF"/>
            <w:vAlign w:val="bottom"/>
          </w:tcPr>
          <w:p w14:paraId="7A322138" w14:textId="1543D95C" w:rsidR="00F779AF" w:rsidRPr="00215418" w:rsidRDefault="00205F62" w:rsidP="006971B8">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color w:val="000000"/>
                <w:kern w:val="28"/>
                <w:sz w:val="16"/>
                <w:szCs w:val="16"/>
                <w:lang w:eastAsia="en-GB"/>
              </w:rPr>
            </w:pPr>
            <w:r w:rsidRPr="00215418">
              <w:rPr>
                <w:rFonts w:ascii="Aptos" w:hAnsi="Aptos" w:cs="Calibri"/>
                <w:color w:val="000000"/>
                <w:sz w:val="16"/>
                <w:szCs w:val="16"/>
              </w:rPr>
              <w:t>0.7</w:t>
            </w:r>
          </w:p>
        </w:tc>
        <w:tc>
          <w:tcPr>
            <w:tcW w:w="794" w:type="pct"/>
            <w:shd w:val="clear" w:color="auto" w:fill="FFFFFF"/>
            <w:noWrap/>
            <w:vAlign w:val="bottom"/>
          </w:tcPr>
          <w:p w14:paraId="09BCBB10" w14:textId="66F648D4"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kern w:val="28"/>
                <w:sz w:val="16"/>
                <w:szCs w:val="16"/>
                <w:lang w:eastAsia="en-GB"/>
              </w:rPr>
            </w:pPr>
            <w:r w:rsidRPr="006025C0">
              <w:rPr>
                <w:rFonts w:ascii="Aptos" w:hAnsi="Aptos" w:cs="Calibri"/>
                <w:b/>
                <w:color w:val="000000"/>
                <w:sz w:val="16"/>
                <w:szCs w:val="16"/>
              </w:rPr>
              <w:t>2.8</w:t>
            </w:r>
          </w:p>
        </w:tc>
      </w:tr>
      <w:tr w:rsidR="00712266" w:rsidRPr="00215418" w14:paraId="3A5F7375" w14:textId="77777777" w:rsidTr="002D5DD5">
        <w:trPr>
          <w:trHeight w:val="510"/>
        </w:trPr>
        <w:tc>
          <w:tcPr>
            <w:tcW w:w="1374" w:type="pct"/>
            <w:shd w:val="clear" w:color="auto" w:fill="FFFFFF"/>
            <w:vAlign w:val="center"/>
            <w:hideMark/>
          </w:tcPr>
          <w:p w14:paraId="2D3D13EB" w14:textId="77777777" w:rsidR="00F779AF" w:rsidRPr="00215418" w:rsidRDefault="00F779AF"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ptos" w:hAnsi="Aptos" w:cs="Calibri"/>
                <w:color w:val="000000"/>
                <w:kern w:val="28"/>
                <w:sz w:val="16"/>
                <w:szCs w:val="16"/>
                <w:lang w:eastAsia="en-GB"/>
              </w:rPr>
            </w:pPr>
            <w:r w:rsidRPr="00215418">
              <w:rPr>
                <w:rFonts w:ascii="Aptos" w:hAnsi="Aptos" w:cs="Calibri"/>
                <w:color w:val="000000"/>
                <w:kern w:val="28"/>
                <w:sz w:val="16"/>
                <w:szCs w:val="16"/>
                <w:lang w:eastAsia="en-GB"/>
              </w:rPr>
              <w:t>Fixed broadband prices</w:t>
            </w:r>
            <w:r w:rsidRPr="00215418">
              <w:rPr>
                <w:rFonts w:ascii="Aptos" w:hAnsi="Aptos" w:cs="Calibri"/>
                <w:color w:val="000000"/>
                <w:kern w:val="28"/>
                <w:sz w:val="16"/>
                <w:szCs w:val="16"/>
                <w:lang w:eastAsia="en-GB"/>
              </w:rPr>
              <w:br/>
            </w:r>
            <w:r w:rsidRPr="00215418">
              <w:rPr>
                <w:rFonts w:ascii="Aptos" w:hAnsi="Aptos" w:cs="Calibri"/>
                <w:color w:val="A6A6A6"/>
                <w:kern w:val="28"/>
                <w:sz w:val="16"/>
                <w:szCs w:val="16"/>
                <w:lang w:eastAsia="en-GB"/>
              </w:rPr>
              <w:t>(as a % of GNI per capita)</w:t>
            </w:r>
          </w:p>
        </w:tc>
        <w:tc>
          <w:tcPr>
            <w:tcW w:w="687" w:type="pct"/>
            <w:shd w:val="clear" w:color="auto" w:fill="FFFFFF"/>
            <w:noWrap/>
            <w:vAlign w:val="bottom"/>
          </w:tcPr>
          <w:p w14:paraId="1B31EFD2" w14:textId="1154E5E1"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215418">
              <w:rPr>
                <w:rFonts w:ascii="Aptos" w:hAnsi="Aptos" w:cs="Calibri"/>
                <w:color w:val="000000"/>
                <w:sz w:val="16"/>
                <w:szCs w:val="16"/>
              </w:rPr>
              <w:t>0.9</w:t>
            </w:r>
          </w:p>
        </w:tc>
        <w:tc>
          <w:tcPr>
            <w:tcW w:w="715" w:type="pct"/>
            <w:shd w:val="clear" w:color="auto" w:fill="FFFFFF"/>
            <w:noWrap/>
            <w:vAlign w:val="bottom"/>
          </w:tcPr>
          <w:p w14:paraId="65CA0FC6" w14:textId="01039BB2"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215418">
              <w:rPr>
                <w:rFonts w:ascii="Aptos" w:hAnsi="Aptos" w:cs="Calibri"/>
                <w:color w:val="000000"/>
                <w:sz w:val="16"/>
                <w:szCs w:val="16"/>
              </w:rPr>
              <w:t>0.8</w:t>
            </w:r>
          </w:p>
        </w:tc>
        <w:tc>
          <w:tcPr>
            <w:tcW w:w="714" w:type="pct"/>
            <w:shd w:val="clear" w:color="auto" w:fill="FFFFFF"/>
            <w:noWrap/>
            <w:vAlign w:val="bottom"/>
          </w:tcPr>
          <w:p w14:paraId="13CBF985" w14:textId="02789C90"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215418">
              <w:rPr>
                <w:rFonts w:ascii="Aptos" w:hAnsi="Aptos" w:cs="Calibri"/>
                <w:color w:val="000000"/>
                <w:sz w:val="16"/>
                <w:szCs w:val="16"/>
              </w:rPr>
              <w:t>1.4</w:t>
            </w:r>
          </w:p>
        </w:tc>
        <w:tc>
          <w:tcPr>
            <w:tcW w:w="715" w:type="pct"/>
            <w:shd w:val="clear" w:color="auto" w:fill="FFFFFF"/>
            <w:vAlign w:val="bottom"/>
          </w:tcPr>
          <w:p w14:paraId="6EED6EE4" w14:textId="681AE9D2" w:rsidR="00F779AF" w:rsidRPr="00215418" w:rsidRDefault="00205F62" w:rsidP="006971B8">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color w:val="000000"/>
                <w:kern w:val="28"/>
                <w:sz w:val="16"/>
                <w:szCs w:val="16"/>
                <w:lang w:eastAsia="en-GB"/>
              </w:rPr>
            </w:pPr>
            <w:r w:rsidRPr="00215418">
              <w:rPr>
                <w:rFonts w:ascii="Aptos" w:hAnsi="Aptos" w:cs="Calibri"/>
                <w:color w:val="000000"/>
                <w:sz w:val="16"/>
                <w:szCs w:val="16"/>
              </w:rPr>
              <w:t>2.2</w:t>
            </w:r>
          </w:p>
        </w:tc>
        <w:tc>
          <w:tcPr>
            <w:tcW w:w="794" w:type="pct"/>
            <w:shd w:val="clear" w:color="auto" w:fill="FFFFFF"/>
            <w:noWrap/>
            <w:vAlign w:val="bottom"/>
          </w:tcPr>
          <w:p w14:paraId="13302DF3" w14:textId="6B891AC0"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kern w:val="28"/>
                <w:sz w:val="16"/>
                <w:szCs w:val="16"/>
                <w:lang w:eastAsia="en-GB"/>
              </w:rPr>
            </w:pPr>
            <w:r w:rsidRPr="006025C0">
              <w:rPr>
                <w:rFonts w:ascii="Aptos" w:hAnsi="Aptos" w:cs="Calibri"/>
                <w:b/>
                <w:color w:val="000000"/>
                <w:sz w:val="16"/>
                <w:szCs w:val="16"/>
              </w:rPr>
              <w:t>1.3</w:t>
            </w:r>
          </w:p>
        </w:tc>
      </w:tr>
    </w:tbl>
    <w:p w14:paraId="7ADD2179" w14:textId="25C81CF9" w:rsidR="006C41B5" w:rsidRPr="00215418" w:rsidRDefault="006C41B5" w:rsidP="00B1004A">
      <w:pPr>
        <w:pStyle w:val="notetext"/>
      </w:pPr>
      <w:r w:rsidRPr="00215418">
        <w:t>Note: Group medians shown for data-only mobile broadband and fixed broadband prices as a % of GNI per capita.</w:t>
      </w:r>
    </w:p>
    <w:p w14:paraId="105A1439" w14:textId="77777777" w:rsidR="006C41B5" w:rsidRPr="00215418" w:rsidRDefault="006C41B5" w:rsidP="00B1004A">
      <w:pPr>
        <w:pStyle w:val="Sourcetext"/>
        <w:rPr>
          <w:highlight w:val="cyan"/>
        </w:rPr>
      </w:pPr>
      <w:r w:rsidRPr="00215418">
        <w:t>Source: ITU</w:t>
      </w:r>
    </w:p>
    <w:p w14:paraId="5E66AB54" w14:textId="77777777" w:rsidR="00C775FD" w:rsidRPr="00215418" w:rsidRDefault="00C775FD">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color w:val="0F4761"/>
          <w:kern w:val="2"/>
          <w:sz w:val="32"/>
          <w:szCs w:val="32"/>
          <w14:ligatures w14:val="standardContextual"/>
        </w:rPr>
      </w:pPr>
      <w:r w:rsidRPr="00215418">
        <w:rPr>
          <w:rFonts w:ascii="Aptos Display" w:eastAsia="Yu Gothic Light" w:hAnsi="Aptos Display"/>
          <w:color w:val="0F4761"/>
          <w:kern w:val="2"/>
          <w:sz w:val="32"/>
          <w:szCs w:val="32"/>
          <w14:ligatures w14:val="standardContextual"/>
        </w:rPr>
        <w:br w:type="page"/>
      </w:r>
    </w:p>
    <w:p w14:paraId="5E09C4E6" w14:textId="744FB760" w:rsidR="006C41B5" w:rsidRPr="00215418" w:rsidRDefault="006C41B5" w:rsidP="000C3666">
      <w:pPr>
        <w:pStyle w:val="Section"/>
      </w:pPr>
      <w:bookmarkStart w:id="22" w:name="_Toc188001396"/>
      <w:r w:rsidRPr="00215418">
        <w:lastRenderedPageBreak/>
        <w:t xml:space="preserve">Overview of data availability in </w:t>
      </w:r>
      <w:r w:rsidR="00856ABE" w:rsidRPr="00215418">
        <w:t>Europe</w:t>
      </w:r>
      <w:bookmarkEnd w:id="22"/>
    </w:p>
    <w:p w14:paraId="37D38BB0" w14:textId="77777777" w:rsidR="006C41B5" w:rsidRPr="00215418"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Data plays a key role in achieving universal and meaningful connectivity. Reliable and timely data equips policymakers to identify needs, set priorities, design effective interventions, track progress, and measure impact. Investing in data yields substantial returns by enabling better decision-making and more efficient interventions.</w:t>
      </w:r>
    </w:p>
    <w:p w14:paraId="49A2BA80" w14:textId="77777777" w:rsidR="006C41B5" w:rsidRPr="00215418" w:rsidRDefault="006C41B5" w:rsidP="006C41B5">
      <w:pPr>
        <w:tabs>
          <w:tab w:val="clear" w:pos="794"/>
          <w:tab w:val="clear" w:pos="1191"/>
          <w:tab w:val="clear" w:pos="1588"/>
          <w:tab w:val="clear" w:pos="1985"/>
        </w:tabs>
        <w:overflowPunct/>
        <w:autoSpaceDE/>
        <w:autoSpaceDN/>
        <w:adjustRightInd/>
        <w:spacing w:before="0" w:after="120"/>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The importance of data for the delivery of the Kigali Action Plan was acknowledged by the BDT’s Telecommunication Development Advisory Group, which adopted five key performance indicators (KPIs) tracking the extent to which Member States submit timely ICT data to ITU, including KPIs related to the submission of ICT skills data and data on Internet use disaggregated by location and gender.</w:t>
      </w:r>
    </w:p>
    <w:p w14:paraId="264BB487" w14:textId="77777777" w:rsidR="005C3080" w:rsidRPr="00215418" w:rsidRDefault="005C3080" w:rsidP="002F519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The availability and quality of ICT statistics in Europe, including both administrative indicators and those derived from household surveys, are exceptional and generally surpass those of other regions.</w:t>
      </w:r>
    </w:p>
    <w:p w14:paraId="02D998FF" w14:textId="652EDFA6" w:rsidR="006C41B5" w:rsidRPr="00215418" w:rsidRDefault="006C41B5" w:rsidP="002F519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Availability for a core set of 1</w:t>
      </w:r>
      <w:r w:rsidR="00050E9A" w:rsidRPr="00215418">
        <w:rPr>
          <w:rFonts w:ascii="Aptos" w:eastAsia="Aptos" w:hAnsi="Aptos" w:cs="Arial"/>
          <w:kern w:val="2"/>
          <w:sz w:val="22"/>
          <w:szCs w:val="22"/>
          <w14:ligatures w14:val="standardContextual"/>
        </w:rPr>
        <w:t>4</w:t>
      </w:r>
      <w:r w:rsidRPr="00215418">
        <w:rPr>
          <w:rFonts w:ascii="Aptos" w:eastAsia="Aptos" w:hAnsi="Aptos" w:cs="Arial"/>
          <w:kern w:val="2"/>
          <w:sz w:val="22"/>
          <w:szCs w:val="22"/>
          <w14:ligatures w14:val="standardContextual"/>
        </w:rPr>
        <w:t xml:space="preserve"> core administrative ICT indicators</w:t>
      </w:r>
      <w:r w:rsidR="00A63469" w:rsidRPr="00215418">
        <w:rPr>
          <w:rFonts w:ascii="Aptos" w:eastAsia="Aptos" w:hAnsi="Aptos" w:cs="Arial"/>
          <w:kern w:val="2"/>
          <w:sz w:val="22"/>
          <w:szCs w:val="22"/>
          <w14:ligatures w14:val="standardContextual"/>
        </w:rPr>
        <w:t xml:space="preserve">, typically collected by national regulatory authorities or ministries, </w:t>
      </w:r>
      <w:r w:rsidR="00996D7B" w:rsidRPr="00215418">
        <w:rPr>
          <w:rFonts w:ascii="Aptos" w:eastAsia="Aptos" w:hAnsi="Aptos" w:cs="Arial"/>
          <w:kern w:val="2"/>
          <w:sz w:val="22"/>
          <w:szCs w:val="22"/>
          <w14:ligatures w14:val="standardContextual"/>
        </w:rPr>
        <w:t xml:space="preserve">is on average </w:t>
      </w:r>
      <w:r w:rsidR="00D8430B" w:rsidRPr="00215418">
        <w:rPr>
          <w:rFonts w:ascii="Aptos" w:eastAsia="Aptos" w:hAnsi="Aptos" w:cs="Arial"/>
          <w:kern w:val="2"/>
          <w:sz w:val="22"/>
          <w:szCs w:val="22"/>
          <w14:ligatures w14:val="standardContextual"/>
        </w:rPr>
        <w:t>9</w:t>
      </w:r>
      <w:r w:rsidR="00050E9A" w:rsidRPr="00215418">
        <w:rPr>
          <w:rFonts w:ascii="Aptos" w:eastAsia="Aptos" w:hAnsi="Aptos" w:cs="Arial"/>
          <w:kern w:val="2"/>
          <w:sz w:val="22"/>
          <w:szCs w:val="22"/>
          <w14:ligatures w14:val="standardContextual"/>
        </w:rPr>
        <w:t>0</w:t>
      </w:r>
      <w:r w:rsidR="00D8430B" w:rsidRPr="00215418">
        <w:rPr>
          <w:rFonts w:ascii="Aptos" w:eastAsia="Aptos" w:hAnsi="Aptos" w:cs="Arial"/>
          <w:kern w:val="2"/>
          <w:sz w:val="22"/>
          <w:szCs w:val="22"/>
          <w14:ligatures w14:val="standardContextual"/>
        </w:rPr>
        <w:t xml:space="preserve"> per cent in the region</w:t>
      </w:r>
      <w:r w:rsidR="00C7145A" w:rsidRPr="00215418">
        <w:rPr>
          <w:rFonts w:ascii="Aptos" w:eastAsia="Aptos" w:hAnsi="Aptos" w:cs="Arial"/>
          <w:kern w:val="2"/>
          <w:sz w:val="22"/>
          <w:szCs w:val="22"/>
          <w14:ligatures w14:val="standardContextual"/>
        </w:rPr>
        <w:t xml:space="preserve"> (see</w:t>
      </w:r>
      <w:r w:rsidR="0081086E" w:rsidRPr="00215418">
        <w:rPr>
          <w:rFonts w:ascii="Aptos" w:eastAsia="Aptos" w:hAnsi="Aptos" w:cs="Arial"/>
          <w:kern w:val="2"/>
          <w:sz w:val="22"/>
          <w:szCs w:val="22"/>
          <w14:ligatures w14:val="standardContextual"/>
        </w:rPr>
        <w:t xml:space="preserve"> indicator</w:t>
      </w:r>
      <w:r w:rsidR="00C7145A" w:rsidRPr="00215418">
        <w:rPr>
          <w:rFonts w:ascii="Aptos" w:eastAsia="Aptos" w:hAnsi="Aptos" w:cs="Arial"/>
          <w:kern w:val="2"/>
          <w:sz w:val="22"/>
          <w:szCs w:val="22"/>
          <w14:ligatures w14:val="standardContextual"/>
        </w:rPr>
        <w:t xml:space="preserve"> list in the note of the figure</w:t>
      </w:r>
      <w:r w:rsidR="00B02247" w:rsidRPr="00215418">
        <w:rPr>
          <w:rFonts w:ascii="Aptos" w:eastAsia="Aptos" w:hAnsi="Aptos" w:cs="Arial"/>
          <w:kern w:val="2"/>
          <w:sz w:val="22"/>
          <w:szCs w:val="22"/>
          <w14:ligatures w14:val="standardContextual"/>
        </w:rPr>
        <w:t xml:space="preserve"> below</w:t>
      </w:r>
      <w:r w:rsidR="00C7145A" w:rsidRPr="00215418">
        <w:rPr>
          <w:rFonts w:ascii="Aptos" w:eastAsia="Aptos" w:hAnsi="Aptos" w:cs="Arial"/>
          <w:kern w:val="2"/>
          <w:sz w:val="22"/>
          <w:szCs w:val="22"/>
          <w14:ligatures w14:val="standardContextual"/>
        </w:rPr>
        <w:t>)</w:t>
      </w:r>
      <w:r w:rsidR="00600367" w:rsidRPr="00215418">
        <w:rPr>
          <w:rFonts w:ascii="Aptos" w:eastAsia="Aptos" w:hAnsi="Aptos" w:cs="Arial"/>
          <w:kern w:val="2"/>
          <w:sz w:val="22"/>
          <w:szCs w:val="22"/>
          <w14:ligatures w14:val="standardContextual"/>
        </w:rPr>
        <w:t xml:space="preserve">. </w:t>
      </w:r>
      <w:r w:rsidR="008F08FC" w:rsidRPr="00215418">
        <w:rPr>
          <w:rFonts w:ascii="Aptos" w:eastAsia="Aptos" w:hAnsi="Aptos" w:cs="Arial"/>
          <w:kern w:val="2"/>
          <w:sz w:val="22"/>
          <w:szCs w:val="22"/>
          <w14:ligatures w14:val="standardContextual"/>
        </w:rPr>
        <w:t xml:space="preserve">Twelve </w:t>
      </w:r>
      <w:r w:rsidR="00753DB3" w:rsidRPr="00215418">
        <w:rPr>
          <w:rFonts w:ascii="Aptos" w:eastAsia="Aptos" w:hAnsi="Aptos" w:cs="Arial"/>
          <w:kern w:val="2"/>
          <w:sz w:val="22"/>
          <w:szCs w:val="22"/>
          <w14:ligatures w14:val="standardContextual"/>
        </w:rPr>
        <w:t>countries</w:t>
      </w:r>
      <w:r w:rsidR="008F08FC" w:rsidRPr="00215418">
        <w:rPr>
          <w:rFonts w:ascii="Aptos" w:eastAsia="Aptos" w:hAnsi="Aptos" w:cs="Arial"/>
          <w:kern w:val="2"/>
          <w:sz w:val="22"/>
          <w:szCs w:val="22"/>
          <w14:ligatures w14:val="standardContextual"/>
        </w:rPr>
        <w:t xml:space="preserve"> </w:t>
      </w:r>
      <w:r w:rsidR="004D6FF4" w:rsidRPr="00215418">
        <w:rPr>
          <w:rFonts w:ascii="Aptos" w:eastAsia="Aptos" w:hAnsi="Aptos" w:cs="Arial"/>
          <w:kern w:val="2"/>
          <w:sz w:val="22"/>
          <w:szCs w:val="22"/>
          <w14:ligatures w14:val="standardContextual"/>
        </w:rPr>
        <w:t xml:space="preserve">report </w:t>
      </w:r>
      <w:r w:rsidR="008F08FC" w:rsidRPr="00215418">
        <w:rPr>
          <w:rFonts w:ascii="Aptos" w:eastAsia="Aptos" w:hAnsi="Aptos" w:cs="Arial"/>
          <w:kern w:val="2"/>
          <w:sz w:val="22"/>
          <w:szCs w:val="22"/>
          <w14:ligatures w14:val="standardContextual"/>
        </w:rPr>
        <w:t>full availability</w:t>
      </w:r>
      <w:r w:rsidR="00753DB3" w:rsidRPr="00215418">
        <w:rPr>
          <w:rFonts w:ascii="Aptos" w:eastAsia="Aptos" w:hAnsi="Aptos" w:cs="Arial"/>
          <w:kern w:val="2"/>
          <w:sz w:val="22"/>
          <w:szCs w:val="22"/>
          <w14:ligatures w14:val="standardContextual"/>
        </w:rPr>
        <w:t xml:space="preserve">, </w:t>
      </w:r>
      <w:r w:rsidR="00B02247" w:rsidRPr="00215418">
        <w:rPr>
          <w:rFonts w:ascii="Aptos" w:eastAsia="Aptos" w:hAnsi="Aptos" w:cs="Arial"/>
          <w:kern w:val="2"/>
          <w:sz w:val="22"/>
          <w:szCs w:val="22"/>
          <w14:ligatures w14:val="standardContextual"/>
        </w:rPr>
        <w:t xml:space="preserve">while </w:t>
      </w:r>
      <w:r w:rsidR="008F08FC" w:rsidRPr="00215418">
        <w:rPr>
          <w:rFonts w:ascii="Aptos" w:eastAsia="Aptos" w:hAnsi="Aptos" w:cs="Arial"/>
          <w:kern w:val="2"/>
          <w:sz w:val="22"/>
          <w:szCs w:val="22"/>
          <w14:ligatures w14:val="standardContextual"/>
        </w:rPr>
        <w:t xml:space="preserve">29 countries </w:t>
      </w:r>
      <w:r w:rsidR="00B02247" w:rsidRPr="00215418">
        <w:rPr>
          <w:rFonts w:ascii="Aptos" w:eastAsia="Aptos" w:hAnsi="Aptos" w:cs="Arial"/>
          <w:kern w:val="2"/>
          <w:sz w:val="22"/>
          <w:szCs w:val="22"/>
          <w14:ligatures w14:val="standardContextual"/>
        </w:rPr>
        <w:t xml:space="preserve">are missing </w:t>
      </w:r>
      <w:r w:rsidR="00C57D32" w:rsidRPr="00215418">
        <w:rPr>
          <w:rFonts w:ascii="Aptos" w:eastAsia="Aptos" w:hAnsi="Aptos" w:cs="Arial"/>
          <w:kern w:val="2"/>
          <w:sz w:val="22"/>
          <w:szCs w:val="22"/>
          <w14:ligatures w14:val="standardContextual"/>
        </w:rPr>
        <w:t xml:space="preserve">only </w:t>
      </w:r>
      <w:r w:rsidR="008F08FC" w:rsidRPr="00215418">
        <w:rPr>
          <w:rFonts w:ascii="Aptos" w:eastAsia="Aptos" w:hAnsi="Aptos" w:cs="Arial"/>
          <w:kern w:val="2"/>
          <w:sz w:val="22"/>
          <w:szCs w:val="22"/>
          <w14:ligatures w14:val="standardContextual"/>
        </w:rPr>
        <w:t xml:space="preserve">one </w:t>
      </w:r>
      <w:r w:rsidR="00C57D32" w:rsidRPr="00215418">
        <w:rPr>
          <w:rFonts w:ascii="Aptos" w:eastAsia="Aptos" w:hAnsi="Aptos" w:cs="Arial"/>
          <w:kern w:val="2"/>
          <w:sz w:val="22"/>
          <w:szCs w:val="22"/>
          <w14:ligatures w14:val="standardContextual"/>
        </w:rPr>
        <w:t>indicator</w:t>
      </w:r>
      <w:r w:rsidR="008F08FC" w:rsidRPr="00215418">
        <w:rPr>
          <w:rFonts w:ascii="Aptos" w:eastAsia="Aptos" w:hAnsi="Aptos" w:cs="Arial"/>
          <w:kern w:val="2"/>
          <w:sz w:val="22"/>
          <w:szCs w:val="22"/>
          <w14:ligatures w14:val="standardContextual"/>
        </w:rPr>
        <w:t xml:space="preserve">. </w:t>
      </w:r>
      <w:r w:rsidR="004D6FF4" w:rsidRPr="00215418">
        <w:rPr>
          <w:rFonts w:ascii="Aptos" w:eastAsia="Aptos" w:hAnsi="Aptos" w:cs="Arial"/>
          <w:kern w:val="2"/>
          <w:sz w:val="22"/>
          <w:szCs w:val="22"/>
          <w14:ligatures w14:val="standardContextual"/>
        </w:rPr>
        <w:t>Even t</w:t>
      </w:r>
      <w:r w:rsidR="00921B29" w:rsidRPr="00215418">
        <w:rPr>
          <w:rFonts w:ascii="Aptos" w:eastAsia="Aptos" w:hAnsi="Aptos" w:cs="Arial"/>
          <w:kern w:val="2"/>
          <w:sz w:val="22"/>
          <w:szCs w:val="22"/>
          <w14:ligatures w14:val="standardContextual"/>
        </w:rPr>
        <w:t>he</w:t>
      </w:r>
      <w:r w:rsidR="00E674BE" w:rsidRPr="00215418">
        <w:rPr>
          <w:rFonts w:ascii="Aptos" w:eastAsia="Aptos" w:hAnsi="Aptos" w:cs="Arial"/>
          <w:kern w:val="2"/>
          <w:sz w:val="22"/>
          <w:szCs w:val="22"/>
          <w14:ligatures w14:val="standardContextual"/>
        </w:rPr>
        <w:t xml:space="preserve"> two countries with the lowest data availability </w:t>
      </w:r>
      <w:r w:rsidR="004D6FF4" w:rsidRPr="00215418">
        <w:rPr>
          <w:rFonts w:ascii="Aptos" w:eastAsia="Aptos" w:hAnsi="Aptos" w:cs="Arial"/>
          <w:kern w:val="2"/>
          <w:sz w:val="22"/>
          <w:szCs w:val="22"/>
          <w14:ligatures w14:val="standardContextual"/>
        </w:rPr>
        <w:t xml:space="preserve">provide </w:t>
      </w:r>
      <w:r w:rsidR="0056689E" w:rsidRPr="00215418">
        <w:rPr>
          <w:rFonts w:ascii="Aptos" w:eastAsia="Aptos" w:hAnsi="Aptos" w:cs="Arial"/>
          <w:kern w:val="2"/>
          <w:sz w:val="22"/>
          <w:szCs w:val="22"/>
          <w14:ligatures w14:val="standardContextual"/>
        </w:rPr>
        <w:t xml:space="preserve">recent </w:t>
      </w:r>
      <w:r w:rsidR="00864EF9" w:rsidRPr="00215418">
        <w:rPr>
          <w:rFonts w:ascii="Aptos" w:eastAsia="Aptos" w:hAnsi="Aptos" w:cs="Arial"/>
          <w:kern w:val="2"/>
          <w:sz w:val="22"/>
          <w:szCs w:val="22"/>
          <w14:ligatures w14:val="standardContextual"/>
        </w:rPr>
        <w:t xml:space="preserve">data for </w:t>
      </w:r>
      <w:r w:rsidR="008F08FC" w:rsidRPr="00215418">
        <w:rPr>
          <w:rFonts w:ascii="Aptos" w:eastAsia="Aptos" w:hAnsi="Aptos" w:cs="Arial"/>
          <w:kern w:val="2"/>
          <w:sz w:val="22"/>
          <w:szCs w:val="22"/>
          <w14:ligatures w14:val="standardContextual"/>
        </w:rPr>
        <w:t>nine</w:t>
      </w:r>
      <w:r w:rsidR="00E674BE" w:rsidRPr="00215418">
        <w:rPr>
          <w:rFonts w:ascii="Aptos" w:eastAsia="Aptos" w:hAnsi="Aptos" w:cs="Arial"/>
          <w:kern w:val="2"/>
          <w:sz w:val="22"/>
          <w:szCs w:val="22"/>
          <w14:ligatures w14:val="standardContextual"/>
        </w:rPr>
        <w:t xml:space="preserve"> </w:t>
      </w:r>
      <w:r w:rsidR="00921B29" w:rsidRPr="00215418">
        <w:rPr>
          <w:rFonts w:ascii="Aptos" w:eastAsia="Aptos" w:hAnsi="Aptos" w:cs="Arial"/>
          <w:kern w:val="2"/>
          <w:sz w:val="22"/>
          <w:szCs w:val="22"/>
          <w14:ligatures w14:val="standardContextual"/>
        </w:rPr>
        <w:t>indicators</w:t>
      </w:r>
      <w:r w:rsidR="00864EF9" w:rsidRPr="00215418">
        <w:rPr>
          <w:rFonts w:ascii="Aptos" w:eastAsia="Aptos" w:hAnsi="Aptos" w:cs="Arial"/>
          <w:kern w:val="2"/>
          <w:sz w:val="22"/>
          <w:szCs w:val="22"/>
          <w14:ligatures w14:val="standardContextual"/>
        </w:rPr>
        <w:t>.</w:t>
      </w:r>
      <w:r w:rsidR="00CB0534" w:rsidRPr="00215418">
        <w:rPr>
          <w:rFonts w:ascii="Aptos" w:eastAsia="Aptos" w:hAnsi="Aptos" w:cs="Arial"/>
          <w:kern w:val="2"/>
          <w:sz w:val="22"/>
          <w:szCs w:val="22"/>
          <w14:ligatures w14:val="standardContextual"/>
        </w:rPr>
        <w:t xml:space="preserve"> </w:t>
      </w:r>
      <w:r w:rsidR="000C383F" w:rsidRPr="00215418">
        <w:rPr>
          <w:rFonts w:ascii="Aptos" w:eastAsia="Aptos" w:hAnsi="Aptos" w:cs="Arial"/>
          <w:kern w:val="2"/>
          <w:sz w:val="22"/>
          <w:szCs w:val="22"/>
          <w14:ligatures w14:val="standardContextual"/>
        </w:rPr>
        <w:t xml:space="preserve">Countries need to </w:t>
      </w:r>
      <w:r w:rsidR="00C7145A" w:rsidRPr="00215418">
        <w:rPr>
          <w:rFonts w:ascii="Aptos" w:eastAsia="Aptos" w:hAnsi="Aptos" w:cs="Arial"/>
          <w:kern w:val="2"/>
          <w:sz w:val="22"/>
          <w:szCs w:val="22"/>
          <w14:ligatures w14:val="standardContextual"/>
        </w:rPr>
        <w:t>improve</w:t>
      </w:r>
      <w:r w:rsidR="006147F5" w:rsidRPr="00215418">
        <w:rPr>
          <w:rFonts w:ascii="Aptos" w:eastAsia="Aptos" w:hAnsi="Aptos" w:cs="Arial"/>
          <w:kern w:val="2"/>
          <w:sz w:val="22"/>
          <w:szCs w:val="22"/>
          <w14:ligatures w14:val="standardContextual"/>
        </w:rPr>
        <w:t xml:space="preserve"> the quality and availability</w:t>
      </w:r>
      <w:r w:rsidR="00C7145A" w:rsidRPr="00215418">
        <w:rPr>
          <w:rFonts w:ascii="Aptos" w:eastAsia="Aptos" w:hAnsi="Aptos" w:cs="Arial"/>
          <w:kern w:val="2"/>
          <w:sz w:val="22"/>
          <w:szCs w:val="22"/>
          <w14:ligatures w14:val="standardContextual"/>
        </w:rPr>
        <w:t xml:space="preserve"> </w:t>
      </w:r>
      <w:r w:rsidR="009C4138" w:rsidRPr="00215418">
        <w:rPr>
          <w:rFonts w:ascii="Aptos" w:eastAsia="Aptos" w:hAnsi="Aptos" w:cs="Arial"/>
          <w:kern w:val="2"/>
          <w:sz w:val="22"/>
          <w:szCs w:val="22"/>
          <w14:ligatures w14:val="standardContextual"/>
        </w:rPr>
        <w:t xml:space="preserve">international bandwidth usage, as well as </w:t>
      </w:r>
      <w:r w:rsidR="000C383F" w:rsidRPr="00215418">
        <w:rPr>
          <w:rFonts w:ascii="Aptos" w:eastAsia="Aptos" w:hAnsi="Aptos" w:cs="Arial"/>
          <w:kern w:val="2"/>
          <w:sz w:val="22"/>
          <w:szCs w:val="22"/>
          <w14:ligatures w14:val="standardContextual"/>
        </w:rPr>
        <w:t>fixed broadband Internet traffic data</w:t>
      </w:r>
      <w:r w:rsidR="009C4138" w:rsidRPr="00215418">
        <w:rPr>
          <w:rFonts w:ascii="Aptos" w:eastAsia="Aptos" w:hAnsi="Aptos" w:cs="Arial"/>
          <w:kern w:val="2"/>
          <w:sz w:val="22"/>
          <w:szCs w:val="22"/>
          <w14:ligatures w14:val="standardContextual"/>
        </w:rPr>
        <w:t xml:space="preserve">, as </w:t>
      </w:r>
      <w:r w:rsidR="000F5C1F" w:rsidRPr="00215418">
        <w:rPr>
          <w:rFonts w:ascii="Aptos" w:eastAsia="Aptos" w:hAnsi="Aptos" w:cs="Arial"/>
          <w:kern w:val="2"/>
          <w:sz w:val="22"/>
          <w:szCs w:val="22"/>
          <w14:ligatures w14:val="standardContextual"/>
        </w:rPr>
        <w:t xml:space="preserve">they are </w:t>
      </w:r>
      <w:r w:rsidR="000C383F" w:rsidRPr="00215418">
        <w:rPr>
          <w:rFonts w:ascii="Aptos" w:eastAsia="Aptos" w:hAnsi="Aptos" w:cs="Arial"/>
          <w:kern w:val="2"/>
          <w:sz w:val="22"/>
          <w:szCs w:val="22"/>
          <w14:ligatures w14:val="standardContextual"/>
        </w:rPr>
        <w:t>only available in</w:t>
      </w:r>
      <w:r w:rsidR="000F5C1F" w:rsidRPr="00215418">
        <w:rPr>
          <w:rFonts w:ascii="Aptos" w:eastAsia="Aptos" w:hAnsi="Aptos" w:cs="Arial"/>
          <w:kern w:val="2"/>
          <w:sz w:val="22"/>
          <w:szCs w:val="22"/>
          <w14:ligatures w14:val="standardContextual"/>
        </w:rPr>
        <w:t xml:space="preserve">, respectively, </w:t>
      </w:r>
      <w:r w:rsidR="00E70911" w:rsidRPr="00215418">
        <w:rPr>
          <w:rFonts w:ascii="Aptos" w:eastAsia="Aptos" w:hAnsi="Aptos" w:cs="Arial"/>
          <w:kern w:val="2"/>
          <w:sz w:val="22"/>
          <w:szCs w:val="22"/>
          <w14:ligatures w14:val="standardContextual"/>
        </w:rPr>
        <w:t>18</w:t>
      </w:r>
      <w:r w:rsidR="000F5C1F" w:rsidRPr="00215418">
        <w:rPr>
          <w:rFonts w:ascii="Aptos" w:eastAsia="Aptos" w:hAnsi="Aptos" w:cs="Arial"/>
          <w:kern w:val="2"/>
          <w:sz w:val="22"/>
          <w:szCs w:val="22"/>
          <w14:ligatures w14:val="standardContextual"/>
        </w:rPr>
        <w:t xml:space="preserve"> and </w:t>
      </w:r>
      <w:r w:rsidR="000C383F" w:rsidRPr="00215418">
        <w:rPr>
          <w:rFonts w:ascii="Aptos" w:eastAsia="Aptos" w:hAnsi="Aptos" w:cs="Arial"/>
          <w:kern w:val="2"/>
          <w:sz w:val="22"/>
          <w:szCs w:val="22"/>
          <w14:ligatures w14:val="standardContextual"/>
        </w:rPr>
        <w:t>34</w:t>
      </w:r>
      <w:r w:rsidR="000F5C1F" w:rsidRPr="00215418">
        <w:rPr>
          <w:rFonts w:ascii="Aptos" w:eastAsia="Aptos" w:hAnsi="Aptos" w:cs="Arial"/>
          <w:kern w:val="2"/>
          <w:sz w:val="22"/>
          <w:szCs w:val="22"/>
          <w14:ligatures w14:val="standardContextual"/>
        </w:rPr>
        <w:t xml:space="preserve"> </w:t>
      </w:r>
      <w:r w:rsidR="001C6085" w:rsidRPr="00215418">
        <w:rPr>
          <w:rFonts w:ascii="Aptos" w:eastAsia="Aptos" w:hAnsi="Aptos" w:cs="Arial"/>
          <w:kern w:val="2"/>
          <w:sz w:val="22"/>
          <w:szCs w:val="22"/>
          <w14:ligatures w14:val="standardContextual"/>
        </w:rPr>
        <w:t xml:space="preserve">of the 45 </w:t>
      </w:r>
      <w:r w:rsidR="005A727C" w:rsidRPr="00215418">
        <w:rPr>
          <w:rFonts w:ascii="Aptos" w:eastAsia="Aptos" w:hAnsi="Aptos" w:cs="Arial"/>
          <w:kern w:val="2"/>
          <w:sz w:val="22"/>
          <w:szCs w:val="22"/>
          <w14:ligatures w14:val="standardContextual"/>
        </w:rPr>
        <w:t xml:space="preserve">European </w:t>
      </w:r>
      <w:r w:rsidR="001C6085" w:rsidRPr="00215418">
        <w:rPr>
          <w:rFonts w:ascii="Aptos" w:eastAsia="Aptos" w:hAnsi="Aptos" w:cs="Arial"/>
          <w:kern w:val="2"/>
          <w:sz w:val="22"/>
          <w:szCs w:val="22"/>
          <w14:ligatures w14:val="standardContextual"/>
        </w:rPr>
        <w:t>countries</w:t>
      </w:r>
      <w:r w:rsidR="000F5C1F" w:rsidRPr="00215418">
        <w:rPr>
          <w:rFonts w:ascii="Aptos" w:eastAsia="Aptos" w:hAnsi="Aptos" w:cs="Arial"/>
          <w:kern w:val="2"/>
          <w:sz w:val="22"/>
          <w:szCs w:val="22"/>
          <w14:ligatures w14:val="standardContextual"/>
        </w:rPr>
        <w:t xml:space="preserve"> </w:t>
      </w:r>
      <w:r w:rsidR="002F3CEE" w:rsidRPr="00215418">
        <w:rPr>
          <w:rFonts w:ascii="Aptos" w:eastAsia="Aptos" w:hAnsi="Aptos" w:cs="Arial"/>
          <w:kern w:val="2"/>
          <w:sz w:val="22"/>
          <w:szCs w:val="22"/>
          <w14:ligatures w14:val="standardContextual"/>
        </w:rPr>
        <w:t>studied</w:t>
      </w:r>
      <w:r w:rsidR="006147F5" w:rsidRPr="00215418">
        <w:rPr>
          <w:rFonts w:ascii="Aptos" w:eastAsia="Aptos" w:hAnsi="Aptos" w:cs="Arial"/>
          <w:kern w:val="2"/>
          <w:sz w:val="22"/>
          <w:szCs w:val="22"/>
          <w14:ligatures w14:val="standardContextual"/>
        </w:rPr>
        <w:t>.</w:t>
      </w:r>
    </w:p>
    <w:p w14:paraId="70CF0F9A" w14:textId="77777777"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bCs/>
          <w:color w:val="0070C0"/>
          <w:spacing w:val="-10"/>
          <w:kern w:val="28"/>
          <w:szCs w:val="24"/>
        </w:rPr>
      </w:pPr>
      <w:r w:rsidRPr="00215418">
        <w:rPr>
          <w:rFonts w:ascii="AvenirNext LT Pro Light" w:eastAsia="Yu Gothic Light" w:hAnsi="AvenirNext LT Pro Light" w:cs="Calibri"/>
          <w:bCs/>
          <w:color w:val="0070C0"/>
          <w:spacing w:val="-10"/>
          <w:kern w:val="28"/>
          <w:szCs w:val="24"/>
        </w:rPr>
        <w:t>Percentage availability of selected administrative ICT indicators, 2022-2023</w:t>
      </w:r>
    </w:p>
    <w:p w14:paraId="08C58707" w14:textId="400BEB5A" w:rsidR="001E5B86" w:rsidRPr="00215418" w:rsidRDefault="00822444" w:rsidP="00B1004A">
      <w:pPr>
        <w:pStyle w:val="notetext"/>
      </w:pPr>
      <w:r w:rsidRPr="00215418">
        <w:rPr>
          <w:noProof/>
        </w:rPr>
        <w:drawing>
          <wp:inline distT="0" distB="0" distL="0" distR="0" wp14:anchorId="2450C426" wp14:editId="3B28C281">
            <wp:extent cx="6120765" cy="2856865"/>
            <wp:effectExtent l="0" t="0" r="0" b="635"/>
            <wp:docPr id="203009501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095011" name=""/>
                    <pic:cNvPicPr/>
                  </pic:nvPicPr>
                  <pic:blipFill>
                    <a:blip r:embed="rId124">
                      <a:extLst>
                        <a:ext uri="{96DAC541-7B7A-43D3-8B79-37D633B846F1}">
                          <asvg:svgBlip xmlns:asvg="http://schemas.microsoft.com/office/drawing/2016/SVG/main" r:embed="rId125"/>
                        </a:ext>
                      </a:extLst>
                    </a:blip>
                    <a:stretch>
                      <a:fillRect/>
                    </a:stretch>
                  </pic:blipFill>
                  <pic:spPr>
                    <a:xfrm>
                      <a:off x="0" y="0"/>
                      <a:ext cx="6120765" cy="2856865"/>
                    </a:xfrm>
                    <a:prstGeom prst="rect">
                      <a:avLst/>
                    </a:prstGeom>
                  </pic:spPr>
                </pic:pic>
              </a:graphicData>
            </a:graphic>
          </wp:inline>
        </w:drawing>
      </w:r>
      <w:r w:rsidR="001E5B86" w:rsidRPr="00215418">
        <w:t xml:space="preserve">Note: An indicator is considered available if at least one value is available for the period in question. Assessment based on the following set: active mobile broadband subscriptions, fixed broadband subscriptions (total, as well as by speed-tiers: 256 Kbit/s to 2 Mbit/s, 2 Mbit/s to 10 Mbit/s, and above 10 Mbit/s), mobile network coverage indicators by technology (at least 2G, 3G, LTE/WiMAX, 5G), total fixed broadband Internet traffic, mobile broadband Internet traffic within the country, </w:t>
      </w:r>
      <w:r w:rsidR="00480A9A" w:rsidRPr="00215418">
        <w:t xml:space="preserve">international bandwidth usage, </w:t>
      </w:r>
      <w:r w:rsidR="001E5B86" w:rsidRPr="00215418">
        <w:t xml:space="preserve">total telecommunication revenues and investment in telecommunication services. </w:t>
      </w:r>
    </w:p>
    <w:p w14:paraId="738A03AA" w14:textId="77777777" w:rsidR="006C41B5" w:rsidRPr="00215418" w:rsidRDefault="006C41B5" w:rsidP="00B1004A">
      <w:pPr>
        <w:pStyle w:val="Sourcetext"/>
        <w:rPr>
          <w:highlight w:val="cyan"/>
        </w:rPr>
      </w:pPr>
      <w:r w:rsidRPr="00215418">
        <w:t>Source: ITU</w:t>
      </w:r>
    </w:p>
    <w:p w14:paraId="0B412994" w14:textId="4EF2B66D" w:rsidR="00EB4F8F" w:rsidRPr="00215418" w:rsidRDefault="006147F5" w:rsidP="00E03647">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D</w:t>
      </w:r>
      <w:r w:rsidR="00322F3B" w:rsidRPr="00215418">
        <w:rPr>
          <w:rFonts w:ascii="Aptos" w:eastAsia="Aptos" w:hAnsi="Aptos" w:cs="Arial"/>
          <w:sz w:val="22"/>
          <w:szCs w:val="22"/>
        </w:rPr>
        <w:t xml:space="preserve">ata </w:t>
      </w:r>
      <w:r w:rsidR="006C41B5" w:rsidRPr="00215418">
        <w:rPr>
          <w:rFonts w:ascii="Aptos" w:eastAsia="Aptos" w:hAnsi="Aptos" w:cs="Arial"/>
          <w:kern w:val="2"/>
          <w:sz w:val="22"/>
          <w:szCs w:val="22"/>
          <w14:ligatures w14:val="standardContextual"/>
        </w:rPr>
        <w:t>on ICT access and usage by households and individuals</w:t>
      </w:r>
      <w:r w:rsidR="006B3B8D" w:rsidRPr="00215418">
        <w:rPr>
          <w:rFonts w:ascii="Aptos" w:eastAsia="Aptos" w:hAnsi="Aptos" w:cs="Arial"/>
          <w:kern w:val="2"/>
          <w:sz w:val="22"/>
          <w:szCs w:val="22"/>
          <w14:ligatures w14:val="standardContextual"/>
        </w:rPr>
        <w:t xml:space="preserve"> </w:t>
      </w:r>
      <w:r w:rsidR="00B25F10" w:rsidRPr="00215418">
        <w:rPr>
          <w:rFonts w:ascii="Aptos" w:eastAsia="Aptos" w:hAnsi="Aptos" w:cs="Arial"/>
          <w:kern w:val="2"/>
          <w:sz w:val="22"/>
          <w:szCs w:val="22"/>
          <w14:ligatures w14:val="standardContextual"/>
        </w:rPr>
        <w:t>is also widely available</w:t>
      </w:r>
      <w:r w:rsidR="004344E7" w:rsidRPr="00215418">
        <w:rPr>
          <w:rFonts w:ascii="Aptos" w:eastAsia="Aptos" w:hAnsi="Aptos" w:cs="Arial"/>
          <w:kern w:val="2"/>
          <w:sz w:val="22"/>
          <w:szCs w:val="22"/>
          <w14:ligatures w14:val="standardContextual"/>
        </w:rPr>
        <w:t xml:space="preserve">. This </w:t>
      </w:r>
      <w:r w:rsidR="00B6365E" w:rsidRPr="00215418">
        <w:rPr>
          <w:rFonts w:ascii="Aptos" w:eastAsia="Aptos" w:hAnsi="Aptos" w:cs="Arial"/>
          <w:sz w:val="22"/>
          <w:szCs w:val="22"/>
        </w:rPr>
        <w:t xml:space="preserve">is </w:t>
      </w:r>
      <w:r w:rsidR="00AD751A" w:rsidRPr="00215418">
        <w:rPr>
          <w:rFonts w:ascii="Aptos" w:eastAsia="Aptos" w:hAnsi="Aptos" w:cs="Arial"/>
          <w:kern w:val="2"/>
          <w:sz w:val="22"/>
          <w:szCs w:val="22"/>
          <w14:ligatures w14:val="standardContextual"/>
        </w:rPr>
        <w:t>part</w:t>
      </w:r>
      <w:r w:rsidR="00B6365E" w:rsidRPr="00215418">
        <w:rPr>
          <w:rFonts w:ascii="Aptos" w:eastAsia="Aptos" w:hAnsi="Aptos" w:cs="Arial"/>
          <w:sz w:val="22"/>
          <w:szCs w:val="22"/>
        </w:rPr>
        <w:t xml:space="preserve">ly </w:t>
      </w:r>
      <w:r w:rsidR="00152929" w:rsidRPr="00215418">
        <w:rPr>
          <w:rFonts w:ascii="Aptos" w:eastAsia="Aptos" w:hAnsi="Aptos" w:cs="Arial"/>
          <w:kern w:val="2"/>
          <w:sz w:val="22"/>
          <w:szCs w:val="22"/>
          <w14:ligatures w14:val="standardContextual"/>
        </w:rPr>
        <w:t xml:space="preserve">due to the European Commission’s funding of </w:t>
      </w:r>
      <w:r w:rsidR="00AD751A" w:rsidRPr="00215418">
        <w:rPr>
          <w:rFonts w:ascii="Aptos" w:eastAsia="Aptos" w:hAnsi="Aptos" w:cs="Arial"/>
          <w:kern w:val="2"/>
          <w:sz w:val="22"/>
          <w:szCs w:val="22"/>
          <w14:ligatures w14:val="standardContextual"/>
        </w:rPr>
        <w:t xml:space="preserve">annual ICT household surveys </w:t>
      </w:r>
      <w:r w:rsidR="00F266C8" w:rsidRPr="00215418">
        <w:rPr>
          <w:rFonts w:ascii="Aptos" w:eastAsia="Aptos" w:hAnsi="Aptos" w:cs="Arial"/>
          <w:kern w:val="2"/>
          <w:sz w:val="22"/>
          <w:szCs w:val="22"/>
          <w14:ligatures w14:val="standardContextual"/>
        </w:rPr>
        <w:t>in member countries</w:t>
      </w:r>
      <w:r w:rsidR="004261F8" w:rsidRPr="00215418">
        <w:rPr>
          <w:rFonts w:ascii="Aptos" w:eastAsia="Aptos" w:hAnsi="Aptos" w:cs="Arial"/>
          <w:kern w:val="2"/>
          <w:sz w:val="22"/>
          <w:szCs w:val="22"/>
          <w14:ligatures w14:val="standardContextual"/>
        </w:rPr>
        <w:t xml:space="preserve"> and </w:t>
      </w:r>
      <w:r w:rsidR="004C4F47" w:rsidRPr="00215418">
        <w:rPr>
          <w:rFonts w:ascii="Aptos" w:eastAsia="Aptos" w:hAnsi="Aptos" w:cs="Arial"/>
          <w:kern w:val="2"/>
          <w:sz w:val="22"/>
          <w:szCs w:val="22"/>
          <w14:ligatures w14:val="standardContextual"/>
        </w:rPr>
        <w:t>neighbouring countries</w:t>
      </w:r>
      <w:r w:rsidR="00F266C8" w:rsidRPr="00215418">
        <w:rPr>
          <w:rFonts w:ascii="Aptos" w:eastAsia="Aptos" w:hAnsi="Aptos" w:cs="Arial"/>
          <w:kern w:val="2"/>
          <w:sz w:val="22"/>
          <w:szCs w:val="22"/>
          <w14:ligatures w14:val="standardContextual"/>
        </w:rPr>
        <w:t xml:space="preserve">. </w:t>
      </w:r>
      <w:r w:rsidR="00A627FC" w:rsidRPr="00215418">
        <w:rPr>
          <w:rFonts w:ascii="Aptos" w:eastAsia="Aptos" w:hAnsi="Aptos" w:cs="Arial"/>
          <w:kern w:val="2"/>
          <w:sz w:val="22"/>
          <w:szCs w:val="22"/>
          <w14:ligatures w14:val="standardContextual"/>
        </w:rPr>
        <w:t>Nevertheless</w:t>
      </w:r>
      <w:r w:rsidR="006C41B5" w:rsidRPr="00215418">
        <w:rPr>
          <w:rFonts w:ascii="Aptos" w:eastAsia="Aptos" w:hAnsi="Aptos" w:cs="Arial"/>
          <w:kern w:val="2"/>
          <w:sz w:val="22"/>
          <w:szCs w:val="22"/>
          <w14:ligatures w14:val="standardContextual"/>
        </w:rPr>
        <w:t xml:space="preserve">, </w:t>
      </w:r>
      <w:r w:rsidR="00F7111D" w:rsidRPr="00215418">
        <w:rPr>
          <w:rFonts w:ascii="Aptos" w:eastAsia="Aptos" w:hAnsi="Aptos" w:cs="Arial"/>
          <w:kern w:val="2"/>
          <w:sz w:val="22"/>
          <w:szCs w:val="22"/>
          <w14:ligatures w14:val="standardContextual"/>
        </w:rPr>
        <w:t xml:space="preserve">data </w:t>
      </w:r>
      <w:r w:rsidR="00562D7D" w:rsidRPr="00215418">
        <w:rPr>
          <w:rFonts w:ascii="Aptos" w:eastAsia="Aptos" w:hAnsi="Aptos" w:cs="Arial"/>
          <w:kern w:val="2"/>
          <w:sz w:val="22"/>
          <w:szCs w:val="22"/>
          <w14:ligatures w14:val="standardContextual"/>
        </w:rPr>
        <w:t xml:space="preserve">remain scarce for </w:t>
      </w:r>
      <w:r w:rsidR="0036531C" w:rsidRPr="00215418">
        <w:rPr>
          <w:rFonts w:ascii="Aptos" w:eastAsia="Aptos" w:hAnsi="Aptos" w:cs="Arial"/>
          <w:kern w:val="2"/>
          <w:sz w:val="22"/>
          <w:szCs w:val="22"/>
          <w14:ligatures w14:val="standardContextual"/>
        </w:rPr>
        <w:t xml:space="preserve">several countries – particularly in </w:t>
      </w:r>
      <w:r w:rsidR="00962E80" w:rsidRPr="00215418">
        <w:rPr>
          <w:rFonts w:ascii="Aptos" w:eastAsia="Aptos" w:hAnsi="Aptos" w:cs="Arial"/>
          <w:kern w:val="2"/>
          <w:sz w:val="22"/>
          <w:szCs w:val="22"/>
          <w14:ligatures w14:val="standardContextual"/>
        </w:rPr>
        <w:t>microstates</w:t>
      </w:r>
      <w:r w:rsidR="0036531C" w:rsidRPr="00215418">
        <w:rPr>
          <w:rFonts w:ascii="Aptos" w:eastAsia="Aptos" w:hAnsi="Aptos" w:cs="Arial"/>
          <w:kern w:val="2"/>
          <w:sz w:val="22"/>
          <w:szCs w:val="22"/>
          <w14:ligatures w14:val="standardContextual"/>
        </w:rPr>
        <w:t xml:space="preserve">. In addition, </w:t>
      </w:r>
      <w:r w:rsidR="00793795" w:rsidRPr="00215418">
        <w:rPr>
          <w:rFonts w:ascii="Aptos" w:eastAsia="Aptos" w:hAnsi="Aptos" w:cs="Arial"/>
          <w:kern w:val="2"/>
          <w:sz w:val="22"/>
          <w:szCs w:val="22"/>
          <w14:ligatures w14:val="standardContextual"/>
        </w:rPr>
        <w:t xml:space="preserve">data </w:t>
      </w:r>
      <w:r w:rsidR="009504D2" w:rsidRPr="00215418">
        <w:rPr>
          <w:rFonts w:ascii="Aptos" w:eastAsia="Aptos" w:hAnsi="Aptos" w:cs="Arial"/>
          <w:kern w:val="2"/>
          <w:sz w:val="22"/>
          <w:szCs w:val="22"/>
          <w14:ligatures w14:val="standardContextual"/>
        </w:rPr>
        <w:t xml:space="preserve">for some socio-economic </w:t>
      </w:r>
      <w:r w:rsidR="668077E7" w:rsidRPr="00215418">
        <w:rPr>
          <w:rFonts w:ascii="Aptos" w:eastAsia="Aptos" w:hAnsi="Aptos" w:cs="Arial"/>
          <w:kern w:val="2"/>
          <w:sz w:val="22"/>
          <w:szCs w:val="22"/>
          <w14:ligatures w14:val="standardContextual"/>
        </w:rPr>
        <w:t>disaggregation</w:t>
      </w:r>
      <w:r w:rsidR="009504D2" w:rsidRPr="00215418">
        <w:rPr>
          <w:rFonts w:ascii="Aptos" w:eastAsia="Aptos" w:hAnsi="Aptos" w:cs="Arial"/>
          <w:kern w:val="2"/>
          <w:sz w:val="22"/>
          <w:szCs w:val="22"/>
          <w14:ligatures w14:val="standardContextual"/>
        </w:rPr>
        <w:t xml:space="preserve"> are </w:t>
      </w:r>
      <w:r w:rsidR="00426C11" w:rsidRPr="00215418">
        <w:rPr>
          <w:rFonts w:ascii="Aptos" w:eastAsia="Aptos" w:hAnsi="Aptos" w:cs="Arial"/>
          <w:kern w:val="2"/>
          <w:sz w:val="22"/>
          <w:szCs w:val="22"/>
          <w14:ligatures w14:val="standardContextual"/>
        </w:rPr>
        <w:t>rarely reported for some countries.</w:t>
      </w:r>
      <w:r w:rsidR="0098756A" w:rsidRPr="00215418">
        <w:rPr>
          <w:rFonts w:ascii="Aptos" w:eastAsia="Aptos" w:hAnsi="Aptos" w:cs="Arial"/>
          <w:sz w:val="22"/>
          <w:szCs w:val="22"/>
        </w:rPr>
        <w:t xml:space="preserve"> </w:t>
      </w:r>
    </w:p>
    <w:p w14:paraId="78FA3BCC" w14:textId="77777777"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lastRenderedPageBreak/>
        <w:t>Latest year of submission of ICT household survey data, by socio-economic attribute</w:t>
      </w:r>
    </w:p>
    <w:p w14:paraId="00126953" w14:textId="19860181" w:rsidR="001505A7" w:rsidRPr="00215418" w:rsidRDefault="001505A7" w:rsidP="00756C9C">
      <w:pPr>
        <w:pStyle w:val="Sourcetext"/>
      </w:pPr>
      <w:r w:rsidRPr="00215418">
        <w:rPr>
          <w:noProof/>
        </w:rPr>
        <w:drawing>
          <wp:inline distT="0" distB="0" distL="0" distR="0" wp14:anchorId="51AAF4C3" wp14:editId="01BA8E79">
            <wp:extent cx="4986670" cy="7503321"/>
            <wp:effectExtent l="0" t="0" r="4445" b="2540"/>
            <wp:docPr id="1135184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027834" cy="7565260"/>
                    </a:xfrm>
                    <a:prstGeom prst="rect">
                      <a:avLst/>
                    </a:prstGeom>
                    <a:noFill/>
                    <a:ln>
                      <a:noFill/>
                    </a:ln>
                  </pic:spPr>
                </pic:pic>
              </a:graphicData>
            </a:graphic>
          </wp:inline>
        </w:drawing>
      </w:r>
    </w:p>
    <w:p w14:paraId="644FD988" w14:textId="6947BC5F" w:rsidR="006C41B5" w:rsidRPr="00215418" w:rsidRDefault="006C41B5" w:rsidP="00B1004A">
      <w:pPr>
        <w:pStyle w:val="Sourcetext"/>
      </w:pPr>
      <w:r w:rsidRPr="00215418">
        <w:t>Source: ITU</w:t>
      </w:r>
    </w:p>
    <w:p w14:paraId="31D9AECE" w14:textId="447225CF" w:rsidR="006C41B5" w:rsidRPr="00215418" w:rsidRDefault="006C41B5" w:rsidP="000C3666">
      <w:pPr>
        <w:pStyle w:val="Parttitle0"/>
      </w:pPr>
      <w:bookmarkStart w:id="23" w:name="_Toc188001397"/>
      <w:r w:rsidRPr="00215418">
        <w:lastRenderedPageBreak/>
        <w:t>Part 2</w:t>
      </w:r>
      <w:r w:rsidR="006731EB" w:rsidRPr="00215418">
        <w:t xml:space="preserve">. </w:t>
      </w:r>
      <w:r w:rsidRPr="00215418">
        <w:t xml:space="preserve">BDT4Impact: Selected case studies from </w:t>
      </w:r>
      <w:r w:rsidR="00856ABE" w:rsidRPr="00215418">
        <w:t>Europe</w:t>
      </w:r>
      <w:bookmarkEnd w:id="23"/>
    </w:p>
    <w:p w14:paraId="2566F301" w14:textId="2EC2F57B" w:rsidR="00B727CE" w:rsidRPr="00215418" w:rsidRDefault="00B727CE" w:rsidP="00434C39">
      <w:pPr>
        <w:rPr>
          <w:rFonts w:ascii="Aptos" w:hAnsi="Aptos"/>
          <w:sz w:val="22"/>
          <w:szCs w:val="22"/>
        </w:rPr>
      </w:pPr>
      <w:bookmarkStart w:id="24" w:name="_Toc188001398"/>
      <w:r w:rsidRPr="00215418">
        <w:rPr>
          <w:rStyle w:val="SectionChar"/>
        </w:rPr>
        <w:t>Promoting and measuring meaningful connectivity around the world</w:t>
      </w:r>
      <w:bookmarkEnd w:id="24"/>
      <w:r w:rsidRPr="00215418">
        <w:rPr>
          <w:rStyle w:val="SectionChar"/>
        </w:rPr>
        <w:br/>
      </w:r>
      <w:hyperlink r:id="rId127" w:history="1">
        <w:r w:rsidRPr="00215418">
          <w:rPr>
            <w:rStyle w:val="Hyperlink"/>
            <w:rFonts w:ascii="Aptos" w:hAnsi="Aptos" w:cs="Calibri"/>
            <w:sz w:val="22"/>
            <w:szCs w:val="22"/>
          </w:rPr>
          <w:t>Universal and meaningful connectivity (UMC)</w:t>
        </w:r>
      </w:hyperlink>
      <w:r w:rsidRPr="00215418">
        <w:rPr>
          <w:rFonts w:ascii="Aptos" w:hAnsi="Aptos"/>
          <w:sz w:val="22"/>
          <w:szCs w:val="22"/>
        </w:rPr>
        <w:t xml:space="preserve"> is the foundation for a safe, satisfying, enriching and productive online experience at an affordable cost. </w:t>
      </w:r>
    </w:p>
    <w:p w14:paraId="04AE19BF" w14:textId="77777777" w:rsidR="00B727CE" w:rsidRPr="00215418" w:rsidRDefault="00B727CE" w:rsidP="00434C39">
      <w:pPr>
        <w:rPr>
          <w:rFonts w:ascii="Aptos" w:hAnsi="Aptos"/>
          <w:sz w:val="22"/>
          <w:szCs w:val="22"/>
        </w:rPr>
      </w:pPr>
      <w:r w:rsidRPr="00215418">
        <w:rPr>
          <w:rFonts w:ascii="Aptos" w:hAnsi="Aptos"/>
          <w:sz w:val="22"/>
          <w:szCs w:val="22"/>
        </w:rPr>
        <w:t>ITU’s Telecommunications Bureau and the European Commission (EC) launched a EUR 3 million project entitled ‘Promoting and measuring universal and meaningful digital connectivity.’ In line with ITU’s mission to connect the world and leave no one behind, as well as the objectives of the European Union’s Global Gateway, the project aims to make UMC a top policy priority; generate more and better UMC data; and improve evidence-based policymaking, fund sourcing and project implementation.</w:t>
      </w:r>
    </w:p>
    <w:p w14:paraId="75A070AE" w14:textId="77777777" w:rsidR="00B727CE" w:rsidRPr="00215418" w:rsidRDefault="00B727CE" w:rsidP="00434C39">
      <w:pPr>
        <w:rPr>
          <w:rFonts w:ascii="Aptos" w:hAnsi="Aptos"/>
          <w:sz w:val="22"/>
          <w:szCs w:val="22"/>
        </w:rPr>
      </w:pPr>
      <w:r w:rsidRPr="00215418">
        <w:rPr>
          <w:rFonts w:ascii="Aptos" w:hAnsi="Aptos"/>
          <w:sz w:val="22"/>
          <w:szCs w:val="22"/>
        </w:rPr>
        <w:t>The work will help advance holistic policy approaches and provide recommendations on boosting good-quality Internet and mobile access.</w:t>
      </w:r>
    </w:p>
    <w:p w14:paraId="22FC48EE" w14:textId="77777777" w:rsidR="00B727CE" w:rsidRPr="00215418" w:rsidRDefault="00B727CE" w:rsidP="00434C39">
      <w:pPr>
        <w:rPr>
          <w:rFonts w:ascii="Aptos" w:hAnsi="Aptos"/>
          <w:sz w:val="22"/>
          <w:szCs w:val="22"/>
        </w:rPr>
      </w:pPr>
      <w:r w:rsidRPr="00215418">
        <w:rPr>
          <w:rFonts w:ascii="Aptos" w:hAnsi="Aptos"/>
          <w:sz w:val="22"/>
          <w:szCs w:val="22"/>
        </w:rPr>
        <w:t>As part of the project, a series of regional workshops were held in 2024 in the Bahamas, Qatar, and Thailand. Apart from the learning experiences, the workshops provided opportunities for participants to network with various data producers and learn from other countries’ challenges and experiences.</w:t>
      </w:r>
    </w:p>
    <w:p w14:paraId="1C28EA37" w14:textId="77777777" w:rsidR="00B727CE" w:rsidRPr="00215418" w:rsidRDefault="00B727CE" w:rsidP="00434C39">
      <w:pPr>
        <w:rPr>
          <w:rFonts w:ascii="Aptos" w:hAnsi="Aptos"/>
          <w:sz w:val="22"/>
          <w:szCs w:val="22"/>
        </w:rPr>
      </w:pPr>
      <w:r w:rsidRPr="00215418">
        <w:rPr>
          <w:rFonts w:ascii="Aptos" w:hAnsi="Aptos"/>
          <w:sz w:val="22"/>
          <w:szCs w:val="22"/>
        </w:rPr>
        <w:t xml:space="preserve">More workshops are planned for 2025, including one in March targeting the members of 18 UN country teams of Europe and Central Asia, and another in June, targeting the administrations of the Western Balkans (Albania, Bosnia and Herzegovina, Montenegro, North Macedonia, Serbia), Georgia, Moldova, Türkiye, and Ukraine. </w:t>
      </w:r>
    </w:p>
    <w:p w14:paraId="745341D2" w14:textId="60EAD5D8" w:rsidR="00B727CE" w:rsidRPr="00215418" w:rsidRDefault="00B727CE" w:rsidP="000C3666">
      <w:pPr>
        <w:pStyle w:val="Section"/>
      </w:pPr>
      <w:bookmarkStart w:id="25" w:name="_Toc188001399"/>
      <w:r w:rsidRPr="00215418">
        <w:t>Promoting child online protection</w:t>
      </w:r>
      <w:bookmarkEnd w:id="25"/>
      <w:r w:rsidRPr="00215418">
        <w:t xml:space="preserve"> </w:t>
      </w:r>
      <w:r w:rsidR="00826008">
        <w:t>in</w:t>
      </w:r>
      <w:r w:rsidR="006069BD">
        <w:t xml:space="preserve"> Europe, e.g. Andorra</w:t>
      </w:r>
      <w:r w:rsidR="00CB698D">
        <w:t xml:space="preserve">, </w:t>
      </w:r>
      <w:r w:rsidR="006069BD">
        <w:t>Malta</w:t>
      </w:r>
      <w:r w:rsidR="00CB698D">
        <w:t>, Serbia</w:t>
      </w:r>
    </w:p>
    <w:p w14:paraId="5CB7D3DF" w14:textId="77777777" w:rsidR="00B727CE" w:rsidRPr="00215418" w:rsidRDefault="00B727CE" w:rsidP="00434C39">
      <w:pPr>
        <w:rPr>
          <w:rFonts w:ascii="Aptos" w:hAnsi="Aptos" w:cs="Calibri"/>
          <w:sz w:val="22"/>
          <w:szCs w:val="22"/>
        </w:rPr>
      </w:pPr>
      <w:r w:rsidRPr="00215418">
        <w:rPr>
          <w:rFonts w:ascii="Aptos" w:hAnsi="Aptos" w:cs="Calibri"/>
          <w:sz w:val="22"/>
          <w:szCs w:val="22"/>
        </w:rPr>
        <w:t>Although the Internet represents priceless opportunities for young people – from education to social activity – it also poses risks such as cyberbullying, data protection issues, harassment and financial exploitation.</w:t>
      </w:r>
    </w:p>
    <w:p w14:paraId="49B6F5CA" w14:textId="77777777" w:rsidR="00B727CE" w:rsidRPr="00215418" w:rsidRDefault="00B727CE" w:rsidP="00434C39">
      <w:pPr>
        <w:rPr>
          <w:rFonts w:ascii="Aptos" w:hAnsi="Aptos" w:cs="Calibri"/>
          <w:sz w:val="22"/>
          <w:szCs w:val="22"/>
        </w:rPr>
      </w:pPr>
      <w:r w:rsidRPr="00215418">
        <w:rPr>
          <w:rFonts w:ascii="Aptos" w:hAnsi="Aptos" w:cs="Calibri"/>
          <w:sz w:val="22"/>
          <w:szCs w:val="22"/>
        </w:rPr>
        <w:t xml:space="preserve">The ITU Office for Europe is facilitating </w:t>
      </w:r>
      <w:hyperlink r:id="rId128" w:history="1">
        <w:r w:rsidRPr="00215418">
          <w:rPr>
            <w:rStyle w:val="Hyperlink"/>
            <w:rFonts w:ascii="Aptos" w:hAnsi="Aptos" w:cs="Calibri"/>
            <w:sz w:val="22"/>
            <w:szCs w:val="22"/>
          </w:rPr>
          <w:t>child online protection</w:t>
        </w:r>
      </w:hyperlink>
      <w:r w:rsidRPr="00215418">
        <w:rPr>
          <w:rFonts w:ascii="Aptos" w:hAnsi="Aptos" w:cs="Calibri"/>
          <w:sz w:val="22"/>
          <w:szCs w:val="22"/>
        </w:rPr>
        <w:t xml:space="preserve"> initiatives across the region, collaborating with national stakeholders to promote safer digital environments for children.</w:t>
      </w:r>
    </w:p>
    <w:p w14:paraId="1E87E064" w14:textId="77777777" w:rsidR="00B727CE" w:rsidRPr="00215418" w:rsidRDefault="00B727CE" w:rsidP="00434C39">
      <w:pPr>
        <w:rPr>
          <w:rFonts w:ascii="Aptos" w:hAnsi="Aptos" w:cs="Calibri"/>
          <w:sz w:val="22"/>
          <w:szCs w:val="22"/>
        </w:rPr>
      </w:pPr>
      <w:r w:rsidRPr="00215418">
        <w:rPr>
          <w:rFonts w:ascii="Aptos" w:hAnsi="Aptos" w:cs="Calibri"/>
          <w:sz w:val="22"/>
          <w:szCs w:val="22"/>
        </w:rPr>
        <w:t>In Andorra, a national assessment of child online protection was launched in collaboration with the country’s government and facilitated a multi-stakeholder event on the topic.</w:t>
      </w:r>
    </w:p>
    <w:p w14:paraId="7B17AE6D" w14:textId="77777777" w:rsidR="00B727CE" w:rsidRPr="00215418" w:rsidRDefault="00B727CE" w:rsidP="00434C39">
      <w:pPr>
        <w:rPr>
          <w:rFonts w:ascii="Aptos" w:hAnsi="Aptos" w:cs="Calibri"/>
          <w:sz w:val="22"/>
          <w:szCs w:val="22"/>
        </w:rPr>
      </w:pPr>
      <w:r w:rsidRPr="00215418">
        <w:rPr>
          <w:rFonts w:ascii="Aptos" w:hAnsi="Aptos" w:cs="Calibri"/>
          <w:sz w:val="22"/>
          <w:szCs w:val="22"/>
        </w:rPr>
        <w:t xml:space="preserve">In Malta, a training-of-trainers event helped raise awareness about the protection and rights of children online. The training taught educators across the country the skills to confront these issues at school, train education-system colleagues, and create a safer online experience for children. </w:t>
      </w:r>
    </w:p>
    <w:p w14:paraId="3F7F8BAD" w14:textId="77777777" w:rsidR="00B727CE" w:rsidRPr="00215418" w:rsidRDefault="00B727CE" w:rsidP="00434C39">
      <w:pPr>
        <w:rPr>
          <w:rFonts w:ascii="Aptos" w:hAnsi="Aptos" w:cs="Calibri"/>
          <w:sz w:val="22"/>
          <w:szCs w:val="22"/>
        </w:rPr>
      </w:pPr>
      <w:r w:rsidRPr="00215418">
        <w:rPr>
          <w:rFonts w:ascii="Aptos" w:hAnsi="Aptos" w:cs="Calibri"/>
          <w:sz w:val="22"/>
          <w:szCs w:val="22"/>
        </w:rPr>
        <w:t>The training was conducted at the request of the Malta Foundation for the Wellbeing of Society, led by former President of Malta Marie-Louise Coleiro.</w:t>
      </w:r>
    </w:p>
    <w:p w14:paraId="1BE04C8B" w14:textId="63B0541F" w:rsidR="00B727CE" w:rsidRPr="00215418" w:rsidRDefault="00B727CE" w:rsidP="00C919EC">
      <w:pPr>
        <w:rPr>
          <w:rFonts w:ascii="Aptos" w:hAnsi="Aptos" w:cs="Calibri"/>
          <w:sz w:val="22"/>
          <w:szCs w:val="22"/>
        </w:rPr>
      </w:pPr>
      <w:r w:rsidRPr="00215418">
        <w:rPr>
          <w:rFonts w:ascii="Aptos" w:hAnsi="Aptos" w:cs="Calibri"/>
          <w:sz w:val="22"/>
          <w:szCs w:val="22"/>
        </w:rPr>
        <w:t xml:space="preserve">In Serbia, support was given to the rollout of </w:t>
      </w:r>
      <w:hyperlink r:id="rId129" w:history="1">
        <w:r w:rsidRPr="00215418">
          <w:rPr>
            <w:rStyle w:val="Hyperlink"/>
            <w:rFonts w:ascii="Aptos" w:hAnsi="Aptos" w:cs="Calibri"/>
            <w:sz w:val="22"/>
            <w:szCs w:val="22"/>
          </w:rPr>
          <w:t>child online protection guidelines</w:t>
        </w:r>
      </w:hyperlink>
      <w:r w:rsidRPr="00215418">
        <w:rPr>
          <w:rFonts w:ascii="Aptos" w:hAnsi="Aptos" w:cs="Calibri"/>
          <w:sz w:val="22"/>
          <w:szCs w:val="22"/>
        </w:rPr>
        <w:t xml:space="preserve"> by the National Contact Centre for Children’s Safety. The guidelines were launched in a national event that was complemented by a dissemination campaign in schools that reached 60 educators and nearly 1000 children.</w:t>
      </w:r>
    </w:p>
    <w:p w14:paraId="06E525C6" w14:textId="77777777" w:rsidR="00B727CE" w:rsidRPr="00215418" w:rsidRDefault="00B727CE" w:rsidP="000C3666">
      <w:pPr>
        <w:pStyle w:val="Section"/>
      </w:pPr>
      <w:bookmarkStart w:id="26" w:name="_Toc188001400"/>
      <w:r w:rsidRPr="00215418">
        <w:t>IPv6 Laboratory in Montenegro</w:t>
      </w:r>
      <w:bookmarkEnd w:id="26"/>
    </w:p>
    <w:p w14:paraId="75AD8DC0" w14:textId="77777777" w:rsidR="00B727CE" w:rsidRPr="00215418" w:rsidRDefault="00B727CE" w:rsidP="00434C39">
      <w:pPr>
        <w:rPr>
          <w:rFonts w:ascii="Aptos" w:hAnsi="Aptos"/>
          <w:sz w:val="22"/>
          <w:szCs w:val="22"/>
        </w:rPr>
      </w:pPr>
      <w:r w:rsidRPr="00215418">
        <w:rPr>
          <w:rFonts w:ascii="Aptos" w:hAnsi="Aptos"/>
          <w:sz w:val="22"/>
          <w:szCs w:val="22"/>
        </w:rPr>
        <w:t>The migration to IPv6 – a high version Internet protocol – is a fundamental enabler of digital economy transformation and better social governance. The transition from IPv4 to IPv6 is a technical upgrade and a key step towards a more robust and sustainable digital future.</w:t>
      </w:r>
    </w:p>
    <w:p w14:paraId="65940CD6" w14:textId="1E86D0D2" w:rsidR="00B727CE" w:rsidRPr="00215418" w:rsidRDefault="00B727CE" w:rsidP="00434C39">
      <w:pPr>
        <w:rPr>
          <w:rFonts w:ascii="Aptos" w:hAnsi="Aptos"/>
          <w:sz w:val="22"/>
          <w:szCs w:val="22"/>
        </w:rPr>
      </w:pPr>
      <w:r w:rsidRPr="00215418">
        <w:rPr>
          <w:rFonts w:ascii="Aptos" w:hAnsi="Aptos"/>
          <w:sz w:val="22"/>
          <w:szCs w:val="22"/>
        </w:rPr>
        <w:t xml:space="preserve">An </w:t>
      </w:r>
      <w:hyperlink r:id="rId130" w:history="1">
        <w:r w:rsidRPr="00215418">
          <w:rPr>
            <w:rStyle w:val="Hyperlink"/>
            <w:rFonts w:ascii="Aptos" w:hAnsi="Aptos" w:cs="Calibri"/>
            <w:sz w:val="22"/>
            <w:szCs w:val="22"/>
          </w:rPr>
          <w:t>IPv6 Laboratory was officially opened</w:t>
        </w:r>
      </w:hyperlink>
      <w:r w:rsidRPr="00215418">
        <w:rPr>
          <w:rFonts w:ascii="Aptos" w:hAnsi="Aptos"/>
          <w:sz w:val="22"/>
          <w:szCs w:val="22"/>
        </w:rPr>
        <w:t xml:space="preserve"> at the University of Montenegro</w:t>
      </w:r>
      <w:r w:rsidR="00AE0487" w:rsidRPr="00215418">
        <w:rPr>
          <w:rFonts w:ascii="Aptos" w:hAnsi="Aptos"/>
          <w:sz w:val="22"/>
          <w:szCs w:val="22"/>
        </w:rPr>
        <w:t xml:space="preserve"> in </w:t>
      </w:r>
      <w:r w:rsidRPr="00215418">
        <w:rPr>
          <w:rFonts w:ascii="Aptos" w:hAnsi="Aptos"/>
          <w:sz w:val="22"/>
          <w:szCs w:val="22"/>
        </w:rPr>
        <w:t>Podgorica, marking a milestone in Montenegro’s journey toward IPv6 readiness. The Laboratory is fostering innovation, building capacity, and helping develop Montenegro’s digital infrastructure.</w:t>
      </w:r>
    </w:p>
    <w:p w14:paraId="02B01AC7" w14:textId="11333D99" w:rsidR="00C3047D" w:rsidRPr="00215418" w:rsidRDefault="00B727CE" w:rsidP="00434C39">
      <w:pPr>
        <w:rPr>
          <w:rFonts w:ascii="Aptos" w:hAnsi="Aptos"/>
          <w:sz w:val="22"/>
          <w:szCs w:val="22"/>
        </w:rPr>
      </w:pPr>
      <w:r w:rsidRPr="00215418">
        <w:rPr>
          <w:rFonts w:ascii="Aptos" w:hAnsi="Aptos"/>
          <w:sz w:val="22"/>
          <w:szCs w:val="22"/>
        </w:rPr>
        <w:lastRenderedPageBreak/>
        <w:t>Other activities helping Montenegro advance its digital transformation journey include: a national workshop on IPv6 strategies and policies; training of experts from public institutions; a technical assistance paper for the deployment of IPv6; and an IPv6 transition workshop.</w:t>
      </w:r>
    </w:p>
    <w:p w14:paraId="03E618B7" w14:textId="3BD90B7A" w:rsidR="00B90B87" w:rsidRPr="00215418" w:rsidRDefault="00B90B87" w:rsidP="00B90B87">
      <w:pPr>
        <w:rPr>
          <w:rFonts w:ascii="Aptos" w:hAnsi="Aptos"/>
          <w:sz w:val="22"/>
          <w:szCs w:val="22"/>
        </w:rPr>
      </w:pPr>
      <w:r w:rsidRPr="00215418">
        <w:rPr>
          <w:rFonts w:ascii="Aptos" w:hAnsi="Aptos"/>
          <w:sz w:val="22"/>
          <w:szCs w:val="22"/>
        </w:rPr>
        <w:t>In the area of broadband, ITU developed the national broadband plan</w:t>
      </w:r>
      <w:r w:rsidR="005A0C11" w:rsidRPr="00215418">
        <w:rPr>
          <w:rFonts w:ascii="Aptos" w:hAnsi="Aptos"/>
          <w:sz w:val="22"/>
          <w:szCs w:val="22"/>
        </w:rPr>
        <w:t xml:space="preserve">, which </w:t>
      </w:r>
      <w:r w:rsidRPr="00215418">
        <w:rPr>
          <w:rFonts w:ascii="Aptos" w:hAnsi="Aptos"/>
          <w:sz w:val="22"/>
          <w:szCs w:val="22"/>
        </w:rPr>
        <w:t xml:space="preserve">aims </w:t>
      </w:r>
      <w:r w:rsidR="005A0C11" w:rsidRPr="00215418">
        <w:rPr>
          <w:rFonts w:ascii="Aptos" w:hAnsi="Aptos"/>
          <w:sz w:val="22"/>
          <w:szCs w:val="22"/>
        </w:rPr>
        <w:t xml:space="preserve">to </w:t>
      </w:r>
      <w:r w:rsidRPr="00215418">
        <w:rPr>
          <w:rFonts w:ascii="Aptos" w:hAnsi="Aptos"/>
          <w:sz w:val="22"/>
          <w:szCs w:val="22"/>
        </w:rPr>
        <w:t>bring</w:t>
      </w:r>
      <w:r w:rsidR="00753FAE" w:rsidRPr="00215418">
        <w:rPr>
          <w:rFonts w:ascii="Aptos" w:hAnsi="Aptos"/>
          <w:sz w:val="22"/>
          <w:szCs w:val="22"/>
        </w:rPr>
        <w:t xml:space="preserve"> </w:t>
      </w:r>
      <w:r w:rsidRPr="00215418">
        <w:rPr>
          <w:rFonts w:ascii="Aptos" w:hAnsi="Aptos"/>
          <w:sz w:val="22"/>
          <w:szCs w:val="22"/>
        </w:rPr>
        <w:t xml:space="preserve">Montenegro towards universal and meaningful connectivity and aligns with European Union targets. </w:t>
      </w:r>
    </w:p>
    <w:p w14:paraId="3CB90F51" w14:textId="77777777" w:rsidR="00B727CE" w:rsidRPr="00215418" w:rsidRDefault="00B727CE" w:rsidP="000C3666">
      <w:pPr>
        <w:pStyle w:val="Section"/>
      </w:pPr>
      <w:bookmarkStart w:id="27" w:name="_Toc188001401"/>
      <w:r w:rsidRPr="00215418">
        <w:t>Driving sustainable rural digital transformation in Albania</w:t>
      </w:r>
      <w:bookmarkEnd w:id="27"/>
    </w:p>
    <w:p w14:paraId="228D6853" w14:textId="77777777" w:rsidR="00B727CE" w:rsidRPr="00215418" w:rsidRDefault="00B727CE" w:rsidP="00434C39">
      <w:pPr>
        <w:rPr>
          <w:rFonts w:ascii="Aptos" w:eastAsia="Roboto" w:hAnsi="Aptos"/>
          <w:sz w:val="22"/>
          <w:szCs w:val="22"/>
        </w:rPr>
      </w:pPr>
      <w:r w:rsidRPr="00215418">
        <w:rPr>
          <w:rFonts w:ascii="Aptos" w:eastAsia="Roboto" w:hAnsi="Aptos"/>
          <w:sz w:val="22"/>
          <w:szCs w:val="22"/>
        </w:rPr>
        <w:t>Agriculture is a cornerstone of the Albanian economy; more than 40% of the population lives in rural areas, and nearly half the jobs rely directly or indirectly on the country’s agricultural and food system.</w:t>
      </w:r>
    </w:p>
    <w:p w14:paraId="25E80016" w14:textId="5057C7F4" w:rsidR="00B727CE" w:rsidRPr="00215418" w:rsidRDefault="00B727CE" w:rsidP="00434C39">
      <w:pPr>
        <w:rPr>
          <w:rFonts w:ascii="Aptos" w:eastAsia="Roboto" w:hAnsi="Aptos"/>
          <w:sz w:val="22"/>
          <w:szCs w:val="22"/>
        </w:rPr>
      </w:pPr>
      <w:r w:rsidRPr="00215418">
        <w:rPr>
          <w:rFonts w:ascii="Aptos" w:eastAsia="Roboto" w:hAnsi="Aptos"/>
          <w:sz w:val="22"/>
          <w:szCs w:val="22"/>
        </w:rPr>
        <w:t>Digital Agriculture and Rural Transformation</w:t>
      </w:r>
      <w:r w:rsidR="00F6155D" w:rsidRPr="00215418">
        <w:rPr>
          <w:rFonts w:ascii="Aptos" w:eastAsia="Roboto" w:hAnsi="Aptos"/>
          <w:sz w:val="22"/>
          <w:szCs w:val="22"/>
        </w:rPr>
        <w:t xml:space="preserve"> </w:t>
      </w:r>
      <w:r w:rsidRPr="00215418">
        <w:rPr>
          <w:rFonts w:ascii="Aptos" w:eastAsia="Roboto" w:hAnsi="Aptos"/>
          <w:sz w:val="22"/>
          <w:szCs w:val="22"/>
        </w:rPr>
        <w:t>(DART) is a groundbreaking joint programme leveraging digitalization to advance Albania’s sustainability goals with interventions targeted at smallholder farmers.</w:t>
      </w:r>
    </w:p>
    <w:p w14:paraId="50580DDA" w14:textId="1F68AAA8" w:rsidR="00B727CE" w:rsidRPr="00215418" w:rsidRDefault="00437D71" w:rsidP="00434C39">
      <w:pPr>
        <w:rPr>
          <w:rFonts w:ascii="Aptos" w:eastAsia="Roboto" w:hAnsi="Aptos"/>
          <w:sz w:val="22"/>
          <w:szCs w:val="22"/>
        </w:rPr>
      </w:pPr>
      <w:r w:rsidRPr="00215418">
        <w:rPr>
          <w:rFonts w:ascii="Aptos" w:eastAsia="Roboto" w:hAnsi="Aptos"/>
          <w:sz w:val="22"/>
          <w:szCs w:val="22"/>
        </w:rPr>
        <w:t xml:space="preserve">With funding from </w:t>
      </w:r>
      <w:r w:rsidR="00B727CE" w:rsidRPr="00215418">
        <w:rPr>
          <w:rFonts w:ascii="Aptos" w:eastAsia="Roboto" w:hAnsi="Aptos"/>
          <w:sz w:val="22"/>
          <w:szCs w:val="22"/>
        </w:rPr>
        <w:t>the Digital Transformation Window of the Joint Sustainable Development Goals Fund, ITU’s Telecommunication Development Bureau is supporting the initiative along with the Food and Agriculture Organization (the lead agency); the United Nations’ Resident Coordinator’s Office for Albania; the International Labour Organization; and Albania’s ministries of Agriculture and Rural Development, Infrastructure and Energy, and Finance and Economy.</w:t>
      </w:r>
    </w:p>
    <w:p w14:paraId="3DFF261E" w14:textId="77777777" w:rsidR="00434C39" w:rsidRPr="00215418" w:rsidRDefault="00B727CE" w:rsidP="00434C39">
      <w:pPr>
        <w:rPr>
          <w:rFonts w:ascii="Aptos" w:eastAsia="Roboto" w:hAnsi="Aptos"/>
          <w:sz w:val="22"/>
          <w:szCs w:val="22"/>
        </w:rPr>
      </w:pPr>
      <w:r w:rsidRPr="00215418">
        <w:rPr>
          <w:rFonts w:ascii="Aptos" w:eastAsia="Roboto" w:hAnsi="Aptos"/>
          <w:sz w:val="22"/>
          <w:szCs w:val="22"/>
        </w:rPr>
        <w:t xml:space="preserve">The initiative is developing a national digital agriculture strategy and action plan aligned with the European Union’s legal framework, improving the delivery of digital public services, and developing digital capacities among small-scale farmers, students, technical, vocational and educational training schools and centres, and public sector employees. </w:t>
      </w:r>
    </w:p>
    <w:p w14:paraId="5D18576F" w14:textId="48FA1B89" w:rsidR="00B727CE" w:rsidRPr="00215418" w:rsidRDefault="00B727CE" w:rsidP="00434C39">
      <w:pPr>
        <w:rPr>
          <w:rFonts w:ascii="Aptos" w:eastAsia="Roboto" w:hAnsi="Aptos"/>
          <w:sz w:val="22"/>
          <w:szCs w:val="22"/>
        </w:rPr>
      </w:pPr>
      <w:r w:rsidRPr="00215418">
        <w:rPr>
          <w:rFonts w:ascii="Aptos" w:eastAsia="Roboto" w:hAnsi="Aptos"/>
          <w:sz w:val="22"/>
          <w:szCs w:val="22"/>
        </w:rPr>
        <w:t>By bridging the gap between vision and impact, Albania's agricultural sector is moving toward a digital sustainable future while contributing to the Sustainable Development Goals.</w:t>
      </w:r>
    </w:p>
    <w:p w14:paraId="509F1FE0" w14:textId="77777777" w:rsidR="00B727CE" w:rsidRPr="00215418" w:rsidRDefault="00B727CE" w:rsidP="000C3666">
      <w:pPr>
        <w:pStyle w:val="Section"/>
      </w:pPr>
      <w:bookmarkStart w:id="28" w:name="_Toc188001402"/>
      <w:r w:rsidRPr="00215418">
        <w:t>CyberDrills in Bulgaria and Cyprus enhance cybersecurity readiness in countries and across regions</w:t>
      </w:r>
      <w:bookmarkEnd w:id="28"/>
    </w:p>
    <w:p w14:paraId="0396AE85" w14:textId="77777777" w:rsidR="00B727CE" w:rsidRPr="00215418" w:rsidRDefault="00B727CE" w:rsidP="00434C39">
      <w:pPr>
        <w:rPr>
          <w:rFonts w:ascii="Aptos" w:hAnsi="Aptos" w:cs="Calibri"/>
          <w:sz w:val="22"/>
          <w:szCs w:val="22"/>
        </w:rPr>
      </w:pPr>
      <w:r w:rsidRPr="00215418">
        <w:rPr>
          <w:rFonts w:ascii="Aptos" w:hAnsi="Aptos" w:cs="Calibri"/>
          <w:sz w:val="22"/>
          <w:szCs w:val="22"/>
        </w:rPr>
        <w:t>Two recent CyberDrill events drew participants from multiple countries, helping bolster their capacity to respond to cyberattacks and other disruptions, and protect themselves from cyber threats.</w:t>
      </w:r>
    </w:p>
    <w:p w14:paraId="46B1C523" w14:textId="77777777" w:rsidR="00B727CE" w:rsidRPr="00215418" w:rsidRDefault="00B727CE" w:rsidP="00434C39">
      <w:pPr>
        <w:rPr>
          <w:rFonts w:ascii="Aptos" w:hAnsi="Aptos" w:cs="Calibri"/>
          <w:sz w:val="22"/>
          <w:szCs w:val="22"/>
        </w:rPr>
      </w:pPr>
      <w:r w:rsidRPr="00215418">
        <w:rPr>
          <w:rFonts w:ascii="Aptos" w:hAnsi="Aptos" w:cs="Calibri"/>
          <w:sz w:val="22"/>
          <w:szCs w:val="22"/>
        </w:rPr>
        <w:t xml:space="preserve">The </w:t>
      </w:r>
      <w:hyperlink r:id="rId131" w:history="1">
        <w:r w:rsidRPr="00215418">
          <w:rPr>
            <w:rStyle w:val="Hyperlink"/>
            <w:rFonts w:ascii="Aptos" w:hAnsi="Aptos" w:cs="Calibri"/>
            <w:sz w:val="22"/>
            <w:szCs w:val="22"/>
          </w:rPr>
          <w:t>ITU Cybersecurity Forum and CyberDrill for Europe and Mediterranean</w:t>
        </w:r>
      </w:hyperlink>
      <w:r w:rsidRPr="00215418">
        <w:rPr>
          <w:rFonts w:ascii="Aptos" w:hAnsi="Aptos" w:cs="Calibri"/>
          <w:sz w:val="22"/>
          <w:szCs w:val="22"/>
        </w:rPr>
        <w:t xml:space="preserve"> – held in Sofia, Bulgaria – brought together representatives from 19 countries, as well as experts from the Forum of Incident Response and Security Teams, Europol, the World Bank and the European Union Agency for Cybersecurity.</w:t>
      </w:r>
    </w:p>
    <w:p w14:paraId="2CE4989F" w14:textId="77777777" w:rsidR="00B727CE" w:rsidRPr="00215418" w:rsidRDefault="00B727CE" w:rsidP="00434C39">
      <w:pPr>
        <w:rPr>
          <w:rFonts w:ascii="Aptos" w:hAnsi="Aptos" w:cs="Calibri"/>
          <w:sz w:val="22"/>
          <w:szCs w:val="22"/>
        </w:rPr>
      </w:pPr>
      <w:r w:rsidRPr="00215418">
        <w:rPr>
          <w:rFonts w:ascii="Aptos" w:hAnsi="Aptos" w:cs="Calibri"/>
          <w:sz w:val="22"/>
          <w:szCs w:val="22"/>
        </w:rPr>
        <w:t>The event fostered a comprehensive dialog on cybersecurity among participants from government agencies, national cyber emergency response teams, private sector companies, academia, and international organizations.</w:t>
      </w:r>
    </w:p>
    <w:p w14:paraId="58BFDB7C" w14:textId="77777777" w:rsidR="00B727CE" w:rsidRPr="00215418" w:rsidRDefault="00B727CE" w:rsidP="00434C39">
      <w:pPr>
        <w:rPr>
          <w:rFonts w:ascii="Aptos" w:hAnsi="Aptos" w:cs="Calibri"/>
          <w:sz w:val="22"/>
          <w:szCs w:val="22"/>
        </w:rPr>
      </w:pPr>
      <w:r w:rsidRPr="00215418">
        <w:rPr>
          <w:rFonts w:ascii="Aptos" w:hAnsi="Aptos" w:cs="Calibri"/>
          <w:sz w:val="22"/>
          <w:szCs w:val="22"/>
        </w:rPr>
        <w:t xml:space="preserve">In Cyprus, the 2023 </w:t>
      </w:r>
      <w:hyperlink r:id="rId132" w:history="1">
        <w:r w:rsidRPr="00215418">
          <w:rPr>
            <w:rStyle w:val="Hyperlink"/>
            <w:rFonts w:ascii="Aptos" w:hAnsi="Aptos" w:cs="Calibri"/>
            <w:sz w:val="22"/>
            <w:szCs w:val="22"/>
          </w:rPr>
          <w:t>Interregional CyberDrill for Europe and Asia-Pacific</w:t>
        </w:r>
      </w:hyperlink>
      <w:r w:rsidRPr="00215418">
        <w:rPr>
          <w:rFonts w:ascii="Aptos" w:hAnsi="Aptos" w:cs="Calibri"/>
          <w:sz w:val="22"/>
          <w:szCs w:val="22"/>
        </w:rPr>
        <w:t xml:space="preserve"> also promoted collaboration for a more secure digital future.</w:t>
      </w:r>
    </w:p>
    <w:p w14:paraId="53540813" w14:textId="77777777" w:rsidR="00B727CE" w:rsidRPr="00215418" w:rsidRDefault="00B727CE" w:rsidP="00434C39">
      <w:pPr>
        <w:rPr>
          <w:rFonts w:ascii="Aptos" w:hAnsi="Aptos" w:cs="Calibri"/>
          <w:sz w:val="22"/>
          <w:szCs w:val="22"/>
        </w:rPr>
      </w:pPr>
      <w:r w:rsidRPr="00215418">
        <w:rPr>
          <w:rFonts w:ascii="Aptos" w:hAnsi="Aptos" w:cs="Calibri"/>
          <w:sz w:val="22"/>
          <w:szCs w:val="22"/>
        </w:rPr>
        <w:t>Hosted by the country’s Digital Security Authority, the event tested organizations’ cyber capabilities by running simulations of cyber-attacks, information-security incidents, and other disruptions.</w:t>
      </w:r>
    </w:p>
    <w:p w14:paraId="59C6AD8C" w14:textId="77777777" w:rsidR="00B727CE" w:rsidRPr="00215418" w:rsidRDefault="00B727CE" w:rsidP="00434C39">
      <w:pPr>
        <w:rPr>
          <w:rFonts w:ascii="Aptos" w:hAnsi="Aptos" w:cs="Calibri"/>
          <w:sz w:val="22"/>
          <w:szCs w:val="22"/>
        </w:rPr>
      </w:pPr>
      <w:r w:rsidRPr="00215418">
        <w:rPr>
          <w:rFonts w:ascii="Aptos" w:hAnsi="Aptos" w:cs="Calibri"/>
          <w:sz w:val="22"/>
          <w:szCs w:val="22"/>
        </w:rPr>
        <w:t>Experts from across Europe and Asia-Pacific highlighted common experiences in combating escalating cyber threats, as well as region-specific challenges and approaches. Case studies provided actionable strategies, while discussions with key stakeholders offered diverse perspectives on fostering cooperation within regions and across borders.</w:t>
      </w:r>
    </w:p>
    <w:p w14:paraId="3BCE249C" w14:textId="77777777" w:rsidR="00B727CE" w:rsidRPr="00215418" w:rsidRDefault="00B727CE" w:rsidP="000C3666">
      <w:pPr>
        <w:pStyle w:val="Section"/>
      </w:pPr>
      <w:bookmarkStart w:id="29" w:name="_Toc188001403"/>
      <w:r w:rsidRPr="00215418">
        <w:lastRenderedPageBreak/>
        <w:t>Supporting broadband mapping systems in Albania, Bosnia and Herzegovina, and Moldova</w:t>
      </w:r>
      <w:bookmarkEnd w:id="29"/>
      <w:r w:rsidRPr="00215418">
        <w:t xml:space="preserve"> </w:t>
      </w:r>
    </w:p>
    <w:p w14:paraId="6E5F5434" w14:textId="77777777" w:rsidR="00B727CE" w:rsidRPr="00215418" w:rsidRDefault="00B727CE" w:rsidP="00434C39">
      <w:pPr>
        <w:rPr>
          <w:rFonts w:ascii="Aptos" w:hAnsi="Aptos" w:cs="Calibri"/>
          <w:sz w:val="22"/>
          <w:szCs w:val="22"/>
        </w:rPr>
      </w:pPr>
      <w:r w:rsidRPr="00215418">
        <w:rPr>
          <w:rFonts w:ascii="Aptos" w:hAnsi="Aptos" w:cs="Calibri"/>
          <w:sz w:val="22"/>
          <w:szCs w:val="22"/>
        </w:rPr>
        <w:t xml:space="preserve">Technical assistance has been provided in broadband mapping systems in Albania, Bosnia and Herzegovina, and Moldova, and in building regional collaboration through two regulators’ networks: </w:t>
      </w:r>
      <w:hyperlink r:id="rId133" w:history="1">
        <w:r w:rsidRPr="00215418">
          <w:rPr>
            <w:rStyle w:val="Hyperlink"/>
            <w:rFonts w:ascii="Aptos" w:hAnsi="Aptos" w:cs="Calibri"/>
            <w:sz w:val="22"/>
            <w:szCs w:val="22"/>
          </w:rPr>
          <w:t>the European Mediterranean Regulators Group (EMERG) and the Eastern Partnership Electronic Communications Regulators Network (EaPeReg)</w:t>
        </w:r>
      </w:hyperlink>
      <w:r w:rsidRPr="00215418">
        <w:rPr>
          <w:rFonts w:ascii="Aptos" w:hAnsi="Aptos" w:cs="Calibri"/>
          <w:sz w:val="22"/>
          <w:szCs w:val="22"/>
        </w:rPr>
        <w:t>.</w:t>
      </w:r>
    </w:p>
    <w:p w14:paraId="3B445892" w14:textId="77777777" w:rsidR="00B727CE" w:rsidRPr="00215418" w:rsidRDefault="00B727CE" w:rsidP="00434C39">
      <w:pPr>
        <w:rPr>
          <w:rFonts w:ascii="Aptos" w:hAnsi="Aptos" w:cs="Calibri"/>
          <w:sz w:val="22"/>
          <w:szCs w:val="22"/>
        </w:rPr>
      </w:pPr>
      <w:r w:rsidRPr="00215418">
        <w:rPr>
          <w:rFonts w:ascii="Aptos" w:hAnsi="Aptos" w:cs="Calibri"/>
          <w:sz w:val="22"/>
          <w:szCs w:val="22"/>
        </w:rPr>
        <w:t>In Bosnia and Herzegovina support was given in tailored policy recommendations to enhance the enabling environment for broadband mapping, while in Albania and Moldova, assistance was provided for dedicated technical specifications for the development of broadband mapping systems.</w:t>
      </w:r>
    </w:p>
    <w:p w14:paraId="4806AB4F" w14:textId="77777777" w:rsidR="00B727CE" w:rsidRPr="00215418" w:rsidRDefault="00B727CE" w:rsidP="00434C39">
      <w:pPr>
        <w:rPr>
          <w:rFonts w:ascii="Aptos" w:hAnsi="Aptos" w:cs="Calibri"/>
          <w:sz w:val="22"/>
          <w:szCs w:val="22"/>
        </w:rPr>
      </w:pPr>
      <w:r w:rsidRPr="00215418">
        <w:rPr>
          <w:rFonts w:ascii="Aptos" w:hAnsi="Aptos" w:cs="Calibri"/>
          <w:sz w:val="22"/>
          <w:szCs w:val="22"/>
        </w:rPr>
        <w:t>Over 2023-24, a series of six joint workshops were delivered in coordination with EMERG and EaPeReg to exchange best practices and address challenges related to broadband infrastructure and emerging technologies. The workshops yielded a compendium of 18 case studies that showcased broadband mapping systems and experiences in numerous countries; these case studies serve as a resource for global best practices.</w:t>
      </w:r>
    </w:p>
    <w:p w14:paraId="4B8D96EC" w14:textId="2F1D8D35" w:rsidR="00E03647" w:rsidRPr="00215418" w:rsidRDefault="00B727CE" w:rsidP="00434C39">
      <w:pPr>
        <w:rPr>
          <w:rFonts w:ascii="Aptos" w:hAnsi="Aptos" w:cs="Calibri"/>
          <w:sz w:val="22"/>
          <w:szCs w:val="22"/>
        </w:rPr>
      </w:pPr>
      <w:r w:rsidRPr="00215418">
        <w:rPr>
          <w:rFonts w:ascii="Aptos" w:hAnsi="Aptos" w:cs="Calibri"/>
          <w:sz w:val="22"/>
          <w:szCs w:val="22"/>
        </w:rPr>
        <w:t xml:space="preserve">ITU support has also included: a policy paper that </w:t>
      </w:r>
      <w:r w:rsidR="00731615" w:rsidRPr="00215418">
        <w:rPr>
          <w:rFonts w:ascii="Aptos" w:hAnsi="Aptos" w:cs="Calibri"/>
          <w:sz w:val="22"/>
          <w:szCs w:val="22"/>
        </w:rPr>
        <w:t>analyses</w:t>
      </w:r>
      <w:r w:rsidRPr="00215418">
        <w:rPr>
          <w:rFonts w:ascii="Aptos" w:hAnsi="Aptos" w:cs="Calibri"/>
          <w:sz w:val="22"/>
          <w:szCs w:val="22"/>
        </w:rPr>
        <w:t xml:space="preserve"> the regulatory environment in Bosnia and Herzegovina with recommendations for a functional broadband mapping system; and reports outlining the technical requirements for implementing broadband mapping systems in each of the three countries.</w:t>
      </w:r>
      <w:r w:rsidR="00E03647" w:rsidRPr="00215418">
        <w:rPr>
          <w:rFonts w:ascii="Aptos" w:eastAsia="Yu Gothic Light" w:hAnsi="Aptos"/>
          <w:color w:val="0F4761"/>
          <w:kern w:val="2"/>
          <w:sz w:val="22"/>
          <w:szCs w:val="22"/>
          <w14:ligatures w14:val="standardContextual"/>
        </w:rPr>
        <w:br w:type="page"/>
      </w:r>
    </w:p>
    <w:p w14:paraId="3EEF5D22" w14:textId="6C155758" w:rsidR="006C41B5" w:rsidRPr="00215418" w:rsidRDefault="006C41B5" w:rsidP="000C3666">
      <w:pPr>
        <w:pStyle w:val="Parttitle0"/>
      </w:pPr>
      <w:bookmarkStart w:id="30" w:name="_Toc188001404"/>
      <w:r w:rsidRPr="00215418">
        <w:lastRenderedPageBreak/>
        <w:t>Annex</w:t>
      </w:r>
      <w:r w:rsidR="00DC4955" w:rsidRPr="00215418">
        <w:t>:</w:t>
      </w:r>
      <w:r w:rsidRPr="00215418">
        <w:t xml:space="preserve"> Data resources</w:t>
      </w:r>
      <w:bookmarkEnd w:id="30"/>
      <w:r w:rsidRPr="00215418">
        <w:t xml:space="preserve"> </w:t>
      </w:r>
    </w:p>
    <w:p w14:paraId="68ABB30D" w14:textId="1DEFA449" w:rsidR="009F1CDD" w:rsidRPr="00215418" w:rsidRDefault="009F1CDD" w:rsidP="009F1CDD">
      <w:pPr>
        <w:autoSpaceDE/>
        <w:autoSpaceDN/>
        <w:adjustRightInd/>
        <w:spacing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To save space, ensure up-to-date information, and enhance readability, all data presented in this </w:t>
      </w:r>
      <w:r w:rsidR="00202F61" w:rsidRPr="00215418">
        <w:rPr>
          <w:rFonts w:ascii="Aptos" w:eastAsia="Aptos" w:hAnsi="Aptos" w:cs="Arial"/>
          <w:kern w:val="2"/>
          <w:sz w:val="22"/>
          <w:szCs w:val="22"/>
          <w14:ligatures w14:val="standardContextual"/>
        </w:rPr>
        <w:t>document</w:t>
      </w:r>
      <w:r w:rsidRPr="00215418">
        <w:rPr>
          <w:rFonts w:ascii="Aptos" w:eastAsia="Aptos" w:hAnsi="Aptos" w:cs="Arial"/>
          <w:kern w:val="2"/>
          <w:sz w:val="22"/>
          <w:szCs w:val="22"/>
          <w14:ligatures w14:val="standardContextual"/>
        </w:rPr>
        <w:t xml:space="preserve"> are available for download as Excel files:</w:t>
      </w:r>
    </w:p>
    <w:p w14:paraId="70782731" w14:textId="77777777" w:rsidR="005430F0" w:rsidRPr="00215418" w:rsidRDefault="005430F0" w:rsidP="003F2687">
      <w:pPr>
        <w:pStyle w:val="ListParagraph"/>
        <w:numPr>
          <w:ilvl w:val="0"/>
          <w:numId w:val="27"/>
        </w:numPr>
        <w:rPr>
          <w:rFonts w:ascii="Aptos" w:hAnsi="Aptos"/>
          <w:sz w:val="22"/>
          <w:szCs w:val="22"/>
        </w:rPr>
      </w:pPr>
      <w:hyperlink r:id="rId134" w:history="1">
        <w:r w:rsidRPr="00215418">
          <w:rPr>
            <w:rStyle w:val="Hyperlink"/>
            <w:rFonts w:ascii="Aptos" w:hAnsi="Aptos"/>
            <w:sz w:val="22"/>
            <w:szCs w:val="22"/>
          </w:rPr>
          <w:t>Country-level data</w:t>
        </w:r>
      </w:hyperlink>
      <w:r w:rsidRPr="00215418">
        <w:rPr>
          <w:rFonts w:ascii="Aptos" w:hAnsi="Aptos"/>
          <w:sz w:val="22"/>
          <w:szCs w:val="22"/>
        </w:rPr>
        <w:t xml:space="preserve"> organized by tabs corresponding to the sections of this </w:t>
      </w:r>
      <w:r w:rsidR="00202F61" w:rsidRPr="00215418">
        <w:rPr>
          <w:rFonts w:ascii="Aptos" w:hAnsi="Aptos"/>
          <w:sz w:val="22"/>
          <w:szCs w:val="22"/>
        </w:rPr>
        <w:t>document</w:t>
      </w:r>
      <w:r w:rsidRPr="00215418">
        <w:rPr>
          <w:rFonts w:ascii="Aptos" w:hAnsi="Aptos"/>
          <w:sz w:val="22"/>
          <w:szCs w:val="22"/>
        </w:rPr>
        <w:t xml:space="preserve"> (URL: </w:t>
      </w:r>
      <w:hyperlink r:id="rId135" w:history="1">
        <w:r w:rsidR="00E415AE" w:rsidRPr="00215418">
          <w:rPr>
            <w:rStyle w:val="Hyperlink"/>
            <w:rFonts w:ascii="Aptos" w:eastAsia="Aptos" w:hAnsi="Aptos"/>
            <w:sz w:val="22"/>
            <w:szCs w:val="22"/>
          </w:rPr>
          <w:t>https://www.itu.int/en/ITU-D/Statistics/Documents/facts/rpm_eur_pub_2025_data.xlsx</w:t>
        </w:r>
      </w:hyperlink>
      <w:r w:rsidR="00326380" w:rsidRPr="00215418">
        <w:rPr>
          <w:rFonts w:ascii="Aptos" w:hAnsi="Aptos"/>
          <w:sz w:val="22"/>
          <w:szCs w:val="22"/>
        </w:rPr>
        <w:t>).</w:t>
      </w:r>
      <w:r w:rsidRPr="00215418">
        <w:rPr>
          <w:rFonts w:ascii="Aptos" w:hAnsi="Aptos"/>
          <w:sz w:val="22"/>
          <w:szCs w:val="22"/>
        </w:rPr>
        <w:t xml:space="preserve"> Country level data were extracted from the </w:t>
      </w:r>
      <w:hyperlink r:id="rId136" w:history="1">
        <w:r w:rsidRPr="00215418">
          <w:rPr>
            <w:rStyle w:val="Hyperlink"/>
            <w:rFonts w:ascii="Aptos" w:hAnsi="Aptos"/>
            <w:sz w:val="22"/>
            <w:szCs w:val="22"/>
          </w:rPr>
          <w:t>ITU DataHub</w:t>
        </w:r>
      </w:hyperlink>
      <w:r w:rsidRPr="00215418">
        <w:rPr>
          <w:rFonts w:ascii="Aptos" w:hAnsi="Aptos"/>
          <w:sz w:val="22"/>
          <w:szCs w:val="22"/>
        </w:rPr>
        <w:t xml:space="preserve">, reflecting the </w:t>
      </w:r>
      <w:r w:rsidR="00ED6F1D" w:rsidRPr="00215418">
        <w:rPr>
          <w:rFonts w:ascii="Aptos" w:hAnsi="Aptos"/>
          <w:sz w:val="22"/>
          <w:szCs w:val="22"/>
        </w:rPr>
        <w:t>February</w:t>
      </w:r>
      <w:r w:rsidRPr="00215418">
        <w:rPr>
          <w:rFonts w:ascii="Aptos" w:hAnsi="Aptos"/>
          <w:sz w:val="22"/>
          <w:szCs w:val="22"/>
        </w:rPr>
        <w:t xml:space="preserve"> 2025 data release.</w:t>
      </w:r>
    </w:p>
    <w:p w14:paraId="4C847F8E" w14:textId="4D1F146B" w:rsidR="005430F0" w:rsidRPr="00215418" w:rsidRDefault="005430F0" w:rsidP="003F2687">
      <w:pPr>
        <w:pStyle w:val="ListParagraph"/>
        <w:numPr>
          <w:ilvl w:val="0"/>
          <w:numId w:val="27"/>
        </w:numPr>
        <w:rPr>
          <w:rFonts w:ascii="Aptos" w:hAnsi="Aptos"/>
          <w:sz w:val="22"/>
          <w:szCs w:val="22"/>
        </w:rPr>
      </w:pPr>
      <w:hyperlink r:id="rId137" w:history="1">
        <w:r w:rsidRPr="00215418">
          <w:rPr>
            <w:rStyle w:val="Hyperlink"/>
            <w:rFonts w:ascii="Aptos" w:hAnsi="Aptos"/>
            <w:sz w:val="22"/>
            <w:szCs w:val="22"/>
          </w:rPr>
          <w:t>Regional and global estimates</w:t>
        </w:r>
      </w:hyperlink>
      <w:r w:rsidRPr="00215418">
        <w:rPr>
          <w:rFonts w:ascii="Aptos" w:hAnsi="Aptos"/>
          <w:sz w:val="22"/>
          <w:szCs w:val="22"/>
        </w:rPr>
        <w:t xml:space="preserve">, as compiled for </w:t>
      </w:r>
      <w:hyperlink r:id="rId138" w:history="1">
        <w:r w:rsidRPr="00215418">
          <w:rPr>
            <w:rStyle w:val="Hyperlink"/>
            <w:rFonts w:ascii="Aptos" w:hAnsi="Aptos"/>
            <w:sz w:val="22"/>
            <w:szCs w:val="22"/>
          </w:rPr>
          <w:t>Facts and Figures 2024</w:t>
        </w:r>
      </w:hyperlink>
      <w:r w:rsidR="00065473" w:rsidRPr="00215418">
        <w:t xml:space="preserve"> </w:t>
      </w:r>
      <w:r w:rsidRPr="00215418">
        <w:rPr>
          <w:rFonts w:ascii="Aptos" w:hAnsi="Aptos"/>
          <w:sz w:val="22"/>
          <w:szCs w:val="22"/>
        </w:rPr>
        <w:t>(URL:</w:t>
      </w:r>
      <w:r w:rsidR="003F2687" w:rsidRPr="00215418">
        <w:rPr>
          <w:rFonts w:ascii="Aptos" w:hAnsi="Aptos"/>
          <w:sz w:val="22"/>
          <w:szCs w:val="22"/>
        </w:rPr>
        <w:t xml:space="preserve"> </w:t>
      </w:r>
      <w:hyperlink r:id="rId139" w:history="1">
        <w:r w:rsidR="005F3B5E">
          <w:rPr>
            <w:rStyle w:val="Hyperlink"/>
            <w:rFonts w:ascii="Aptos" w:hAnsi="Aptos"/>
            <w:sz w:val="22"/>
            <w:szCs w:val="22"/>
          </w:rPr>
          <w:t>https://www.itu.int/en/ITU-D/Statistics/Documents/facts/ITU_regional_global_Key_ICT_indicator_aggregates_Nov_2024.xlsx</w:t>
        </w:r>
      </w:hyperlink>
      <w:r w:rsidRPr="00215418">
        <w:rPr>
          <w:rFonts w:ascii="Aptos" w:hAnsi="Aptos"/>
          <w:sz w:val="22"/>
          <w:szCs w:val="22"/>
        </w:rPr>
        <w:t>).</w:t>
      </w:r>
    </w:p>
    <w:p w14:paraId="5B29B2A3" w14:textId="7A9EE682" w:rsidR="00923CF1" w:rsidRPr="00215418" w:rsidRDefault="00CD43E6" w:rsidP="00CD43E6">
      <w:pPr>
        <w:tabs>
          <w:tab w:val="clear" w:pos="794"/>
          <w:tab w:val="clear" w:pos="1191"/>
          <w:tab w:val="clear" w:pos="1588"/>
          <w:tab w:val="clear" w:pos="1985"/>
        </w:tabs>
        <w:overflowPunct/>
        <w:autoSpaceDE/>
        <w:autoSpaceDN/>
        <w:adjustRightInd/>
        <w:spacing w:after="120"/>
        <w:jc w:val="center"/>
        <w:textAlignment w:val="auto"/>
        <w:rPr>
          <w:rFonts w:ascii="Aptos" w:hAnsi="Aptos"/>
          <w:sz w:val="22"/>
          <w:szCs w:val="22"/>
        </w:rPr>
      </w:pPr>
      <w:r w:rsidRPr="00215418">
        <w:rPr>
          <w:rFonts w:ascii="Aptos" w:hAnsi="Aptos"/>
          <w:sz w:val="22"/>
          <w:szCs w:val="22"/>
        </w:rPr>
        <w:t>________________</w:t>
      </w:r>
    </w:p>
    <w:sectPr w:rsidR="00923CF1" w:rsidRPr="00215418" w:rsidSect="008C7A35">
      <w:headerReference w:type="even" r:id="rId140"/>
      <w:headerReference w:type="default" r:id="rId141"/>
      <w:footerReference w:type="even" r:id="rId142"/>
      <w:footerReference w:type="default" r:id="rId143"/>
      <w:headerReference w:type="first" r:id="rId144"/>
      <w:footerReference w:type="first" r:id="rId145"/>
      <w:pgSz w:w="11907" w:h="16834" w:code="9"/>
      <w:pgMar w:top="1418" w:right="1134" w:bottom="1418" w:left="1134" w:header="720" w:footer="720"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A4982A" w14:textId="77777777" w:rsidR="00FA7139" w:rsidRDefault="00FA7139">
      <w:r>
        <w:separator/>
      </w:r>
    </w:p>
    <w:p w14:paraId="146E49B2" w14:textId="77777777" w:rsidR="00FA7139" w:rsidRDefault="00FA7139"/>
  </w:endnote>
  <w:endnote w:type="continuationSeparator" w:id="0">
    <w:p w14:paraId="3CA0F8D2" w14:textId="77777777" w:rsidR="00FA7139" w:rsidRDefault="00FA7139">
      <w:r>
        <w:continuationSeparator/>
      </w:r>
    </w:p>
    <w:p w14:paraId="06767093" w14:textId="77777777" w:rsidR="00FA7139" w:rsidRDefault="00FA7139"/>
  </w:endnote>
  <w:endnote w:type="continuationNotice" w:id="1">
    <w:p w14:paraId="346ED062" w14:textId="77777777" w:rsidR="00FA7139" w:rsidRDefault="00FA7139">
      <w:pPr>
        <w:spacing w:before="0"/>
      </w:pPr>
    </w:p>
    <w:p w14:paraId="1A3D07AF" w14:textId="77777777" w:rsidR="00FA7139" w:rsidRDefault="00FA71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 w:name="Avenir Next W1G">
    <w:altName w:val="Calibri"/>
    <w:panose1 w:val="00000000000000000000"/>
    <w:charset w:val="00"/>
    <w:family w:val="swiss"/>
    <w:notTrueType/>
    <w:pitch w:val="variable"/>
    <w:sig w:usb0="A00002EF" w:usb1="00000003"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AvenirNext LT Pro Light">
    <w:altName w:val="Calibri"/>
    <w:panose1 w:val="00000000000000000000"/>
    <w:charset w:val="4D"/>
    <w:family w:val="swiss"/>
    <w:notTrueType/>
    <w:pitch w:val="variable"/>
    <w:sig w:usb0="A00000AF" w:usb1="5000204B"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AvenirNext LT Pro Medium">
    <w:altName w:val="Calibri"/>
    <w:charset w:val="4D"/>
    <w:family w:val="swiss"/>
    <w:pitch w:val="variable"/>
    <w:sig w:usb0="800000AF" w:usb1="5000204A" w:usb2="00000000" w:usb3="00000000" w:csb0="00000093" w:csb1="00000000"/>
  </w:font>
  <w:font w:name="Arial Unicode MS">
    <w:panose1 w:val="020B06040202020202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35D9C" w14:textId="77777777" w:rsidR="008A596B" w:rsidRDefault="008A59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41C41" w14:textId="77777777" w:rsidR="008A596B" w:rsidRDefault="008A59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23" w:type="dxa"/>
      <w:tblLayout w:type="fixed"/>
      <w:tblLook w:val="04A0" w:firstRow="1" w:lastRow="0" w:firstColumn="1" w:lastColumn="0" w:noHBand="0" w:noVBand="1"/>
    </w:tblPr>
    <w:tblGrid>
      <w:gridCol w:w="1526"/>
      <w:gridCol w:w="2410"/>
      <w:gridCol w:w="5987"/>
    </w:tblGrid>
    <w:tr w:rsidR="00EA2854" w:rsidRPr="004D495C" w14:paraId="695D1810" w14:textId="77777777" w:rsidTr="00F44F26">
      <w:tc>
        <w:tcPr>
          <w:tcW w:w="1526" w:type="dxa"/>
          <w:tcBorders>
            <w:top w:val="single" w:sz="4" w:space="0" w:color="000000"/>
          </w:tcBorders>
          <w:shd w:val="clear" w:color="auto" w:fill="auto"/>
        </w:tcPr>
        <w:p w14:paraId="746E5A61" w14:textId="4D568A12" w:rsidR="00EA2854" w:rsidRPr="004D495C" w:rsidRDefault="00EA2854" w:rsidP="00EA2854">
          <w:pPr>
            <w:pStyle w:val="FirstFooter"/>
            <w:tabs>
              <w:tab w:val="left" w:pos="1559"/>
              <w:tab w:val="left" w:pos="3828"/>
            </w:tabs>
            <w:rPr>
              <w:sz w:val="18"/>
              <w:szCs w:val="18"/>
            </w:rPr>
          </w:pPr>
          <w:r w:rsidRPr="004D495C">
            <w:rPr>
              <w:sz w:val="18"/>
              <w:szCs w:val="18"/>
              <w:lang w:val="en-US"/>
            </w:rPr>
            <w:t>Contact:</w:t>
          </w:r>
        </w:p>
      </w:tc>
      <w:tc>
        <w:tcPr>
          <w:tcW w:w="2410" w:type="dxa"/>
          <w:tcBorders>
            <w:top w:val="single" w:sz="4" w:space="0" w:color="000000"/>
          </w:tcBorders>
          <w:shd w:val="clear" w:color="auto" w:fill="auto"/>
        </w:tcPr>
        <w:p w14:paraId="488E41E2" w14:textId="5351BA68" w:rsidR="00EA2854" w:rsidRPr="004D495C" w:rsidRDefault="00EA2854" w:rsidP="00EA2854">
          <w:pPr>
            <w:pStyle w:val="FirstFooter"/>
            <w:tabs>
              <w:tab w:val="left" w:pos="2302"/>
            </w:tabs>
            <w:ind w:left="2302" w:hanging="2302"/>
            <w:rPr>
              <w:sz w:val="18"/>
              <w:szCs w:val="18"/>
              <w:lang w:val="en-US"/>
            </w:rPr>
          </w:pPr>
          <w:r w:rsidRPr="004D495C">
            <w:rPr>
              <w:sz w:val="18"/>
              <w:szCs w:val="18"/>
              <w:lang w:val="en-US"/>
            </w:rPr>
            <w:t>Name/Organization/Entity:</w:t>
          </w:r>
        </w:p>
      </w:tc>
      <w:tc>
        <w:tcPr>
          <w:tcW w:w="5987" w:type="dxa"/>
          <w:tcBorders>
            <w:top w:val="single" w:sz="4" w:space="0" w:color="000000"/>
          </w:tcBorders>
        </w:tcPr>
        <w:p w14:paraId="148264AE" w14:textId="01690D03" w:rsidR="00EA2854" w:rsidRPr="00AF7A97" w:rsidRDefault="00EA2854" w:rsidP="00EA2854">
          <w:pPr>
            <w:pStyle w:val="FirstFooter"/>
            <w:tabs>
              <w:tab w:val="left" w:pos="2302"/>
            </w:tabs>
            <w:rPr>
              <w:sz w:val="18"/>
              <w:szCs w:val="18"/>
              <w:lang w:val="en-US"/>
            </w:rPr>
          </w:pPr>
          <w:r>
            <w:rPr>
              <w:sz w:val="18"/>
              <w:szCs w:val="18"/>
              <w:lang w:val="en-US"/>
            </w:rPr>
            <w:t>Mr Thierry Geiger, ITU/</w:t>
          </w:r>
          <w:r w:rsidRPr="00E65B99">
            <w:rPr>
              <w:sz w:val="18"/>
              <w:szCs w:val="18"/>
              <w:lang w:val="en-US"/>
            </w:rPr>
            <w:t>BDT/DKS/IDA</w:t>
          </w:r>
        </w:p>
      </w:tc>
      <w:bookmarkStart w:id="33" w:name="OrgName"/>
      <w:bookmarkEnd w:id="33"/>
    </w:tr>
    <w:tr w:rsidR="00EA2854" w:rsidRPr="004D495C" w14:paraId="61167678" w14:textId="77777777" w:rsidTr="00F44F26">
      <w:tc>
        <w:tcPr>
          <w:tcW w:w="1526" w:type="dxa"/>
          <w:shd w:val="clear" w:color="auto" w:fill="auto"/>
        </w:tcPr>
        <w:p w14:paraId="33710823" w14:textId="77777777" w:rsidR="00EA2854" w:rsidRPr="004D495C" w:rsidRDefault="00EA2854" w:rsidP="00EA2854">
          <w:pPr>
            <w:pStyle w:val="FirstFooter"/>
            <w:tabs>
              <w:tab w:val="left" w:pos="1559"/>
              <w:tab w:val="left" w:pos="3828"/>
            </w:tabs>
            <w:rPr>
              <w:sz w:val="20"/>
              <w:lang w:val="en-US"/>
            </w:rPr>
          </w:pPr>
        </w:p>
      </w:tc>
      <w:tc>
        <w:tcPr>
          <w:tcW w:w="2410" w:type="dxa"/>
          <w:shd w:val="clear" w:color="auto" w:fill="auto"/>
        </w:tcPr>
        <w:p w14:paraId="1251F6E4" w14:textId="41E91519" w:rsidR="00EA2854" w:rsidRPr="004D495C" w:rsidRDefault="00EA2854" w:rsidP="00EA2854">
          <w:pPr>
            <w:pStyle w:val="FirstFooter"/>
            <w:tabs>
              <w:tab w:val="left" w:pos="2302"/>
            </w:tabs>
            <w:rPr>
              <w:sz w:val="18"/>
              <w:szCs w:val="18"/>
              <w:lang w:val="en-US"/>
            </w:rPr>
          </w:pPr>
          <w:r w:rsidRPr="004D495C">
            <w:rPr>
              <w:sz w:val="18"/>
              <w:szCs w:val="18"/>
              <w:lang w:val="en-US"/>
            </w:rPr>
            <w:t>Phone number:</w:t>
          </w:r>
        </w:p>
      </w:tc>
      <w:tc>
        <w:tcPr>
          <w:tcW w:w="5987" w:type="dxa"/>
        </w:tcPr>
        <w:p w14:paraId="6D7949F0" w14:textId="25DB25FE" w:rsidR="00EA2854" w:rsidRPr="00AF7A97" w:rsidRDefault="00EA2854" w:rsidP="00EA2854">
          <w:pPr>
            <w:pStyle w:val="FirstFooter"/>
            <w:tabs>
              <w:tab w:val="left" w:pos="2302"/>
            </w:tabs>
            <w:rPr>
              <w:sz w:val="18"/>
              <w:szCs w:val="18"/>
              <w:lang w:val="en-US"/>
            </w:rPr>
          </w:pPr>
          <w:r w:rsidRPr="00803D44">
            <w:rPr>
              <w:sz w:val="18"/>
              <w:szCs w:val="18"/>
              <w:lang w:val="en-US"/>
            </w:rPr>
            <w:t>+41</w:t>
          </w:r>
          <w:r>
            <w:rPr>
              <w:sz w:val="18"/>
              <w:szCs w:val="18"/>
              <w:lang w:val="en-US"/>
            </w:rPr>
            <w:t xml:space="preserve"> </w:t>
          </w:r>
          <w:r w:rsidRPr="00803D44">
            <w:rPr>
              <w:sz w:val="18"/>
              <w:szCs w:val="18"/>
              <w:lang w:val="en-US"/>
            </w:rPr>
            <w:t>22</w:t>
          </w:r>
          <w:r>
            <w:rPr>
              <w:sz w:val="18"/>
              <w:szCs w:val="18"/>
              <w:lang w:val="en-US"/>
            </w:rPr>
            <w:t xml:space="preserve"> </w:t>
          </w:r>
          <w:r w:rsidRPr="00803D44">
            <w:rPr>
              <w:sz w:val="18"/>
              <w:szCs w:val="18"/>
              <w:lang w:val="en-US"/>
            </w:rPr>
            <w:t>730</w:t>
          </w:r>
          <w:r>
            <w:rPr>
              <w:sz w:val="18"/>
              <w:szCs w:val="18"/>
              <w:lang w:val="en-US"/>
            </w:rPr>
            <w:t xml:space="preserve"> </w:t>
          </w:r>
          <w:r w:rsidRPr="00803D44">
            <w:rPr>
              <w:sz w:val="18"/>
              <w:szCs w:val="18"/>
              <w:lang w:val="en-US"/>
            </w:rPr>
            <w:t>5094</w:t>
          </w:r>
        </w:p>
      </w:tc>
      <w:bookmarkStart w:id="34" w:name="PhoneNo"/>
      <w:bookmarkEnd w:id="34"/>
    </w:tr>
    <w:tr w:rsidR="00EA2854" w:rsidRPr="004D495C" w14:paraId="0299A231" w14:textId="77777777" w:rsidTr="00F44F26">
      <w:tc>
        <w:tcPr>
          <w:tcW w:w="1526" w:type="dxa"/>
          <w:shd w:val="clear" w:color="auto" w:fill="auto"/>
        </w:tcPr>
        <w:p w14:paraId="35CBC438" w14:textId="77777777" w:rsidR="00EA2854" w:rsidRPr="004D495C" w:rsidRDefault="00EA2854" w:rsidP="00EA2854">
          <w:pPr>
            <w:pStyle w:val="FirstFooter"/>
            <w:tabs>
              <w:tab w:val="left" w:pos="1559"/>
              <w:tab w:val="left" w:pos="3828"/>
            </w:tabs>
            <w:rPr>
              <w:sz w:val="20"/>
              <w:lang w:val="en-US"/>
            </w:rPr>
          </w:pPr>
        </w:p>
      </w:tc>
      <w:tc>
        <w:tcPr>
          <w:tcW w:w="2410" w:type="dxa"/>
          <w:shd w:val="clear" w:color="auto" w:fill="auto"/>
        </w:tcPr>
        <w:p w14:paraId="65335E06" w14:textId="26A23C42" w:rsidR="00EA2854" w:rsidRPr="004D495C" w:rsidRDefault="00EA2854" w:rsidP="00EA2854">
          <w:pPr>
            <w:pStyle w:val="FirstFooter"/>
            <w:tabs>
              <w:tab w:val="left" w:pos="2302"/>
            </w:tabs>
            <w:rPr>
              <w:sz w:val="18"/>
              <w:szCs w:val="18"/>
              <w:lang w:val="en-US"/>
            </w:rPr>
          </w:pPr>
          <w:r w:rsidRPr="004D495C">
            <w:rPr>
              <w:sz w:val="18"/>
              <w:szCs w:val="18"/>
              <w:lang w:val="en-US"/>
            </w:rPr>
            <w:t>E-mail:</w:t>
          </w:r>
        </w:p>
      </w:tc>
      <w:tc>
        <w:tcPr>
          <w:tcW w:w="5987" w:type="dxa"/>
        </w:tcPr>
        <w:p w14:paraId="7EAB0988" w14:textId="38EE6746" w:rsidR="00EA2854" w:rsidRPr="00AF7A97" w:rsidRDefault="00EA2854" w:rsidP="00EA2854">
          <w:pPr>
            <w:pStyle w:val="FirstFooter"/>
            <w:tabs>
              <w:tab w:val="left" w:pos="2302"/>
            </w:tabs>
            <w:rPr>
              <w:sz w:val="18"/>
              <w:szCs w:val="18"/>
              <w:lang w:val="en-US"/>
            </w:rPr>
          </w:pPr>
          <w:hyperlink r:id="rId1" w:history="1">
            <w:r w:rsidRPr="00A4380F">
              <w:rPr>
                <w:rStyle w:val="Hyperlink"/>
                <w:sz w:val="18"/>
                <w:szCs w:val="18"/>
                <w:lang w:val="en-US"/>
              </w:rPr>
              <w:t>thierry.geiger@itu.int</w:t>
            </w:r>
          </w:hyperlink>
          <w:r>
            <w:rPr>
              <w:sz w:val="18"/>
              <w:szCs w:val="18"/>
              <w:lang w:val="en-US"/>
            </w:rPr>
            <w:t xml:space="preserve"> </w:t>
          </w:r>
        </w:p>
      </w:tc>
      <w:bookmarkStart w:id="35" w:name="Email"/>
      <w:bookmarkEnd w:id="35"/>
    </w:tr>
  </w:tbl>
  <w:p w14:paraId="40A321D0" w14:textId="1C276101" w:rsidR="00721657" w:rsidRPr="004146FD" w:rsidRDefault="00721657" w:rsidP="00030397">
    <w:pPr>
      <w:pStyle w:val="Footer"/>
      <w:jc w:val="center"/>
      <w:rPr>
        <w:sz w:val="18"/>
        <w:szCs w:val="1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858632" w14:textId="77777777" w:rsidR="00FA7139" w:rsidRDefault="00FA7139">
      <w:r>
        <w:t>____________________</w:t>
      </w:r>
    </w:p>
  </w:footnote>
  <w:footnote w:type="continuationSeparator" w:id="0">
    <w:p w14:paraId="3F7835AB" w14:textId="77777777" w:rsidR="00FA7139" w:rsidRDefault="00FA7139">
      <w:r>
        <w:continuationSeparator/>
      </w:r>
    </w:p>
    <w:p w14:paraId="01AFB3C5" w14:textId="77777777" w:rsidR="00FA7139" w:rsidRDefault="00FA7139"/>
  </w:footnote>
  <w:footnote w:type="continuationNotice" w:id="1">
    <w:p w14:paraId="56F84085" w14:textId="77777777" w:rsidR="00FA7139" w:rsidRDefault="00FA7139">
      <w:pPr>
        <w:spacing w:before="0"/>
      </w:pPr>
    </w:p>
    <w:p w14:paraId="0CD015F2" w14:textId="77777777" w:rsidR="00FA7139" w:rsidRDefault="00FA7139"/>
  </w:footnote>
  <w:footnote w:id="2">
    <w:p w14:paraId="67833FAC" w14:textId="6132A2DF" w:rsidR="006C41B5" w:rsidRPr="00EF36CD" w:rsidRDefault="006C41B5" w:rsidP="00EF36CD">
      <w:pPr>
        <w:pStyle w:val="FootnoteText"/>
      </w:pPr>
      <w:r w:rsidRPr="0022019A">
        <w:rPr>
          <w:rStyle w:val="FootnoteReference"/>
        </w:rPr>
        <w:footnoteRef/>
      </w:r>
      <w:r w:rsidRPr="00EF36CD">
        <w:t xml:space="preserve"> </w:t>
      </w:r>
      <w:r w:rsidR="00445FA4">
        <w:t>T</w:t>
      </w:r>
      <w:r w:rsidRPr="00EF36CD">
        <w:t xml:space="preserve">he </w:t>
      </w:r>
      <w:r w:rsidR="003D0CBE">
        <w:t xml:space="preserve">ITU </w:t>
      </w:r>
      <w:r w:rsidR="005C04DE">
        <w:t xml:space="preserve">Europe </w:t>
      </w:r>
      <w:r w:rsidRPr="00EF36CD">
        <w:t>region</w:t>
      </w:r>
      <w:r w:rsidR="003D0CBE">
        <w:t xml:space="preserve"> (</w:t>
      </w:r>
      <w:r w:rsidR="00722906">
        <w:t xml:space="preserve">hereinafter </w:t>
      </w:r>
      <w:r w:rsidR="003D0CBE">
        <w:t xml:space="preserve">Europe)covers </w:t>
      </w:r>
      <w:r w:rsidRPr="00EF36CD">
        <w:t xml:space="preserve">the following </w:t>
      </w:r>
      <w:r w:rsidR="005C04DE">
        <w:t>4</w:t>
      </w:r>
      <w:r w:rsidR="00B83B18">
        <w:t>6</w:t>
      </w:r>
      <w:r w:rsidRPr="00EF36CD">
        <w:t xml:space="preserve"> economies:</w:t>
      </w:r>
      <w:r w:rsidR="00E624B0" w:rsidRPr="00E624B0">
        <w:t xml:space="preserve"> Albania, Andorra, Austria, Belgium, Bosnia and Herzegovina, Bulgaria, Croatia, Cyprus, Czech Republic, Denmark, Estonia, Finland, France, Georgia, Germany, Greece, Hungary, Iceland, Ireland, Israel, Italy, Latvia, Liechtenstein, Lithuania, Luxembourg, Malta, Moldova, Monaco, Montenegro, Netherlands (Kingdom of the), North Macedonia, Norway, Poland, Portugal, Romania, San Marino, Serbia, Slovakia, Slovenia, Spain, Sweden, Switzerland, Türkiye, Ukraine, United Kingdom, and Vatican.</w:t>
      </w:r>
      <w:r w:rsidRPr="00EF36CD">
        <w:t xml:space="preserve"> </w:t>
      </w:r>
      <w:r w:rsidR="009F0F3D" w:rsidRPr="009F0F3D">
        <w:t>The Vatican is excluded from this assessment due to insufficient data availability</w:t>
      </w:r>
      <w:r w:rsidR="009F0F3D">
        <w:t>.</w:t>
      </w:r>
    </w:p>
  </w:footnote>
  <w:footnote w:id="3">
    <w:p w14:paraId="21021A18" w14:textId="77777777" w:rsidR="00BE1FB9" w:rsidRPr="004658B0" w:rsidRDefault="00BE1FB9" w:rsidP="00BE1FB9">
      <w:pPr>
        <w:pStyle w:val="FootnoteText"/>
      </w:pPr>
      <w:r>
        <w:rPr>
          <w:rStyle w:val="FootnoteReference"/>
        </w:rPr>
        <w:footnoteRef/>
      </w:r>
      <w:r>
        <w:t xml:space="preserve"> See EU, </w:t>
      </w:r>
      <w:hyperlink r:id="rId1" w:history="1">
        <w:r w:rsidRPr="00C8016D">
          <w:rPr>
            <w:rStyle w:val="Hyperlink"/>
          </w:rPr>
          <w:t>A Europe fit for the digital age – Empowering people with a new generation of technologies</w:t>
        </w:r>
      </w:hyperlink>
    </w:p>
  </w:footnote>
  <w:footnote w:id="4">
    <w:p w14:paraId="7D671D34" w14:textId="3AF8B726" w:rsidR="00F4580E" w:rsidRPr="00F4580E" w:rsidRDefault="00F4580E">
      <w:pPr>
        <w:pStyle w:val="FootnoteText"/>
      </w:pPr>
      <w:r w:rsidRPr="00821CF6">
        <w:rPr>
          <w:rStyle w:val="FootnoteReference"/>
        </w:rPr>
        <w:footnoteRef/>
      </w:r>
      <w:r w:rsidRPr="00821CF6">
        <w:t xml:space="preserve"> </w:t>
      </w:r>
      <w:r w:rsidR="00F77A4F" w:rsidRPr="00821CF6">
        <w:t xml:space="preserve">For the purposes of this analysis, the term 'EU Single Market' </w:t>
      </w:r>
      <w:r w:rsidR="001035CE" w:rsidRPr="00821CF6">
        <w:t xml:space="preserve">also </w:t>
      </w:r>
      <w:r w:rsidR="00F77A4F" w:rsidRPr="00821CF6">
        <w:t>encompasses UK due to its historical and policy similarities with EU countries.</w:t>
      </w:r>
      <w:r w:rsidR="00DF6617">
        <w:t xml:space="preserve"> </w:t>
      </w:r>
    </w:p>
  </w:footnote>
  <w:footnote w:id="5">
    <w:p w14:paraId="2FD78CED" w14:textId="77777777" w:rsidR="00E1777F" w:rsidRPr="0045728C" w:rsidRDefault="00E1777F" w:rsidP="00E1777F">
      <w:pPr>
        <w:pStyle w:val="FootnoteText"/>
        <w:rPr>
          <w:lang w:val="en-US"/>
        </w:rPr>
      </w:pPr>
      <w:r>
        <w:rPr>
          <w:rStyle w:val="FootnoteReference"/>
        </w:rPr>
        <w:footnoteRef/>
      </w:r>
      <w:r>
        <w:t xml:space="preserve"> </w:t>
      </w:r>
      <w:r>
        <w:rPr>
          <w:lang w:val="en-US"/>
        </w:rPr>
        <w:t xml:space="preserve">ITU, </w:t>
      </w:r>
      <w:hyperlink r:id="rId2" w:history="1">
        <w:r w:rsidRPr="00E3290D">
          <w:rPr>
            <w:rStyle w:val="Hyperlink"/>
            <w:lang w:val="en-US"/>
          </w:rPr>
          <w:t>Global Digital Regulatory Outlook 2023</w:t>
        </w:r>
      </w:hyperlink>
    </w:p>
  </w:footnote>
  <w:footnote w:id="6">
    <w:p w14:paraId="7B463164" w14:textId="4B0002A0" w:rsidR="00E1777F" w:rsidRPr="00F4030F" w:rsidRDefault="00E1777F" w:rsidP="00E1777F">
      <w:pPr>
        <w:pStyle w:val="FootnoteText"/>
        <w:rPr>
          <w:lang w:val="en-US"/>
        </w:rPr>
      </w:pPr>
      <w:r w:rsidRPr="00F4030F">
        <w:rPr>
          <w:rStyle w:val="FootnoteReference"/>
        </w:rPr>
        <w:footnoteRef/>
      </w:r>
      <w:r w:rsidRPr="00F4030F">
        <w:t xml:space="preserve"> </w:t>
      </w:r>
      <w:r w:rsidRPr="00F4030F">
        <w:rPr>
          <w:rFonts w:cs="AvenirNext LT Pro Light"/>
          <w:color w:val="221E1F"/>
        </w:rPr>
        <w:t xml:space="preserve">e-Government capacities </w:t>
      </w:r>
      <w:r>
        <w:rPr>
          <w:rFonts w:cs="AvenirNext LT Pro Light"/>
          <w:color w:val="221E1F"/>
        </w:rPr>
        <w:t>as defined by UNDESA in the</w:t>
      </w:r>
      <w:r w:rsidRPr="00F4030F">
        <w:rPr>
          <w:rFonts w:cs="AvenirNext LT Pro Light"/>
          <w:color w:val="221E1F"/>
        </w:rPr>
        <w:t xml:space="preserve"> </w:t>
      </w:r>
      <w:r w:rsidRPr="00F4030F">
        <w:t>E-Government Development Index (EGDI)</w:t>
      </w:r>
      <w:r w:rsidR="00DD4362">
        <w:t>.</w:t>
      </w:r>
      <w:r w:rsidRPr="00F4030F">
        <w:t xml:space="preserve"> </w:t>
      </w:r>
    </w:p>
  </w:footnote>
  <w:footnote w:id="7">
    <w:p w14:paraId="22749A92" w14:textId="5A718F50" w:rsidR="00246390" w:rsidRPr="002923A4" w:rsidRDefault="00246390" w:rsidP="00246390">
      <w:pPr>
        <w:pStyle w:val="FootnoteText"/>
        <w:rPr>
          <w:lang w:val="en-US"/>
        </w:rPr>
      </w:pPr>
      <w:r>
        <w:rPr>
          <w:rStyle w:val="FootnoteReference"/>
        </w:rPr>
        <w:footnoteRef/>
      </w:r>
      <w:r>
        <w:t xml:space="preserve"> </w:t>
      </w:r>
      <w:r>
        <w:rPr>
          <w:lang w:val="en-US"/>
        </w:rPr>
        <w:t xml:space="preserve">ITU, </w:t>
      </w:r>
      <w:hyperlink r:id="rId3" w:history="1">
        <w:r w:rsidRPr="00D23F9F">
          <w:rPr>
            <w:rStyle w:val="Hyperlink"/>
            <w:lang w:val="en-US"/>
          </w:rPr>
          <w:t>Global Cybersecurity Index 2024</w:t>
        </w:r>
      </w:hyperlink>
      <w:r w:rsidR="00DD4362">
        <w:rPr>
          <w:lang w:val="en-US"/>
        </w:rPr>
        <w:t>.</w:t>
      </w:r>
    </w:p>
  </w:footnote>
  <w:footnote w:id="8">
    <w:p w14:paraId="2F207FB4" w14:textId="1BBEF842" w:rsidR="009848E5" w:rsidRPr="009848E5" w:rsidRDefault="009848E5">
      <w:pPr>
        <w:pStyle w:val="FootnoteText"/>
      </w:pPr>
      <w:r>
        <w:rPr>
          <w:rStyle w:val="FootnoteReference"/>
        </w:rPr>
        <w:footnoteRef/>
      </w:r>
      <w:r>
        <w:t xml:space="preserve"> </w:t>
      </w:r>
      <w:r w:rsidR="00432F0D" w:rsidRPr="009848E5">
        <w:t>Considering</w:t>
      </w:r>
      <w:r w:rsidRPr="009848E5">
        <w:t xml:space="preserve"> that some people may never want to connect, as a matter of convention universality is taken to mean an Internet penetration rate of at least 95 per cent.</w:t>
      </w:r>
    </w:p>
  </w:footnote>
  <w:footnote w:id="9">
    <w:p w14:paraId="76ABA8D9" w14:textId="7FBEC192" w:rsidR="006C41B5" w:rsidRPr="004B35BA" w:rsidRDefault="006C41B5" w:rsidP="006C41B5">
      <w:pPr>
        <w:pStyle w:val="FootnoteText"/>
      </w:pPr>
      <w:r w:rsidRPr="003A4E67">
        <w:rPr>
          <w:rStyle w:val="FootnoteReference"/>
        </w:rPr>
        <w:footnoteRef/>
      </w:r>
      <w:r w:rsidRPr="003A4E67">
        <w:t xml:space="preserve"> In this document, for </w:t>
      </w:r>
      <w:r w:rsidR="00F84005">
        <w:t>f</w:t>
      </w:r>
      <w:r w:rsidRPr="003A4E67">
        <w:t>igures reporting economy-level data, all economies are shown</w:t>
      </w:r>
      <w:r w:rsidR="006B3CD4" w:rsidRPr="003A4E67">
        <w:t xml:space="preserve"> except </w:t>
      </w:r>
      <w:r w:rsidR="003A4E67">
        <w:t>f</w:t>
      </w:r>
      <w:r w:rsidR="006B3CD4" w:rsidRPr="003A4E67">
        <w:t xml:space="preserve">or Vatican, for which no data are available. Countries are sorted </w:t>
      </w:r>
      <w:r w:rsidR="00950342" w:rsidRPr="003A4E67">
        <w:t>by value</w:t>
      </w:r>
      <w:r w:rsidR="006B3CD4" w:rsidRPr="003A4E67">
        <w:t xml:space="preserve"> of the indicator</w:t>
      </w:r>
      <w:r w:rsidRPr="003A4E67">
        <w:t>. A data point is only shown if it is for the year 2020 or later</w:t>
      </w:r>
      <w:r w:rsidRPr="008D6D21">
        <w:t>, otherwise it is marked as not available (N/A)</w:t>
      </w:r>
      <w:r w:rsidR="00C25642">
        <w:t>, or excluded altogether</w:t>
      </w:r>
      <w:r w:rsidR="00DB0377">
        <w:t xml:space="preserve"> (</w:t>
      </w:r>
      <w:r w:rsidR="007863F9">
        <w:t xml:space="preserve">when </w:t>
      </w:r>
      <w:r w:rsidR="00DB0D63">
        <w:t>data are not available for many countries</w:t>
      </w:r>
      <w:r w:rsidR="00DB0377">
        <w:t>)</w:t>
      </w:r>
      <w:r w:rsidRPr="003A4E67">
        <w:t xml:space="preserve">. In addition, a marker shows the data point for the year 2018, if available. Data are extracted from the </w:t>
      </w:r>
      <w:hyperlink r:id="rId4" w:history="1">
        <w:r w:rsidRPr="003A4E67">
          <w:rPr>
            <w:rStyle w:val="Hyperlink"/>
          </w:rPr>
          <w:t>ITU DataHub</w:t>
        </w:r>
      </w:hyperlink>
      <w:r w:rsidR="00293F8B">
        <w:t>,</w:t>
      </w:r>
      <w:r w:rsidRPr="003A4E67">
        <w:t xml:space="preserve"> based on the data release of end </w:t>
      </w:r>
      <w:r w:rsidR="00B5694F">
        <w:t>January 2025</w:t>
      </w:r>
      <w:r w:rsidRPr="003A4E67">
        <w:t xml:space="preserve">. Since country-level data are available for the year 2023 at best, for comparison purposes, the regional average for the year 2023 is reported as well, as published in </w:t>
      </w:r>
      <w:hyperlink r:id="rId5" w:history="1">
        <w:r w:rsidRPr="003A4E67">
          <w:rPr>
            <w:rStyle w:val="Hyperlink"/>
          </w:rPr>
          <w:t>Facts and Figures 2024</w:t>
        </w:r>
      </w:hyperlink>
      <w:r w:rsidRPr="003A4E67">
        <w:t xml:space="preserve">. To save space in these </w:t>
      </w:r>
      <w:r w:rsidR="00F84005">
        <w:t>f</w:t>
      </w:r>
      <w:r w:rsidRPr="003A4E67">
        <w:t xml:space="preserve">igures, </w:t>
      </w:r>
      <w:r w:rsidR="0054775F">
        <w:t>“</w:t>
      </w:r>
      <w:r w:rsidR="00F84005">
        <w:t>Netherlands</w:t>
      </w:r>
      <w:r w:rsidR="0054775F">
        <w:t>”</w:t>
      </w:r>
      <w:r w:rsidR="00F84005">
        <w:t xml:space="preserve"> is used instead of </w:t>
      </w:r>
      <w:r w:rsidR="0054775F">
        <w:t>“</w:t>
      </w:r>
      <w:r w:rsidR="00F84005">
        <w:t>Netherlands (Kingdom of the)</w:t>
      </w:r>
      <w:r w:rsidR="0054775F">
        <w:t>”</w:t>
      </w:r>
      <w:r w:rsidRPr="003A4E67">
        <w:t>.</w:t>
      </w:r>
    </w:p>
  </w:footnote>
  <w:footnote w:id="10">
    <w:p w14:paraId="6211CC2E" w14:textId="77777777" w:rsidR="00B4054D" w:rsidRPr="005B254D" w:rsidRDefault="00B4054D" w:rsidP="00B4054D">
      <w:pPr>
        <w:pStyle w:val="FootnoteText"/>
      </w:pPr>
      <w:r w:rsidRPr="008648EC">
        <w:rPr>
          <w:rStyle w:val="FootnoteReference"/>
        </w:rPr>
        <w:footnoteRef/>
      </w:r>
      <w:r w:rsidRPr="008648EC">
        <w:t xml:space="preserve"> The gender parity score is calculated as the proportion of women who use the Internet divided by the proportion of men who use the Internet. A value less than one indicates that men are more likely to use the Internet than women, while a value greater than one indicates the opposite. Gender parity is considered achieved if the value lies between 0.98 and 1.02.</w:t>
      </w:r>
    </w:p>
  </w:footnote>
  <w:footnote w:id="11">
    <w:p w14:paraId="548BC3DF" w14:textId="0846B2D4" w:rsidR="004B11BE" w:rsidRPr="004B11BE" w:rsidRDefault="004B11BE">
      <w:pPr>
        <w:pStyle w:val="FootnoteText"/>
        <w:rPr>
          <w:lang w:val="en-US"/>
        </w:rPr>
      </w:pPr>
      <w:r>
        <w:rPr>
          <w:rStyle w:val="FootnoteReference"/>
        </w:rPr>
        <w:footnoteRef/>
      </w:r>
      <w:r>
        <w:t xml:space="preserve"> </w:t>
      </w:r>
      <w:r w:rsidR="00344764">
        <w:rPr>
          <w:lang w:val="en-US"/>
        </w:rPr>
        <w:t>Considering</w:t>
      </w:r>
      <w:r w:rsidR="003939D4">
        <w:rPr>
          <w:lang w:val="en-US"/>
        </w:rPr>
        <w:t xml:space="preserve"> only those countries </w:t>
      </w:r>
      <w:r w:rsidR="005920D2" w:rsidRPr="00580E10">
        <w:t>for which data was available for all years from 2018 to 2024</w:t>
      </w:r>
      <w:r w:rsidR="00314C02">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048A1" w14:textId="77777777" w:rsidR="008A596B" w:rsidRDefault="008A59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E2659" w14:textId="7D42F5D2" w:rsidR="00EC0833" w:rsidRPr="006025C0" w:rsidRDefault="001D31BA" w:rsidP="00294363">
    <w:pPr>
      <w:tabs>
        <w:tab w:val="clear" w:pos="794"/>
        <w:tab w:val="clear" w:pos="1191"/>
        <w:tab w:val="clear" w:pos="1588"/>
        <w:tab w:val="clear" w:pos="1985"/>
        <w:tab w:val="center" w:pos="4820"/>
        <w:tab w:val="right" w:pos="10206"/>
      </w:tabs>
      <w:ind w:right="1"/>
      <w:rPr>
        <w:smallCaps/>
        <w:spacing w:val="24"/>
        <w:sz w:val="22"/>
        <w:szCs w:val="22"/>
        <w:lang w:val="fr-FR"/>
      </w:rPr>
    </w:pPr>
    <w:r w:rsidRPr="004D495C">
      <w:rPr>
        <w:sz w:val="22"/>
        <w:szCs w:val="22"/>
      </w:rPr>
      <w:tab/>
    </w:r>
    <w:r w:rsidRPr="00484B2D">
      <w:rPr>
        <w:sz w:val="22"/>
        <w:szCs w:val="22"/>
        <w:lang w:val="fr-FR"/>
      </w:rPr>
      <w:t>IT</w:t>
    </w:r>
    <w:r w:rsidRPr="002178A0">
      <w:rPr>
        <w:sz w:val="22"/>
        <w:szCs w:val="22"/>
        <w:lang w:val="fr-FR"/>
      </w:rPr>
      <w:t>U-D/</w:t>
    </w:r>
    <w:bookmarkStart w:id="31" w:name="DocRef2"/>
    <w:bookmarkEnd w:id="31"/>
    <w:r w:rsidRPr="002178A0">
      <w:rPr>
        <w:sz w:val="22"/>
        <w:szCs w:val="22"/>
        <w:lang w:val="fr-FR"/>
      </w:rPr>
      <w:t>RPM-</w:t>
    </w:r>
    <w:r w:rsidR="00CB3037" w:rsidRPr="002178A0">
      <w:rPr>
        <w:sz w:val="22"/>
        <w:szCs w:val="22"/>
        <w:lang w:val="fr-FR"/>
      </w:rPr>
      <w:t>EUR</w:t>
    </w:r>
    <w:r w:rsidRPr="002178A0">
      <w:rPr>
        <w:sz w:val="22"/>
        <w:szCs w:val="22"/>
        <w:lang w:val="fr-FR"/>
      </w:rPr>
      <w:t>25/</w:t>
    </w:r>
    <w:bookmarkStart w:id="32" w:name="DocNo2"/>
    <w:bookmarkEnd w:id="32"/>
    <w:r w:rsidR="008A596B">
      <w:rPr>
        <w:sz w:val="22"/>
        <w:szCs w:val="22"/>
        <w:lang w:val="fr-FR"/>
      </w:rPr>
      <w:t>3</w:t>
    </w:r>
    <w:r w:rsidRPr="002178A0">
      <w:rPr>
        <w:sz w:val="22"/>
        <w:szCs w:val="22"/>
        <w:lang w:val="fr-FR"/>
      </w:rPr>
      <w:t>-E</w:t>
    </w:r>
    <w:r w:rsidRPr="00484B2D">
      <w:rPr>
        <w:sz w:val="22"/>
        <w:szCs w:val="22"/>
        <w:lang w:val="fr-FR"/>
      </w:rPr>
      <w:tab/>
      <w:t xml:space="preserve">Page </w:t>
    </w:r>
    <w:r w:rsidRPr="004D495C">
      <w:rPr>
        <w:sz w:val="22"/>
        <w:szCs w:val="22"/>
      </w:rPr>
      <w:fldChar w:fldCharType="begin"/>
    </w:r>
    <w:r w:rsidRPr="00484B2D">
      <w:rPr>
        <w:sz w:val="22"/>
        <w:szCs w:val="22"/>
        <w:lang w:val="fr-FR"/>
      </w:rPr>
      <w:instrText xml:space="preserve"> PAGE </w:instrText>
    </w:r>
    <w:r w:rsidRPr="004D495C">
      <w:rPr>
        <w:sz w:val="22"/>
        <w:szCs w:val="22"/>
      </w:rPr>
      <w:fldChar w:fldCharType="separate"/>
    </w:r>
    <w:r w:rsidRPr="005346F7">
      <w:rPr>
        <w:sz w:val="22"/>
        <w:szCs w:val="22"/>
        <w:lang w:val="pt-BR"/>
      </w:rPr>
      <w:t>2</w:t>
    </w:r>
    <w:r w:rsidRPr="004D495C">
      <w:rPr>
        <w:sz w:val="22"/>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7B0B1" w14:textId="77777777" w:rsidR="008A596B" w:rsidRDefault="008A596B">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xpxEkoLr" int2:invalidationBookmarkName="" int2:hashCode="A5r7UjOonCryc9" int2:id="We9t7kKm">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F5907"/>
    <w:multiLevelType w:val="multilevel"/>
    <w:tmpl w:val="7A2ED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496D4E"/>
    <w:multiLevelType w:val="hybridMultilevel"/>
    <w:tmpl w:val="3374359A"/>
    <w:lvl w:ilvl="0" w:tplc="C610FBF4">
      <w:start w:val="1"/>
      <w:numFmt w:val="bullet"/>
      <w:lvlText w:val=""/>
      <w:lvlJc w:val="left"/>
      <w:pPr>
        <w:ind w:left="1020" w:hanging="360"/>
      </w:pPr>
      <w:rPr>
        <w:rFonts w:ascii="Symbol" w:hAnsi="Symbol"/>
      </w:rPr>
    </w:lvl>
    <w:lvl w:ilvl="1" w:tplc="691CAD06">
      <w:start w:val="1"/>
      <w:numFmt w:val="bullet"/>
      <w:lvlText w:val=""/>
      <w:lvlJc w:val="left"/>
      <w:pPr>
        <w:ind w:left="1020" w:hanging="360"/>
      </w:pPr>
      <w:rPr>
        <w:rFonts w:ascii="Symbol" w:hAnsi="Symbol"/>
      </w:rPr>
    </w:lvl>
    <w:lvl w:ilvl="2" w:tplc="6868E694">
      <w:start w:val="1"/>
      <w:numFmt w:val="bullet"/>
      <w:lvlText w:val=""/>
      <w:lvlJc w:val="left"/>
      <w:pPr>
        <w:ind w:left="1020" w:hanging="360"/>
      </w:pPr>
      <w:rPr>
        <w:rFonts w:ascii="Symbol" w:hAnsi="Symbol"/>
      </w:rPr>
    </w:lvl>
    <w:lvl w:ilvl="3" w:tplc="6D6A1ECA">
      <w:start w:val="1"/>
      <w:numFmt w:val="bullet"/>
      <w:lvlText w:val=""/>
      <w:lvlJc w:val="left"/>
      <w:pPr>
        <w:ind w:left="1020" w:hanging="360"/>
      </w:pPr>
      <w:rPr>
        <w:rFonts w:ascii="Symbol" w:hAnsi="Symbol"/>
      </w:rPr>
    </w:lvl>
    <w:lvl w:ilvl="4" w:tplc="6C5EB502">
      <w:start w:val="1"/>
      <w:numFmt w:val="bullet"/>
      <w:lvlText w:val=""/>
      <w:lvlJc w:val="left"/>
      <w:pPr>
        <w:ind w:left="1020" w:hanging="360"/>
      </w:pPr>
      <w:rPr>
        <w:rFonts w:ascii="Symbol" w:hAnsi="Symbol"/>
      </w:rPr>
    </w:lvl>
    <w:lvl w:ilvl="5" w:tplc="8A5E985A">
      <w:start w:val="1"/>
      <w:numFmt w:val="bullet"/>
      <w:lvlText w:val=""/>
      <w:lvlJc w:val="left"/>
      <w:pPr>
        <w:ind w:left="1020" w:hanging="360"/>
      </w:pPr>
      <w:rPr>
        <w:rFonts w:ascii="Symbol" w:hAnsi="Symbol"/>
      </w:rPr>
    </w:lvl>
    <w:lvl w:ilvl="6" w:tplc="39BC6026">
      <w:start w:val="1"/>
      <w:numFmt w:val="bullet"/>
      <w:lvlText w:val=""/>
      <w:lvlJc w:val="left"/>
      <w:pPr>
        <w:ind w:left="1020" w:hanging="360"/>
      </w:pPr>
      <w:rPr>
        <w:rFonts w:ascii="Symbol" w:hAnsi="Symbol"/>
      </w:rPr>
    </w:lvl>
    <w:lvl w:ilvl="7" w:tplc="F95A8A26">
      <w:start w:val="1"/>
      <w:numFmt w:val="bullet"/>
      <w:lvlText w:val=""/>
      <w:lvlJc w:val="left"/>
      <w:pPr>
        <w:ind w:left="1020" w:hanging="360"/>
      </w:pPr>
      <w:rPr>
        <w:rFonts w:ascii="Symbol" w:hAnsi="Symbol"/>
      </w:rPr>
    </w:lvl>
    <w:lvl w:ilvl="8" w:tplc="7938B9F2">
      <w:start w:val="1"/>
      <w:numFmt w:val="bullet"/>
      <w:lvlText w:val=""/>
      <w:lvlJc w:val="left"/>
      <w:pPr>
        <w:ind w:left="1020" w:hanging="360"/>
      </w:pPr>
      <w:rPr>
        <w:rFonts w:ascii="Symbol" w:hAnsi="Symbol"/>
      </w:rPr>
    </w:lvl>
  </w:abstractNum>
  <w:abstractNum w:abstractNumId="2" w15:restartNumberingAfterBreak="0">
    <w:nsid w:val="0AEC2226"/>
    <w:multiLevelType w:val="hybridMultilevel"/>
    <w:tmpl w:val="8104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A33113"/>
    <w:multiLevelType w:val="hybridMultilevel"/>
    <w:tmpl w:val="ABA8D0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DB4EEA"/>
    <w:multiLevelType w:val="hybridMultilevel"/>
    <w:tmpl w:val="F5EE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455DF2"/>
    <w:multiLevelType w:val="hybridMultilevel"/>
    <w:tmpl w:val="CC0C8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65749C"/>
    <w:multiLevelType w:val="hybridMultilevel"/>
    <w:tmpl w:val="A0881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B73CB2"/>
    <w:multiLevelType w:val="multilevel"/>
    <w:tmpl w:val="8490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0D3087"/>
    <w:multiLevelType w:val="hybridMultilevel"/>
    <w:tmpl w:val="C6705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2E204F"/>
    <w:multiLevelType w:val="multilevel"/>
    <w:tmpl w:val="82661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3D1A11"/>
    <w:multiLevelType w:val="hybridMultilevel"/>
    <w:tmpl w:val="812C18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8F90A0A"/>
    <w:multiLevelType w:val="hybridMultilevel"/>
    <w:tmpl w:val="A3044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002390"/>
    <w:multiLevelType w:val="hybridMultilevel"/>
    <w:tmpl w:val="FEA838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184A05"/>
    <w:multiLevelType w:val="multilevel"/>
    <w:tmpl w:val="A74C7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0C44FD"/>
    <w:multiLevelType w:val="hybridMultilevel"/>
    <w:tmpl w:val="9C667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BD6800"/>
    <w:multiLevelType w:val="hybridMultilevel"/>
    <w:tmpl w:val="31D8B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383A04"/>
    <w:multiLevelType w:val="multilevel"/>
    <w:tmpl w:val="B8B239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93366C0"/>
    <w:multiLevelType w:val="hybridMultilevel"/>
    <w:tmpl w:val="58FE7E0C"/>
    <w:lvl w:ilvl="0" w:tplc="3694506A">
      <w:start w:val="1"/>
      <w:numFmt w:val="bullet"/>
      <w:lvlText w:val=""/>
      <w:lvlJc w:val="left"/>
      <w:pPr>
        <w:ind w:left="1020" w:hanging="360"/>
      </w:pPr>
      <w:rPr>
        <w:rFonts w:ascii="Symbol" w:hAnsi="Symbol"/>
      </w:rPr>
    </w:lvl>
    <w:lvl w:ilvl="1" w:tplc="40ECF334">
      <w:start w:val="1"/>
      <w:numFmt w:val="bullet"/>
      <w:lvlText w:val=""/>
      <w:lvlJc w:val="left"/>
      <w:pPr>
        <w:ind w:left="1020" w:hanging="360"/>
      </w:pPr>
      <w:rPr>
        <w:rFonts w:ascii="Symbol" w:hAnsi="Symbol"/>
      </w:rPr>
    </w:lvl>
    <w:lvl w:ilvl="2" w:tplc="CD12AE32">
      <w:start w:val="1"/>
      <w:numFmt w:val="bullet"/>
      <w:lvlText w:val=""/>
      <w:lvlJc w:val="left"/>
      <w:pPr>
        <w:ind w:left="1020" w:hanging="360"/>
      </w:pPr>
      <w:rPr>
        <w:rFonts w:ascii="Symbol" w:hAnsi="Symbol"/>
      </w:rPr>
    </w:lvl>
    <w:lvl w:ilvl="3" w:tplc="435ECFC4">
      <w:start w:val="1"/>
      <w:numFmt w:val="bullet"/>
      <w:lvlText w:val=""/>
      <w:lvlJc w:val="left"/>
      <w:pPr>
        <w:ind w:left="1020" w:hanging="360"/>
      </w:pPr>
      <w:rPr>
        <w:rFonts w:ascii="Symbol" w:hAnsi="Symbol"/>
      </w:rPr>
    </w:lvl>
    <w:lvl w:ilvl="4" w:tplc="28F47298">
      <w:start w:val="1"/>
      <w:numFmt w:val="bullet"/>
      <w:lvlText w:val=""/>
      <w:lvlJc w:val="left"/>
      <w:pPr>
        <w:ind w:left="1020" w:hanging="360"/>
      </w:pPr>
      <w:rPr>
        <w:rFonts w:ascii="Symbol" w:hAnsi="Symbol"/>
      </w:rPr>
    </w:lvl>
    <w:lvl w:ilvl="5" w:tplc="ABD8FEA8">
      <w:start w:val="1"/>
      <w:numFmt w:val="bullet"/>
      <w:lvlText w:val=""/>
      <w:lvlJc w:val="left"/>
      <w:pPr>
        <w:ind w:left="1020" w:hanging="360"/>
      </w:pPr>
      <w:rPr>
        <w:rFonts w:ascii="Symbol" w:hAnsi="Symbol"/>
      </w:rPr>
    </w:lvl>
    <w:lvl w:ilvl="6" w:tplc="1038B760">
      <w:start w:val="1"/>
      <w:numFmt w:val="bullet"/>
      <w:lvlText w:val=""/>
      <w:lvlJc w:val="left"/>
      <w:pPr>
        <w:ind w:left="1020" w:hanging="360"/>
      </w:pPr>
      <w:rPr>
        <w:rFonts w:ascii="Symbol" w:hAnsi="Symbol"/>
      </w:rPr>
    </w:lvl>
    <w:lvl w:ilvl="7" w:tplc="73CCBBD0">
      <w:start w:val="1"/>
      <w:numFmt w:val="bullet"/>
      <w:lvlText w:val=""/>
      <w:lvlJc w:val="left"/>
      <w:pPr>
        <w:ind w:left="1020" w:hanging="360"/>
      </w:pPr>
      <w:rPr>
        <w:rFonts w:ascii="Symbol" w:hAnsi="Symbol"/>
      </w:rPr>
    </w:lvl>
    <w:lvl w:ilvl="8" w:tplc="95DA569E">
      <w:start w:val="1"/>
      <w:numFmt w:val="bullet"/>
      <w:lvlText w:val=""/>
      <w:lvlJc w:val="left"/>
      <w:pPr>
        <w:ind w:left="1020" w:hanging="360"/>
      </w:pPr>
      <w:rPr>
        <w:rFonts w:ascii="Symbol" w:hAnsi="Symbol"/>
      </w:rPr>
    </w:lvl>
  </w:abstractNum>
  <w:abstractNum w:abstractNumId="18" w15:restartNumberingAfterBreak="0">
    <w:nsid w:val="4E3B68E1"/>
    <w:multiLevelType w:val="hybridMultilevel"/>
    <w:tmpl w:val="C2BC21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4F2E6BE8"/>
    <w:multiLevelType w:val="multilevel"/>
    <w:tmpl w:val="E83A9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1A2B23"/>
    <w:multiLevelType w:val="hybridMultilevel"/>
    <w:tmpl w:val="60B4628C"/>
    <w:lvl w:ilvl="0" w:tplc="81FE6A5A">
      <w:start w:val="1"/>
      <w:numFmt w:val="bullet"/>
      <w:lvlText w:val="-"/>
      <w:lvlJc w:val="left"/>
      <w:pPr>
        <w:ind w:left="2340" w:hanging="360"/>
      </w:pPr>
      <w:rPr>
        <w:rFonts w:ascii="Calibri" w:eastAsia="Times New Roman" w:hAnsi="Calibri" w:cs="Times New Roman"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21" w15:restartNumberingAfterBreak="0">
    <w:nsid w:val="5C382357"/>
    <w:multiLevelType w:val="hybridMultilevel"/>
    <w:tmpl w:val="4538FC12"/>
    <w:lvl w:ilvl="0" w:tplc="F766AB0A">
      <w:numFmt w:val="bullet"/>
      <w:lvlText w:val="•"/>
      <w:lvlJc w:val="left"/>
      <w:pPr>
        <w:ind w:left="1080" w:hanging="72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5B5972"/>
    <w:multiLevelType w:val="hybridMultilevel"/>
    <w:tmpl w:val="44504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BC1D1B"/>
    <w:multiLevelType w:val="hybridMultilevel"/>
    <w:tmpl w:val="8F6EE0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0167203"/>
    <w:multiLevelType w:val="multilevel"/>
    <w:tmpl w:val="6A640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55107F6"/>
    <w:multiLevelType w:val="hybridMultilevel"/>
    <w:tmpl w:val="0DFCF666"/>
    <w:lvl w:ilvl="0" w:tplc="1C38D086">
      <w:start w:val="1"/>
      <w:numFmt w:val="bullet"/>
      <w:lvlRestart w:val="0"/>
      <w:lvlText w:val="•"/>
      <w:lvlJc w:val="left"/>
      <w:pPr>
        <w:ind w:left="363" w:hanging="363"/>
      </w:pPr>
      <w:rPr>
        <w:rFonts w:ascii="Avenir Next W1G" w:hAnsi="Avenir Next W1G"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6" w15:restartNumberingAfterBreak="0">
    <w:nsid w:val="7BFD6E94"/>
    <w:multiLevelType w:val="hybridMultilevel"/>
    <w:tmpl w:val="EB803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3808767">
    <w:abstractNumId w:val="20"/>
  </w:num>
  <w:num w:numId="2" w16cid:durableId="1011488485">
    <w:abstractNumId w:val="3"/>
  </w:num>
  <w:num w:numId="3" w16cid:durableId="379672316">
    <w:abstractNumId w:val="24"/>
  </w:num>
  <w:num w:numId="4" w16cid:durableId="916474732">
    <w:abstractNumId w:val="14"/>
  </w:num>
  <w:num w:numId="5" w16cid:durableId="2130976733">
    <w:abstractNumId w:val="5"/>
  </w:num>
  <w:num w:numId="6" w16cid:durableId="2086758874">
    <w:abstractNumId w:val="7"/>
  </w:num>
  <w:num w:numId="7" w16cid:durableId="77137904">
    <w:abstractNumId w:val="1"/>
  </w:num>
  <w:num w:numId="8" w16cid:durableId="716323517">
    <w:abstractNumId w:val="17"/>
  </w:num>
  <w:num w:numId="9" w16cid:durableId="1225752095">
    <w:abstractNumId w:val="12"/>
  </w:num>
  <w:num w:numId="10" w16cid:durableId="883297556">
    <w:abstractNumId w:val="16"/>
  </w:num>
  <w:num w:numId="11" w16cid:durableId="442192808">
    <w:abstractNumId w:val="0"/>
  </w:num>
  <w:num w:numId="12" w16cid:durableId="1424957440">
    <w:abstractNumId w:val="23"/>
  </w:num>
  <w:num w:numId="13" w16cid:durableId="701516163">
    <w:abstractNumId w:val="9"/>
  </w:num>
  <w:num w:numId="14" w16cid:durableId="2094156602">
    <w:abstractNumId w:val="11"/>
  </w:num>
  <w:num w:numId="15" w16cid:durableId="1488085533">
    <w:abstractNumId w:val="18"/>
  </w:num>
  <w:num w:numId="16" w16cid:durableId="279066685">
    <w:abstractNumId w:val="15"/>
  </w:num>
  <w:num w:numId="17" w16cid:durableId="1044404833">
    <w:abstractNumId w:val="21"/>
  </w:num>
  <w:num w:numId="18" w16cid:durableId="742020862">
    <w:abstractNumId w:val="4"/>
  </w:num>
  <w:num w:numId="19" w16cid:durableId="1496990626">
    <w:abstractNumId w:val="19"/>
  </w:num>
  <w:num w:numId="20" w16cid:durableId="1870334765">
    <w:abstractNumId w:val="26"/>
  </w:num>
  <w:num w:numId="21" w16cid:durableId="623275208">
    <w:abstractNumId w:val="2"/>
  </w:num>
  <w:num w:numId="22" w16cid:durableId="1001547698">
    <w:abstractNumId w:val="22"/>
  </w:num>
  <w:num w:numId="23" w16cid:durableId="626356522">
    <w:abstractNumId w:val="8"/>
  </w:num>
  <w:num w:numId="24" w16cid:durableId="1719889230">
    <w:abstractNumId w:val="10"/>
  </w:num>
  <w:num w:numId="25" w16cid:durableId="136803954">
    <w:abstractNumId w:val="13"/>
  </w:num>
  <w:num w:numId="26" w16cid:durableId="926767242">
    <w:abstractNumId w:val="25"/>
  </w:num>
  <w:num w:numId="27" w16cid:durableId="116910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IwNDA2NTcwNTc2MTJV0lEKTi0uzszPAykwrAUAlPd+PCwAAAA="/>
  </w:docVars>
  <w:rsids>
    <w:rsidRoot w:val="00003C43"/>
    <w:rsid w:val="0000125E"/>
    <w:rsid w:val="00001612"/>
    <w:rsid w:val="00001648"/>
    <w:rsid w:val="000018FC"/>
    <w:rsid w:val="00001B79"/>
    <w:rsid w:val="00002716"/>
    <w:rsid w:val="00002870"/>
    <w:rsid w:val="0000318F"/>
    <w:rsid w:val="00003C43"/>
    <w:rsid w:val="000049A0"/>
    <w:rsid w:val="0000508A"/>
    <w:rsid w:val="00005332"/>
    <w:rsid w:val="00005791"/>
    <w:rsid w:val="0000730D"/>
    <w:rsid w:val="00007A31"/>
    <w:rsid w:val="00010827"/>
    <w:rsid w:val="00010A46"/>
    <w:rsid w:val="00010E3C"/>
    <w:rsid w:val="0001159D"/>
    <w:rsid w:val="000118D6"/>
    <w:rsid w:val="00012F29"/>
    <w:rsid w:val="0001449F"/>
    <w:rsid w:val="00014843"/>
    <w:rsid w:val="00014E01"/>
    <w:rsid w:val="00015089"/>
    <w:rsid w:val="00016612"/>
    <w:rsid w:val="00020340"/>
    <w:rsid w:val="00021196"/>
    <w:rsid w:val="000222B9"/>
    <w:rsid w:val="000224D4"/>
    <w:rsid w:val="000234C8"/>
    <w:rsid w:val="000240A4"/>
    <w:rsid w:val="0002520B"/>
    <w:rsid w:val="00025BAC"/>
    <w:rsid w:val="0002708B"/>
    <w:rsid w:val="000279A5"/>
    <w:rsid w:val="00027A16"/>
    <w:rsid w:val="000302FE"/>
    <w:rsid w:val="00030397"/>
    <w:rsid w:val="00030F9E"/>
    <w:rsid w:val="000314C1"/>
    <w:rsid w:val="000318F3"/>
    <w:rsid w:val="00031C8E"/>
    <w:rsid w:val="0003226C"/>
    <w:rsid w:val="00032A2F"/>
    <w:rsid w:val="00032F52"/>
    <w:rsid w:val="0003438B"/>
    <w:rsid w:val="00035936"/>
    <w:rsid w:val="00035AB1"/>
    <w:rsid w:val="00035EC1"/>
    <w:rsid w:val="000366BD"/>
    <w:rsid w:val="00036B28"/>
    <w:rsid w:val="00037A9E"/>
    <w:rsid w:val="00037BAD"/>
    <w:rsid w:val="00037F91"/>
    <w:rsid w:val="00040225"/>
    <w:rsid w:val="000406D0"/>
    <w:rsid w:val="00041089"/>
    <w:rsid w:val="0004147F"/>
    <w:rsid w:val="00041EBB"/>
    <w:rsid w:val="0004218D"/>
    <w:rsid w:val="0004241F"/>
    <w:rsid w:val="0004287F"/>
    <w:rsid w:val="00042A29"/>
    <w:rsid w:val="000439E1"/>
    <w:rsid w:val="00043A23"/>
    <w:rsid w:val="00043A75"/>
    <w:rsid w:val="00043E74"/>
    <w:rsid w:val="00044952"/>
    <w:rsid w:val="00044970"/>
    <w:rsid w:val="00044B88"/>
    <w:rsid w:val="00045A22"/>
    <w:rsid w:val="000462B6"/>
    <w:rsid w:val="00046D33"/>
    <w:rsid w:val="00047C94"/>
    <w:rsid w:val="000502C1"/>
    <w:rsid w:val="00050E9A"/>
    <w:rsid w:val="00051C91"/>
    <w:rsid w:val="000520CB"/>
    <w:rsid w:val="0005225A"/>
    <w:rsid w:val="00052391"/>
    <w:rsid w:val="000529F1"/>
    <w:rsid w:val="00053671"/>
    <w:rsid w:val="000539F1"/>
    <w:rsid w:val="00054747"/>
    <w:rsid w:val="00054EC6"/>
    <w:rsid w:val="0005592D"/>
    <w:rsid w:val="00055A2A"/>
    <w:rsid w:val="00057015"/>
    <w:rsid w:val="000578CF"/>
    <w:rsid w:val="00060029"/>
    <w:rsid w:val="00060C15"/>
    <w:rsid w:val="000610FB"/>
    <w:rsid w:val="000615C1"/>
    <w:rsid w:val="00061675"/>
    <w:rsid w:val="00062054"/>
    <w:rsid w:val="00063125"/>
    <w:rsid w:val="00063954"/>
    <w:rsid w:val="00063ADB"/>
    <w:rsid w:val="00065473"/>
    <w:rsid w:val="00066C91"/>
    <w:rsid w:val="000673A9"/>
    <w:rsid w:val="00067D7C"/>
    <w:rsid w:val="00071E79"/>
    <w:rsid w:val="000726F1"/>
    <w:rsid w:val="00072857"/>
    <w:rsid w:val="00072DF0"/>
    <w:rsid w:val="0007363A"/>
    <w:rsid w:val="000737EF"/>
    <w:rsid w:val="00073887"/>
    <w:rsid w:val="000743AA"/>
    <w:rsid w:val="000749C3"/>
    <w:rsid w:val="00075C45"/>
    <w:rsid w:val="000764E7"/>
    <w:rsid w:val="00076DC2"/>
    <w:rsid w:val="0007732F"/>
    <w:rsid w:val="000774A9"/>
    <w:rsid w:val="00077BCE"/>
    <w:rsid w:val="00077EA7"/>
    <w:rsid w:val="00080736"/>
    <w:rsid w:val="000808E9"/>
    <w:rsid w:val="00080C96"/>
    <w:rsid w:val="00081C5B"/>
    <w:rsid w:val="000821D6"/>
    <w:rsid w:val="00082420"/>
    <w:rsid w:val="00082D7B"/>
    <w:rsid w:val="00084378"/>
    <w:rsid w:val="00084621"/>
    <w:rsid w:val="00085060"/>
    <w:rsid w:val="00085697"/>
    <w:rsid w:val="00086E65"/>
    <w:rsid w:val="000870E0"/>
    <w:rsid w:val="000872B6"/>
    <w:rsid w:val="00087452"/>
    <w:rsid w:val="000879BB"/>
    <w:rsid w:val="00090555"/>
    <w:rsid w:val="0009076F"/>
    <w:rsid w:val="00091616"/>
    <w:rsid w:val="00091A71"/>
    <w:rsid w:val="0009225C"/>
    <w:rsid w:val="00093F69"/>
    <w:rsid w:val="00094033"/>
    <w:rsid w:val="00094392"/>
    <w:rsid w:val="000943CD"/>
    <w:rsid w:val="00094477"/>
    <w:rsid w:val="0009500A"/>
    <w:rsid w:val="00096051"/>
    <w:rsid w:val="00096E66"/>
    <w:rsid w:val="00097BB9"/>
    <w:rsid w:val="00097E3A"/>
    <w:rsid w:val="000A01C8"/>
    <w:rsid w:val="000A0400"/>
    <w:rsid w:val="000A17C4"/>
    <w:rsid w:val="000A18C8"/>
    <w:rsid w:val="000A237B"/>
    <w:rsid w:val="000A32B1"/>
    <w:rsid w:val="000A36A4"/>
    <w:rsid w:val="000A3F4B"/>
    <w:rsid w:val="000A4643"/>
    <w:rsid w:val="000A4AC2"/>
    <w:rsid w:val="000A536D"/>
    <w:rsid w:val="000B068B"/>
    <w:rsid w:val="000B1146"/>
    <w:rsid w:val="000B16CA"/>
    <w:rsid w:val="000B2133"/>
    <w:rsid w:val="000B2352"/>
    <w:rsid w:val="000B3D87"/>
    <w:rsid w:val="000B3D94"/>
    <w:rsid w:val="000B4A6D"/>
    <w:rsid w:val="000B5321"/>
    <w:rsid w:val="000B57C7"/>
    <w:rsid w:val="000B6B75"/>
    <w:rsid w:val="000C062F"/>
    <w:rsid w:val="000C2347"/>
    <w:rsid w:val="000C2549"/>
    <w:rsid w:val="000C3666"/>
    <w:rsid w:val="000C383F"/>
    <w:rsid w:val="000C41E8"/>
    <w:rsid w:val="000C6ABE"/>
    <w:rsid w:val="000C6BEE"/>
    <w:rsid w:val="000C6E9E"/>
    <w:rsid w:val="000C7B84"/>
    <w:rsid w:val="000D175D"/>
    <w:rsid w:val="000D1BEC"/>
    <w:rsid w:val="000D261B"/>
    <w:rsid w:val="000D3808"/>
    <w:rsid w:val="000D40F6"/>
    <w:rsid w:val="000D468F"/>
    <w:rsid w:val="000D4830"/>
    <w:rsid w:val="000D500E"/>
    <w:rsid w:val="000D50C4"/>
    <w:rsid w:val="000D50FC"/>
    <w:rsid w:val="000D58A3"/>
    <w:rsid w:val="000D5CA9"/>
    <w:rsid w:val="000D61B5"/>
    <w:rsid w:val="000D69FD"/>
    <w:rsid w:val="000D6A7C"/>
    <w:rsid w:val="000D6BFC"/>
    <w:rsid w:val="000E068E"/>
    <w:rsid w:val="000E1547"/>
    <w:rsid w:val="000E174E"/>
    <w:rsid w:val="000E18B6"/>
    <w:rsid w:val="000E252E"/>
    <w:rsid w:val="000E2B6F"/>
    <w:rsid w:val="000E3079"/>
    <w:rsid w:val="000E3508"/>
    <w:rsid w:val="000E35C1"/>
    <w:rsid w:val="000E3740"/>
    <w:rsid w:val="000E3AA8"/>
    <w:rsid w:val="000E3ABF"/>
    <w:rsid w:val="000E3ED4"/>
    <w:rsid w:val="000E3F9C"/>
    <w:rsid w:val="000E5238"/>
    <w:rsid w:val="000E5E08"/>
    <w:rsid w:val="000E65EE"/>
    <w:rsid w:val="000E67EC"/>
    <w:rsid w:val="000E6C63"/>
    <w:rsid w:val="000E6FE0"/>
    <w:rsid w:val="000E7493"/>
    <w:rsid w:val="000F060A"/>
    <w:rsid w:val="000F1550"/>
    <w:rsid w:val="000F2190"/>
    <w:rsid w:val="000F24F7"/>
    <w:rsid w:val="000F251B"/>
    <w:rsid w:val="000F26FB"/>
    <w:rsid w:val="000F33B3"/>
    <w:rsid w:val="000F4329"/>
    <w:rsid w:val="000F55F2"/>
    <w:rsid w:val="000F5C1F"/>
    <w:rsid w:val="000F5FE8"/>
    <w:rsid w:val="000F6644"/>
    <w:rsid w:val="00100833"/>
    <w:rsid w:val="00100945"/>
    <w:rsid w:val="00100B58"/>
    <w:rsid w:val="00100C20"/>
    <w:rsid w:val="0010124E"/>
    <w:rsid w:val="00101698"/>
    <w:rsid w:val="00101DD2"/>
    <w:rsid w:val="001026E5"/>
    <w:rsid w:val="00102F40"/>
    <w:rsid w:val="00102F72"/>
    <w:rsid w:val="00102F9D"/>
    <w:rsid w:val="00103209"/>
    <w:rsid w:val="001035CE"/>
    <w:rsid w:val="00103EAB"/>
    <w:rsid w:val="001042B1"/>
    <w:rsid w:val="0010444F"/>
    <w:rsid w:val="001053E6"/>
    <w:rsid w:val="00106F19"/>
    <w:rsid w:val="001074F8"/>
    <w:rsid w:val="00107E85"/>
    <w:rsid w:val="00110640"/>
    <w:rsid w:val="00110914"/>
    <w:rsid w:val="00110B67"/>
    <w:rsid w:val="00110ECF"/>
    <w:rsid w:val="00110F23"/>
    <w:rsid w:val="001119E5"/>
    <w:rsid w:val="00111E7D"/>
    <w:rsid w:val="0011253B"/>
    <w:rsid w:val="0011260F"/>
    <w:rsid w:val="00113562"/>
    <w:rsid w:val="00113EE8"/>
    <w:rsid w:val="0011455A"/>
    <w:rsid w:val="00114834"/>
    <w:rsid w:val="00114A65"/>
    <w:rsid w:val="00114F3A"/>
    <w:rsid w:val="001179CA"/>
    <w:rsid w:val="001212EE"/>
    <w:rsid w:val="00121846"/>
    <w:rsid w:val="0012289D"/>
    <w:rsid w:val="00122C86"/>
    <w:rsid w:val="001236B2"/>
    <w:rsid w:val="0012381C"/>
    <w:rsid w:val="0012436C"/>
    <w:rsid w:val="00124A18"/>
    <w:rsid w:val="0012502F"/>
    <w:rsid w:val="001269EE"/>
    <w:rsid w:val="001270AE"/>
    <w:rsid w:val="0012721C"/>
    <w:rsid w:val="00127E12"/>
    <w:rsid w:val="001308AD"/>
    <w:rsid w:val="00131607"/>
    <w:rsid w:val="001327DD"/>
    <w:rsid w:val="00132A4D"/>
    <w:rsid w:val="00133061"/>
    <w:rsid w:val="00133300"/>
    <w:rsid w:val="00133984"/>
    <w:rsid w:val="00133DCA"/>
    <w:rsid w:val="00134891"/>
    <w:rsid w:val="00134A65"/>
    <w:rsid w:val="00134BFA"/>
    <w:rsid w:val="001350D7"/>
    <w:rsid w:val="0013591E"/>
    <w:rsid w:val="00135F19"/>
    <w:rsid w:val="00136818"/>
    <w:rsid w:val="00136B1E"/>
    <w:rsid w:val="00136CA3"/>
    <w:rsid w:val="00136DEA"/>
    <w:rsid w:val="00137B41"/>
    <w:rsid w:val="00140FDB"/>
    <w:rsid w:val="00141699"/>
    <w:rsid w:val="001423E1"/>
    <w:rsid w:val="0014265F"/>
    <w:rsid w:val="00143527"/>
    <w:rsid w:val="00143DF3"/>
    <w:rsid w:val="00144D06"/>
    <w:rsid w:val="00147000"/>
    <w:rsid w:val="0014735B"/>
    <w:rsid w:val="0015045F"/>
    <w:rsid w:val="001505A7"/>
    <w:rsid w:val="00151571"/>
    <w:rsid w:val="001520A6"/>
    <w:rsid w:val="0015272F"/>
    <w:rsid w:val="00152929"/>
    <w:rsid w:val="00153952"/>
    <w:rsid w:val="001539C5"/>
    <w:rsid w:val="00153FEF"/>
    <w:rsid w:val="00154673"/>
    <w:rsid w:val="00156E88"/>
    <w:rsid w:val="00157AD3"/>
    <w:rsid w:val="00160752"/>
    <w:rsid w:val="00160BFB"/>
    <w:rsid w:val="0016124B"/>
    <w:rsid w:val="00161F2D"/>
    <w:rsid w:val="001625E7"/>
    <w:rsid w:val="00162636"/>
    <w:rsid w:val="00162711"/>
    <w:rsid w:val="00162734"/>
    <w:rsid w:val="00162A26"/>
    <w:rsid w:val="00162A3B"/>
    <w:rsid w:val="00163091"/>
    <w:rsid w:val="00163665"/>
    <w:rsid w:val="00163FEF"/>
    <w:rsid w:val="001645CB"/>
    <w:rsid w:val="0016499C"/>
    <w:rsid w:val="00165769"/>
    <w:rsid w:val="00165B3D"/>
    <w:rsid w:val="00166305"/>
    <w:rsid w:val="0016669A"/>
    <w:rsid w:val="00167218"/>
    <w:rsid w:val="0016741D"/>
    <w:rsid w:val="00167545"/>
    <w:rsid w:val="00170013"/>
    <w:rsid w:val="001703C6"/>
    <w:rsid w:val="00171534"/>
    <w:rsid w:val="001717BC"/>
    <w:rsid w:val="0017190E"/>
    <w:rsid w:val="00171DAA"/>
    <w:rsid w:val="00171EFC"/>
    <w:rsid w:val="001723B1"/>
    <w:rsid w:val="00172FE0"/>
    <w:rsid w:val="00173285"/>
    <w:rsid w:val="0017347A"/>
    <w:rsid w:val="00173781"/>
    <w:rsid w:val="001741CB"/>
    <w:rsid w:val="00174A1A"/>
    <w:rsid w:val="00174A70"/>
    <w:rsid w:val="001753F5"/>
    <w:rsid w:val="00175ADF"/>
    <w:rsid w:val="00175CAE"/>
    <w:rsid w:val="00176762"/>
    <w:rsid w:val="00177236"/>
    <w:rsid w:val="001803A3"/>
    <w:rsid w:val="00180F48"/>
    <w:rsid w:val="001828DB"/>
    <w:rsid w:val="00183A69"/>
    <w:rsid w:val="00183F7F"/>
    <w:rsid w:val="00183FDB"/>
    <w:rsid w:val="00184496"/>
    <w:rsid w:val="00184DA4"/>
    <w:rsid w:val="001850FE"/>
    <w:rsid w:val="00185135"/>
    <w:rsid w:val="001867C4"/>
    <w:rsid w:val="0018742A"/>
    <w:rsid w:val="00187724"/>
    <w:rsid w:val="0019037C"/>
    <w:rsid w:val="001905A9"/>
    <w:rsid w:val="001905FA"/>
    <w:rsid w:val="00191273"/>
    <w:rsid w:val="00191403"/>
    <w:rsid w:val="00192169"/>
    <w:rsid w:val="00192257"/>
    <w:rsid w:val="0019226A"/>
    <w:rsid w:val="001922BF"/>
    <w:rsid w:val="001924AB"/>
    <w:rsid w:val="0019287E"/>
    <w:rsid w:val="0019303F"/>
    <w:rsid w:val="00193115"/>
    <w:rsid w:val="001942A7"/>
    <w:rsid w:val="00194A8F"/>
    <w:rsid w:val="0019587B"/>
    <w:rsid w:val="00196049"/>
    <w:rsid w:val="001963CB"/>
    <w:rsid w:val="00196E2F"/>
    <w:rsid w:val="00197B05"/>
    <w:rsid w:val="001A06A4"/>
    <w:rsid w:val="001A0CF3"/>
    <w:rsid w:val="001A15F2"/>
    <w:rsid w:val="001A163D"/>
    <w:rsid w:val="001A1E1E"/>
    <w:rsid w:val="001A210D"/>
    <w:rsid w:val="001A21CE"/>
    <w:rsid w:val="001A2919"/>
    <w:rsid w:val="001A2995"/>
    <w:rsid w:val="001A34E3"/>
    <w:rsid w:val="001A38D5"/>
    <w:rsid w:val="001A441E"/>
    <w:rsid w:val="001A4859"/>
    <w:rsid w:val="001A4FF6"/>
    <w:rsid w:val="001A6121"/>
    <w:rsid w:val="001A6733"/>
    <w:rsid w:val="001A6910"/>
    <w:rsid w:val="001A6FA2"/>
    <w:rsid w:val="001B1FD2"/>
    <w:rsid w:val="001B255E"/>
    <w:rsid w:val="001B282C"/>
    <w:rsid w:val="001B2A1A"/>
    <w:rsid w:val="001B341E"/>
    <w:rsid w:val="001B357F"/>
    <w:rsid w:val="001B3B90"/>
    <w:rsid w:val="001B4016"/>
    <w:rsid w:val="001B46EC"/>
    <w:rsid w:val="001B669C"/>
    <w:rsid w:val="001B6A21"/>
    <w:rsid w:val="001B734E"/>
    <w:rsid w:val="001B75B8"/>
    <w:rsid w:val="001B7621"/>
    <w:rsid w:val="001B7795"/>
    <w:rsid w:val="001C11D1"/>
    <w:rsid w:val="001C12BC"/>
    <w:rsid w:val="001C17DE"/>
    <w:rsid w:val="001C2149"/>
    <w:rsid w:val="001C3444"/>
    <w:rsid w:val="001C3702"/>
    <w:rsid w:val="001C38F4"/>
    <w:rsid w:val="001C4656"/>
    <w:rsid w:val="001C46BC"/>
    <w:rsid w:val="001C5782"/>
    <w:rsid w:val="001C57B9"/>
    <w:rsid w:val="001C6085"/>
    <w:rsid w:val="001C6270"/>
    <w:rsid w:val="001C749B"/>
    <w:rsid w:val="001D018C"/>
    <w:rsid w:val="001D037E"/>
    <w:rsid w:val="001D04A7"/>
    <w:rsid w:val="001D0DC6"/>
    <w:rsid w:val="001D161B"/>
    <w:rsid w:val="001D1BC1"/>
    <w:rsid w:val="001D1E06"/>
    <w:rsid w:val="001D31BA"/>
    <w:rsid w:val="001D3653"/>
    <w:rsid w:val="001D3D40"/>
    <w:rsid w:val="001D4053"/>
    <w:rsid w:val="001D51DF"/>
    <w:rsid w:val="001D5B5A"/>
    <w:rsid w:val="001D5F05"/>
    <w:rsid w:val="001D7865"/>
    <w:rsid w:val="001D7896"/>
    <w:rsid w:val="001D78E3"/>
    <w:rsid w:val="001D7CF6"/>
    <w:rsid w:val="001E06D4"/>
    <w:rsid w:val="001E0A46"/>
    <w:rsid w:val="001E10C7"/>
    <w:rsid w:val="001E47B2"/>
    <w:rsid w:val="001E486F"/>
    <w:rsid w:val="001E5829"/>
    <w:rsid w:val="001E5B86"/>
    <w:rsid w:val="001E5D41"/>
    <w:rsid w:val="001E69F1"/>
    <w:rsid w:val="001E751F"/>
    <w:rsid w:val="001E771F"/>
    <w:rsid w:val="001E77A4"/>
    <w:rsid w:val="001F1A7B"/>
    <w:rsid w:val="001F23E6"/>
    <w:rsid w:val="001F28D1"/>
    <w:rsid w:val="001F4238"/>
    <w:rsid w:val="001F5B1E"/>
    <w:rsid w:val="001F7CC8"/>
    <w:rsid w:val="001F7D35"/>
    <w:rsid w:val="00200356"/>
    <w:rsid w:val="002005DA"/>
    <w:rsid w:val="00200A38"/>
    <w:rsid w:val="00200A46"/>
    <w:rsid w:val="00200F0F"/>
    <w:rsid w:val="00201A0A"/>
    <w:rsid w:val="002020EF"/>
    <w:rsid w:val="00202A2E"/>
    <w:rsid w:val="00202ADD"/>
    <w:rsid w:val="00202F61"/>
    <w:rsid w:val="00203A56"/>
    <w:rsid w:val="00204DEE"/>
    <w:rsid w:val="00205836"/>
    <w:rsid w:val="00205D4A"/>
    <w:rsid w:val="00205F62"/>
    <w:rsid w:val="002062F8"/>
    <w:rsid w:val="00206956"/>
    <w:rsid w:val="00206CE5"/>
    <w:rsid w:val="00207CED"/>
    <w:rsid w:val="00207F0B"/>
    <w:rsid w:val="00207FC0"/>
    <w:rsid w:val="002104C7"/>
    <w:rsid w:val="002106E9"/>
    <w:rsid w:val="00210AFB"/>
    <w:rsid w:val="00211AA5"/>
    <w:rsid w:val="00211B6F"/>
    <w:rsid w:val="0021250C"/>
    <w:rsid w:val="00213821"/>
    <w:rsid w:val="0021440D"/>
    <w:rsid w:val="00214F4E"/>
    <w:rsid w:val="00215418"/>
    <w:rsid w:val="00215A5B"/>
    <w:rsid w:val="00215C23"/>
    <w:rsid w:val="00216392"/>
    <w:rsid w:val="0021692A"/>
    <w:rsid w:val="002178A0"/>
    <w:rsid w:val="00217CC3"/>
    <w:rsid w:val="00217F9C"/>
    <w:rsid w:val="00220199"/>
    <w:rsid w:val="0022019A"/>
    <w:rsid w:val="002204D3"/>
    <w:rsid w:val="002206AD"/>
    <w:rsid w:val="002208C3"/>
    <w:rsid w:val="00220AB6"/>
    <w:rsid w:val="00220CC3"/>
    <w:rsid w:val="00220D80"/>
    <w:rsid w:val="0022120F"/>
    <w:rsid w:val="002216B0"/>
    <w:rsid w:val="002226D5"/>
    <w:rsid w:val="00222749"/>
    <w:rsid w:val="00222C48"/>
    <w:rsid w:val="00222D80"/>
    <w:rsid w:val="002230A7"/>
    <w:rsid w:val="0022351F"/>
    <w:rsid w:val="00223CDD"/>
    <w:rsid w:val="00225675"/>
    <w:rsid w:val="00225DDD"/>
    <w:rsid w:val="002265A3"/>
    <w:rsid w:val="002272D2"/>
    <w:rsid w:val="0022754A"/>
    <w:rsid w:val="00227D5C"/>
    <w:rsid w:val="002315C6"/>
    <w:rsid w:val="0023179C"/>
    <w:rsid w:val="002317CB"/>
    <w:rsid w:val="00231E3E"/>
    <w:rsid w:val="00232368"/>
    <w:rsid w:val="00232DEE"/>
    <w:rsid w:val="002341E4"/>
    <w:rsid w:val="00234C96"/>
    <w:rsid w:val="00235BA4"/>
    <w:rsid w:val="00235E6F"/>
    <w:rsid w:val="00236560"/>
    <w:rsid w:val="0023662E"/>
    <w:rsid w:val="00237A88"/>
    <w:rsid w:val="00237C8D"/>
    <w:rsid w:val="00237E37"/>
    <w:rsid w:val="00240660"/>
    <w:rsid w:val="002410D5"/>
    <w:rsid w:val="002411A4"/>
    <w:rsid w:val="002415ED"/>
    <w:rsid w:val="0024165B"/>
    <w:rsid w:val="00244234"/>
    <w:rsid w:val="002443A3"/>
    <w:rsid w:val="00245D0F"/>
    <w:rsid w:val="00246390"/>
    <w:rsid w:val="00251ACD"/>
    <w:rsid w:val="00251EDE"/>
    <w:rsid w:val="002525D6"/>
    <w:rsid w:val="002525FE"/>
    <w:rsid w:val="0025281E"/>
    <w:rsid w:val="00252BCE"/>
    <w:rsid w:val="00253463"/>
    <w:rsid w:val="00253917"/>
    <w:rsid w:val="002548C3"/>
    <w:rsid w:val="0025785F"/>
    <w:rsid w:val="00257AC9"/>
    <w:rsid w:val="00257ACD"/>
    <w:rsid w:val="00257AFD"/>
    <w:rsid w:val="00257C6E"/>
    <w:rsid w:val="00257F8E"/>
    <w:rsid w:val="0026006E"/>
    <w:rsid w:val="002606AC"/>
    <w:rsid w:val="0026079B"/>
    <w:rsid w:val="00260FCF"/>
    <w:rsid w:val="0026141C"/>
    <w:rsid w:val="00261783"/>
    <w:rsid w:val="002617A4"/>
    <w:rsid w:val="00261DD7"/>
    <w:rsid w:val="00262908"/>
    <w:rsid w:val="00263DFE"/>
    <w:rsid w:val="002650F4"/>
    <w:rsid w:val="00265A2E"/>
    <w:rsid w:val="00267CB6"/>
    <w:rsid w:val="00267F33"/>
    <w:rsid w:val="00270263"/>
    <w:rsid w:val="00270351"/>
    <w:rsid w:val="00270E8F"/>
    <w:rsid w:val="00270F21"/>
    <w:rsid w:val="002712E0"/>
    <w:rsid w:val="002715FD"/>
    <w:rsid w:val="00274A1E"/>
    <w:rsid w:val="00274FAB"/>
    <w:rsid w:val="00275163"/>
    <w:rsid w:val="00275365"/>
    <w:rsid w:val="0027560D"/>
    <w:rsid w:val="00275C4B"/>
    <w:rsid w:val="0027645B"/>
    <w:rsid w:val="002767CC"/>
    <w:rsid w:val="00276C93"/>
    <w:rsid w:val="002770B1"/>
    <w:rsid w:val="00277591"/>
    <w:rsid w:val="00282756"/>
    <w:rsid w:val="00282FFC"/>
    <w:rsid w:val="002835F8"/>
    <w:rsid w:val="00284C62"/>
    <w:rsid w:val="0028506D"/>
    <w:rsid w:val="002859B2"/>
    <w:rsid w:val="00285B33"/>
    <w:rsid w:val="00286AFD"/>
    <w:rsid w:val="00286C50"/>
    <w:rsid w:val="00287667"/>
    <w:rsid w:val="00287A3C"/>
    <w:rsid w:val="00290538"/>
    <w:rsid w:val="00290F23"/>
    <w:rsid w:val="00291229"/>
    <w:rsid w:val="0029138F"/>
    <w:rsid w:val="00291E17"/>
    <w:rsid w:val="00293F8B"/>
    <w:rsid w:val="00293FCE"/>
    <w:rsid w:val="00294363"/>
    <w:rsid w:val="0029524C"/>
    <w:rsid w:val="00295618"/>
    <w:rsid w:val="002958F6"/>
    <w:rsid w:val="00296CB4"/>
    <w:rsid w:val="002A0F3B"/>
    <w:rsid w:val="002A215F"/>
    <w:rsid w:val="002A2515"/>
    <w:rsid w:val="002A2FC6"/>
    <w:rsid w:val="002A3F25"/>
    <w:rsid w:val="002A3FE5"/>
    <w:rsid w:val="002A497F"/>
    <w:rsid w:val="002A4D1B"/>
    <w:rsid w:val="002A4EE5"/>
    <w:rsid w:val="002A6911"/>
    <w:rsid w:val="002A7257"/>
    <w:rsid w:val="002A7B79"/>
    <w:rsid w:val="002B0F72"/>
    <w:rsid w:val="002B0FA0"/>
    <w:rsid w:val="002B11D5"/>
    <w:rsid w:val="002B198C"/>
    <w:rsid w:val="002B1C44"/>
    <w:rsid w:val="002B2B05"/>
    <w:rsid w:val="002B439A"/>
    <w:rsid w:val="002B4B2C"/>
    <w:rsid w:val="002B5836"/>
    <w:rsid w:val="002B5CBA"/>
    <w:rsid w:val="002B5F5A"/>
    <w:rsid w:val="002B5F6F"/>
    <w:rsid w:val="002B6738"/>
    <w:rsid w:val="002C0D84"/>
    <w:rsid w:val="002C0FF5"/>
    <w:rsid w:val="002C18AC"/>
    <w:rsid w:val="002C1A95"/>
    <w:rsid w:val="002C1EC7"/>
    <w:rsid w:val="002C3015"/>
    <w:rsid w:val="002C4342"/>
    <w:rsid w:val="002C4ABA"/>
    <w:rsid w:val="002C4E6D"/>
    <w:rsid w:val="002C5CF8"/>
    <w:rsid w:val="002C65F0"/>
    <w:rsid w:val="002C7B02"/>
    <w:rsid w:val="002C7EA3"/>
    <w:rsid w:val="002D0346"/>
    <w:rsid w:val="002D20AE"/>
    <w:rsid w:val="002D223D"/>
    <w:rsid w:val="002D3677"/>
    <w:rsid w:val="002D3727"/>
    <w:rsid w:val="002D3B50"/>
    <w:rsid w:val="002D415D"/>
    <w:rsid w:val="002D498E"/>
    <w:rsid w:val="002D5DD5"/>
    <w:rsid w:val="002D6C61"/>
    <w:rsid w:val="002D7744"/>
    <w:rsid w:val="002E0AAB"/>
    <w:rsid w:val="002E1B97"/>
    <w:rsid w:val="002E2104"/>
    <w:rsid w:val="002E22C6"/>
    <w:rsid w:val="002E2B17"/>
    <w:rsid w:val="002E2CFD"/>
    <w:rsid w:val="002E2DAC"/>
    <w:rsid w:val="002E2E1D"/>
    <w:rsid w:val="002E360E"/>
    <w:rsid w:val="002E586C"/>
    <w:rsid w:val="002E5F29"/>
    <w:rsid w:val="002E63AD"/>
    <w:rsid w:val="002E6963"/>
    <w:rsid w:val="002E6A4A"/>
    <w:rsid w:val="002E6B2D"/>
    <w:rsid w:val="002E6F8F"/>
    <w:rsid w:val="002E7EEF"/>
    <w:rsid w:val="002F00E5"/>
    <w:rsid w:val="002F05D8"/>
    <w:rsid w:val="002F1BEB"/>
    <w:rsid w:val="002F1F20"/>
    <w:rsid w:val="002F24FE"/>
    <w:rsid w:val="002F2D05"/>
    <w:rsid w:val="002F2DE0"/>
    <w:rsid w:val="002F3B72"/>
    <w:rsid w:val="002F3CEE"/>
    <w:rsid w:val="002F5190"/>
    <w:rsid w:val="002F54EE"/>
    <w:rsid w:val="002F5E25"/>
    <w:rsid w:val="002F609A"/>
    <w:rsid w:val="002F6F1E"/>
    <w:rsid w:val="002F7306"/>
    <w:rsid w:val="002F739E"/>
    <w:rsid w:val="00300307"/>
    <w:rsid w:val="00300796"/>
    <w:rsid w:val="00300870"/>
    <w:rsid w:val="00301206"/>
    <w:rsid w:val="00301AE4"/>
    <w:rsid w:val="00301B41"/>
    <w:rsid w:val="003020F5"/>
    <w:rsid w:val="00302143"/>
    <w:rsid w:val="00302CE1"/>
    <w:rsid w:val="0030353C"/>
    <w:rsid w:val="003042BF"/>
    <w:rsid w:val="003046DD"/>
    <w:rsid w:val="00304BA3"/>
    <w:rsid w:val="00304CC2"/>
    <w:rsid w:val="003050E9"/>
    <w:rsid w:val="00306724"/>
    <w:rsid w:val="00306B5F"/>
    <w:rsid w:val="00307769"/>
    <w:rsid w:val="00307F07"/>
    <w:rsid w:val="003108C1"/>
    <w:rsid w:val="003108F5"/>
    <w:rsid w:val="00311E9F"/>
    <w:rsid w:val="003123DF"/>
    <w:rsid w:val="003125C3"/>
    <w:rsid w:val="003128B8"/>
    <w:rsid w:val="00312AE6"/>
    <w:rsid w:val="003135C8"/>
    <w:rsid w:val="0031473D"/>
    <w:rsid w:val="00314A98"/>
    <w:rsid w:val="00314C02"/>
    <w:rsid w:val="00315155"/>
    <w:rsid w:val="00316164"/>
    <w:rsid w:val="00316F8E"/>
    <w:rsid w:val="00317D1A"/>
    <w:rsid w:val="00320FDD"/>
    <w:rsid w:val="003211FF"/>
    <w:rsid w:val="00322D20"/>
    <w:rsid w:val="00322F3B"/>
    <w:rsid w:val="00323693"/>
    <w:rsid w:val="00323FE8"/>
    <w:rsid w:val="003242AB"/>
    <w:rsid w:val="0032579F"/>
    <w:rsid w:val="00325868"/>
    <w:rsid w:val="00326380"/>
    <w:rsid w:val="0032670F"/>
    <w:rsid w:val="0032683E"/>
    <w:rsid w:val="00326854"/>
    <w:rsid w:val="00326B38"/>
    <w:rsid w:val="00326BD8"/>
    <w:rsid w:val="00327247"/>
    <w:rsid w:val="0032774B"/>
    <w:rsid w:val="003278A9"/>
    <w:rsid w:val="00327A9D"/>
    <w:rsid w:val="00330382"/>
    <w:rsid w:val="00330E20"/>
    <w:rsid w:val="00330FE0"/>
    <w:rsid w:val="00331009"/>
    <w:rsid w:val="0033104B"/>
    <w:rsid w:val="0033130E"/>
    <w:rsid w:val="00331670"/>
    <w:rsid w:val="003318E7"/>
    <w:rsid w:val="0033269C"/>
    <w:rsid w:val="00332D8C"/>
    <w:rsid w:val="00333131"/>
    <w:rsid w:val="00335931"/>
    <w:rsid w:val="00335DB1"/>
    <w:rsid w:val="00336D91"/>
    <w:rsid w:val="003407FA"/>
    <w:rsid w:val="0034155C"/>
    <w:rsid w:val="00342B40"/>
    <w:rsid w:val="0034404A"/>
    <w:rsid w:val="00344764"/>
    <w:rsid w:val="00346555"/>
    <w:rsid w:val="00346BEB"/>
    <w:rsid w:val="003470D2"/>
    <w:rsid w:val="00350394"/>
    <w:rsid w:val="00350950"/>
    <w:rsid w:val="00350A8D"/>
    <w:rsid w:val="00351543"/>
    <w:rsid w:val="003517BA"/>
    <w:rsid w:val="00351C79"/>
    <w:rsid w:val="00351FE2"/>
    <w:rsid w:val="00352228"/>
    <w:rsid w:val="003522A9"/>
    <w:rsid w:val="00352D9A"/>
    <w:rsid w:val="0035383E"/>
    <w:rsid w:val="0035516C"/>
    <w:rsid w:val="0035530A"/>
    <w:rsid w:val="00355673"/>
    <w:rsid w:val="00355A0D"/>
    <w:rsid w:val="00355A4C"/>
    <w:rsid w:val="003563C3"/>
    <w:rsid w:val="0035752E"/>
    <w:rsid w:val="003604FB"/>
    <w:rsid w:val="00360B73"/>
    <w:rsid w:val="003619CC"/>
    <w:rsid w:val="003626D3"/>
    <w:rsid w:val="003627C3"/>
    <w:rsid w:val="00362FCA"/>
    <w:rsid w:val="00364161"/>
    <w:rsid w:val="00364F91"/>
    <w:rsid w:val="0036531C"/>
    <w:rsid w:val="003673F2"/>
    <w:rsid w:val="003674F9"/>
    <w:rsid w:val="00367B06"/>
    <w:rsid w:val="00374B19"/>
    <w:rsid w:val="00374DD4"/>
    <w:rsid w:val="0037700B"/>
    <w:rsid w:val="003777F8"/>
    <w:rsid w:val="003806B8"/>
    <w:rsid w:val="00380B71"/>
    <w:rsid w:val="0038365A"/>
    <w:rsid w:val="003837E3"/>
    <w:rsid w:val="003848B4"/>
    <w:rsid w:val="00385D51"/>
    <w:rsid w:val="00386408"/>
    <w:rsid w:val="003867E6"/>
    <w:rsid w:val="00386936"/>
    <w:rsid w:val="003869C2"/>
    <w:rsid w:val="00386A89"/>
    <w:rsid w:val="0038760B"/>
    <w:rsid w:val="0039060B"/>
    <w:rsid w:val="0039181D"/>
    <w:rsid w:val="00391B26"/>
    <w:rsid w:val="00391B98"/>
    <w:rsid w:val="00392A29"/>
    <w:rsid w:val="00392C95"/>
    <w:rsid w:val="003939D4"/>
    <w:rsid w:val="00394A30"/>
    <w:rsid w:val="00395AC8"/>
    <w:rsid w:val="00395C8A"/>
    <w:rsid w:val="00396362"/>
    <w:rsid w:val="0039648E"/>
    <w:rsid w:val="0039673E"/>
    <w:rsid w:val="00396AD2"/>
    <w:rsid w:val="003A0468"/>
    <w:rsid w:val="003A0C71"/>
    <w:rsid w:val="003A2702"/>
    <w:rsid w:val="003A32F6"/>
    <w:rsid w:val="003A46A4"/>
    <w:rsid w:val="003A4E67"/>
    <w:rsid w:val="003A5AFE"/>
    <w:rsid w:val="003A5D5F"/>
    <w:rsid w:val="003A6D81"/>
    <w:rsid w:val="003A6DAA"/>
    <w:rsid w:val="003A7FFE"/>
    <w:rsid w:val="003B0A63"/>
    <w:rsid w:val="003B107F"/>
    <w:rsid w:val="003B2F06"/>
    <w:rsid w:val="003B3448"/>
    <w:rsid w:val="003B3E19"/>
    <w:rsid w:val="003B3FE1"/>
    <w:rsid w:val="003B40A4"/>
    <w:rsid w:val="003B4E79"/>
    <w:rsid w:val="003B50E1"/>
    <w:rsid w:val="003B51CB"/>
    <w:rsid w:val="003B585C"/>
    <w:rsid w:val="003B65AB"/>
    <w:rsid w:val="003B7585"/>
    <w:rsid w:val="003B7653"/>
    <w:rsid w:val="003B7A09"/>
    <w:rsid w:val="003B7B0A"/>
    <w:rsid w:val="003C04B9"/>
    <w:rsid w:val="003C1278"/>
    <w:rsid w:val="003C1746"/>
    <w:rsid w:val="003C2AA9"/>
    <w:rsid w:val="003C44C4"/>
    <w:rsid w:val="003C4729"/>
    <w:rsid w:val="003C58BF"/>
    <w:rsid w:val="003C6255"/>
    <w:rsid w:val="003C7EF3"/>
    <w:rsid w:val="003D03C4"/>
    <w:rsid w:val="003D0CBE"/>
    <w:rsid w:val="003D280E"/>
    <w:rsid w:val="003D292B"/>
    <w:rsid w:val="003D2EE4"/>
    <w:rsid w:val="003D3132"/>
    <w:rsid w:val="003D3634"/>
    <w:rsid w:val="003D3CEE"/>
    <w:rsid w:val="003D3E09"/>
    <w:rsid w:val="003D451D"/>
    <w:rsid w:val="003D4CCA"/>
    <w:rsid w:val="003D589C"/>
    <w:rsid w:val="003D6261"/>
    <w:rsid w:val="003D6AC0"/>
    <w:rsid w:val="003D741E"/>
    <w:rsid w:val="003E06B1"/>
    <w:rsid w:val="003E0849"/>
    <w:rsid w:val="003E272F"/>
    <w:rsid w:val="003E2BE1"/>
    <w:rsid w:val="003E2D6B"/>
    <w:rsid w:val="003E3C22"/>
    <w:rsid w:val="003E5436"/>
    <w:rsid w:val="003E5B0B"/>
    <w:rsid w:val="003E754B"/>
    <w:rsid w:val="003E79F4"/>
    <w:rsid w:val="003F0277"/>
    <w:rsid w:val="003F0545"/>
    <w:rsid w:val="003F2687"/>
    <w:rsid w:val="003F2DD8"/>
    <w:rsid w:val="003F3F1E"/>
    <w:rsid w:val="003F3F2D"/>
    <w:rsid w:val="003F4534"/>
    <w:rsid w:val="003F4E3D"/>
    <w:rsid w:val="003F4F61"/>
    <w:rsid w:val="003F50B2"/>
    <w:rsid w:val="003F5C35"/>
    <w:rsid w:val="003F5C50"/>
    <w:rsid w:val="003F6838"/>
    <w:rsid w:val="003F73E1"/>
    <w:rsid w:val="003F785E"/>
    <w:rsid w:val="00400CA3"/>
    <w:rsid w:val="00400CCF"/>
    <w:rsid w:val="004012FF"/>
    <w:rsid w:val="004015ED"/>
    <w:rsid w:val="00401711"/>
    <w:rsid w:val="00401BFF"/>
    <w:rsid w:val="00402773"/>
    <w:rsid w:val="00402AEE"/>
    <w:rsid w:val="004032B8"/>
    <w:rsid w:val="0040334F"/>
    <w:rsid w:val="00404179"/>
    <w:rsid w:val="004042F9"/>
    <w:rsid w:val="00404424"/>
    <w:rsid w:val="00404450"/>
    <w:rsid w:val="00404AAE"/>
    <w:rsid w:val="00404BAC"/>
    <w:rsid w:val="00404C03"/>
    <w:rsid w:val="00406C27"/>
    <w:rsid w:val="004071A8"/>
    <w:rsid w:val="0040729B"/>
    <w:rsid w:val="004076EE"/>
    <w:rsid w:val="00410613"/>
    <w:rsid w:val="0041156B"/>
    <w:rsid w:val="004118F6"/>
    <w:rsid w:val="00412207"/>
    <w:rsid w:val="004122C5"/>
    <w:rsid w:val="00412760"/>
    <w:rsid w:val="00412BC3"/>
    <w:rsid w:val="00412E8A"/>
    <w:rsid w:val="004132EF"/>
    <w:rsid w:val="00413B78"/>
    <w:rsid w:val="004146FD"/>
    <w:rsid w:val="004153EE"/>
    <w:rsid w:val="0041652E"/>
    <w:rsid w:val="00416DDE"/>
    <w:rsid w:val="00417AB5"/>
    <w:rsid w:val="00417BC1"/>
    <w:rsid w:val="00420720"/>
    <w:rsid w:val="00420E53"/>
    <w:rsid w:val="004210D2"/>
    <w:rsid w:val="00421175"/>
    <w:rsid w:val="004212F2"/>
    <w:rsid w:val="004212FD"/>
    <w:rsid w:val="004213E1"/>
    <w:rsid w:val="00422604"/>
    <w:rsid w:val="00422F75"/>
    <w:rsid w:val="004244E2"/>
    <w:rsid w:val="00425089"/>
    <w:rsid w:val="004253FD"/>
    <w:rsid w:val="00425A38"/>
    <w:rsid w:val="004261F8"/>
    <w:rsid w:val="004268F1"/>
    <w:rsid w:val="00426C11"/>
    <w:rsid w:val="004304EF"/>
    <w:rsid w:val="004318B7"/>
    <w:rsid w:val="00431DCB"/>
    <w:rsid w:val="00432329"/>
    <w:rsid w:val="00432BA2"/>
    <w:rsid w:val="00432F0D"/>
    <w:rsid w:val="00432FBE"/>
    <w:rsid w:val="00433F81"/>
    <w:rsid w:val="004344E7"/>
    <w:rsid w:val="00434C39"/>
    <w:rsid w:val="0043619E"/>
    <w:rsid w:val="004361C2"/>
    <w:rsid w:val="00436C1D"/>
    <w:rsid w:val="0043740B"/>
    <w:rsid w:val="00437D71"/>
    <w:rsid w:val="00440053"/>
    <w:rsid w:val="00440257"/>
    <w:rsid w:val="0044042B"/>
    <w:rsid w:val="004412A3"/>
    <w:rsid w:val="0044158E"/>
    <w:rsid w:val="00441716"/>
    <w:rsid w:val="00441B49"/>
    <w:rsid w:val="0044233B"/>
    <w:rsid w:val="0044255E"/>
    <w:rsid w:val="004435ED"/>
    <w:rsid w:val="00443CD8"/>
    <w:rsid w:val="0044411E"/>
    <w:rsid w:val="0044447C"/>
    <w:rsid w:val="004459DF"/>
    <w:rsid w:val="00445FA4"/>
    <w:rsid w:val="004470E3"/>
    <w:rsid w:val="00447E6E"/>
    <w:rsid w:val="00450BD2"/>
    <w:rsid w:val="00453435"/>
    <w:rsid w:val="00453D8A"/>
    <w:rsid w:val="00455170"/>
    <w:rsid w:val="00456765"/>
    <w:rsid w:val="004575C8"/>
    <w:rsid w:val="00460089"/>
    <w:rsid w:val="00460B1C"/>
    <w:rsid w:val="00460F76"/>
    <w:rsid w:val="0046141C"/>
    <w:rsid w:val="00461BD9"/>
    <w:rsid w:val="00461F9D"/>
    <w:rsid w:val="00462208"/>
    <w:rsid w:val="00463089"/>
    <w:rsid w:val="00463B96"/>
    <w:rsid w:val="00464383"/>
    <w:rsid w:val="004644F6"/>
    <w:rsid w:val="004646A7"/>
    <w:rsid w:val="00464FA5"/>
    <w:rsid w:val="00466398"/>
    <w:rsid w:val="00466C83"/>
    <w:rsid w:val="004712A4"/>
    <w:rsid w:val="00472B16"/>
    <w:rsid w:val="0047306D"/>
    <w:rsid w:val="00473107"/>
    <w:rsid w:val="00473791"/>
    <w:rsid w:val="00474FB1"/>
    <w:rsid w:val="00475305"/>
    <w:rsid w:val="00475529"/>
    <w:rsid w:val="00475959"/>
    <w:rsid w:val="0047619F"/>
    <w:rsid w:val="00476559"/>
    <w:rsid w:val="004765C0"/>
    <w:rsid w:val="00476E48"/>
    <w:rsid w:val="004771A7"/>
    <w:rsid w:val="00480259"/>
    <w:rsid w:val="00480A9A"/>
    <w:rsid w:val="00480C7C"/>
    <w:rsid w:val="004818ED"/>
    <w:rsid w:val="00481DE9"/>
    <w:rsid w:val="00482C12"/>
    <w:rsid w:val="00483C5E"/>
    <w:rsid w:val="00484B2D"/>
    <w:rsid w:val="00484CEF"/>
    <w:rsid w:val="004851FF"/>
    <w:rsid w:val="0048691C"/>
    <w:rsid w:val="00487121"/>
    <w:rsid w:val="004901D6"/>
    <w:rsid w:val="004902C0"/>
    <w:rsid w:val="004908A7"/>
    <w:rsid w:val="00490C57"/>
    <w:rsid w:val="00490C76"/>
    <w:rsid w:val="004910FA"/>
    <w:rsid w:val="0049128B"/>
    <w:rsid w:val="00491391"/>
    <w:rsid w:val="0049151B"/>
    <w:rsid w:val="00491705"/>
    <w:rsid w:val="0049289A"/>
    <w:rsid w:val="00493388"/>
    <w:rsid w:val="00493B31"/>
    <w:rsid w:val="00493B49"/>
    <w:rsid w:val="00493DC7"/>
    <w:rsid w:val="00493E1D"/>
    <w:rsid w:val="00494808"/>
    <w:rsid w:val="00495501"/>
    <w:rsid w:val="00495BBA"/>
    <w:rsid w:val="00495D95"/>
    <w:rsid w:val="004969FE"/>
    <w:rsid w:val="00496E74"/>
    <w:rsid w:val="0049748F"/>
    <w:rsid w:val="00497CE0"/>
    <w:rsid w:val="004A0372"/>
    <w:rsid w:val="004A070A"/>
    <w:rsid w:val="004A076E"/>
    <w:rsid w:val="004A1F72"/>
    <w:rsid w:val="004A21C4"/>
    <w:rsid w:val="004A2336"/>
    <w:rsid w:val="004A301E"/>
    <w:rsid w:val="004A320E"/>
    <w:rsid w:val="004A331C"/>
    <w:rsid w:val="004A385A"/>
    <w:rsid w:val="004A4E9C"/>
    <w:rsid w:val="004A51BF"/>
    <w:rsid w:val="004A6867"/>
    <w:rsid w:val="004A7857"/>
    <w:rsid w:val="004B11BE"/>
    <w:rsid w:val="004B1A3C"/>
    <w:rsid w:val="004B2A6D"/>
    <w:rsid w:val="004B2CDC"/>
    <w:rsid w:val="004B441D"/>
    <w:rsid w:val="004B465A"/>
    <w:rsid w:val="004B58B4"/>
    <w:rsid w:val="004B616B"/>
    <w:rsid w:val="004B6A0D"/>
    <w:rsid w:val="004B6E3C"/>
    <w:rsid w:val="004B79C3"/>
    <w:rsid w:val="004B7C25"/>
    <w:rsid w:val="004B7DEF"/>
    <w:rsid w:val="004C0402"/>
    <w:rsid w:val="004C0C19"/>
    <w:rsid w:val="004C0E53"/>
    <w:rsid w:val="004C15CC"/>
    <w:rsid w:val="004C2666"/>
    <w:rsid w:val="004C3540"/>
    <w:rsid w:val="004C4830"/>
    <w:rsid w:val="004C4A3E"/>
    <w:rsid w:val="004C4F47"/>
    <w:rsid w:val="004C618A"/>
    <w:rsid w:val="004C62B8"/>
    <w:rsid w:val="004C6E7D"/>
    <w:rsid w:val="004C7016"/>
    <w:rsid w:val="004C79E9"/>
    <w:rsid w:val="004D25F7"/>
    <w:rsid w:val="004D276A"/>
    <w:rsid w:val="004D29FD"/>
    <w:rsid w:val="004D2CC3"/>
    <w:rsid w:val="004D35CB"/>
    <w:rsid w:val="004D3A06"/>
    <w:rsid w:val="004D3F4A"/>
    <w:rsid w:val="004D45E8"/>
    <w:rsid w:val="004D4FE9"/>
    <w:rsid w:val="004D52EF"/>
    <w:rsid w:val="004D6FF4"/>
    <w:rsid w:val="004D7DAB"/>
    <w:rsid w:val="004E0437"/>
    <w:rsid w:val="004E04A5"/>
    <w:rsid w:val="004E13AD"/>
    <w:rsid w:val="004E168B"/>
    <w:rsid w:val="004E17EB"/>
    <w:rsid w:val="004E1B41"/>
    <w:rsid w:val="004E20E5"/>
    <w:rsid w:val="004E2836"/>
    <w:rsid w:val="004E2B62"/>
    <w:rsid w:val="004E2BE6"/>
    <w:rsid w:val="004E4579"/>
    <w:rsid w:val="004E4CE0"/>
    <w:rsid w:val="004E5473"/>
    <w:rsid w:val="004E64EA"/>
    <w:rsid w:val="004E7828"/>
    <w:rsid w:val="004F0BA8"/>
    <w:rsid w:val="004F1193"/>
    <w:rsid w:val="004F18EC"/>
    <w:rsid w:val="004F1BCF"/>
    <w:rsid w:val="004F2262"/>
    <w:rsid w:val="004F2361"/>
    <w:rsid w:val="004F46AA"/>
    <w:rsid w:val="004F4F8E"/>
    <w:rsid w:val="004F568E"/>
    <w:rsid w:val="004F58E2"/>
    <w:rsid w:val="004F6056"/>
    <w:rsid w:val="004F6195"/>
    <w:rsid w:val="004F6A70"/>
    <w:rsid w:val="004F6F9A"/>
    <w:rsid w:val="00500642"/>
    <w:rsid w:val="00500AD7"/>
    <w:rsid w:val="00500CF9"/>
    <w:rsid w:val="00501030"/>
    <w:rsid w:val="00501B50"/>
    <w:rsid w:val="0050289C"/>
    <w:rsid w:val="005028B3"/>
    <w:rsid w:val="005028BA"/>
    <w:rsid w:val="00502ABF"/>
    <w:rsid w:val="0050387B"/>
    <w:rsid w:val="005040F1"/>
    <w:rsid w:val="00504D00"/>
    <w:rsid w:val="00504DB0"/>
    <w:rsid w:val="005050C3"/>
    <w:rsid w:val="005061E6"/>
    <w:rsid w:val="005064EC"/>
    <w:rsid w:val="005078A4"/>
    <w:rsid w:val="00507C35"/>
    <w:rsid w:val="00507FFC"/>
    <w:rsid w:val="00510125"/>
    <w:rsid w:val="00510714"/>
    <w:rsid w:val="00510735"/>
    <w:rsid w:val="00511FF3"/>
    <w:rsid w:val="005123B3"/>
    <w:rsid w:val="0051391D"/>
    <w:rsid w:val="00513E86"/>
    <w:rsid w:val="00514811"/>
    <w:rsid w:val="00514C42"/>
    <w:rsid w:val="00514D2F"/>
    <w:rsid w:val="005167F4"/>
    <w:rsid w:val="00516A9C"/>
    <w:rsid w:val="005173A6"/>
    <w:rsid w:val="00517AD9"/>
    <w:rsid w:val="005202CB"/>
    <w:rsid w:val="005204C0"/>
    <w:rsid w:val="005206EB"/>
    <w:rsid w:val="00522B64"/>
    <w:rsid w:val="005239C0"/>
    <w:rsid w:val="00523C86"/>
    <w:rsid w:val="00524D65"/>
    <w:rsid w:val="00525539"/>
    <w:rsid w:val="0052604F"/>
    <w:rsid w:val="005262AD"/>
    <w:rsid w:val="00526AF8"/>
    <w:rsid w:val="00526B35"/>
    <w:rsid w:val="00526E18"/>
    <w:rsid w:val="005270BE"/>
    <w:rsid w:val="005271CC"/>
    <w:rsid w:val="0052764B"/>
    <w:rsid w:val="00527CE9"/>
    <w:rsid w:val="00527D3F"/>
    <w:rsid w:val="00530526"/>
    <w:rsid w:val="00532695"/>
    <w:rsid w:val="005346F7"/>
    <w:rsid w:val="00534B86"/>
    <w:rsid w:val="005353DB"/>
    <w:rsid w:val="00536130"/>
    <w:rsid w:val="00536E7E"/>
    <w:rsid w:val="00537260"/>
    <w:rsid w:val="005374A1"/>
    <w:rsid w:val="005374E0"/>
    <w:rsid w:val="00542207"/>
    <w:rsid w:val="005425F8"/>
    <w:rsid w:val="005430C3"/>
    <w:rsid w:val="005430F0"/>
    <w:rsid w:val="0054420E"/>
    <w:rsid w:val="00544212"/>
    <w:rsid w:val="005445B3"/>
    <w:rsid w:val="0054499A"/>
    <w:rsid w:val="00544D1B"/>
    <w:rsid w:val="00545828"/>
    <w:rsid w:val="00545AC3"/>
    <w:rsid w:val="00545DC0"/>
    <w:rsid w:val="00545F6C"/>
    <w:rsid w:val="005460D4"/>
    <w:rsid w:val="00546A15"/>
    <w:rsid w:val="005470D9"/>
    <w:rsid w:val="0054775F"/>
    <w:rsid w:val="005477D9"/>
    <w:rsid w:val="00547F19"/>
    <w:rsid w:val="005505EB"/>
    <w:rsid w:val="00550FBA"/>
    <w:rsid w:val="00553718"/>
    <w:rsid w:val="00554ABD"/>
    <w:rsid w:val="00554E41"/>
    <w:rsid w:val="00555323"/>
    <w:rsid w:val="005553E8"/>
    <w:rsid w:val="005562D2"/>
    <w:rsid w:val="0055630A"/>
    <w:rsid w:val="005569C6"/>
    <w:rsid w:val="00557006"/>
    <w:rsid w:val="0055720C"/>
    <w:rsid w:val="005572CE"/>
    <w:rsid w:val="00557C24"/>
    <w:rsid w:val="00561796"/>
    <w:rsid w:val="00562BED"/>
    <w:rsid w:val="00562D7D"/>
    <w:rsid w:val="00563230"/>
    <w:rsid w:val="005632DD"/>
    <w:rsid w:val="00563F4A"/>
    <w:rsid w:val="0056423B"/>
    <w:rsid w:val="005649D4"/>
    <w:rsid w:val="00564C39"/>
    <w:rsid w:val="005658D0"/>
    <w:rsid w:val="0056644E"/>
    <w:rsid w:val="0056689E"/>
    <w:rsid w:val="00566BDC"/>
    <w:rsid w:val="00566CA6"/>
    <w:rsid w:val="00567CCA"/>
    <w:rsid w:val="0057027C"/>
    <w:rsid w:val="005708DE"/>
    <w:rsid w:val="0057164A"/>
    <w:rsid w:val="0057279A"/>
    <w:rsid w:val="00573424"/>
    <w:rsid w:val="005737E7"/>
    <w:rsid w:val="0057402F"/>
    <w:rsid w:val="00574C5A"/>
    <w:rsid w:val="00574F49"/>
    <w:rsid w:val="00575CF9"/>
    <w:rsid w:val="005761B7"/>
    <w:rsid w:val="005764B8"/>
    <w:rsid w:val="005766ED"/>
    <w:rsid w:val="00580E10"/>
    <w:rsid w:val="00581064"/>
    <w:rsid w:val="00581252"/>
    <w:rsid w:val="00581653"/>
    <w:rsid w:val="00581DDE"/>
    <w:rsid w:val="00582029"/>
    <w:rsid w:val="00582C4B"/>
    <w:rsid w:val="00582D05"/>
    <w:rsid w:val="0058350E"/>
    <w:rsid w:val="00584836"/>
    <w:rsid w:val="005849D6"/>
    <w:rsid w:val="005849FD"/>
    <w:rsid w:val="00585149"/>
    <w:rsid w:val="00585367"/>
    <w:rsid w:val="005855E4"/>
    <w:rsid w:val="0058571E"/>
    <w:rsid w:val="00585810"/>
    <w:rsid w:val="005858FD"/>
    <w:rsid w:val="005867B4"/>
    <w:rsid w:val="00586DD6"/>
    <w:rsid w:val="005871A1"/>
    <w:rsid w:val="0058737E"/>
    <w:rsid w:val="005878EB"/>
    <w:rsid w:val="00590023"/>
    <w:rsid w:val="005920D2"/>
    <w:rsid w:val="0059217C"/>
    <w:rsid w:val="00592348"/>
    <w:rsid w:val="00592518"/>
    <w:rsid w:val="005926D0"/>
    <w:rsid w:val="00592E87"/>
    <w:rsid w:val="0059363C"/>
    <w:rsid w:val="0059420B"/>
    <w:rsid w:val="00594C4D"/>
    <w:rsid w:val="00595DB9"/>
    <w:rsid w:val="00597665"/>
    <w:rsid w:val="005976F8"/>
    <w:rsid w:val="005A0518"/>
    <w:rsid w:val="005A0ACB"/>
    <w:rsid w:val="005A0C11"/>
    <w:rsid w:val="005A13AC"/>
    <w:rsid w:val="005A1A03"/>
    <w:rsid w:val="005A2453"/>
    <w:rsid w:val="005A2505"/>
    <w:rsid w:val="005A3271"/>
    <w:rsid w:val="005A33B0"/>
    <w:rsid w:val="005A3FDC"/>
    <w:rsid w:val="005A406D"/>
    <w:rsid w:val="005A4481"/>
    <w:rsid w:val="005A4AB8"/>
    <w:rsid w:val="005A4F5C"/>
    <w:rsid w:val="005A58A6"/>
    <w:rsid w:val="005A727C"/>
    <w:rsid w:val="005A76A0"/>
    <w:rsid w:val="005B0061"/>
    <w:rsid w:val="005B0C9B"/>
    <w:rsid w:val="005B0DDF"/>
    <w:rsid w:val="005B0E74"/>
    <w:rsid w:val="005B11E3"/>
    <w:rsid w:val="005B15A4"/>
    <w:rsid w:val="005B1ACC"/>
    <w:rsid w:val="005B21F1"/>
    <w:rsid w:val="005B2295"/>
    <w:rsid w:val="005B2B24"/>
    <w:rsid w:val="005B2E46"/>
    <w:rsid w:val="005B37A8"/>
    <w:rsid w:val="005B3BEF"/>
    <w:rsid w:val="005B4D80"/>
    <w:rsid w:val="005B6435"/>
    <w:rsid w:val="005B65E9"/>
    <w:rsid w:val="005B664B"/>
    <w:rsid w:val="005B7930"/>
    <w:rsid w:val="005B7BDA"/>
    <w:rsid w:val="005C04DE"/>
    <w:rsid w:val="005C0CDA"/>
    <w:rsid w:val="005C203F"/>
    <w:rsid w:val="005C28A7"/>
    <w:rsid w:val="005C2DC2"/>
    <w:rsid w:val="005C304A"/>
    <w:rsid w:val="005C3080"/>
    <w:rsid w:val="005C3D69"/>
    <w:rsid w:val="005C4361"/>
    <w:rsid w:val="005C5FEB"/>
    <w:rsid w:val="005C6CD0"/>
    <w:rsid w:val="005C6FC4"/>
    <w:rsid w:val="005C78E9"/>
    <w:rsid w:val="005C7C98"/>
    <w:rsid w:val="005D0ABC"/>
    <w:rsid w:val="005D0CE9"/>
    <w:rsid w:val="005D0F9C"/>
    <w:rsid w:val="005D12D3"/>
    <w:rsid w:val="005D1C0E"/>
    <w:rsid w:val="005D1E6D"/>
    <w:rsid w:val="005D2605"/>
    <w:rsid w:val="005D2C3A"/>
    <w:rsid w:val="005D37FB"/>
    <w:rsid w:val="005D4061"/>
    <w:rsid w:val="005D4573"/>
    <w:rsid w:val="005D4FF2"/>
    <w:rsid w:val="005D5023"/>
    <w:rsid w:val="005D527B"/>
    <w:rsid w:val="005D55A4"/>
    <w:rsid w:val="005D57C8"/>
    <w:rsid w:val="005D63D1"/>
    <w:rsid w:val="005D70BA"/>
    <w:rsid w:val="005D7309"/>
    <w:rsid w:val="005D7761"/>
    <w:rsid w:val="005D7CD3"/>
    <w:rsid w:val="005E0278"/>
    <w:rsid w:val="005E05D1"/>
    <w:rsid w:val="005E090D"/>
    <w:rsid w:val="005E18A9"/>
    <w:rsid w:val="005E1F81"/>
    <w:rsid w:val="005E2D6F"/>
    <w:rsid w:val="005E2EBF"/>
    <w:rsid w:val="005E2FFB"/>
    <w:rsid w:val="005E36DF"/>
    <w:rsid w:val="005E38FF"/>
    <w:rsid w:val="005E3CA0"/>
    <w:rsid w:val="005E44B1"/>
    <w:rsid w:val="005E50BC"/>
    <w:rsid w:val="005E538D"/>
    <w:rsid w:val="005E6077"/>
    <w:rsid w:val="005E63FF"/>
    <w:rsid w:val="005E661D"/>
    <w:rsid w:val="005E67B0"/>
    <w:rsid w:val="005E687F"/>
    <w:rsid w:val="005E6E59"/>
    <w:rsid w:val="005E6F46"/>
    <w:rsid w:val="005E7047"/>
    <w:rsid w:val="005E71B9"/>
    <w:rsid w:val="005E777F"/>
    <w:rsid w:val="005E7A0A"/>
    <w:rsid w:val="005E7B5E"/>
    <w:rsid w:val="005E7C4E"/>
    <w:rsid w:val="005F020F"/>
    <w:rsid w:val="005F127B"/>
    <w:rsid w:val="005F1CA7"/>
    <w:rsid w:val="005F1ECF"/>
    <w:rsid w:val="005F229F"/>
    <w:rsid w:val="005F2309"/>
    <w:rsid w:val="005F23E3"/>
    <w:rsid w:val="005F249C"/>
    <w:rsid w:val="005F305B"/>
    <w:rsid w:val="005F3B5E"/>
    <w:rsid w:val="005F4015"/>
    <w:rsid w:val="005F417C"/>
    <w:rsid w:val="005F43DD"/>
    <w:rsid w:val="005F469E"/>
    <w:rsid w:val="005F4969"/>
    <w:rsid w:val="005F51A9"/>
    <w:rsid w:val="005F5B35"/>
    <w:rsid w:val="005F5EDF"/>
    <w:rsid w:val="005F6BE1"/>
    <w:rsid w:val="005F6F7D"/>
    <w:rsid w:val="005F735A"/>
    <w:rsid w:val="005F7416"/>
    <w:rsid w:val="005F74ED"/>
    <w:rsid w:val="005F7C55"/>
    <w:rsid w:val="00600367"/>
    <w:rsid w:val="00600C11"/>
    <w:rsid w:val="0060111E"/>
    <w:rsid w:val="00601582"/>
    <w:rsid w:val="006022D1"/>
    <w:rsid w:val="006025C0"/>
    <w:rsid w:val="00604B41"/>
    <w:rsid w:val="00605EBE"/>
    <w:rsid w:val="006067EB"/>
    <w:rsid w:val="006069BD"/>
    <w:rsid w:val="00606B89"/>
    <w:rsid w:val="006079B5"/>
    <w:rsid w:val="00607AD1"/>
    <w:rsid w:val="00610765"/>
    <w:rsid w:val="0061096C"/>
    <w:rsid w:val="006110C5"/>
    <w:rsid w:val="00611225"/>
    <w:rsid w:val="00611EAF"/>
    <w:rsid w:val="00612B5B"/>
    <w:rsid w:val="006144BF"/>
    <w:rsid w:val="006147BC"/>
    <w:rsid w:val="006147F5"/>
    <w:rsid w:val="00614DC0"/>
    <w:rsid w:val="00614DDA"/>
    <w:rsid w:val="00615AEA"/>
    <w:rsid w:val="00615F28"/>
    <w:rsid w:val="00617735"/>
    <w:rsid w:val="00620573"/>
    <w:rsid w:val="006237BE"/>
    <w:rsid w:val="00623F30"/>
    <w:rsid w:val="00624B02"/>
    <w:rsid w:val="00624B44"/>
    <w:rsid w:val="00625B6E"/>
    <w:rsid w:val="00625FB8"/>
    <w:rsid w:val="006261BD"/>
    <w:rsid w:val="00627225"/>
    <w:rsid w:val="006274C3"/>
    <w:rsid w:val="00630417"/>
    <w:rsid w:val="00630D20"/>
    <w:rsid w:val="0063119E"/>
    <w:rsid w:val="006326CC"/>
    <w:rsid w:val="0063473E"/>
    <w:rsid w:val="00635EDB"/>
    <w:rsid w:val="00635EED"/>
    <w:rsid w:val="006408A1"/>
    <w:rsid w:val="00640B8E"/>
    <w:rsid w:val="006420D1"/>
    <w:rsid w:val="006420F2"/>
    <w:rsid w:val="0064262C"/>
    <w:rsid w:val="00642C3C"/>
    <w:rsid w:val="006433FD"/>
    <w:rsid w:val="00643A03"/>
    <w:rsid w:val="00643A45"/>
    <w:rsid w:val="00643A79"/>
    <w:rsid w:val="00643CF5"/>
    <w:rsid w:val="00644785"/>
    <w:rsid w:val="00644EF4"/>
    <w:rsid w:val="00645F8C"/>
    <w:rsid w:val="00646DD5"/>
    <w:rsid w:val="0064734E"/>
    <w:rsid w:val="00647EF5"/>
    <w:rsid w:val="00650137"/>
    <w:rsid w:val="006509D7"/>
    <w:rsid w:val="00651CE8"/>
    <w:rsid w:val="006523CE"/>
    <w:rsid w:val="00652EA5"/>
    <w:rsid w:val="0065322F"/>
    <w:rsid w:val="0065342D"/>
    <w:rsid w:val="00653664"/>
    <w:rsid w:val="0065521B"/>
    <w:rsid w:val="00655869"/>
    <w:rsid w:val="006567DF"/>
    <w:rsid w:val="00657464"/>
    <w:rsid w:val="00657589"/>
    <w:rsid w:val="00660195"/>
    <w:rsid w:val="00661CFA"/>
    <w:rsid w:val="0066299B"/>
    <w:rsid w:val="006635A3"/>
    <w:rsid w:val="006636D8"/>
    <w:rsid w:val="0066386A"/>
    <w:rsid w:val="00663E78"/>
    <w:rsid w:val="00664451"/>
    <w:rsid w:val="006653D6"/>
    <w:rsid w:val="00665973"/>
    <w:rsid w:val="00665C96"/>
    <w:rsid w:val="0066654A"/>
    <w:rsid w:val="00666F22"/>
    <w:rsid w:val="00667B1B"/>
    <w:rsid w:val="00667D2D"/>
    <w:rsid w:val="00670411"/>
    <w:rsid w:val="00671314"/>
    <w:rsid w:val="0067161F"/>
    <w:rsid w:val="00671EF6"/>
    <w:rsid w:val="0067205B"/>
    <w:rsid w:val="00672592"/>
    <w:rsid w:val="00672EB5"/>
    <w:rsid w:val="006731EB"/>
    <w:rsid w:val="00673F7C"/>
    <w:rsid w:val="006744A9"/>
    <w:rsid w:val="006748F8"/>
    <w:rsid w:val="006749F5"/>
    <w:rsid w:val="006751FC"/>
    <w:rsid w:val="00675F7D"/>
    <w:rsid w:val="00675FF6"/>
    <w:rsid w:val="00676041"/>
    <w:rsid w:val="00676BCC"/>
    <w:rsid w:val="0067788F"/>
    <w:rsid w:val="00677BBF"/>
    <w:rsid w:val="00680489"/>
    <w:rsid w:val="00680533"/>
    <w:rsid w:val="00681A17"/>
    <w:rsid w:val="00681D0E"/>
    <w:rsid w:val="00683856"/>
    <w:rsid w:val="00683C32"/>
    <w:rsid w:val="00683EB2"/>
    <w:rsid w:val="00684156"/>
    <w:rsid w:val="006843F6"/>
    <w:rsid w:val="00684C3D"/>
    <w:rsid w:val="00684DBC"/>
    <w:rsid w:val="006852DD"/>
    <w:rsid w:val="00685FDE"/>
    <w:rsid w:val="006860C4"/>
    <w:rsid w:val="00690BB2"/>
    <w:rsid w:val="006916B1"/>
    <w:rsid w:val="00691AF7"/>
    <w:rsid w:val="00691C35"/>
    <w:rsid w:val="00692A8F"/>
    <w:rsid w:val="00692B82"/>
    <w:rsid w:val="0069390E"/>
    <w:rsid w:val="00693D09"/>
    <w:rsid w:val="00694CFD"/>
    <w:rsid w:val="00694E3F"/>
    <w:rsid w:val="00694FD2"/>
    <w:rsid w:val="00695116"/>
    <w:rsid w:val="0069537D"/>
    <w:rsid w:val="00695F0C"/>
    <w:rsid w:val="00696B44"/>
    <w:rsid w:val="006971B8"/>
    <w:rsid w:val="00697471"/>
    <w:rsid w:val="006975EE"/>
    <w:rsid w:val="006A09E8"/>
    <w:rsid w:val="006A0C66"/>
    <w:rsid w:val="006A0D3F"/>
    <w:rsid w:val="006A14E8"/>
    <w:rsid w:val="006A1DE0"/>
    <w:rsid w:val="006A23EC"/>
    <w:rsid w:val="006A37CE"/>
    <w:rsid w:val="006A4882"/>
    <w:rsid w:val="006A4A56"/>
    <w:rsid w:val="006A4A79"/>
    <w:rsid w:val="006A4E26"/>
    <w:rsid w:val="006A541B"/>
    <w:rsid w:val="006A64BC"/>
    <w:rsid w:val="006A6549"/>
    <w:rsid w:val="006A6968"/>
    <w:rsid w:val="006A7710"/>
    <w:rsid w:val="006A77FA"/>
    <w:rsid w:val="006A7A61"/>
    <w:rsid w:val="006A7B4B"/>
    <w:rsid w:val="006A7BAC"/>
    <w:rsid w:val="006A7BF7"/>
    <w:rsid w:val="006B11E4"/>
    <w:rsid w:val="006B1E59"/>
    <w:rsid w:val="006B206D"/>
    <w:rsid w:val="006B226F"/>
    <w:rsid w:val="006B2FFB"/>
    <w:rsid w:val="006B305D"/>
    <w:rsid w:val="006B3996"/>
    <w:rsid w:val="006B3B8D"/>
    <w:rsid w:val="006B3CD4"/>
    <w:rsid w:val="006B3D0F"/>
    <w:rsid w:val="006B3E64"/>
    <w:rsid w:val="006B4FB3"/>
    <w:rsid w:val="006B503E"/>
    <w:rsid w:val="006B521A"/>
    <w:rsid w:val="006B5A64"/>
    <w:rsid w:val="006B5EFF"/>
    <w:rsid w:val="006B665F"/>
    <w:rsid w:val="006B67F9"/>
    <w:rsid w:val="006B7C65"/>
    <w:rsid w:val="006C075B"/>
    <w:rsid w:val="006C0D6E"/>
    <w:rsid w:val="006C106A"/>
    <w:rsid w:val="006C10A2"/>
    <w:rsid w:val="006C1A79"/>
    <w:rsid w:val="006C1F18"/>
    <w:rsid w:val="006C2373"/>
    <w:rsid w:val="006C26B5"/>
    <w:rsid w:val="006C2704"/>
    <w:rsid w:val="006C3AA7"/>
    <w:rsid w:val="006C41B5"/>
    <w:rsid w:val="006C6139"/>
    <w:rsid w:val="006C6951"/>
    <w:rsid w:val="006C6E02"/>
    <w:rsid w:val="006C6F2B"/>
    <w:rsid w:val="006C772C"/>
    <w:rsid w:val="006D00F9"/>
    <w:rsid w:val="006D02BE"/>
    <w:rsid w:val="006D089D"/>
    <w:rsid w:val="006D1BEE"/>
    <w:rsid w:val="006D21B9"/>
    <w:rsid w:val="006D3F12"/>
    <w:rsid w:val="006D40D5"/>
    <w:rsid w:val="006D449E"/>
    <w:rsid w:val="006D49D9"/>
    <w:rsid w:val="006D4EA0"/>
    <w:rsid w:val="006D506C"/>
    <w:rsid w:val="006D5E18"/>
    <w:rsid w:val="006D64B1"/>
    <w:rsid w:val="006D6BF2"/>
    <w:rsid w:val="006D7087"/>
    <w:rsid w:val="006E0006"/>
    <w:rsid w:val="006E12EB"/>
    <w:rsid w:val="006E1AE5"/>
    <w:rsid w:val="006E2988"/>
    <w:rsid w:val="006E37A2"/>
    <w:rsid w:val="006E39BC"/>
    <w:rsid w:val="006E40AD"/>
    <w:rsid w:val="006E5561"/>
    <w:rsid w:val="006E558E"/>
    <w:rsid w:val="006E5D26"/>
    <w:rsid w:val="006E69EC"/>
    <w:rsid w:val="006E6AAF"/>
    <w:rsid w:val="006E72D0"/>
    <w:rsid w:val="006F009A"/>
    <w:rsid w:val="006F04BD"/>
    <w:rsid w:val="006F0751"/>
    <w:rsid w:val="006F0883"/>
    <w:rsid w:val="006F0B00"/>
    <w:rsid w:val="006F0C9E"/>
    <w:rsid w:val="006F0D1B"/>
    <w:rsid w:val="006F117F"/>
    <w:rsid w:val="006F209E"/>
    <w:rsid w:val="006F24AF"/>
    <w:rsid w:val="006F33D2"/>
    <w:rsid w:val="006F3D93"/>
    <w:rsid w:val="006F4263"/>
    <w:rsid w:val="006F4BE3"/>
    <w:rsid w:val="006F50B2"/>
    <w:rsid w:val="00700E65"/>
    <w:rsid w:val="0070114D"/>
    <w:rsid w:val="00701966"/>
    <w:rsid w:val="007019B1"/>
    <w:rsid w:val="00702358"/>
    <w:rsid w:val="00702571"/>
    <w:rsid w:val="00703131"/>
    <w:rsid w:val="007036DC"/>
    <w:rsid w:val="0070445F"/>
    <w:rsid w:val="0070464E"/>
    <w:rsid w:val="00705478"/>
    <w:rsid w:val="00706440"/>
    <w:rsid w:val="00706620"/>
    <w:rsid w:val="0070687B"/>
    <w:rsid w:val="00706D6A"/>
    <w:rsid w:val="00706EAE"/>
    <w:rsid w:val="007079DA"/>
    <w:rsid w:val="00707A2A"/>
    <w:rsid w:val="0071041C"/>
    <w:rsid w:val="00710757"/>
    <w:rsid w:val="00710CFE"/>
    <w:rsid w:val="00712266"/>
    <w:rsid w:val="007138D5"/>
    <w:rsid w:val="007142DD"/>
    <w:rsid w:val="00714A9A"/>
    <w:rsid w:val="00715C14"/>
    <w:rsid w:val="0071703D"/>
    <w:rsid w:val="007170B7"/>
    <w:rsid w:val="00717363"/>
    <w:rsid w:val="007173C1"/>
    <w:rsid w:val="00717E13"/>
    <w:rsid w:val="00721657"/>
    <w:rsid w:val="00722906"/>
    <w:rsid w:val="00722F24"/>
    <w:rsid w:val="00723598"/>
    <w:rsid w:val="00724418"/>
    <w:rsid w:val="00724DC9"/>
    <w:rsid w:val="00725319"/>
    <w:rsid w:val="00726E7F"/>
    <w:rsid w:val="0072774E"/>
    <w:rsid w:val="007279A8"/>
    <w:rsid w:val="00727B1A"/>
    <w:rsid w:val="00727CC0"/>
    <w:rsid w:val="00731615"/>
    <w:rsid w:val="00731632"/>
    <w:rsid w:val="0073354B"/>
    <w:rsid w:val="00733A9F"/>
    <w:rsid w:val="00734226"/>
    <w:rsid w:val="00734BAB"/>
    <w:rsid w:val="00736BBB"/>
    <w:rsid w:val="00736D0A"/>
    <w:rsid w:val="0073798F"/>
    <w:rsid w:val="007404B6"/>
    <w:rsid w:val="00740A2F"/>
    <w:rsid w:val="00740F6B"/>
    <w:rsid w:val="00741337"/>
    <w:rsid w:val="00741D36"/>
    <w:rsid w:val="00744277"/>
    <w:rsid w:val="00744EF2"/>
    <w:rsid w:val="007458E3"/>
    <w:rsid w:val="00746785"/>
    <w:rsid w:val="00746B9B"/>
    <w:rsid w:val="007470BE"/>
    <w:rsid w:val="007475B3"/>
    <w:rsid w:val="00750DEE"/>
    <w:rsid w:val="00751197"/>
    <w:rsid w:val="007516E1"/>
    <w:rsid w:val="007519F5"/>
    <w:rsid w:val="00751CE1"/>
    <w:rsid w:val="00752258"/>
    <w:rsid w:val="007529E1"/>
    <w:rsid w:val="00752A7B"/>
    <w:rsid w:val="00753089"/>
    <w:rsid w:val="00753C3A"/>
    <w:rsid w:val="00753D79"/>
    <w:rsid w:val="00753DB3"/>
    <w:rsid w:val="00753FAE"/>
    <w:rsid w:val="007543EA"/>
    <w:rsid w:val="00754D41"/>
    <w:rsid w:val="00756954"/>
    <w:rsid w:val="00756C8F"/>
    <w:rsid w:val="00756C9C"/>
    <w:rsid w:val="00756F18"/>
    <w:rsid w:val="00757979"/>
    <w:rsid w:val="00760E48"/>
    <w:rsid w:val="00761F14"/>
    <w:rsid w:val="0076272A"/>
    <w:rsid w:val="00762880"/>
    <w:rsid w:val="007628A9"/>
    <w:rsid w:val="00762AD6"/>
    <w:rsid w:val="00762E02"/>
    <w:rsid w:val="00763584"/>
    <w:rsid w:val="007648AE"/>
    <w:rsid w:val="00766356"/>
    <w:rsid w:val="00766C13"/>
    <w:rsid w:val="007703E2"/>
    <w:rsid w:val="00770CC3"/>
    <w:rsid w:val="00771316"/>
    <w:rsid w:val="00771B44"/>
    <w:rsid w:val="00772025"/>
    <w:rsid w:val="00772290"/>
    <w:rsid w:val="00772B5D"/>
    <w:rsid w:val="00772ED9"/>
    <w:rsid w:val="00774E29"/>
    <w:rsid w:val="00774E7D"/>
    <w:rsid w:val="00775F26"/>
    <w:rsid w:val="00775FA3"/>
    <w:rsid w:val="00777265"/>
    <w:rsid w:val="007805E7"/>
    <w:rsid w:val="00781079"/>
    <w:rsid w:val="007810AF"/>
    <w:rsid w:val="00781433"/>
    <w:rsid w:val="007814AC"/>
    <w:rsid w:val="007816FB"/>
    <w:rsid w:val="0078222A"/>
    <w:rsid w:val="00782A33"/>
    <w:rsid w:val="00782B29"/>
    <w:rsid w:val="007834CA"/>
    <w:rsid w:val="00784594"/>
    <w:rsid w:val="00784700"/>
    <w:rsid w:val="00784AB3"/>
    <w:rsid w:val="00785352"/>
    <w:rsid w:val="00785E0C"/>
    <w:rsid w:val="007862C6"/>
    <w:rsid w:val="007863F9"/>
    <w:rsid w:val="007867ED"/>
    <w:rsid w:val="00787D48"/>
    <w:rsid w:val="0079092F"/>
    <w:rsid w:val="00791074"/>
    <w:rsid w:val="00792168"/>
    <w:rsid w:val="00792920"/>
    <w:rsid w:val="0079299D"/>
    <w:rsid w:val="00792B1E"/>
    <w:rsid w:val="00793795"/>
    <w:rsid w:val="00794692"/>
    <w:rsid w:val="00795294"/>
    <w:rsid w:val="0079595C"/>
    <w:rsid w:val="00795A13"/>
    <w:rsid w:val="00795D13"/>
    <w:rsid w:val="0079624F"/>
    <w:rsid w:val="00796822"/>
    <w:rsid w:val="00796A5A"/>
    <w:rsid w:val="00797BA8"/>
    <w:rsid w:val="007A0BD3"/>
    <w:rsid w:val="007A0E15"/>
    <w:rsid w:val="007A1B82"/>
    <w:rsid w:val="007A1F36"/>
    <w:rsid w:val="007A243E"/>
    <w:rsid w:val="007A28E5"/>
    <w:rsid w:val="007A2D72"/>
    <w:rsid w:val="007A30C9"/>
    <w:rsid w:val="007A3335"/>
    <w:rsid w:val="007A3743"/>
    <w:rsid w:val="007A38F4"/>
    <w:rsid w:val="007A3B49"/>
    <w:rsid w:val="007A43E0"/>
    <w:rsid w:val="007A48F7"/>
    <w:rsid w:val="007A4E50"/>
    <w:rsid w:val="007A605A"/>
    <w:rsid w:val="007A665A"/>
    <w:rsid w:val="007A6901"/>
    <w:rsid w:val="007A6B4E"/>
    <w:rsid w:val="007A7A66"/>
    <w:rsid w:val="007A7D13"/>
    <w:rsid w:val="007A7EB6"/>
    <w:rsid w:val="007B0A61"/>
    <w:rsid w:val="007B18A7"/>
    <w:rsid w:val="007B1E2B"/>
    <w:rsid w:val="007B250E"/>
    <w:rsid w:val="007B3F03"/>
    <w:rsid w:val="007B4003"/>
    <w:rsid w:val="007B5109"/>
    <w:rsid w:val="007B5B7D"/>
    <w:rsid w:val="007B5DFF"/>
    <w:rsid w:val="007B7825"/>
    <w:rsid w:val="007C0513"/>
    <w:rsid w:val="007C1CF3"/>
    <w:rsid w:val="007C27FC"/>
    <w:rsid w:val="007C3572"/>
    <w:rsid w:val="007C51FF"/>
    <w:rsid w:val="007C525E"/>
    <w:rsid w:val="007C647E"/>
    <w:rsid w:val="007C6F4E"/>
    <w:rsid w:val="007C7A0F"/>
    <w:rsid w:val="007D0453"/>
    <w:rsid w:val="007D09F5"/>
    <w:rsid w:val="007D0B85"/>
    <w:rsid w:val="007D0BDC"/>
    <w:rsid w:val="007D0D16"/>
    <w:rsid w:val="007D14A1"/>
    <w:rsid w:val="007D1C46"/>
    <w:rsid w:val="007D3136"/>
    <w:rsid w:val="007D319E"/>
    <w:rsid w:val="007D3E4D"/>
    <w:rsid w:val="007D410E"/>
    <w:rsid w:val="007D50E4"/>
    <w:rsid w:val="007D510C"/>
    <w:rsid w:val="007D5278"/>
    <w:rsid w:val="007D5C93"/>
    <w:rsid w:val="007D6039"/>
    <w:rsid w:val="007D714E"/>
    <w:rsid w:val="007D7438"/>
    <w:rsid w:val="007E0F81"/>
    <w:rsid w:val="007E10D3"/>
    <w:rsid w:val="007E17FD"/>
    <w:rsid w:val="007E1802"/>
    <w:rsid w:val="007E1C40"/>
    <w:rsid w:val="007E1C7F"/>
    <w:rsid w:val="007E2DC5"/>
    <w:rsid w:val="007E2EF2"/>
    <w:rsid w:val="007E33F9"/>
    <w:rsid w:val="007E4EAC"/>
    <w:rsid w:val="007E5161"/>
    <w:rsid w:val="007E53C2"/>
    <w:rsid w:val="007E560A"/>
    <w:rsid w:val="007E5CB5"/>
    <w:rsid w:val="007E6A5F"/>
    <w:rsid w:val="007E6E2D"/>
    <w:rsid w:val="007E72EC"/>
    <w:rsid w:val="007E7A40"/>
    <w:rsid w:val="007E7A5E"/>
    <w:rsid w:val="007F1063"/>
    <w:rsid w:val="007F1CC7"/>
    <w:rsid w:val="007F1FA4"/>
    <w:rsid w:val="007F20EF"/>
    <w:rsid w:val="007F284C"/>
    <w:rsid w:val="007F29D0"/>
    <w:rsid w:val="007F29D7"/>
    <w:rsid w:val="007F3377"/>
    <w:rsid w:val="007F3949"/>
    <w:rsid w:val="007F4233"/>
    <w:rsid w:val="007F4329"/>
    <w:rsid w:val="007F43D1"/>
    <w:rsid w:val="007F4C85"/>
    <w:rsid w:val="007F5D0C"/>
    <w:rsid w:val="008000C2"/>
    <w:rsid w:val="008006E0"/>
    <w:rsid w:val="00800C3A"/>
    <w:rsid w:val="0080201C"/>
    <w:rsid w:val="00802617"/>
    <w:rsid w:val="008027AC"/>
    <w:rsid w:val="008028CE"/>
    <w:rsid w:val="0080332E"/>
    <w:rsid w:val="008034AE"/>
    <w:rsid w:val="008059F7"/>
    <w:rsid w:val="008074CA"/>
    <w:rsid w:val="00807582"/>
    <w:rsid w:val="00807CE9"/>
    <w:rsid w:val="0081086E"/>
    <w:rsid w:val="008109C3"/>
    <w:rsid w:val="008113BE"/>
    <w:rsid w:val="008120A3"/>
    <w:rsid w:val="0081268F"/>
    <w:rsid w:val="00813125"/>
    <w:rsid w:val="00813203"/>
    <w:rsid w:val="008136E9"/>
    <w:rsid w:val="008141E0"/>
    <w:rsid w:val="00814D5F"/>
    <w:rsid w:val="00815007"/>
    <w:rsid w:val="00816318"/>
    <w:rsid w:val="00816718"/>
    <w:rsid w:val="00816EE1"/>
    <w:rsid w:val="00816F88"/>
    <w:rsid w:val="0082065B"/>
    <w:rsid w:val="008209C9"/>
    <w:rsid w:val="00820CF5"/>
    <w:rsid w:val="00821164"/>
    <w:rsid w:val="0082168F"/>
    <w:rsid w:val="00821996"/>
    <w:rsid w:val="00821CF6"/>
    <w:rsid w:val="00822323"/>
    <w:rsid w:val="008223A5"/>
    <w:rsid w:val="00822444"/>
    <w:rsid w:val="0082296D"/>
    <w:rsid w:val="00823D33"/>
    <w:rsid w:val="00823FDA"/>
    <w:rsid w:val="00824425"/>
    <w:rsid w:val="00824656"/>
    <w:rsid w:val="00826008"/>
    <w:rsid w:val="00826A3E"/>
    <w:rsid w:val="00826F68"/>
    <w:rsid w:val="00827BC6"/>
    <w:rsid w:val="008300AD"/>
    <w:rsid w:val="00831F1F"/>
    <w:rsid w:val="00833024"/>
    <w:rsid w:val="00835154"/>
    <w:rsid w:val="00835A7B"/>
    <w:rsid w:val="00835B79"/>
    <w:rsid w:val="00835CCF"/>
    <w:rsid w:val="0083684D"/>
    <w:rsid w:val="00837254"/>
    <w:rsid w:val="0083727D"/>
    <w:rsid w:val="00837DEA"/>
    <w:rsid w:val="00841702"/>
    <w:rsid w:val="008419B1"/>
    <w:rsid w:val="00841A58"/>
    <w:rsid w:val="0084274F"/>
    <w:rsid w:val="00842CD4"/>
    <w:rsid w:val="00843C3A"/>
    <w:rsid w:val="00844519"/>
    <w:rsid w:val="00844781"/>
    <w:rsid w:val="00844A56"/>
    <w:rsid w:val="00844DC5"/>
    <w:rsid w:val="00845B11"/>
    <w:rsid w:val="00845DA7"/>
    <w:rsid w:val="0084618D"/>
    <w:rsid w:val="00846200"/>
    <w:rsid w:val="00847469"/>
    <w:rsid w:val="00850319"/>
    <w:rsid w:val="00850524"/>
    <w:rsid w:val="00850943"/>
    <w:rsid w:val="00850EDE"/>
    <w:rsid w:val="008511EA"/>
    <w:rsid w:val="00851F73"/>
    <w:rsid w:val="00852081"/>
    <w:rsid w:val="0085251D"/>
    <w:rsid w:val="008529A8"/>
    <w:rsid w:val="00853995"/>
    <w:rsid w:val="008539DA"/>
    <w:rsid w:val="00853A3C"/>
    <w:rsid w:val="00853C8A"/>
    <w:rsid w:val="00854DE7"/>
    <w:rsid w:val="00855EE6"/>
    <w:rsid w:val="0085635B"/>
    <w:rsid w:val="008567DE"/>
    <w:rsid w:val="00856ABE"/>
    <w:rsid w:val="008572F7"/>
    <w:rsid w:val="008608B7"/>
    <w:rsid w:val="00861FA7"/>
    <w:rsid w:val="00863C81"/>
    <w:rsid w:val="00864EF9"/>
    <w:rsid w:val="008657D6"/>
    <w:rsid w:val="00866291"/>
    <w:rsid w:val="00867822"/>
    <w:rsid w:val="00867F58"/>
    <w:rsid w:val="00870000"/>
    <w:rsid w:val="008703BE"/>
    <w:rsid w:val="00872703"/>
    <w:rsid w:val="00872B6E"/>
    <w:rsid w:val="00872DF9"/>
    <w:rsid w:val="00873330"/>
    <w:rsid w:val="00874278"/>
    <w:rsid w:val="0087443C"/>
    <w:rsid w:val="00874C0D"/>
    <w:rsid w:val="00874DFD"/>
    <w:rsid w:val="00875447"/>
    <w:rsid w:val="00876704"/>
    <w:rsid w:val="0087698A"/>
    <w:rsid w:val="00877042"/>
    <w:rsid w:val="008774BA"/>
    <w:rsid w:val="0088009B"/>
    <w:rsid w:val="008802F9"/>
    <w:rsid w:val="0088080C"/>
    <w:rsid w:val="00881B9C"/>
    <w:rsid w:val="00883086"/>
    <w:rsid w:val="00883501"/>
    <w:rsid w:val="00884180"/>
    <w:rsid w:val="00886E85"/>
    <w:rsid w:val="00887532"/>
    <w:rsid w:val="0088778B"/>
    <w:rsid w:val="008879FD"/>
    <w:rsid w:val="00887B33"/>
    <w:rsid w:val="0089050E"/>
    <w:rsid w:val="0089146F"/>
    <w:rsid w:val="0089167D"/>
    <w:rsid w:val="00891755"/>
    <w:rsid w:val="00892007"/>
    <w:rsid w:val="0089288C"/>
    <w:rsid w:val="0089475E"/>
    <w:rsid w:val="00894B9D"/>
    <w:rsid w:val="00894C37"/>
    <w:rsid w:val="00894F5A"/>
    <w:rsid w:val="00895245"/>
    <w:rsid w:val="00896216"/>
    <w:rsid w:val="0089703F"/>
    <w:rsid w:val="00897A5F"/>
    <w:rsid w:val="00897AFF"/>
    <w:rsid w:val="008A00EA"/>
    <w:rsid w:val="008A0319"/>
    <w:rsid w:val="008A042D"/>
    <w:rsid w:val="008A1815"/>
    <w:rsid w:val="008A1F08"/>
    <w:rsid w:val="008A3A89"/>
    <w:rsid w:val="008A3F93"/>
    <w:rsid w:val="008A596B"/>
    <w:rsid w:val="008A6236"/>
    <w:rsid w:val="008A6BA0"/>
    <w:rsid w:val="008A6CBB"/>
    <w:rsid w:val="008A6DE6"/>
    <w:rsid w:val="008A6E1C"/>
    <w:rsid w:val="008A72FD"/>
    <w:rsid w:val="008A73A0"/>
    <w:rsid w:val="008A73FB"/>
    <w:rsid w:val="008B06E7"/>
    <w:rsid w:val="008B1168"/>
    <w:rsid w:val="008B2EDF"/>
    <w:rsid w:val="008B41AB"/>
    <w:rsid w:val="008B47C7"/>
    <w:rsid w:val="008B54CB"/>
    <w:rsid w:val="008B5A3D"/>
    <w:rsid w:val="008B5D48"/>
    <w:rsid w:val="008B64A0"/>
    <w:rsid w:val="008B78E4"/>
    <w:rsid w:val="008C00E1"/>
    <w:rsid w:val="008C0452"/>
    <w:rsid w:val="008C0C83"/>
    <w:rsid w:val="008C1243"/>
    <w:rsid w:val="008C2499"/>
    <w:rsid w:val="008C2C40"/>
    <w:rsid w:val="008C33A8"/>
    <w:rsid w:val="008C3664"/>
    <w:rsid w:val="008C390F"/>
    <w:rsid w:val="008C39AD"/>
    <w:rsid w:val="008C4010"/>
    <w:rsid w:val="008C4FDF"/>
    <w:rsid w:val="008C504E"/>
    <w:rsid w:val="008C5C56"/>
    <w:rsid w:val="008C5DCF"/>
    <w:rsid w:val="008C60A3"/>
    <w:rsid w:val="008C6597"/>
    <w:rsid w:val="008C685B"/>
    <w:rsid w:val="008C6B1F"/>
    <w:rsid w:val="008C6D74"/>
    <w:rsid w:val="008C7A35"/>
    <w:rsid w:val="008D1244"/>
    <w:rsid w:val="008D1CCB"/>
    <w:rsid w:val="008D2C10"/>
    <w:rsid w:val="008D2F63"/>
    <w:rsid w:val="008D2F95"/>
    <w:rsid w:val="008D38FC"/>
    <w:rsid w:val="008D4391"/>
    <w:rsid w:val="008D44CD"/>
    <w:rsid w:val="008D4B44"/>
    <w:rsid w:val="008D4DAE"/>
    <w:rsid w:val="008D4EB9"/>
    <w:rsid w:val="008D5E4F"/>
    <w:rsid w:val="008D6D21"/>
    <w:rsid w:val="008D7D3E"/>
    <w:rsid w:val="008E00F0"/>
    <w:rsid w:val="008E0C54"/>
    <w:rsid w:val="008E0DEE"/>
    <w:rsid w:val="008E1604"/>
    <w:rsid w:val="008E1C64"/>
    <w:rsid w:val="008E1D69"/>
    <w:rsid w:val="008E298A"/>
    <w:rsid w:val="008E2C10"/>
    <w:rsid w:val="008E34F0"/>
    <w:rsid w:val="008E405D"/>
    <w:rsid w:val="008E45E4"/>
    <w:rsid w:val="008E4C62"/>
    <w:rsid w:val="008E52F4"/>
    <w:rsid w:val="008E56C6"/>
    <w:rsid w:val="008E6DFB"/>
    <w:rsid w:val="008E705B"/>
    <w:rsid w:val="008E714E"/>
    <w:rsid w:val="008E71C9"/>
    <w:rsid w:val="008E743A"/>
    <w:rsid w:val="008E7696"/>
    <w:rsid w:val="008F0172"/>
    <w:rsid w:val="008F0528"/>
    <w:rsid w:val="008F08FC"/>
    <w:rsid w:val="008F0AE8"/>
    <w:rsid w:val="008F14F5"/>
    <w:rsid w:val="008F1C84"/>
    <w:rsid w:val="008F1D53"/>
    <w:rsid w:val="008F2FC9"/>
    <w:rsid w:val="008F71C1"/>
    <w:rsid w:val="008F7311"/>
    <w:rsid w:val="008F7F1C"/>
    <w:rsid w:val="00901F76"/>
    <w:rsid w:val="0090284E"/>
    <w:rsid w:val="00902D34"/>
    <w:rsid w:val="00902D41"/>
    <w:rsid w:val="00902F49"/>
    <w:rsid w:val="00904000"/>
    <w:rsid w:val="00904230"/>
    <w:rsid w:val="00904F17"/>
    <w:rsid w:val="0090627A"/>
    <w:rsid w:val="00907022"/>
    <w:rsid w:val="009103A6"/>
    <w:rsid w:val="00910ED1"/>
    <w:rsid w:val="00911C5F"/>
    <w:rsid w:val="00911F6F"/>
    <w:rsid w:val="00911F78"/>
    <w:rsid w:val="009120A3"/>
    <w:rsid w:val="00913241"/>
    <w:rsid w:val="00913F7B"/>
    <w:rsid w:val="00914004"/>
    <w:rsid w:val="00914076"/>
    <w:rsid w:val="0091485D"/>
    <w:rsid w:val="009165DD"/>
    <w:rsid w:val="0091685C"/>
    <w:rsid w:val="00916D5D"/>
    <w:rsid w:val="009209F6"/>
    <w:rsid w:val="009216B1"/>
    <w:rsid w:val="00921B29"/>
    <w:rsid w:val="00921DCC"/>
    <w:rsid w:val="00922462"/>
    <w:rsid w:val="00922EC1"/>
    <w:rsid w:val="0092331E"/>
    <w:rsid w:val="0092371A"/>
    <w:rsid w:val="00923CF1"/>
    <w:rsid w:val="009255E4"/>
    <w:rsid w:val="009301F1"/>
    <w:rsid w:val="009307DF"/>
    <w:rsid w:val="009309DC"/>
    <w:rsid w:val="00932BE3"/>
    <w:rsid w:val="00934557"/>
    <w:rsid w:val="009349FF"/>
    <w:rsid w:val="00934B67"/>
    <w:rsid w:val="009359B8"/>
    <w:rsid w:val="00935FF0"/>
    <w:rsid w:val="009361E3"/>
    <w:rsid w:val="009370F7"/>
    <w:rsid w:val="009400E3"/>
    <w:rsid w:val="00940AE3"/>
    <w:rsid w:val="00942D8E"/>
    <w:rsid w:val="009431F8"/>
    <w:rsid w:val="00943C20"/>
    <w:rsid w:val="00943D8A"/>
    <w:rsid w:val="00944A8E"/>
    <w:rsid w:val="00945876"/>
    <w:rsid w:val="00947408"/>
    <w:rsid w:val="00947A35"/>
    <w:rsid w:val="00947E81"/>
    <w:rsid w:val="00947FE6"/>
    <w:rsid w:val="00950342"/>
    <w:rsid w:val="009504D2"/>
    <w:rsid w:val="00950BB1"/>
    <w:rsid w:val="00951822"/>
    <w:rsid w:val="00951834"/>
    <w:rsid w:val="00951D26"/>
    <w:rsid w:val="00952667"/>
    <w:rsid w:val="009531C6"/>
    <w:rsid w:val="00955992"/>
    <w:rsid w:val="009563AF"/>
    <w:rsid w:val="009564F3"/>
    <w:rsid w:val="00957261"/>
    <w:rsid w:val="00961797"/>
    <w:rsid w:val="00961E29"/>
    <w:rsid w:val="0096201B"/>
    <w:rsid w:val="00962081"/>
    <w:rsid w:val="00962B29"/>
    <w:rsid w:val="00962B89"/>
    <w:rsid w:val="00962E80"/>
    <w:rsid w:val="009631F5"/>
    <w:rsid w:val="009641EA"/>
    <w:rsid w:val="009644D0"/>
    <w:rsid w:val="00964E18"/>
    <w:rsid w:val="00965327"/>
    <w:rsid w:val="00965D6C"/>
    <w:rsid w:val="009660F0"/>
    <w:rsid w:val="00966675"/>
    <w:rsid w:val="00966CB5"/>
    <w:rsid w:val="009674E4"/>
    <w:rsid w:val="00971E28"/>
    <w:rsid w:val="009731E1"/>
    <w:rsid w:val="009736F1"/>
    <w:rsid w:val="00974587"/>
    <w:rsid w:val="00974B73"/>
    <w:rsid w:val="00974F5F"/>
    <w:rsid w:val="00975786"/>
    <w:rsid w:val="00975F85"/>
    <w:rsid w:val="009762A8"/>
    <w:rsid w:val="0097650C"/>
    <w:rsid w:val="009766DF"/>
    <w:rsid w:val="00976B8A"/>
    <w:rsid w:val="00981422"/>
    <w:rsid w:val="00981CB7"/>
    <w:rsid w:val="00982140"/>
    <w:rsid w:val="00982360"/>
    <w:rsid w:val="00983E1F"/>
    <w:rsid w:val="00983FFA"/>
    <w:rsid w:val="009842AD"/>
    <w:rsid w:val="00984691"/>
    <w:rsid w:val="009848E5"/>
    <w:rsid w:val="00984962"/>
    <w:rsid w:val="00985911"/>
    <w:rsid w:val="009869B0"/>
    <w:rsid w:val="0098756A"/>
    <w:rsid w:val="00987787"/>
    <w:rsid w:val="009901F5"/>
    <w:rsid w:val="009914C3"/>
    <w:rsid w:val="009916AB"/>
    <w:rsid w:val="00991D4A"/>
    <w:rsid w:val="00992B28"/>
    <w:rsid w:val="00992BE6"/>
    <w:rsid w:val="009935BE"/>
    <w:rsid w:val="00993632"/>
    <w:rsid w:val="009936FC"/>
    <w:rsid w:val="0099398A"/>
    <w:rsid w:val="00993D8D"/>
    <w:rsid w:val="00993F46"/>
    <w:rsid w:val="00994223"/>
    <w:rsid w:val="0099432F"/>
    <w:rsid w:val="00994A64"/>
    <w:rsid w:val="00994D99"/>
    <w:rsid w:val="00995508"/>
    <w:rsid w:val="00995713"/>
    <w:rsid w:val="00996D7B"/>
    <w:rsid w:val="00997358"/>
    <w:rsid w:val="00997E84"/>
    <w:rsid w:val="009A00E5"/>
    <w:rsid w:val="009A1660"/>
    <w:rsid w:val="009A1905"/>
    <w:rsid w:val="009A2146"/>
    <w:rsid w:val="009A2602"/>
    <w:rsid w:val="009A303D"/>
    <w:rsid w:val="009A377F"/>
    <w:rsid w:val="009A452B"/>
    <w:rsid w:val="009A4B7C"/>
    <w:rsid w:val="009A4FCB"/>
    <w:rsid w:val="009A537D"/>
    <w:rsid w:val="009A57D4"/>
    <w:rsid w:val="009A67B5"/>
    <w:rsid w:val="009A78EC"/>
    <w:rsid w:val="009B050C"/>
    <w:rsid w:val="009B087F"/>
    <w:rsid w:val="009B1C54"/>
    <w:rsid w:val="009B1D10"/>
    <w:rsid w:val="009B2AF4"/>
    <w:rsid w:val="009B344A"/>
    <w:rsid w:val="009B3675"/>
    <w:rsid w:val="009B4138"/>
    <w:rsid w:val="009B5F3E"/>
    <w:rsid w:val="009B695D"/>
    <w:rsid w:val="009B70BA"/>
    <w:rsid w:val="009C08E3"/>
    <w:rsid w:val="009C110B"/>
    <w:rsid w:val="009C1250"/>
    <w:rsid w:val="009C191A"/>
    <w:rsid w:val="009C305D"/>
    <w:rsid w:val="009C4138"/>
    <w:rsid w:val="009C45E0"/>
    <w:rsid w:val="009C4700"/>
    <w:rsid w:val="009C4C4E"/>
    <w:rsid w:val="009C5441"/>
    <w:rsid w:val="009C6266"/>
    <w:rsid w:val="009C64E5"/>
    <w:rsid w:val="009C6846"/>
    <w:rsid w:val="009C6AB8"/>
    <w:rsid w:val="009C6E11"/>
    <w:rsid w:val="009C6F15"/>
    <w:rsid w:val="009C73AB"/>
    <w:rsid w:val="009C76F0"/>
    <w:rsid w:val="009C7713"/>
    <w:rsid w:val="009C7B69"/>
    <w:rsid w:val="009C7D65"/>
    <w:rsid w:val="009D0D44"/>
    <w:rsid w:val="009D0D66"/>
    <w:rsid w:val="009D119F"/>
    <w:rsid w:val="009D1368"/>
    <w:rsid w:val="009D1DD1"/>
    <w:rsid w:val="009D2081"/>
    <w:rsid w:val="009D2EAD"/>
    <w:rsid w:val="009D3718"/>
    <w:rsid w:val="009D3B85"/>
    <w:rsid w:val="009D3C7F"/>
    <w:rsid w:val="009D3DC3"/>
    <w:rsid w:val="009D3F87"/>
    <w:rsid w:val="009D4254"/>
    <w:rsid w:val="009D49A2"/>
    <w:rsid w:val="009D5A85"/>
    <w:rsid w:val="009D660C"/>
    <w:rsid w:val="009D6BAA"/>
    <w:rsid w:val="009D72C7"/>
    <w:rsid w:val="009E1DFD"/>
    <w:rsid w:val="009E219F"/>
    <w:rsid w:val="009E2222"/>
    <w:rsid w:val="009E26B3"/>
    <w:rsid w:val="009E31F3"/>
    <w:rsid w:val="009E338A"/>
    <w:rsid w:val="009E4194"/>
    <w:rsid w:val="009E519E"/>
    <w:rsid w:val="009E635F"/>
    <w:rsid w:val="009E6997"/>
    <w:rsid w:val="009E6C5F"/>
    <w:rsid w:val="009E79C0"/>
    <w:rsid w:val="009E7F54"/>
    <w:rsid w:val="009F0160"/>
    <w:rsid w:val="009F0F3D"/>
    <w:rsid w:val="009F1A7F"/>
    <w:rsid w:val="009F1CDD"/>
    <w:rsid w:val="009F1F7F"/>
    <w:rsid w:val="009F26CA"/>
    <w:rsid w:val="009F27A9"/>
    <w:rsid w:val="009F3940"/>
    <w:rsid w:val="009F3B02"/>
    <w:rsid w:val="009F3EB2"/>
    <w:rsid w:val="009F4B93"/>
    <w:rsid w:val="009F55FC"/>
    <w:rsid w:val="009F5BEC"/>
    <w:rsid w:val="009F6142"/>
    <w:rsid w:val="009F61FB"/>
    <w:rsid w:val="009F6AA8"/>
    <w:rsid w:val="009F6E9F"/>
    <w:rsid w:val="009F6EB1"/>
    <w:rsid w:val="009F73B1"/>
    <w:rsid w:val="009F75FC"/>
    <w:rsid w:val="00A00AC7"/>
    <w:rsid w:val="00A00E88"/>
    <w:rsid w:val="00A00F02"/>
    <w:rsid w:val="00A01576"/>
    <w:rsid w:val="00A02269"/>
    <w:rsid w:val="00A03139"/>
    <w:rsid w:val="00A039D8"/>
    <w:rsid w:val="00A04854"/>
    <w:rsid w:val="00A06179"/>
    <w:rsid w:val="00A066F6"/>
    <w:rsid w:val="00A06742"/>
    <w:rsid w:val="00A0741F"/>
    <w:rsid w:val="00A103D2"/>
    <w:rsid w:val="00A10498"/>
    <w:rsid w:val="00A10714"/>
    <w:rsid w:val="00A114A6"/>
    <w:rsid w:val="00A11CF1"/>
    <w:rsid w:val="00A11D05"/>
    <w:rsid w:val="00A121C5"/>
    <w:rsid w:val="00A12970"/>
    <w:rsid w:val="00A130EC"/>
    <w:rsid w:val="00A13162"/>
    <w:rsid w:val="00A14269"/>
    <w:rsid w:val="00A14606"/>
    <w:rsid w:val="00A14AD1"/>
    <w:rsid w:val="00A16B4F"/>
    <w:rsid w:val="00A16CC9"/>
    <w:rsid w:val="00A1771B"/>
    <w:rsid w:val="00A17DBB"/>
    <w:rsid w:val="00A20267"/>
    <w:rsid w:val="00A20868"/>
    <w:rsid w:val="00A20BF3"/>
    <w:rsid w:val="00A217F8"/>
    <w:rsid w:val="00A221D2"/>
    <w:rsid w:val="00A225C6"/>
    <w:rsid w:val="00A22778"/>
    <w:rsid w:val="00A233A3"/>
    <w:rsid w:val="00A24A1B"/>
    <w:rsid w:val="00A253A5"/>
    <w:rsid w:val="00A25F41"/>
    <w:rsid w:val="00A2613A"/>
    <w:rsid w:val="00A26975"/>
    <w:rsid w:val="00A269DE"/>
    <w:rsid w:val="00A27BE0"/>
    <w:rsid w:val="00A27D41"/>
    <w:rsid w:val="00A30B7D"/>
    <w:rsid w:val="00A3158C"/>
    <w:rsid w:val="00A32DF3"/>
    <w:rsid w:val="00A3395A"/>
    <w:rsid w:val="00A33E32"/>
    <w:rsid w:val="00A34584"/>
    <w:rsid w:val="00A34875"/>
    <w:rsid w:val="00A34C71"/>
    <w:rsid w:val="00A358D5"/>
    <w:rsid w:val="00A3592E"/>
    <w:rsid w:val="00A35E20"/>
    <w:rsid w:val="00A36226"/>
    <w:rsid w:val="00A366E9"/>
    <w:rsid w:val="00A36F6D"/>
    <w:rsid w:val="00A37C4E"/>
    <w:rsid w:val="00A37F12"/>
    <w:rsid w:val="00A4048B"/>
    <w:rsid w:val="00A408EA"/>
    <w:rsid w:val="00A40A79"/>
    <w:rsid w:val="00A40B3B"/>
    <w:rsid w:val="00A40C7C"/>
    <w:rsid w:val="00A40ED3"/>
    <w:rsid w:val="00A418C6"/>
    <w:rsid w:val="00A43CB7"/>
    <w:rsid w:val="00A45930"/>
    <w:rsid w:val="00A459EB"/>
    <w:rsid w:val="00A46F48"/>
    <w:rsid w:val="00A47C0D"/>
    <w:rsid w:val="00A50272"/>
    <w:rsid w:val="00A50701"/>
    <w:rsid w:val="00A507A3"/>
    <w:rsid w:val="00A50CA0"/>
    <w:rsid w:val="00A50DA8"/>
    <w:rsid w:val="00A525CC"/>
    <w:rsid w:val="00A525E8"/>
    <w:rsid w:val="00A526DD"/>
    <w:rsid w:val="00A52A60"/>
    <w:rsid w:val="00A531A7"/>
    <w:rsid w:val="00A5333B"/>
    <w:rsid w:val="00A535A3"/>
    <w:rsid w:val="00A53621"/>
    <w:rsid w:val="00A53E7C"/>
    <w:rsid w:val="00A54292"/>
    <w:rsid w:val="00A55377"/>
    <w:rsid w:val="00A55609"/>
    <w:rsid w:val="00A55803"/>
    <w:rsid w:val="00A559D5"/>
    <w:rsid w:val="00A56078"/>
    <w:rsid w:val="00A60087"/>
    <w:rsid w:val="00A6050A"/>
    <w:rsid w:val="00A60F6A"/>
    <w:rsid w:val="00A616EC"/>
    <w:rsid w:val="00A617B3"/>
    <w:rsid w:val="00A618CD"/>
    <w:rsid w:val="00A61CB2"/>
    <w:rsid w:val="00A62642"/>
    <w:rsid w:val="00A627FC"/>
    <w:rsid w:val="00A63469"/>
    <w:rsid w:val="00A63859"/>
    <w:rsid w:val="00A639EB"/>
    <w:rsid w:val="00A660B1"/>
    <w:rsid w:val="00A66891"/>
    <w:rsid w:val="00A6778B"/>
    <w:rsid w:val="00A67981"/>
    <w:rsid w:val="00A702B0"/>
    <w:rsid w:val="00A705E8"/>
    <w:rsid w:val="00A70DFE"/>
    <w:rsid w:val="00A71DF5"/>
    <w:rsid w:val="00A72013"/>
    <w:rsid w:val="00A72149"/>
    <w:rsid w:val="00A721F4"/>
    <w:rsid w:val="00A73605"/>
    <w:rsid w:val="00A74EAB"/>
    <w:rsid w:val="00A75651"/>
    <w:rsid w:val="00A7656C"/>
    <w:rsid w:val="00A768EC"/>
    <w:rsid w:val="00A77B50"/>
    <w:rsid w:val="00A80C4A"/>
    <w:rsid w:val="00A81328"/>
    <w:rsid w:val="00A81464"/>
    <w:rsid w:val="00A81DD6"/>
    <w:rsid w:val="00A82187"/>
    <w:rsid w:val="00A834F7"/>
    <w:rsid w:val="00A83508"/>
    <w:rsid w:val="00A837AC"/>
    <w:rsid w:val="00A84067"/>
    <w:rsid w:val="00A857FC"/>
    <w:rsid w:val="00A85CBA"/>
    <w:rsid w:val="00A87810"/>
    <w:rsid w:val="00A91146"/>
    <w:rsid w:val="00A91BC9"/>
    <w:rsid w:val="00A92880"/>
    <w:rsid w:val="00A929DF"/>
    <w:rsid w:val="00A9392C"/>
    <w:rsid w:val="00A94082"/>
    <w:rsid w:val="00A94250"/>
    <w:rsid w:val="00A9462B"/>
    <w:rsid w:val="00A953BE"/>
    <w:rsid w:val="00A95501"/>
    <w:rsid w:val="00A959EF"/>
    <w:rsid w:val="00A95C33"/>
    <w:rsid w:val="00A96C66"/>
    <w:rsid w:val="00A96FC9"/>
    <w:rsid w:val="00A977D3"/>
    <w:rsid w:val="00A97952"/>
    <w:rsid w:val="00A97C25"/>
    <w:rsid w:val="00A97D59"/>
    <w:rsid w:val="00AA0214"/>
    <w:rsid w:val="00AA03A3"/>
    <w:rsid w:val="00AA0648"/>
    <w:rsid w:val="00AA0963"/>
    <w:rsid w:val="00AA0E8B"/>
    <w:rsid w:val="00AA0EAD"/>
    <w:rsid w:val="00AA12D4"/>
    <w:rsid w:val="00AA1700"/>
    <w:rsid w:val="00AA3C30"/>
    <w:rsid w:val="00AA3E09"/>
    <w:rsid w:val="00AA41EA"/>
    <w:rsid w:val="00AA4BEF"/>
    <w:rsid w:val="00AA5197"/>
    <w:rsid w:val="00AA611D"/>
    <w:rsid w:val="00AA6C3C"/>
    <w:rsid w:val="00AB03B0"/>
    <w:rsid w:val="00AB12ED"/>
    <w:rsid w:val="00AB1659"/>
    <w:rsid w:val="00AB18FB"/>
    <w:rsid w:val="00AB1C24"/>
    <w:rsid w:val="00AB1D00"/>
    <w:rsid w:val="00AB3912"/>
    <w:rsid w:val="00AB4962"/>
    <w:rsid w:val="00AB5187"/>
    <w:rsid w:val="00AB56CB"/>
    <w:rsid w:val="00AB5A4B"/>
    <w:rsid w:val="00AB640D"/>
    <w:rsid w:val="00AB64AC"/>
    <w:rsid w:val="00AB6513"/>
    <w:rsid w:val="00AB734E"/>
    <w:rsid w:val="00AB740F"/>
    <w:rsid w:val="00AC091C"/>
    <w:rsid w:val="00AC200F"/>
    <w:rsid w:val="00AC207B"/>
    <w:rsid w:val="00AC239D"/>
    <w:rsid w:val="00AC2FCB"/>
    <w:rsid w:val="00AC35E6"/>
    <w:rsid w:val="00AC3BB3"/>
    <w:rsid w:val="00AC3D13"/>
    <w:rsid w:val="00AC46DF"/>
    <w:rsid w:val="00AC493D"/>
    <w:rsid w:val="00AC5555"/>
    <w:rsid w:val="00AC5FCD"/>
    <w:rsid w:val="00AC6668"/>
    <w:rsid w:val="00AC6F14"/>
    <w:rsid w:val="00AC7221"/>
    <w:rsid w:val="00AC7C4C"/>
    <w:rsid w:val="00AC7D65"/>
    <w:rsid w:val="00AD09AE"/>
    <w:rsid w:val="00AD1C66"/>
    <w:rsid w:val="00AD2D79"/>
    <w:rsid w:val="00AD3611"/>
    <w:rsid w:val="00AD3FDD"/>
    <w:rsid w:val="00AD4677"/>
    <w:rsid w:val="00AD4B7B"/>
    <w:rsid w:val="00AD4D3C"/>
    <w:rsid w:val="00AD5081"/>
    <w:rsid w:val="00AD50AC"/>
    <w:rsid w:val="00AD5103"/>
    <w:rsid w:val="00AD70B8"/>
    <w:rsid w:val="00AD751A"/>
    <w:rsid w:val="00AD7B83"/>
    <w:rsid w:val="00AE0487"/>
    <w:rsid w:val="00AE07FB"/>
    <w:rsid w:val="00AE2338"/>
    <w:rsid w:val="00AE2BDC"/>
    <w:rsid w:val="00AE3A56"/>
    <w:rsid w:val="00AE42A0"/>
    <w:rsid w:val="00AE4502"/>
    <w:rsid w:val="00AE450A"/>
    <w:rsid w:val="00AE524B"/>
    <w:rsid w:val="00AE5961"/>
    <w:rsid w:val="00AE7AB1"/>
    <w:rsid w:val="00AE7EA7"/>
    <w:rsid w:val="00AF045A"/>
    <w:rsid w:val="00AF0745"/>
    <w:rsid w:val="00AF1DE3"/>
    <w:rsid w:val="00AF20A7"/>
    <w:rsid w:val="00AF2DE1"/>
    <w:rsid w:val="00AF357D"/>
    <w:rsid w:val="00AF390E"/>
    <w:rsid w:val="00AF443A"/>
    <w:rsid w:val="00AF4971"/>
    <w:rsid w:val="00AF4991"/>
    <w:rsid w:val="00AF5276"/>
    <w:rsid w:val="00AF5909"/>
    <w:rsid w:val="00AF5B3D"/>
    <w:rsid w:val="00AF7C86"/>
    <w:rsid w:val="00B01046"/>
    <w:rsid w:val="00B01293"/>
    <w:rsid w:val="00B013AF"/>
    <w:rsid w:val="00B016E1"/>
    <w:rsid w:val="00B02247"/>
    <w:rsid w:val="00B0299A"/>
    <w:rsid w:val="00B02F23"/>
    <w:rsid w:val="00B03564"/>
    <w:rsid w:val="00B03D77"/>
    <w:rsid w:val="00B03E28"/>
    <w:rsid w:val="00B04CB3"/>
    <w:rsid w:val="00B0563D"/>
    <w:rsid w:val="00B06E0D"/>
    <w:rsid w:val="00B075CB"/>
    <w:rsid w:val="00B1004A"/>
    <w:rsid w:val="00B10E5B"/>
    <w:rsid w:val="00B125B9"/>
    <w:rsid w:val="00B12DCC"/>
    <w:rsid w:val="00B13462"/>
    <w:rsid w:val="00B135DC"/>
    <w:rsid w:val="00B1379A"/>
    <w:rsid w:val="00B137C4"/>
    <w:rsid w:val="00B13E02"/>
    <w:rsid w:val="00B13EDB"/>
    <w:rsid w:val="00B143A4"/>
    <w:rsid w:val="00B152FF"/>
    <w:rsid w:val="00B16621"/>
    <w:rsid w:val="00B16EAF"/>
    <w:rsid w:val="00B170A5"/>
    <w:rsid w:val="00B17347"/>
    <w:rsid w:val="00B17A23"/>
    <w:rsid w:val="00B17B39"/>
    <w:rsid w:val="00B201C6"/>
    <w:rsid w:val="00B21476"/>
    <w:rsid w:val="00B25001"/>
    <w:rsid w:val="00B25339"/>
    <w:rsid w:val="00B25407"/>
    <w:rsid w:val="00B258CD"/>
    <w:rsid w:val="00B25F10"/>
    <w:rsid w:val="00B27233"/>
    <w:rsid w:val="00B30D5E"/>
    <w:rsid w:val="00B310A4"/>
    <w:rsid w:val="00B310A8"/>
    <w:rsid w:val="00B310F9"/>
    <w:rsid w:val="00B31171"/>
    <w:rsid w:val="00B31875"/>
    <w:rsid w:val="00B31D36"/>
    <w:rsid w:val="00B32374"/>
    <w:rsid w:val="00B32768"/>
    <w:rsid w:val="00B32C4B"/>
    <w:rsid w:val="00B34008"/>
    <w:rsid w:val="00B34696"/>
    <w:rsid w:val="00B34E71"/>
    <w:rsid w:val="00B35C0D"/>
    <w:rsid w:val="00B37866"/>
    <w:rsid w:val="00B37B02"/>
    <w:rsid w:val="00B4054D"/>
    <w:rsid w:val="00B4072D"/>
    <w:rsid w:val="00B40B54"/>
    <w:rsid w:val="00B40BF9"/>
    <w:rsid w:val="00B412FB"/>
    <w:rsid w:val="00B416B1"/>
    <w:rsid w:val="00B41F47"/>
    <w:rsid w:val="00B4215D"/>
    <w:rsid w:val="00B42539"/>
    <w:rsid w:val="00B43204"/>
    <w:rsid w:val="00B43C2F"/>
    <w:rsid w:val="00B43EE5"/>
    <w:rsid w:val="00B44733"/>
    <w:rsid w:val="00B44BBE"/>
    <w:rsid w:val="00B44E72"/>
    <w:rsid w:val="00B4576B"/>
    <w:rsid w:val="00B46350"/>
    <w:rsid w:val="00B46394"/>
    <w:rsid w:val="00B46949"/>
    <w:rsid w:val="00B46DF3"/>
    <w:rsid w:val="00B46FBE"/>
    <w:rsid w:val="00B47582"/>
    <w:rsid w:val="00B506C1"/>
    <w:rsid w:val="00B5163E"/>
    <w:rsid w:val="00B5186A"/>
    <w:rsid w:val="00B531CB"/>
    <w:rsid w:val="00B53A3D"/>
    <w:rsid w:val="00B53C3F"/>
    <w:rsid w:val="00B5407C"/>
    <w:rsid w:val="00B542A7"/>
    <w:rsid w:val="00B54C2D"/>
    <w:rsid w:val="00B55619"/>
    <w:rsid w:val="00B55889"/>
    <w:rsid w:val="00B55DDF"/>
    <w:rsid w:val="00B5694F"/>
    <w:rsid w:val="00B56D6F"/>
    <w:rsid w:val="00B57118"/>
    <w:rsid w:val="00B57897"/>
    <w:rsid w:val="00B5794F"/>
    <w:rsid w:val="00B609F9"/>
    <w:rsid w:val="00B60F31"/>
    <w:rsid w:val="00B618AF"/>
    <w:rsid w:val="00B61DFA"/>
    <w:rsid w:val="00B62CD5"/>
    <w:rsid w:val="00B6365E"/>
    <w:rsid w:val="00B6393D"/>
    <w:rsid w:val="00B64269"/>
    <w:rsid w:val="00B648C7"/>
    <w:rsid w:val="00B64EF9"/>
    <w:rsid w:val="00B64FEE"/>
    <w:rsid w:val="00B66DD1"/>
    <w:rsid w:val="00B66E8F"/>
    <w:rsid w:val="00B67035"/>
    <w:rsid w:val="00B67ABC"/>
    <w:rsid w:val="00B67EE8"/>
    <w:rsid w:val="00B7017E"/>
    <w:rsid w:val="00B716F7"/>
    <w:rsid w:val="00B71FD8"/>
    <w:rsid w:val="00B727CE"/>
    <w:rsid w:val="00B736C8"/>
    <w:rsid w:val="00B7437E"/>
    <w:rsid w:val="00B75206"/>
    <w:rsid w:val="00B76012"/>
    <w:rsid w:val="00B77395"/>
    <w:rsid w:val="00B778D1"/>
    <w:rsid w:val="00B80157"/>
    <w:rsid w:val="00B80490"/>
    <w:rsid w:val="00B821EA"/>
    <w:rsid w:val="00B824C1"/>
    <w:rsid w:val="00B83B18"/>
    <w:rsid w:val="00B83D5E"/>
    <w:rsid w:val="00B8418D"/>
    <w:rsid w:val="00B845D1"/>
    <w:rsid w:val="00B8460A"/>
    <w:rsid w:val="00B84BB0"/>
    <w:rsid w:val="00B854B2"/>
    <w:rsid w:val="00B86289"/>
    <w:rsid w:val="00B8650D"/>
    <w:rsid w:val="00B8706B"/>
    <w:rsid w:val="00B87151"/>
    <w:rsid w:val="00B8751D"/>
    <w:rsid w:val="00B879B4"/>
    <w:rsid w:val="00B90A72"/>
    <w:rsid w:val="00B90B87"/>
    <w:rsid w:val="00B90CB7"/>
    <w:rsid w:val="00B90F07"/>
    <w:rsid w:val="00B91B52"/>
    <w:rsid w:val="00B92095"/>
    <w:rsid w:val="00B92613"/>
    <w:rsid w:val="00B92C43"/>
    <w:rsid w:val="00B9343F"/>
    <w:rsid w:val="00B93ACE"/>
    <w:rsid w:val="00B95308"/>
    <w:rsid w:val="00B959C6"/>
    <w:rsid w:val="00B95E99"/>
    <w:rsid w:val="00B96346"/>
    <w:rsid w:val="00B970D0"/>
    <w:rsid w:val="00B97912"/>
    <w:rsid w:val="00B9796A"/>
    <w:rsid w:val="00B97BB9"/>
    <w:rsid w:val="00BA0009"/>
    <w:rsid w:val="00BA0ABA"/>
    <w:rsid w:val="00BA0BB3"/>
    <w:rsid w:val="00BA0C34"/>
    <w:rsid w:val="00BA11AD"/>
    <w:rsid w:val="00BA1848"/>
    <w:rsid w:val="00BA263A"/>
    <w:rsid w:val="00BA43D3"/>
    <w:rsid w:val="00BA4467"/>
    <w:rsid w:val="00BA4B2D"/>
    <w:rsid w:val="00BA7C82"/>
    <w:rsid w:val="00BB02B5"/>
    <w:rsid w:val="00BB1863"/>
    <w:rsid w:val="00BB1BAE"/>
    <w:rsid w:val="00BB2531"/>
    <w:rsid w:val="00BB25EE"/>
    <w:rsid w:val="00BB28A8"/>
    <w:rsid w:val="00BB363A"/>
    <w:rsid w:val="00BB486E"/>
    <w:rsid w:val="00BB4D13"/>
    <w:rsid w:val="00BB4DDD"/>
    <w:rsid w:val="00BB6365"/>
    <w:rsid w:val="00BB727C"/>
    <w:rsid w:val="00BB7369"/>
    <w:rsid w:val="00BB7546"/>
    <w:rsid w:val="00BC0BB8"/>
    <w:rsid w:val="00BC10A0"/>
    <w:rsid w:val="00BC219B"/>
    <w:rsid w:val="00BC2579"/>
    <w:rsid w:val="00BC2CDE"/>
    <w:rsid w:val="00BC2EFF"/>
    <w:rsid w:val="00BC2FF7"/>
    <w:rsid w:val="00BC3D79"/>
    <w:rsid w:val="00BC4D07"/>
    <w:rsid w:val="00BC56F0"/>
    <w:rsid w:val="00BC5E1C"/>
    <w:rsid w:val="00BC6C31"/>
    <w:rsid w:val="00BC7BA2"/>
    <w:rsid w:val="00BD0369"/>
    <w:rsid w:val="00BD08B9"/>
    <w:rsid w:val="00BD0981"/>
    <w:rsid w:val="00BD186F"/>
    <w:rsid w:val="00BD1AD7"/>
    <w:rsid w:val="00BD1C21"/>
    <w:rsid w:val="00BD2572"/>
    <w:rsid w:val="00BD2EC1"/>
    <w:rsid w:val="00BD426B"/>
    <w:rsid w:val="00BD4434"/>
    <w:rsid w:val="00BD4A8E"/>
    <w:rsid w:val="00BD7619"/>
    <w:rsid w:val="00BD79F0"/>
    <w:rsid w:val="00BD7AED"/>
    <w:rsid w:val="00BE0D27"/>
    <w:rsid w:val="00BE0F37"/>
    <w:rsid w:val="00BE199F"/>
    <w:rsid w:val="00BE1FB9"/>
    <w:rsid w:val="00BE209B"/>
    <w:rsid w:val="00BE2125"/>
    <w:rsid w:val="00BE22D7"/>
    <w:rsid w:val="00BE24E7"/>
    <w:rsid w:val="00BE24FC"/>
    <w:rsid w:val="00BE2B4D"/>
    <w:rsid w:val="00BE30D6"/>
    <w:rsid w:val="00BE4A2D"/>
    <w:rsid w:val="00BE610F"/>
    <w:rsid w:val="00BE69E0"/>
    <w:rsid w:val="00BE6A8E"/>
    <w:rsid w:val="00BF0E18"/>
    <w:rsid w:val="00BF1493"/>
    <w:rsid w:val="00BF22A0"/>
    <w:rsid w:val="00BF2347"/>
    <w:rsid w:val="00BF263E"/>
    <w:rsid w:val="00BF2B96"/>
    <w:rsid w:val="00BF61B3"/>
    <w:rsid w:val="00BF6582"/>
    <w:rsid w:val="00C00808"/>
    <w:rsid w:val="00C00934"/>
    <w:rsid w:val="00C00CAB"/>
    <w:rsid w:val="00C015F8"/>
    <w:rsid w:val="00C02C2A"/>
    <w:rsid w:val="00C05AED"/>
    <w:rsid w:val="00C06CF9"/>
    <w:rsid w:val="00C07294"/>
    <w:rsid w:val="00C07B90"/>
    <w:rsid w:val="00C07E26"/>
    <w:rsid w:val="00C10010"/>
    <w:rsid w:val="00C10017"/>
    <w:rsid w:val="00C1011C"/>
    <w:rsid w:val="00C11DB1"/>
    <w:rsid w:val="00C12117"/>
    <w:rsid w:val="00C12F94"/>
    <w:rsid w:val="00C13661"/>
    <w:rsid w:val="00C13763"/>
    <w:rsid w:val="00C15027"/>
    <w:rsid w:val="00C160EB"/>
    <w:rsid w:val="00C17306"/>
    <w:rsid w:val="00C173AE"/>
    <w:rsid w:val="00C17492"/>
    <w:rsid w:val="00C177C5"/>
    <w:rsid w:val="00C17B3C"/>
    <w:rsid w:val="00C21E25"/>
    <w:rsid w:val="00C221AB"/>
    <w:rsid w:val="00C2234A"/>
    <w:rsid w:val="00C226F3"/>
    <w:rsid w:val="00C23121"/>
    <w:rsid w:val="00C23312"/>
    <w:rsid w:val="00C23E35"/>
    <w:rsid w:val="00C24AF7"/>
    <w:rsid w:val="00C24D96"/>
    <w:rsid w:val="00C25642"/>
    <w:rsid w:val="00C2648F"/>
    <w:rsid w:val="00C26F4D"/>
    <w:rsid w:val="00C3047D"/>
    <w:rsid w:val="00C308CF"/>
    <w:rsid w:val="00C31925"/>
    <w:rsid w:val="00C31C72"/>
    <w:rsid w:val="00C32925"/>
    <w:rsid w:val="00C33248"/>
    <w:rsid w:val="00C3440C"/>
    <w:rsid w:val="00C34EC3"/>
    <w:rsid w:val="00C34F7F"/>
    <w:rsid w:val="00C356AD"/>
    <w:rsid w:val="00C37B9E"/>
    <w:rsid w:val="00C4026B"/>
    <w:rsid w:val="00C4038C"/>
    <w:rsid w:val="00C4042D"/>
    <w:rsid w:val="00C40C73"/>
    <w:rsid w:val="00C41618"/>
    <w:rsid w:val="00C42189"/>
    <w:rsid w:val="00C42292"/>
    <w:rsid w:val="00C425C3"/>
    <w:rsid w:val="00C425E2"/>
    <w:rsid w:val="00C42BA2"/>
    <w:rsid w:val="00C42C5B"/>
    <w:rsid w:val="00C43EC6"/>
    <w:rsid w:val="00C44066"/>
    <w:rsid w:val="00C44DD7"/>
    <w:rsid w:val="00C44E13"/>
    <w:rsid w:val="00C44E66"/>
    <w:rsid w:val="00C45663"/>
    <w:rsid w:val="00C45666"/>
    <w:rsid w:val="00C45744"/>
    <w:rsid w:val="00C45AEF"/>
    <w:rsid w:val="00C46E79"/>
    <w:rsid w:val="00C47395"/>
    <w:rsid w:val="00C4747A"/>
    <w:rsid w:val="00C47509"/>
    <w:rsid w:val="00C50751"/>
    <w:rsid w:val="00C517EC"/>
    <w:rsid w:val="00C522C7"/>
    <w:rsid w:val="00C53118"/>
    <w:rsid w:val="00C53288"/>
    <w:rsid w:val="00C535C4"/>
    <w:rsid w:val="00C5424F"/>
    <w:rsid w:val="00C55100"/>
    <w:rsid w:val="00C555D8"/>
    <w:rsid w:val="00C568EE"/>
    <w:rsid w:val="00C56CA9"/>
    <w:rsid w:val="00C57355"/>
    <w:rsid w:val="00C57D32"/>
    <w:rsid w:val="00C60303"/>
    <w:rsid w:val="00C60A41"/>
    <w:rsid w:val="00C60D3A"/>
    <w:rsid w:val="00C61087"/>
    <w:rsid w:val="00C61B80"/>
    <w:rsid w:val="00C61D14"/>
    <w:rsid w:val="00C6227D"/>
    <w:rsid w:val="00C6282D"/>
    <w:rsid w:val="00C62CB8"/>
    <w:rsid w:val="00C62DE8"/>
    <w:rsid w:val="00C62DFB"/>
    <w:rsid w:val="00C630E6"/>
    <w:rsid w:val="00C63812"/>
    <w:rsid w:val="00C6382A"/>
    <w:rsid w:val="00C63A08"/>
    <w:rsid w:val="00C63C9F"/>
    <w:rsid w:val="00C63F07"/>
    <w:rsid w:val="00C641F5"/>
    <w:rsid w:val="00C64AF3"/>
    <w:rsid w:val="00C64BA1"/>
    <w:rsid w:val="00C64BE0"/>
    <w:rsid w:val="00C64E0F"/>
    <w:rsid w:val="00C65D47"/>
    <w:rsid w:val="00C665EC"/>
    <w:rsid w:val="00C6693D"/>
    <w:rsid w:val="00C66F4D"/>
    <w:rsid w:val="00C672E7"/>
    <w:rsid w:val="00C678C9"/>
    <w:rsid w:val="00C67BB5"/>
    <w:rsid w:val="00C70381"/>
    <w:rsid w:val="00C7145A"/>
    <w:rsid w:val="00C72713"/>
    <w:rsid w:val="00C72C9E"/>
    <w:rsid w:val="00C73881"/>
    <w:rsid w:val="00C73A80"/>
    <w:rsid w:val="00C74958"/>
    <w:rsid w:val="00C74E79"/>
    <w:rsid w:val="00C7502F"/>
    <w:rsid w:val="00C75297"/>
    <w:rsid w:val="00C7634B"/>
    <w:rsid w:val="00C76427"/>
    <w:rsid w:val="00C76F1D"/>
    <w:rsid w:val="00C77317"/>
    <w:rsid w:val="00C775FD"/>
    <w:rsid w:val="00C81D24"/>
    <w:rsid w:val="00C832FD"/>
    <w:rsid w:val="00C8374C"/>
    <w:rsid w:val="00C83CE6"/>
    <w:rsid w:val="00C848EF"/>
    <w:rsid w:val="00C8569C"/>
    <w:rsid w:val="00C85B92"/>
    <w:rsid w:val="00C860DB"/>
    <w:rsid w:val="00C86600"/>
    <w:rsid w:val="00C87BCA"/>
    <w:rsid w:val="00C87EED"/>
    <w:rsid w:val="00C915D4"/>
    <w:rsid w:val="00C919EC"/>
    <w:rsid w:val="00C92927"/>
    <w:rsid w:val="00C92E8E"/>
    <w:rsid w:val="00C92F11"/>
    <w:rsid w:val="00C930F4"/>
    <w:rsid w:val="00C9378D"/>
    <w:rsid w:val="00C94506"/>
    <w:rsid w:val="00C94B51"/>
    <w:rsid w:val="00C952E1"/>
    <w:rsid w:val="00C954BC"/>
    <w:rsid w:val="00C95D34"/>
    <w:rsid w:val="00C97ED1"/>
    <w:rsid w:val="00CA04B7"/>
    <w:rsid w:val="00CA0C4A"/>
    <w:rsid w:val="00CA0CC5"/>
    <w:rsid w:val="00CA12D7"/>
    <w:rsid w:val="00CA188E"/>
    <w:rsid w:val="00CA19C3"/>
    <w:rsid w:val="00CA1F0B"/>
    <w:rsid w:val="00CA255C"/>
    <w:rsid w:val="00CA50FE"/>
    <w:rsid w:val="00CA5807"/>
    <w:rsid w:val="00CA5E6F"/>
    <w:rsid w:val="00CA661D"/>
    <w:rsid w:val="00CA66EB"/>
    <w:rsid w:val="00CA6FBA"/>
    <w:rsid w:val="00CA76B6"/>
    <w:rsid w:val="00CA7B98"/>
    <w:rsid w:val="00CB0534"/>
    <w:rsid w:val="00CB110F"/>
    <w:rsid w:val="00CB2A2E"/>
    <w:rsid w:val="00CB2C4A"/>
    <w:rsid w:val="00CB2E07"/>
    <w:rsid w:val="00CB3037"/>
    <w:rsid w:val="00CB338A"/>
    <w:rsid w:val="00CB3649"/>
    <w:rsid w:val="00CB376F"/>
    <w:rsid w:val="00CB44F5"/>
    <w:rsid w:val="00CB4F26"/>
    <w:rsid w:val="00CB5736"/>
    <w:rsid w:val="00CB59E5"/>
    <w:rsid w:val="00CB60EC"/>
    <w:rsid w:val="00CB64F3"/>
    <w:rsid w:val="00CB695B"/>
    <w:rsid w:val="00CB698D"/>
    <w:rsid w:val="00CB6B39"/>
    <w:rsid w:val="00CB6E6B"/>
    <w:rsid w:val="00CB751B"/>
    <w:rsid w:val="00CB76CB"/>
    <w:rsid w:val="00CB79C5"/>
    <w:rsid w:val="00CC0729"/>
    <w:rsid w:val="00CC0A5C"/>
    <w:rsid w:val="00CC0AEB"/>
    <w:rsid w:val="00CC2438"/>
    <w:rsid w:val="00CC411F"/>
    <w:rsid w:val="00CC4AE4"/>
    <w:rsid w:val="00CC4B75"/>
    <w:rsid w:val="00CC68F6"/>
    <w:rsid w:val="00CC6C70"/>
    <w:rsid w:val="00CC6ED1"/>
    <w:rsid w:val="00CC72D4"/>
    <w:rsid w:val="00CC732E"/>
    <w:rsid w:val="00CC75CE"/>
    <w:rsid w:val="00CC7E89"/>
    <w:rsid w:val="00CD084C"/>
    <w:rsid w:val="00CD18D3"/>
    <w:rsid w:val="00CD1B8B"/>
    <w:rsid w:val="00CD1E50"/>
    <w:rsid w:val="00CD2A91"/>
    <w:rsid w:val="00CD2A98"/>
    <w:rsid w:val="00CD2FCD"/>
    <w:rsid w:val="00CD30DE"/>
    <w:rsid w:val="00CD32C4"/>
    <w:rsid w:val="00CD35E5"/>
    <w:rsid w:val="00CD384A"/>
    <w:rsid w:val="00CD3B13"/>
    <w:rsid w:val="00CD43E6"/>
    <w:rsid w:val="00CD50C5"/>
    <w:rsid w:val="00CD5361"/>
    <w:rsid w:val="00CD53EA"/>
    <w:rsid w:val="00CD566C"/>
    <w:rsid w:val="00CD5D42"/>
    <w:rsid w:val="00CD618A"/>
    <w:rsid w:val="00CD7207"/>
    <w:rsid w:val="00CE021A"/>
    <w:rsid w:val="00CE0422"/>
    <w:rsid w:val="00CE0507"/>
    <w:rsid w:val="00CE0739"/>
    <w:rsid w:val="00CE0A71"/>
    <w:rsid w:val="00CE0DBE"/>
    <w:rsid w:val="00CE1231"/>
    <w:rsid w:val="00CE3CF8"/>
    <w:rsid w:val="00CE4665"/>
    <w:rsid w:val="00CE5342"/>
    <w:rsid w:val="00CE5E4D"/>
    <w:rsid w:val="00CE6E90"/>
    <w:rsid w:val="00CE71FC"/>
    <w:rsid w:val="00CE7A9F"/>
    <w:rsid w:val="00CF02C4"/>
    <w:rsid w:val="00CF06BE"/>
    <w:rsid w:val="00CF167F"/>
    <w:rsid w:val="00CF21B0"/>
    <w:rsid w:val="00CF25A1"/>
    <w:rsid w:val="00CF3105"/>
    <w:rsid w:val="00CF3288"/>
    <w:rsid w:val="00CF374F"/>
    <w:rsid w:val="00CF47A8"/>
    <w:rsid w:val="00CF5103"/>
    <w:rsid w:val="00CF5231"/>
    <w:rsid w:val="00CF5634"/>
    <w:rsid w:val="00CF5E92"/>
    <w:rsid w:val="00CF680A"/>
    <w:rsid w:val="00CF6D86"/>
    <w:rsid w:val="00CF72E5"/>
    <w:rsid w:val="00CF7319"/>
    <w:rsid w:val="00CF7D03"/>
    <w:rsid w:val="00D00179"/>
    <w:rsid w:val="00D00923"/>
    <w:rsid w:val="00D00CE4"/>
    <w:rsid w:val="00D01020"/>
    <w:rsid w:val="00D013EE"/>
    <w:rsid w:val="00D01792"/>
    <w:rsid w:val="00D01F38"/>
    <w:rsid w:val="00D01F54"/>
    <w:rsid w:val="00D03186"/>
    <w:rsid w:val="00D03414"/>
    <w:rsid w:val="00D040F7"/>
    <w:rsid w:val="00D0485D"/>
    <w:rsid w:val="00D048FC"/>
    <w:rsid w:val="00D04A76"/>
    <w:rsid w:val="00D04C6F"/>
    <w:rsid w:val="00D05C7B"/>
    <w:rsid w:val="00D068BF"/>
    <w:rsid w:val="00D06B6B"/>
    <w:rsid w:val="00D07E2B"/>
    <w:rsid w:val="00D10FC7"/>
    <w:rsid w:val="00D112EC"/>
    <w:rsid w:val="00D1194D"/>
    <w:rsid w:val="00D126A8"/>
    <w:rsid w:val="00D14A0F"/>
    <w:rsid w:val="00D14DC2"/>
    <w:rsid w:val="00D1514C"/>
    <w:rsid w:val="00D1519F"/>
    <w:rsid w:val="00D157A9"/>
    <w:rsid w:val="00D15C90"/>
    <w:rsid w:val="00D1703C"/>
    <w:rsid w:val="00D17453"/>
    <w:rsid w:val="00D17C13"/>
    <w:rsid w:val="00D20811"/>
    <w:rsid w:val="00D20E99"/>
    <w:rsid w:val="00D212A3"/>
    <w:rsid w:val="00D21C83"/>
    <w:rsid w:val="00D2274C"/>
    <w:rsid w:val="00D23162"/>
    <w:rsid w:val="00D23E3B"/>
    <w:rsid w:val="00D23E50"/>
    <w:rsid w:val="00D2440F"/>
    <w:rsid w:val="00D254DC"/>
    <w:rsid w:val="00D26125"/>
    <w:rsid w:val="00D26A82"/>
    <w:rsid w:val="00D2700E"/>
    <w:rsid w:val="00D27AC5"/>
    <w:rsid w:val="00D30B95"/>
    <w:rsid w:val="00D312C2"/>
    <w:rsid w:val="00D3194D"/>
    <w:rsid w:val="00D31981"/>
    <w:rsid w:val="00D31F2A"/>
    <w:rsid w:val="00D331A1"/>
    <w:rsid w:val="00D33E48"/>
    <w:rsid w:val="00D3419C"/>
    <w:rsid w:val="00D35355"/>
    <w:rsid w:val="00D35799"/>
    <w:rsid w:val="00D35BDD"/>
    <w:rsid w:val="00D35E31"/>
    <w:rsid w:val="00D3652C"/>
    <w:rsid w:val="00D37A15"/>
    <w:rsid w:val="00D37DAF"/>
    <w:rsid w:val="00D37E49"/>
    <w:rsid w:val="00D406C1"/>
    <w:rsid w:val="00D4082D"/>
    <w:rsid w:val="00D411B0"/>
    <w:rsid w:val="00D4150B"/>
    <w:rsid w:val="00D41B26"/>
    <w:rsid w:val="00D4257F"/>
    <w:rsid w:val="00D425A3"/>
    <w:rsid w:val="00D42C8F"/>
    <w:rsid w:val="00D434FF"/>
    <w:rsid w:val="00D43CA1"/>
    <w:rsid w:val="00D43D6B"/>
    <w:rsid w:val="00D44623"/>
    <w:rsid w:val="00D446A4"/>
    <w:rsid w:val="00D44DEF"/>
    <w:rsid w:val="00D470D7"/>
    <w:rsid w:val="00D5032F"/>
    <w:rsid w:val="00D507A7"/>
    <w:rsid w:val="00D50DE6"/>
    <w:rsid w:val="00D50F32"/>
    <w:rsid w:val="00D5116F"/>
    <w:rsid w:val="00D51353"/>
    <w:rsid w:val="00D52505"/>
    <w:rsid w:val="00D529CF"/>
    <w:rsid w:val="00D5391D"/>
    <w:rsid w:val="00D540C0"/>
    <w:rsid w:val="00D54D90"/>
    <w:rsid w:val="00D54F85"/>
    <w:rsid w:val="00D552C1"/>
    <w:rsid w:val="00D55E66"/>
    <w:rsid w:val="00D5686B"/>
    <w:rsid w:val="00D57181"/>
    <w:rsid w:val="00D57976"/>
    <w:rsid w:val="00D57B66"/>
    <w:rsid w:val="00D601C8"/>
    <w:rsid w:val="00D609A9"/>
    <w:rsid w:val="00D60F82"/>
    <w:rsid w:val="00D6130C"/>
    <w:rsid w:val="00D614C4"/>
    <w:rsid w:val="00D62121"/>
    <w:rsid w:val="00D622B6"/>
    <w:rsid w:val="00D6295B"/>
    <w:rsid w:val="00D63006"/>
    <w:rsid w:val="00D63982"/>
    <w:rsid w:val="00D6496D"/>
    <w:rsid w:val="00D64D42"/>
    <w:rsid w:val="00D66EE8"/>
    <w:rsid w:val="00D67937"/>
    <w:rsid w:val="00D70995"/>
    <w:rsid w:val="00D711D8"/>
    <w:rsid w:val="00D71344"/>
    <w:rsid w:val="00D71C0F"/>
    <w:rsid w:val="00D72301"/>
    <w:rsid w:val="00D727E4"/>
    <w:rsid w:val="00D74317"/>
    <w:rsid w:val="00D75695"/>
    <w:rsid w:val="00D76426"/>
    <w:rsid w:val="00D764F5"/>
    <w:rsid w:val="00D76D45"/>
    <w:rsid w:val="00D8016F"/>
    <w:rsid w:val="00D80741"/>
    <w:rsid w:val="00D80776"/>
    <w:rsid w:val="00D80DAA"/>
    <w:rsid w:val="00D81B83"/>
    <w:rsid w:val="00D81C35"/>
    <w:rsid w:val="00D81D06"/>
    <w:rsid w:val="00D82C2C"/>
    <w:rsid w:val="00D82DE7"/>
    <w:rsid w:val="00D82DE8"/>
    <w:rsid w:val="00D8430B"/>
    <w:rsid w:val="00D8528E"/>
    <w:rsid w:val="00D90201"/>
    <w:rsid w:val="00D902A9"/>
    <w:rsid w:val="00D911DE"/>
    <w:rsid w:val="00D91548"/>
    <w:rsid w:val="00D91B97"/>
    <w:rsid w:val="00D92455"/>
    <w:rsid w:val="00D92667"/>
    <w:rsid w:val="00D92D18"/>
    <w:rsid w:val="00D9355C"/>
    <w:rsid w:val="00D936A8"/>
    <w:rsid w:val="00D93980"/>
    <w:rsid w:val="00D93ACC"/>
    <w:rsid w:val="00D93C08"/>
    <w:rsid w:val="00D93E4E"/>
    <w:rsid w:val="00D94D66"/>
    <w:rsid w:val="00D95806"/>
    <w:rsid w:val="00D95A59"/>
    <w:rsid w:val="00D95DAC"/>
    <w:rsid w:val="00D962C6"/>
    <w:rsid w:val="00D96CEB"/>
    <w:rsid w:val="00D97168"/>
    <w:rsid w:val="00D9796F"/>
    <w:rsid w:val="00D97B5A"/>
    <w:rsid w:val="00DA0B53"/>
    <w:rsid w:val="00DA1685"/>
    <w:rsid w:val="00DA1CD8"/>
    <w:rsid w:val="00DA1E60"/>
    <w:rsid w:val="00DA32A9"/>
    <w:rsid w:val="00DA3DA3"/>
    <w:rsid w:val="00DA3FF5"/>
    <w:rsid w:val="00DA4AAE"/>
    <w:rsid w:val="00DA4F64"/>
    <w:rsid w:val="00DA505A"/>
    <w:rsid w:val="00DA767D"/>
    <w:rsid w:val="00DA7E15"/>
    <w:rsid w:val="00DA7F5D"/>
    <w:rsid w:val="00DA7F69"/>
    <w:rsid w:val="00DB0377"/>
    <w:rsid w:val="00DB098C"/>
    <w:rsid w:val="00DB0D63"/>
    <w:rsid w:val="00DB1171"/>
    <w:rsid w:val="00DB1519"/>
    <w:rsid w:val="00DB1D90"/>
    <w:rsid w:val="00DB2840"/>
    <w:rsid w:val="00DB2B6C"/>
    <w:rsid w:val="00DB2C48"/>
    <w:rsid w:val="00DB2FA0"/>
    <w:rsid w:val="00DB3AB5"/>
    <w:rsid w:val="00DB473E"/>
    <w:rsid w:val="00DB478B"/>
    <w:rsid w:val="00DB4C97"/>
    <w:rsid w:val="00DB5214"/>
    <w:rsid w:val="00DB5579"/>
    <w:rsid w:val="00DB5EA0"/>
    <w:rsid w:val="00DB5F68"/>
    <w:rsid w:val="00DB6566"/>
    <w:rsid w:val="00DB6A2F"/>
    <w:rsid w:val="00DB7A69"/>
    <w:rsid w:val="00DC027B"/>
    <w:rsid w:val="00DC0C6E"/>
    <w:rsid w:val="00DC1BD3"/>
    <w:rsid w:val="00DC2418"/>
    <w:rsid w:val="00DC2B69"/>
    <w:rsid w:val="00DC2C1A"/>
    <w:rsid w:val="00DC3C27"/>
    <w:rsid w:val="00DC432A"/>
    <w:rsid w:val="00DC4955"/>
    <w:rsid w:val="00DC6CD1"/>
    <w:rsid w:val="00DD0545"/>
    <w:rsid w:val="00DD0E1D"/>
    <w:rsid w:val="00DD3904"/>
    <w:rsid w:val="00DD4362"/>
    <w:rsid w:val="00DD43BA"/>
    <w:rsid w:val="00DD4803"/>
    <w:rsid w:val="00DD602A"/>
    <w:rsid w:val="00DD64C6"/>
    <w:rsid w:val="00DD66B4"/>
    <w:rsid w:val="00DD6CA4"/>
    <w:rsid w:val="00DD70FB"/>
    <w:rsid w:val="00DE032F"/>
    <w:rsid w:val="00DE048C"/>
    <w:rsid w:val="00DE0771"/>
    <w:rsid w:val="00DE08AE"/>
    <w:rsid w:val="00DE0DD4"/>
    <w:rsid w:val="00DE110C"/>
    <w:rsid w:val="00DE1972"/>
    <w:rsid w:val="00DE1E82"/>
    <w:rsid w:val="00DE2090"/>
    <w:rsid w:val="00DE27AB"/>
    <w:rsid w:val="00DE3F0C"/>
    <w:rsid w:val="00DE450C"/>
    <w:rsid w:val="00DE58A0"/>
    <w:rsid w:val="00DE6EDA"/>
    <w:rsid w:val="00DE7056"/>
    <w:rsid w:val="00DF006A"/>
    <w:rsid w:val="00DF035C"/>
    <w:rsid w:val="00DF1457"/>
    <w:rsid w:val="00DF1568"/>
    <w:rsid w:val="00DF1B23"/>
    <w:rsid w:val="00DF1F37"/>
    <w:rsid w:val="00DF1FAF"/>
    <w:rsid w:val="00DF21CB"/>
    <w:rsid w:val="00DF225B"/>
    <w:rsid w:val="00DF268F"/>
    <w:rsid w:val="00DF2AB3"/>
    <w:rsid w:val="00DF3251"/>
    <w:rsid w:val="00DF39DE"/>
    <w:rsid w:val="00DF3AD4"/>
    <w:rsid w:val="00DF445C"/>
    <w:rsid w:val="00DF4C69"/>
    <w:rsid w:val="00DF4F59"/>
    <w:rsid w:val="00DF633F"/>
    <w:rsid w:val="00DF6553"/>
    <w:rsid w:val="00DF6617"/>
    <w:rsid w:val="00DF70E6"/>
    <w:rsid w:val="00DF7250"/>
    <w:rsid w:val="00DF7D16"/>
    <w:rsid w:val="00E00587"/>
    <w:rsid w:val="00E00CAA"/>
    <w:rsid w:val="00E01B32"/>
    <w:rsid w:val="00E0239C"/>
    <w:rsid w:val="00E02853"/>
    <w:rsid w:val="00E03063"/>
    <w:rsid w:val="00E033A3"/>
    <w:rsid w:val="00E034BD"/>
    <w:rsid w:val="00E03647"/>
    <w:rsid w:val="00E039E5"/>
    <w:rsid w:val="00E03EBF"/>
    <w:rsid w:val="00E04E92"/>
    <w:rsid w:val="00E05209"/>
    <w:rsid w:val="00E05AC1"/>
    <w:rsid w:val="00E05CA4"/>
    <w:rsid w:val="00E060C9"/>
    <w:rsid w:val="00E10252"/>
    <w:rsid w:val="00E11451"/>
    <w:rsid w:val="00E11BCF"/>
    <w:rsid w:val="00E1368A"/>
    <w:rsid w:val="00E137A6"/>
    <w:rsid w:val="00E13ECA"/>
    <w:rsid w:val="00E15EE4"/>
    <w:rsid w:val="00E17502"/>
    <w:rsid w:val="00E1777F"/>
    <w:rsid w:val="00E179B8"/>
    <w:rsid w:val="00E17A1D"/>
    <w:rsid w:val="00E20227"/>
    <w:rsid w:val="00E212FB"/>
    <w:rsid w:val="00E21887"/>
    <w:rsid w:val="00E2258E"/>
    <w:rsid w:val="00E22593"/>
    <w:rsid w:val="00E22649"/>
    <w:rsid w:val="00E22751"/>
    <w:rsid w:val="00E22AE5"/>
    <w:rsid w:val="00E231F8"/>
    <w:rsid w:val="00E23569"/>
    <w:rsid w:val="00E23A9D"/>
    <w:rsid w:val="00E24806"/>
    <w:rsid w:val="00E24A90"/>
    <w:rsid w:val="00E25D62"/>
    <w:rsid w:val="00E25DA3"/>
    <w:rsid w:val="00E25E77"/>
    <w:rsid w:val="00E260C2"/>
    <w:rsid w:val="00E264D5"/>
    <w:rsid w:val="00E264E3"/>
    <w:rsid w:val="00E267B6"/>
    <w:rsid w:val="00E2682D"/>
    <w:rsid w:val="00E305EB"/>
    <w:rsid w:val="00E312B4"/>
    <w:rsid w:val="00E324A0"/>
    <w:rsid w:val="00E32596"/>
    <w:rsid w:val="00E32E04"/>
    <w:rsid w:val="00E32E61"/>
    <w:rsid w:val="00E342B2"/>
    <w:rsid w:val="00E34C7B"/>
    <w:rsid w:val="00E3622D"/>
    <w:rsid w:val="00E364D6"/>
    <w:rsid w:val="00E368F7"/>
    <w:rsid w:val="00E36EB8"/>
    <w:rsid w:val="00E3763F"/>
    <w:rsid w:val="00E37FB8"/>
    <w:rsid w:val="00E4070E"/>
    <w:rsid w:val="00E40B07"/>
    <w:rsid w:val="00E415AE"/>
    <w:rsid w:val="00E41708"/>
    <w:rsid w:val="00E41BE1"/>
    <w:rsid w:val="00E42326"/>
    <w:rsid w:val="00E42551"/>
    <w:rsid w:val="00E42998"/>
    <w:rsid w:val="00E43544"/>
    <w:rsid w:val="00E44D89"/>
    <w:rsid w:val="00E45392"/>
    <w:rsid w:val="00E46401"/>
    <w:rsid w:val="00E469A8"/>
    <w:rsid w:val="00E46D9C"/>
    <w:rsid w:val="00E46DE3"/>
    <w:rsid w:val="00E477EA"/>
    <w:rsid w:val="00E502E5"/>
    <w:rsid w:val="00E50699"/>
    <w:rsid w:val="00E51368"/>
    <w:rsid w:val="00E51A5D"/>
    <w:rsid w:val="00E5270A"/>
    <w:rsid w:val="00E52D2C"/>
    <w:rsid w:val="00E52E79"/>
    <w:rsid w:val="00E5348C"/>
    <w:rsid w:val="00E5516B"/>
    <w:rsid w:val="00E5568D"/>
    <w:rsid w:val="00E55807"/>
    <w:rsid w:val="00E56352"/>
    <w:rsid w:val="00E56C8E"/>
    <w:rsid w:val="00E571D1"/>
    <w:rsid w:val="00E60794"/>
    <w:rsid w:val="00E621AD"/>
    <w:rsid w:val="00E624B0"/>
    <w:rsid w:val="00E62893"/>
    <w:rsid w:val="00E6324B"/>
    <w:rsid w:val="00E63B14"/>
    <w:rsid w:val="00E64531"/>
    <w:rsid w:val="00E6513C"/>
    <w:rsid w:val="00E6535E"/>
    <w:rsid w:val="00E65CA0"/>
    <w:rsid w:val="00E65D27"/>
    <w:rsid w:val="00E6614A"/>
    <w:rsid w:val="00E674BE"/>
    <w:rsid w:val="00E700BF"/>
    <w:rsid w:val="00E70235"/>
    <w:rsid w:val="00E702CC"/>
    <w:rsid w:val="00E70911"/>
    <w:rsid w:val="00E70D9F"/>
    <w:rsid w:val="00E719DF"/>
    <w:rsid w:val="00E72E2B"/>
    <w:rsid w:val="00E730FF"/>
    <w:rsid w:val="00E737EF"/>
    <w:rsid w:val="00E74C4B"/>
    <w:rsid w:val="00E7538E"/>
    <w:rsid w:val="00E7789D"/>
    <w:rsid w:val="00E778E4"/>
    <w:rsid w:val="00E77FDC"/>
    <w:rsid w:val="00E81A12"/>
    <w:rsid w:val="00E81C3D"/>
    <w:rsid w:val="00E832AE"/>
    <w:rsid w:val="00E836D9"/>
    <w:rsid w:val="00E83810"/>
    <w:rsid w:val="00E83D2A"/>
    <w:rsid w:val="00E84C32"/>
    <w:rsid w:val="00E86703"/>
    <w:rsid w:val="00E86933"/>
    <w:rsid w:val="00E875CD"/>
    <w:rsid w:val="00E9104C"/>
    <w:rsid w:val="00E91319"/>
    <w:rsid w:val="00E92B6B"/>
    <w:rsid w:val="00E93F06"/>
    <w:rsid w:val="00E94016"/>
    <w:rsid w:val="00E940A3"/>
    <w:rsid w:val="00E94198"/>
    <w:rsid w:val="00E94227"/>
    <w:rsid w:val="00E95AAF"/>
    <w:rsid w:val="00E9605B"/>
    <w:rsid w:val="00E96367"/>
    <w:rsid w:val="00E97298"/>
    <w:rsid w:val="00E97753"/>
    <w:rsid w:val="00E97990"/>
    <w:rsid w:val="00EA0C51"/>
    <w:rsid w:val="00EA0EEC"/>
    <w:rsid w:val="00EA19DE"/>
    <w:rsid w:val="00EA207B"/>
    <w:rsid w:val="00EA266C"/>
    <w:rsid w:val="00EA2854"/>
    <w:rsid w:val="00EA2C8D"/>
    <w:rsid w:val="00EA2D9B"/>
    <w:rsid w:val="00EA2EBB"/>
    <w:rsid w:val="00EA34A6"/>
    <w:rsid w:val="00EA4BA9"/>
    <w:rsid w:val="00EA6BD6"/>
    <w:rsid w:val="00EA74D4"/>
    <w:rsid w:val="00EA7DE7"/>
    <w:rsid w:val="00EB05CD"/>
    <w:rsid w:val="00EB0805"/>
    <w:rsid w:val="00EB13F6"/>
    <w:rsid w:val="00EB15E6"/>
    <w:rsid w:val="00EB1FC7"/>
    <w:rsid w:val="00EB29E2"/>
    <w:rsid w:val="00EB2C49"/>
    <w:rsid w:val="00EB2EBE"/>
    <w:rsid w:val="00EB2EE7"/>
    <w:rsid w:val="00EB2F7A"/>
    <w:rsid w:val="00EB4674"/>
    <w:rsid w:val="00EB4F8F"/>
    <w:rsid w:val="00EB5958"/>
    <w:rsid w:val="00EB6248"/>
    <w:rsid w:val="00EB64BE"/>
    <w:rsid w:val="00EB7A8A"/>
    <w:rsid w:val="00EB7FAC"/>
    <w:rsid w:val="00EC0833"/>
    <w:rsid w:val="00EC106A"/>
    <w:rsid w:val="00EC37EB"/>
    <w:rsid w:val="00EC41D8"/>
    <w:rsid w:val="00EC5186"/>
    <w:rsid w:val="00EC5DA9"/>
    <w:rsid w:val="00EC6B88"/>
    <w:rsid w:val="00EC6FED"/>
    <w:rsid w:val="00EC7F3B"/>
    <w:rsid w:val="00ED0A23"/>
    <w:rsid w:val="00ED0E5A"/>
    <w:rsid w:val="00ED1103"/>
    <w:rsid w:val="00ED1188"/>
    <w:rsid w:val="00ED12E5"/>
    <w:rsid w:val="00ED1653"/>
    <w:rsid w:val="00ED1BD1"/>
    <w:rsid w:val="00ED280E"/>
    <w:rsid w:val="00ED3322"/>
    <w:rsid w:val="00ED5299"/>
    <w:rsid w:val="00ED5A10"/>
    <w:rsid w:val="00ED6F1D"/>
    <w:rsid w:val="00ED7716"/>
    <w:rsid w:val="00EE03EB"/>
    <w:rsid w:val="00EE0F0B"/>
    <w:rsid w:val="00EE1232"/>
    <w:rsid w:val="00EE148C"/>
    <w:rsid w:val="00EE151E"/>
    <w:rsid w:val="00EE15A9"/>
    <w:rsid w:val="00EE18B8"/>
    <w:rsid w:val="00EE2989"/>
    <w:rsid w:val="00EE35CE"/>
    <w:rsid w:val="00EE3A64"/>
    <w:rsid w:val="00EE3F90"/>
    <w:rsid w:val="00EE4FC9"/>
    <w:rsid w:val="00EE50E5"/>
    <w:rsid w:val="00EF01CF"/>
    <w:rsid w:val="00EF0227"/>
    <w:rsid w:val="00EF03D2"/>
    <w:rsid w:val="00EF1930"/>
    <w:rsid w:val="00EF1EF8"/>
    <w:rsid w:val="00EF36CD"/>
    <w:rsid w:val="00EF399A"/>
    <w:rsid w:val="00EF5E0D"/>
    <w:rsid w:val="00EF6027"/>
    <w:rsid w:val="00EF6D10"/>
    <w:rsid w:val="00EF6D24"/>
    <w:rsid w:val="00EF7439"/>
    <w:rsid w:val="00EF7824"/>
    <w:rsid w:val="00F003B6"/>
    <w:rsid w:val="00F00E65"/>
    <w:rsid w:val="00F030AC"/>
    <w:rsid w:val="00F03590"/>
    <w:rsid w:val="00F03622"/>
    <w:rsid w:val="00F0403D"/>
    <w:rsid w:val="00F049AC"/>
    <w:rsid w:val="00F04EC8"/>
    <w:rsid w:val="00F06128"/>
    <w:rsid w:val="00F07048"/>
    <w:rsid w:val="00F077D9"/>
    <w:rsid w:val="00F077FD"/>
    <w:rsid w:val="00F07DDD"/>
    <w:rsid w:val="00F07E34"/>
    <w:rsid w:val="00F07F5C"/>
    <w:rsid w:val="00F10FAD"/>
    <w:rsid w:val="00F11093"/>
    <w:rsid w:val="00F13992"/>
    <w:rsid w:val="00F13B40"/>
    <w:rsid w:val="00F14E8A"/>
    <w:rsid w:val="00F152D0"/>
    <w:rsid w:val="00F1554E"/>
    <w:rsid w:val="00F160C4"/>
    <w:rsid w:val="00F166B2"/>
    <w:rsid w:val="00F1690E"/>
    <w:rsid w:val="00F20430"/>
    <w:rsid w:val="00F204F3"/>
    <w:rsid w:val="00F20C55"/>
    <w:rsid w:val="00F20F09"/>
    <w:rsid w:val="00F210F1"/>
    <w:rsid w:val="00F218AB"/>
    <w:rsid w:val="00F229D3"/>
    <w:rsid w:val="00F23549"/>
    <w:rsid w:val="00F238B3"/>
    <w:rsid w:val="00F23C61"/>
    <w:rsid w:val="00F23E12"/>
    <w:rsid w:val="00F23F11"/>
    <w:rsid w:val="00F24DE9"/>
    <w:rsid w:val="00F24E79"/>
    <w:rsid w:val="00F24FED"/>
    <w:rsid w:val="00F25032"/>
    <w:rsid w:val="00F25586"/>
    <w:rsid w:val="00F261A9"/>
    <w:rsid w:val="00F2651D"/>
    <w:rsid w:val="00F266C8"/>
    <w:rsid w:val="00F26C98"/>
    <w:rsid w:val="00F26E14"/>
    <w:rsid w:val="00F27362"/>
    <w:rsid w:val="00F275D3"/>
    <w:rsid w:val="00F278E3"/>
    <w:rsid w:val="00F27A93"/>
    <w:rsid w:val="00F27F3C"/>
    <w:rsid w:val="00F30DF6"/>
    <w:rsid w:val="00F31230"/>
    <w:rsid w:val="00F31242"/>
    <w:rsid w:val="00F31498"/>
    <w:rsid w:val="00F32AA4"/>
    <w:rsid w:val="00F32E0A"/>
    <w:rsid w:val="00F32FEF"/>
    <w:rsid w:val="00F34319"/>
    <w:rsid w:val="00F345C5"/>
    <w:rsid w:val="00F36A10"/>
    <w:rsid w:val="00F374BD"/>
    <w:rsid w:val="00F37AD5"/>
    <w:rsid w:val="00F41B1C"/>
    <w:rsid w:val="00F41E15"/>
    <w:rsid w:val="00F42E13"/>
    <w:rsid w:val="00F42E5E"/>
    <w:rsid w:val="00F42F1C"/>
    <w:rsid w:val="00F43B44"/>
    <w:rsid w:val="00F440E5"/>
    <w:rsid w:val="00F448F6"/>
    <w:rsid w:val="00F44C5A"/>
    <w:rsid w:val="00F44E00"/>
    <w:rsid w:val="00F44E70"/>
    <w:rsid w:val="00F44F26"/>
    <w:rsid w:val="00F4532A"/>
    <w:rsid w:val="00F4580E"/>
    <w:rsid w:val="00F461E9"/>
    <w:rsid w:val="00F468ED"/>
    <w:rsid w:val="00F475FE"/>
    <w:rsid w:val="00F47E81"/>
    <w:rsid w:val="00F506C7"/>
    <w:rsid w:val="00F50E9F"/>
    <w:rsid w:val="00F521F1"/>
    <w:rsid w:val="00F52337"/>
    <w:rsid w:val="00F52741"/>
    <w:rsid w:val="00F528D2"/>
    <w:rsid w:val="00F537BD"/>
    <w:rsid w:val="00F53880"/>
    <w:rsid w:val="00F53D8A"/>
    <w:rsid w:val="00F54F35"/>
    <w:rsid w:val="00F555EE"/>
    <w:rsid w:val="00F55740"/>
    <w:rsid w:val="00F55AF9"/>
    <w:rsid w:val="00F5750F"/>
    <w:rsid w:val="00F57571"/>
    <w:rsid w:val="00F578CC"/>
    <w:rsid w:val="00F57958"/>
    <w:rsid w:val="00F60619"/>
    <w:rsid w:val="00F6067A"/>
    <w:rsid w:val="00F60BD1"/>
    <w:rsid w:val="00F6155D"/>
    <w:rsid w:val="00F61BDA"/>
    <w:rsid w:val="00F61F0D"/>
    <w:rsid w:val="00F626F7"/>
    <w:rsid w:val="00F63007"/>
    <w:rsid w:val="00F6447D"/>
    <w:rsid w:val="00F648E9"/>
    <w:rsid w:val="00F65278"/>
    <w:rsid w:val="00F65880"/>
    <w:rsid w:val="00F6601F"/>
    <w:rsid w:val="00F6747F"/>
    <w:rsid w:val="00F67D45"/>
    <w:rsid w:val="00F7068F"/>
    <w:rsid w:val="00F7111D"/>
    <w:rsid w:val="00F7171B"/>
    <w:rsid w:val="00F72361"/>
    <w:rsid w:val="00F72C87"/>
    <w:rsid w:val="00F736F9"/>
    <w:rsid w:val="00F73833"/>
    <w:rsid w:val="00F74A0E"/>
    <w:rsid w:val="00F758CE"/>
    <w:rsid w:val="00F75943"/>
    <w:rsid w:val="00F75FA1"/>
    <w:rsid w:val="00F77576"/>
    <w:rsid w:val="00F779AF"/>
    <w:rsid w:val="00F77A4F"/>
    <w:rsid w:val="00F77C9C"/>
    <w:rsid w:val="00F80936"/>
    <w:rsid w:val="00F80BB9"/>
    <w:rsid w:val="00F82328"/>
    <w:rsid w:val="00F828BA"/>
    <w:rsid w:val="00F83A21"/>
    <w:rsid w:val="00F83D67"/>
    <w:rsid w:val="00F83EC6"/>
    <w:rsid w:val="00F84005"/>
    <w:rsid w:val="00F8432A"/>
    <w:rsid w:val="00F84DD8"/>
    <w:rsid w:val="00F85BCD"/>
    <w:rsid w:val="00F85E2E"/>
    <w:rsid w:val="00F864A3"/>
    <w:rsid w:val="00F8719B"/>
    <w:rsid w:val="00F9052E"/>
    <w:rsid w:val="00F90634"/>
    <w:rsid w:val="00F90835"/>
    <w:rsid w:val="00F9112D"/>
    <w:rsid w:val="00F916D9"/>
    <w:rsid w:val="00F9211C"/>
    <w:rsid w:val="00F92963"/>
    <w:rsid w:val="00F93AAB"/>
    <w:rsid w:val="00F94800"/>
    <w:rsid w:val="00F95709"/>
    <w:rsid w:val="00F96991"/>
    <w:rsid w:val="00F96D75"/>
    <w:rsid w:val="00F97229"/>
    <w:rsid w:val="00FA079E"/>
    <w:rsid w:val="00FA095D"/>
    <w:rsid w:val="00FA0EEB"/>
    <w:rsid w:val="00FA350D"/>
    <w:rsid w:val="00FA3D1C"/>
    <w:rsid w:val="00FA5125"/>
    <w:rsid w:val="00FA67C6"/>
    <w:rsid w:val="00FA6C8B"/>
    <w:rsid w:val="00FA6CDA"/>
    <w:rsid w:val="00FA7139"/>
    <w:rsid w:val="00FA74B7"/>
    <w:rsid w:val="00FA7C89"/>
    <w:rsid w:val="00FB1135"/>
    <w:rsid w:val="00FB1153"/>
    <w:rsid w:val="00FB12F9"/>
    <w:rsid w:val="00FB2284"/>
    <w:rsid w:val="00FB2369"/>
    <w:rsid w:val="00FB32F5"/>
    <w:rsid w:val="00FB3E40"/>
    <w:rsid w:val="00FB4139"/>
    <w:rsid w:val="00FB476E"/>
    <w:rsid w:val="00FB693A"/>
    <w:rsid w:val="00FB6F3A"/>
    <w:rsid w:val="00FB742A"/>
    <w:rsid w:val="00FB7AE5"/>
    <w:rsid w:val="00FB7F00"/>
    <w:rsid w:val="00FC0AD9"/>
    <w:rsid w:val="00FC0D90"/>
    <w:rsid w:val="00FC16FE"/>
    <w:rsid w:val="00FC22F4"/>
    <w:rsid w:val="00FC27C5"/>
    <w:rsid w:val="00FC2C01"/>
    <w:rsid w:val="00FC46C2"/>
    <w:rsid w:val="00FC4A7F"/>
    <w:rsid w:val="00FC4C1B"/>
    <w:rsid w:val="00FC4C2C"/>
    <w:rsid w:val="00FC4C31"/>
    <w:rsid w:val="00FC501E"/>
    <w:rsid w:val="00FC50E4"/>
    <w:rsid w:val="00FC5394"/>
    <w:rsid w:val="00FC53F9"/>
    <w:rsid w:val="00FC6F7E"/>
    <w:rsid w:val="00FC7D8C"/>
    <w:rsid w:val="00FD0542"/>
    <w:rsid w:val="00FD0FBA"/>
    <w:rsid w:val="00FD15B5"/>
    <w:rsid w:val="00FD1C75"/>
    <w:rsid w:val="00FD2040"/>
    <w:rsid w:val="00FD2620"/>
    <w:rsid w:val="00FD3980"/>
    <w:rsid w:val="00FD40B4"/>
    <w:rsid w:val="00FD431E"/>
    <w:rsid w:val="00FD44BF"/>
    <w:rsid w:val="00FD4C32"/>
    <w:rsid w:val="00FD4EE6"/>
    <w:rsid w:val="00FD5234"/>
    <w:rsid w:val="00FD58C7"/>
    <w:rsid w:val="00FD5A2C"/>
    <w:rsid w:val="00FD5C96"/>
    <w:rsid w:val="00FD6040"/>
    <w:rsid w:val="00FD62A2"/>
    <w:rsid w:val="00FD64D7"/>
    <w:rsid w:val="00FD730E"/>
    <w:rsid w:val="00FD73AF"/>
    <w:rsid w:val="00FD7861"/>
    <w:rsid w:val="00FE0D47"/>
    <w:rsid w:val="00FE1D5C"/>
    <w:rsid w:val="00FE2B34"/>
    <w:rsid w:val="00FE2D52"/>
    <w:rsid w:val="00FE2F8B"/>
    <w:rsid w:val="00FE3669"/>
    <w:rsid w:val="00FE3AB5"/>
    <w:rsid w:val="00FE4468"/>
    <w:rsid w:val="00FE493F"/>
    <w:rsid w:val="00FE4FD8"/>
    <w:rsid w:val="00FE5204"/>
    <w:rsid w:val="00FE5DE9"/>
    <w:rsid w:val="00FE7CD3"/>
    <w:rsid w:val="00FF03A6"/>
    <w:rsid w:val="00FF10E6"/>
    <w:rsid w:val="00FF1198"/>
    <w:rsid w:val="00FF1E44"/>
    <w:rsid w:val="00FF21E6"/>
    <w:rsid w:val="00FF27A3"/>
    <w:rsid w:val="00FF287F"/>
    <w:rsid w:val="00FF37DC"/>
    <w:rsid w:val="00FF499C"/>
    <w:rsid w:val="00FF4CE1"/>
    <w:rsid w:val="00FF5465"/>
    <w:rsid w:val="00FF5808"/>
    <w:rsid w:val="00FF642A"/>
    <w:rsid w:val="00FF6574"/>
    <w:rsid w:val="00FF6958"/>
    <w:rsid w:val="00FF6E99"/>
    <w:rsid w:val="00FF74A8"/>
    <w:rsid w:val="00FF7873"/>
    <w:rsid w:val="00FF7DA5"/>
    <w:rsid w:val="030F3267"/>
    <w:rsid w:val="09DFB2B9"/>
    <w:rsid w:val="0AB26E0D"/>
    <w:rsid w:val="0B92D65D"/>
    <w:rsid w:val="0B962AE2"/>
    <w:rsid w:val="0D0D50C3"/>
    <w:rsid w:val="0D54DA37"/>
    <w:rsid w:val="0EC19762"/>
    <w:rsid w:val="11BBAD3A"/>
    <w:rsid w:val="16A321C4"/>
    <w:rsid w:val="17E20DDE"/>
    <w:rsid w:val="18284236"/>
    <w:rsid w:val="19F8A062"/>
    <w:rsid w:val="1AA3960E"/>
    <w:rsid w:val="1AE6FDBC"/>
    <w:rsid w:val="1B91E55D"/>
    <w:rsid w:val="1E4DD283"/>
    <w:rsid w:val="1F1BBE28"/>
    <w:rsid w:val="1FB62B7F"/>
    <w:rsid w:val="2309AC90"/>
    <w:rsid w:val="234F4458"/>
    <w:rsid w:val="24AC3F25"/>
    <w:rsid w:val="254A2285"/>
    <w:rsid w:val="25A19CF7"/>
    <w:rsid w:val="26430BE3"/>
    <w:rsid w:val="264CA0B2"/>
    <w:rsid w:val="26A15074"/>
    <w:rsid w:val="2714BE94"/>
    <w:rsid w:val="2954280A"/>
    <w:rsid w:val="29A58481"/>
    <w:rsid w:val="2A00FC19"/>
    <w:rsid w:val="2A3B897D"/>
    <w:rsid w:val="2DB8DF56"/>
    <w:rsid w:val="2DC87D96"/>
    <w:rsid w:val="2EE043C5"/>
    <w:rsid w:val="336BD28E"/>
    <w:rsid w:val="3B260315"/>
    <w:rsid w:val="417C0F23"/>
    <w:rsid w:val="43D0A10F"/>
    <w:rsid w:val="44755D96"/>
    <w:rsid w:val="45212139"/>
    <w:rsid w:val="46C209FD"/>
    <w:rsid w:val="487E46B2"/>
    <w:rsid w:val="4CF2BCB7"/>
    <w:rsid w:val="4F832905"/>
    <w:rsid w:val="53A65DD1"/>
    <w:rsid w:val="53F88FED"/>
    <w:rsid w:val="54679C45"/>
    <w:rsid w:val="5482285D"/>
    <w:rsid w:val="55EA000E"/>
    <w:rsid w:val="57F0979E"/>
    <w:rsid w:val="5B50BDC1"/>
    <w:rsid w:val="5B9D268D"/>
    <w:rsid w:val="5BA1DC4F"/>
    <w:rsid w:val="60F24F58"/>
    <w:rsid w:val="621A9677"/>
    <w:rsid w:val="63DA87B9"/>
    <w:rsid w:val="668077E7"/>
    <w:rsid w:val="69541F49"/>
    <w:rsid w:val="6A36237C"/>
    <w:rsid w:val="6B08FC2A"/>
    <w:rsid w:val="6B69D164"/>
    <w:rsid w:val="6B7D1B7F"/>
    <w:rsid w:val="6D3414DC"/>
    <w:rsid w:val="70435E37"/>
    <w:rsid w:val="70C42331"/>
    <w:rsid w:val="71466AD9"/>
    <w:rsid w:val="71B06D44"/>
    <w:rsid w:val="73269AA3"/>
    <w:rsid w:val="777A3A10"/>
    <w:rsid w:val="7780F65B"/>
    <w:rsid w:val="789D8804"/>
    <w:rsid w:val="79C24AE6"/>
    <w:rsid w:val="7B0C27DC"/>
    <w:rsid w:val="7B6B99E4"/>
    <w:rsid w:val="7B96E922"/>
    <w:rsid w:val="7E564001"/>
    <w:rsid w:val="7E8D7D2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FAF29E"/>
  <w15:docId w15:val="{6730C387-B29D-418B-94B4-6876554BB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7C86"/>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uiPriority w:val="9"/>
    <w:qFormat/>
    <w:rsid w:val="00B37866"/>
    <w:pPr>
      <w:keepNext/>
      <w:keepLines/>
      <w:spacing w:before="280"/>
      <w:ind w:left="794" w:hanging="794"/>
      <w:outlineLvl w:val="0"/>
    </w:pPr>
    <w:rPr>
      <w:b/>
      <w:sz w:val="28"/>
    </w:rPr>
  </w:style>
  <w:style w:type="paragraph" w:styleId="Heading2">
    <w:name w:val="heading 2"/>
    <w:basedOn w:val="Heading1"/>
    <w:next w:val="Normal"/>
    <w:link w:val="Heading2Char"/>
    <w:uiPriority w:val="9"/>
    <w:qFormat/>
    <w:rsid w:val="00B37866"/>
    <w:pPr>
      <w:spacing w:before="200"/>
      <w:outlineLvl w:val="1"/>
    </w:pPr>
    <w:rPr>
      <w:sz w:val="24"/>
    </w:rPr>
  </w:style>
  <w:style w:type="paragraph" w:styleId="Heading3">
    <w:name w:val="heading 3"/>
    <w:basedOn w:val="Heading1"/>
    <w:next w:val="Normal"/>
    <w:link w:val="Heading3Char"/>
    <w:uiPriority w:val="9"/>
    <w:qFormat/>
    <w:rsid w:val="00B37866"/>
    <w:pPr>
      <w:spacing w:before="200"/>
      <w:outlineLvl w:val="2"/>
    </w:pPr>
    <w:rPr>
      <w:sz w:val="24"/>
    </w:rPr>
  </w:style>
  <w:style w:type="paragraph" w:styleId="Heading4">
    <w:name w:val="heading 4"/>
    <w:basedOn w:val="Heading3"/>
    <w:next w:val="Normal"/>
    <w:link w:val="Heading4Char"/>
    <w:uiPriority w:val="9"/>
    <w:qFormat/>
    <w:rsid w:val="00B37866"/>
    <w:pPr>
      <w:tabs>
        <w:tab w:val="clear" w:pos="794"/>
        <w:tab w:val="left" w:pos="992"/>
      </w:tabs>
      <w:ind w:left="992" w:hanging="992"/>
      <w:outlineLvl w:val="3"/>
    </w:pPr>
  </w:style>
  <w:style w:type="paragraph" w:styleId="Heading5">
    <w:name w:val="heading 5"/>
    <w:basedOn w:val="Heading4"/>
    <w:next w:val="Normal"/>
    <w:link w:val="Heading5Char"/>
    <w:uiPriority w:val="9"/>
    <w:qFormat/>
    <w:rsid w:val="00B37866"/>
    <w:pPr>
      <w:outlineLvl w:val="4"/>
    </w:pPr>
  </w:style>
  <w:style w:type="paragraph" w:styleId="Heading6">
    <w:name w:val="heading 6"/>
    <w:basedOn w:val="Heading4"/>
    <w:next w:val="Normal"/>
    <w:link w:val="Heading6Char"/>
    <w:uiPriority w:val="9"/>
    <w:qFormat/>
    <w:rsid w:val="00B37866"/>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B37866"/>
    <w:pPr>
      <w:outlineLvl w:val="6"/>
    </w:pPr>
  </w:style>
  <w:style w:type="paragraph" w:styleId="Heading8">
    <w:name w:val="heading 8"/>
    <w:basedOn w:val="Heading6"/>
    <w:next w:val="Normal"/>
    <w:link w:val="Heading8Char"/>
    <w:uiPriority w:val="9"/>
    <w:qFormat/>
    <w:rsid w:val="00B37866"/>
    <w:pPr>
      <w:outlineLvl w:val="7"/>
    </w:pPr>
  </w:style>
  <w:style w:type="paragraph" w:styleId="Heading9">
    <w:name w:val="heading 9"/>
    <w:basedOn w:val="Heading6"/>
    <w:next w:val="Normal"/>
    <w:link w:val="Heading9Char"/>
    <w:uiPriority w:val="9"/>
    <w:qFormat/>
    <w:rsid w:val="00B3786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B37866"/>
    <w:pPr>
      <w:ind w:left="1680"/>
    </w:pPr>
    <w:rPr>
      <w:i/>
      <w:iCs/>
    </w:rPr>
  </w:style>
  <w:style w:type="paragraph" w:styleId="TOC4">
    <w:name w:val="toc 4"/>
    <w:basedOn w:val="TOC3"/>
    <w:semiHidden/>
    <w:rsid w:val="00B37866"/>
    <w:pPr>
      <w:ind w:left="720"/>
    </w:pPr>
    <w:rPr>
      <w:b/>
      <w:bCs/>
    </w:rPr>
  </w:style>
  <w:style w:type="paragraph" w:styleId="TOC3">
    <w:name w:val="toc 3"/>
    <w:basedOn w:val="TOC2"/>
    <w:rsid w:val="00B37866"/>
    <w:pPr>
      <w:spacing w:before="0"/>
      <w:ind w:left="480"/>
    </w:pPr>
    <w:rPr>
      <w:i w:val="0"/>
      <w:iCs w:val="0"/>
    </w:rPr>
  </w:style>
  <w:style w:type="paragraph" w:styleId="TOC2">
    <w:name w:val="toc 2"/>
    <w:basedOn w:val="TOC1"/>
    <w:uiPriority w:val="39"/>
    <w:rsid w:val="00B37866"/>
    <w:pPr>
      <w:spacing w:before="120" w:after="0"/>
      <w:ind w:left="240"/>
    </w:pPr>
    <w:rPr>
      <w:b w:val="0"/>
      <w:bCs w:val="0"/>
      <w:i/>
      <w:iCs/>
    </w:rPr>
  </w:style>
  <w:style w:type="paragraph" w:styleId="TOC1">
    <w:name w:val="toc 1"/>
    <w:basedOn w:val="Normal"/>
    <w:uiPriority w:val="39"/>
    <w:rsid w:val="00B37866"/>
    <w:pPr>
      <w:tabs>
        <w:tab w:val="clear" w:pos="794"/>
        <w:tab w:val="clear" w:pos="1191"/>
        <w:tab w:val="clear" w:pos="1588"/>
        <w:tab w:val="clear" w:pos="1985"/>
      </w:tabs>
      <w:spacing w:before="240" w:after="120"/>
    </w:pPr>
    <w:rPr>
      <w:rFonts w:cstheme="minorHAnsi"/>
      <w:b/>
      <w:bCs/>
      <w:sz w:val="20"/>
    </w:rPr>
  </w:style>
  <w:style w:type="paragraph" w:styleId="TOC7">
    <w:name w:val="toc 7"/>
    <w:basedOn w:val="TOC4"/>
    <w:semiHidden/>
    <w:rsid w:val="00B37866"/>
    <w:pPr>
      <w:ind w:left="1440"/>
    </w:pPr>
    <w:rPr>
      <w:b w:val="0"/>
      <w:bCs w:val="0"/>
    </w:rPr>
  </w:style>
  <w:style w:type="paragraph" w:styleId="TOC6">
    <w:name w:val="toc 6"/>
    <w:basedOn w:val="TOC4"/>
    <w:semiHidden/>
    <w:rsid w:val="00B37866"/>
    <w:pPr>
      <w:ind w:left="1200"/>
    </w:pPr>
    <w:rPr>
      <w:b w:val="0"/>
      <w:bCs w:val="0"/>
    </w:rPr>
  </w:style>
  <w:style w:type="paragraph" w:styleId="TOC5">
    <w:name w:val="toc 5"/>
    <w:basedOn w:val="TOC4"/>
    <w:semiHidden/>
    <w:rsid w:val="00B37866"/>
    <w:pPr>
      <w:ind w:left="960"/>
    </w:pPr>
    <w:rPr>
      <w:b w:val="0"/>
      <w:bCs w:val="0"/>
    </w:rPr>
  </w:style>
  <w:style w:type="paragraph" w:styleId="Index7">
    <w:name w:val="index 7"/>
    <w:basedOn w:val="Normal"/>
    <w:next w:val="Normal"/>
    <w:semiHidden/>
    <w:rsid w:val="00B37866"/>
    <w:pPr>
      <w:ind w:left="1698"/>
    </w:pPr>
  </w:style>
  <w:style w:type="paragraph" w:styleId="Index6">
    <w:name w:val="index 6"/>
    <w:basedOn w:val="Normal"/>
    <w:next w:val="Normal"/>
    <w:semiHidden/>
    <w:rsid w:val="00B37866"/>
    <w:pPr>
      <w:ind w:left="1415"/>
    </w:pPr>
  </w:style>
  <w:style w:type="paragraph" w:styleId="Index5">
    <w:name w:val="index 5"/>
    <w:basedOn w:val="Normal"/>
    <w:next w:val="Normal"/>
    <w:semiHidden/>
    <w:rsid w:val="00B37866"/>
    <w:pPr>
      <w:ind w:left="1132"/>
    </w:pPr>
  </w:style>
  <w:style w:type="paragraph" w:styleId="Index4">
    <w:name w:val="index 4"/>
    <w:basedOn w:val="Normal"/>
    <w:next w:val="Normal"/>
    <w:semiHidden/>
    <w:rsid w:val="00B37866"/>
    <w:pPr>
      <w:ind w:left="849"/>
    </w:pPr>
  </w:style>
  <w:style w:type="paragraph" w:styleId="Index3">
    <w:name w:val="index 3"/>
    <w:basedOn w:val="Normal"/>
    <w:next w:val="Normal"/>
    <w:semiHidden/>
    <w:rsid w:val="00B37866"/>
    <w:pPr>
      <w:ind w:left="566"/>
    </w:pPr>
  </w:style>
  <w:style w:type="paragraph" w:styleId="Index2">
    <w:name w:val="index 2"/>
    <w:basedOn w:val="Normal"/>
    <w:next w:val="Normal"/>
    <w:semiHidden/>
    <w:rsid w:val="00B37866"/>
    <w:pPr>
      <w:ind w:left="283"/>
    </w:pPr>
  </w:style>
  <w:style w:type="paragraph" w:styleId="Index1">
    <w:name w:val="index 1"/>
    <w:basedOn w:val="Normal"/>
    <w:next w:val="Normal"/>
    <w:semiHidden/>
    <w:rsid w:val="00B37866"/>
  </w:style>
  <w:style w:type="character" w:styleId="LineNumber">
    <w:name w:val="line number"/>
    <w:basedOn w:val="DefaultParagraphFont"/>
    <w:rsid w:val="00B37866"/>
  </w:style>
  <w:style w:type="paragraph" w:styleId="IndexHeading">
    <w:name w:val="index heading"/>
    <w:basedOn w:val="Normal"/>
    <w:next w:val="Index1"/>
    <w:semiHidden/>
    <w:rsid w:val="00B37866"/>
  </w:style>
  <w:style w:type="paragraph" w:styleId="Footer">
    <w:name w:val="footer"/>
    <w:basedOn w:val="Normal"/>
    <w:link w:val="FooterChar"/>
    <w:uiPriority w:val="99"/>
    <w:rsid w:val="00B37866"/>
    <w:pPr>
      <w:tabs>
        <w:tab w:val="clear" w:pos="794"/>
        <w:tab w:val="clear" w:pos="1191"/>
        <w:tab w:val="clear" w:pos="1588"/>
        <w:tab w:val="clear" w:pos="1985"/>
        <w:tab w:val="left" w:pos="5954"/>
        <w:tab w:val="right" w:pos="9639"/>
      </w:tabs>
      <w:spacing w:before="0"/>
    </w:pPr>
    <w:rPr>
      <w:caps/>
      <w:noProof/>
      <w:sz w:val="16"/>
      <w:lang w:val="fr-FR"/>
    </w:rPr>
  </w:style>
  <w:style w:type="paragraph" w:styleId="Header">
    <w:name w:val="header"/>
    <w:basedOn w:val="Normal"/>
    <w:link w:val="HeaderChar"/>
    <w:uiPriority w:val="99"/>
    <w:rsid w:val="00B37866"/>
    <w:pPr>
      <w:tabs>
        <w:tab w:val="clear" w:pos="794"/>
        <w:tab w:val="clear" w:pos="1191"/>
        <w:tab w:val="clear" w:pos="1588"/>
        <w:tab w:val="clear" w:pos="1985"/>
      </w:tabs>
      <w:spacing w:before="0"/>
      <w:jc w:val="center"/>
    </w:pPr>
    <w:rPr>
      <w:sz w:val="18"/>
      <w:lang w:val="fr-FR"/>
    </w:rPr>
  </w:style>
  <w:style w:type="character" w:styleId="FootnoteReference">
    <w:name w:val="footnote reference"/>
    <w:basedOn w:val="DefaultParagraphFont"/>
    <w:uiPriority w:val="99"/>
    <w:rsid w:val="006A4882"/>
    <w:rPr>
      <w:rFonts w:ascii="Aptos" w:hAnsi="Aptos"/>
      <w:position w:val="6"/>
      <w:sz w:val="16"/>
    </w:rPr>
  </w:style>
  <w:style w:type="paragraph" w:styleId="FootnoteText">
    <w:name w:val="footnote text"/>
    <w:basedOn w:val="Normal"/>
    <w:link w:val="FootnoteTextChar"/>
    <w:uiPriority w:val="99"/>
    <w:rsid w:val="00391B26"/>
    <w:pPr>
      <w:keepLines/>
      <w:tabs>
        <w:tab w:val="left" w:pos="255"/>
      </w:tabs>
      <w:spacing w:before="0"/>
    </w:pPr>
    <w:rPr>
      <w:rFonts w:ascii="Aptos" w:hAnsi="Aptos"/>
      <w:sz w:val="20"/>
    </w:rPr>
  </w:style>
  <w:style w:type="paragraph" w:styleId="NormalIndent">
    <w:name w:val="Normal Indent"/>
    <w:basedOn w:val="Normal"/>
    <w:rsid w:val="00B37866"/>
    <w:pPr>
      <w:ind w:left="794"/>
    </w:pPr>
  </w:style>
  <w:style w:type="paragraph" w:customStyle="1" w:styleId="enumlev1">
    <w:name w:val="enumlev1"/>
    <w:basedOn w:val="Normal"/>
    <w:rsid w:val="00B37866"/>
    <w:pPr>
      <w:spacing w:before="80"/>
      <w:ind w:left="794" w:hanging="794"/>
    </w:pPr>
  </w:style>
  <w:style w:type="paragraph" w:customStyle="1" w:styleId="enumlev2">
    <w:name w:val="enumlev2"/>
    <w:basedOn w:val="enumlev1"/>
    <w:rsid w:val="00B37866"/>
    <w:pPr>
      <w:ind w:left="1191" w:hanging="397"/>
    </w:pPr>
  </w:style>
  <w:style w:type="paragraph" w:customStyle="1" w:styleId="enumlev3">
    <w:name w:val="enumlev3"/>
    <w:basedOn w:val="enumlev2"/>
    <w:rsid w:val="00B37866"/>
    <w:pPr>
      <w:ind w:left="1588"/>
    </w:pPr>
  </w:style>
  <w:style w:type="paragraph" w:customStyle="1" w:styleId="Normalaftertitle">
    <w:name w:val="Normal after title"/>
    <w:basedOn w:val="Normal"/>
    <w:next w:val="Normal"/>
    <w:rsid w:val="00B37866"/>
    <w:pPr>
      <w:spacing w:before="280"/>
    </w:pPr>
  </w:style>
  <w:style w:type="paragraph" w:customStyle="1" w:styleId="Equation">
    <w:name w:val="Equation"/>
    <w:basedOn w:val="Normal"/>
    <w:rsid w:val="00B37866"/>
    <w:pPr>
      <w:tabs>
        <w:tab w:val="clear" w:pos="1191"/>
        <w:tab w:val="clear" w:pos="1588"/>
        <w:tab w:val="clear" w:pos="1985"/>
        <w:tab w:val="center" w:pos="4820"/>
        <w:tab w:val="right" w:pos="9639"/>
      </w:tabs>
    </w:pPr>
  </w:style>
  <w:style w:type="paragraph" w:customStyle="1" w:styleId="toc0">
    <w:name w:val="toc 0"/>
    <w:basedOn w:val="Normal"/>
    <w:next w:val="TOC1"/>
    <w:rsid w:val="00B37866"/>
    <w:pPr>
      <w:tabs>
        <w:tab w:val="clear" w:pos="794"/>
        <w:tab w:val="clear" w:pos="1191"/>
        <w:tab w:val="clear" w:pos="1588"/>
        <w:tab w:val="clear" w:pos="1985"/>
        <w:tab w:val="right" w:pos="9781"/>
      </w:tabs>
    </w:pPr>
    <w:rPr>
      <w:b/>
    </w:rPr>
  </w:style>
  <w:style w:type="paragraph" w:customStyle="1" w:styleId="AnnexNo">
    <w:name w:val="Annex_No"/>
    <w:basedOn w:val="Normal"/>
    <w:next w:val="Annexref"/>
    <w:rsid w:val="00B37866"/>
    <w:pPr>
      <w:keepNext/>
      <w:keepLines/>
      <w:spacing w:before="480" w:after="80"/>
      <w:jc w:val="center"/>
    </w:pPr>
    <w:rPr>
      <w:caps/>
      <w:sz w:val="28"/>
    </w:rPr>
  </w:style>
  <w:style w:type="paragraph" w:customStyle="1" w:styleId="ASN1">
    <w:name w:val="ASN.1"/>
    <w:basedOn w:val="Normal"/>
    <w:rsid w:val="00B3786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Note">
    <w:name w:val="Note"/>
    <w:basedOn w:val="Normal"/>
    <w:rsid w:val="00B37866"/>
    <w:pPr>
      <w:spacing w:before="80"/>
    </w:pPr>
  </w:style>
  <w:style w:type="paragraph" w:styleId="TOC9">
    <w:name w:val="toc 9"/>
    <w:basedOn w:val="TOC3"/>
    <w:next w:val="Normal"/>
    <w:semiHidden/>
    <w:rsid w:val="00B37866"/>
    <w:pPr>
      <w:ind w:left="1920"/>
    </w:pPr>
  </w:style>
  <w:style w:type="paragraph" w:customStyle="1" w:styleId="Source">
    <w:name w:val="Source"/>
    <w:basedOn w:val="Normal"/>
    <w:next w:val="Normalaftertitle"/>
    <w:rsid w:val="00EC6FED"/>
    <w:pPr>
      <w:spacing w:before="240" w:after="240"/>
      <w:jc w:val="center"/>
    </w:pPr>
    <w:rPr>
      <w:b/>
      <w:sz w:val="28"/>
    </w:rPr>
  </w:style>
  <w:style w:type="paragraph" w:customStyle="1" w:styleId="Title1">
    <w:name w:val="Title 1"/>
    <w:basedOn w:val="Source"/>
    <w:next w:val="Title2"/>
    <w:rsid w:val="00EC6FED"/>
    <w:pPr>
      <w:tabs>
        <w:tab w:val="clear" w:pos="794"/>
        <w:tab w:val="clear" w:pos="1191"/>
        <w:tab w:val="clear" w:pos="1588"/>
        <w:tab w:val="clear" w:pos="1985"/>
        <w:tab w:val="left" w:pos="567"/>
        <w:tab w:val="left" w:pos="1134"/>
        <w:tab w:val="left" w:pos="1701"/>
        <w:tab w:val="left" w:pos="2268"/>
        <w:tab w:val="left" w:pos="2835"/>
      </w:tabs>
      <w:spacing w:before="120" w:after="120"/>
    </w:pPr>
    <w:rPr>
      <w:rFonts w:cs="Times New Roman Bold"/>
      <w:b w:val="0"/>
    </w:rPr>
  </w:style>
  <w:style w:type="paragraph" w:customStyle="1" w:styleId="Title2">
    <w:name w:val="Title 2"/>
    <w:basedOn w:val="Title1"/>
    <w:next w:val="Title3"/>
    <w:rsid w:val="00B37866"/>
  </w:style>
  <w:style w:type="paragraph" w:customStyle="1" w:styleId="Title3">
    <w:name w:val="Title 3"/>
    <w:basedOn w:val="Title2"/>
    <w:next w:val="Title4"/>
    <w:rsid w:val="00B37866"/>
  </w:style>
  <w:style w:type="paragraph" w:customStyle="1" w:styleId="Title4">
    <w:name w:val="Title 4"/>
    <w:basedOn w:val="Title3"/>
    <w:next w:val="Heading1"/>
    <w:rsid w:val="00B37866"/>
  </w:style>
  <w:style w:type="paragraph" w:customStyle="1" w:styleId="FirstFooter">
    <w:name w:val="FirstFooter"/>
    <w:basedOn w:val="Footer"/>
    <w:rsid w:val="00B37866"/>
    <w:pPr>
      <w:tabs>
        <w:tab w:val="clear" w:pos="5954"/>
        <w:tab w:val="clear" w:pos="9639"/>
      </w:tabs>
      <w:overflowPunct/>
      <w:autoSpaceDE/>
      <w:autoSpaceDN/>
      <w:adjustRightInd/>
      <w:spacing w:before="40"/>
      <w:textAlignment w:val="auto"/>
    </w:pPr>
    <w:rPr>
      <w:caps w:val="0"/>
      <w:noProof w:val="0"/>
    </w:rPr>
  </w:style>
  <w:style w:type="paragraph" w:customStyle="1" w:styleId="Annexref">
    <w:name w:val="Annex_ref"/>
    <w:basedOn w:val="Normal"/>
    <w:next w:val="Annextitle"/>
    <w:rsid w:val="00B37866"/>
    <w:pPr>
      <w:keepNext/>
      <w:keepLines/>
      <w:spacing w:after="280"/>
      <w:jc w:val="center"/>
    </w:pPr>
  </w:style>
  <w:style w:type="paragraph" w:customStyle="1" w:styleId="Annextitle">
    <w:name w:val="Annex_title"/>
    <w:basedOn w:val="Normal"/>
    <w:next w:val="Normalaftertitle"/>
    <w:rsid w:val="00F52741"/>
    <w:pPr>
      <w:keepNext/>
      <w:keepLines/>
      <w:spacing w:before="240" w:after="280"/>
      <w:jc w:val="center"/>
    </w:pPr>
    <w:rPr>
      <w:b/>
      <w:sz w:val="28"/>
    </w:rPr>
  </w:style>
  <w:style w:type="character" w:customStyle="1" w:styleId="Appdef">
    <w:name w:val="App_def"/>
    <w:basedOn w:val="DefaultParagraphFont"/>
    <w:rsid w:val="00F52741"/>
    <w:rPr>
      <w:rFonts w:asciiTheme="minorHAnsi" w:hAnsiTheme="minorHAnsi"/>
      <w:b/>
    </w:rPr>
  </w:style>
  <w:style w:type="character" w:customStyle="1" w:styleId="Appref">
    <w:name w:val="App_ref"/>
    <w:basedOn w:val="DefaultParagraphFont"/>
    <w:rsid w:val="00F52741"/>
    <w:rPr>
      <w:rFonts w:asciiTheme="minorHAnsi" w:hAnsiTheme="minorHAnsi"/>
    </w:rPr>
  </w:style>
  <w:style w:type="paragraph" w:customStyle="1" w:styleId="AppendixNo">
    <w:name w:val="Appendix_No"/>
    <w:basedOn w:val="AnnexNo"/>
    <w:next w:val="Annexref"/>
    <w:rsid w:val="00B37866"/>
  </w:style>
  <w:style w:type="paragraph" w:customStyle="1" w:styleId="Appendixref">
    <w:name w:val="Appendix_ref"/>
    <w:basedOn w:val="Annexref"/>
    <w:next w:val="Annextitle"/>
    <w:rsid w:val="00B37866"/>
  </w:style>
  <w:style w:type="paragraph" w:customStyle="1" w:styleId="Appendixtitle">
    <w:name w:val="Appendix_title"/>
    <w:basedOn w:val="Annextitle"/>
    <w:next w:val="Normalaftertitle"/>
    <w:rsid w:val="00B37866"/>
  </w:style>
  <w:style w:type="character" w:customStyle="1" w:styleId="Artdef">
    <w:name w:val="Art_def"/>
    <w:basedOn w:val="DefaultParagraphFont"/>
    <w:rsid w:val="00F52741"/>
    <w:rPr>
      <w:rFonts w:asciiTheme="minorHAnsi" w:hAnsiTheme="minorHAnsi"/>
      <w:b/>
    </w:rPr>
  </w:style>
  <w:style w:type="paragraph" w:customStyle="1" w:styleId="Artheading">
    <w:name w:val="Art_heading"/>
    <w:basedOn w:val="Normal"/>
    <w:next w:val="Normalaftertitle"/>
    <w:rsid w:val="00F52741"/>
    <w:pPr>
      <w:spacing w:before="480"/>
      <w:jc w:val="center"/>
    </w:pPr>
    <w:rPr>
      <w:b/>
      <w:sz w:val="28"/>
    </w:rPr>
  </w:style>
  <w:style w:type="paragraph" w:customStyle="1" w:styleId="ArtNo">
    <w:name w:val="Art_No"/>
    <w:basedOn w:val="Normal"/>
    <w:next w:val="Arttitle"/>
    <w:rsid w:val="00B37866"/>
    <w:pPr>
      <w:keepNext/>
      <w:keepLines/>
      <w:spacing w:before="480"/>
      <w:jc w:val="center"/>
    </w:pPr>
    <w:rPr>
      <w:caps/>
      <w:sz w:val="28"/>
    </w:rPr>
  </w:style>
  <w:style w:type="paragraph" w:customStyle="1" w:styleId="Arttitle">
    <w:name w:val="Art_title"/>
    <w:basedOn w:val="Normal"/>
    <w:next w:val="Normalaftertitle"/>
    <w:rsid w:val="00B37866"/>
    <w:pPr>
      <w:keepNext/>
      <w:keepLines/>
      <w:spacing w:before="240"/>
      <w:jc w:val="center"/>
    </w:pPr>
    <w:rPr>
      <w:b/>
      <w:sz w:val="28"/>
    </w:rPr>
  </w:style>
  <w:style w:type="character" w:customStyle="1" w:styleId="Artref">
    <w:name w:val="Art_ref"/>
    <w:basedOn w:val="DefaultParagraphFont"/>
    <w:rsid w:val="00B37866"/>
  </w:style>
  <w:style w:type="paragraph" w:customStyle="1" w:styleId="Call">
    <w:name w:val="Call"/>
    <w:basedOn w:val="Normal"/>
    <w:next w:val="Normal"/>
    <w:rsid w:val="00B37866"/>
    <w:pPr>
      <w:keepNext/>
      <w:keepLines/>
      <w:spacing w:before="160"/>
      <w:ind w:left="794"/>
    </w:pPr>
    <w:rPr>
      <w:i/>
    </w:rPr>
  </w:style>
  <w:style w:type="paragraph" w:customStyle="1" w:styleId="ChapNo">
    <w:name w:val="Chap_No"/>
    <w:basedOn w:val="ArtNo"/>
    <w:next w:val="Chaptitle"/>
    <w:rsid w:val="00F52741"/>
    <w:rPr>
      <w:b/>
    </w:rPr>
  </w:style>
  <w:style w:type="paragraph" w:customStyle="1" w:styleId="Chaptitle">
    <w:name w:val="Chap_title"/>
    <w:basedOn w:val="Arttitle"/>
    <w:next w:val="Normalaftertitle"/>
    <w:rsid w:val="00B37866"/>
  </w:style>
  <w:style w:type="paragraph" w:customStyle="1" w:styleId="ddate">
    <w:name w:val="ddate"/>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character" w:styleId="EndnoteReference">
    <w:name w:val="endnote reference"/>
    <w:basedOn w:val="DefaultParagraphFont"/>
    <w:uiPriority w:val="99"/>
    <w:semiHidden/>
    <w:rsid w:val="00B37866"/>
    <w:rPr>
      <w:vertAlign w:val="superscript"/>
    </w:rPr>
  </w:style>
  <w:style w:type="paragraph" w:customStyle="1" w:styleId="Equationlegend">
    <w:name w:val="Equation_legend"/>
    <w:basedOn w:val="Normal"/>
    <w:rsid w:val="00B37866"/>
    <w:pPr>
      <w:tabs>
        <w:tab w:val="clear" w:pos="794"/>
        <w:tab w:val="clear" w:pos="1191"/>
        <w:tab w:val="clear" w:pos="1588"/>
        <w:tab w:val="clear" w:pos="1985"/>
        <w:tab w:val="right" w:pos="1531"/>
        <w:tab w:val="left" w:pos="1701"/>
      </w:tabs>
      <w:spacing w:before="80"/>
      <w:ind w:left="1701" w:hanging="1701"/>
    </w:pPr>
  </w:style>
  <w:style w:type="paragraph" w:customStyle="1" w:styleId="Figurelegend">
    <w:name w:val="Figure_legend"/>
    <w:basedOn w:val="Normal"/>
    <w:rsid w:val="00B3786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37866"/>
    <w:pPr>
      <w:keepNext/>
      <w:keepLines/>
      <w:spacing w:before="480" w:after="120"/>
      <w:jc w:val="center"/>
    </w:pPr>
    <w:rPr>
      <w:caps/>
    </w:rPr>
  </w:style>
  <w:style w:type="paragraph" w:customStyle="1" w:styleId="Figuretitle">
    <w:name w:val="Figure_title"/>
    <w:basedOn w:val="Tabletitle"/>
    <w:next w:val="Normal"/>
    <w:rsid w:val="00F52741"/>
    <w:pPr>
      <w:keepNext w:val="0"/>
      <w:spacing w:after="480"/>
    </w:pPr>
  </w:style>
  <w:style w:type="paragraph" w:customStyle="1" w:styleId="Tabletitle">
    <w:name w:val="Table_title"/>
    <w:basedOn w:val="Normal"/>
    <w:next w:val="Tabletext"/>
    <w:rsid w:val="00F52741"/>
    <w:pPr>
      <w:keepNext/>
      <w:keepLines/>
      <w:spacing w:before="0" w:after="120"/>
      <w:jc w:val="center"/>
    </w:pPr>
    <w:rPr>
      <w:b/>
    </w:rPr>
  </w:style>
  <w:style w:type="paragraph" w:customStyle="1" w:styleId="Tabletext">
    <w:name w:val="Table_text"/>
    <w:basedOn w:val="Normal"/>
    <w:rsid w:val="00B378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B37866"/>
    <w:pPr>
      <w:keepNext w:val="0"/>
    </w:pPr>
  </w:style>
  <w:style w:type="paragraph" w:customStyle="1" w:styleId="Headingb">
    <w:name w:val="Heading_b"/>
    <w:basedOn w:val="Normal"/>
    <w:next w:val="Normal"/>
    <w:rsid w:val="00F52741"/>
    <w:pPr>
      <w:keepNext/>
      <w:spacing w:before="160"/>
    </w:pPr>
    <w:rPr>
      <w:b/>
    </w:rPr>
  </w:style>
  <w:style w:type="paragraph" w:customStyle="1" w:styleId="Headingi">
    <w:name w:val="Heading_i"/>
    <w:basedOn w:val="Normal"/>
    <w:next w:val="Normal"/>
    <w:rsid w:val="00F52741"/>
    <w:pPr>
      <w:keepNext/>
      <w:spacing w:before="160"/>
    </w:pPr>
    <w:rPr>
      <w:i/>
    </w:rPr>
  </w:style>
  <w:style w:type="paragraph" w:customStyle="1" w:styleId="PartNo">
    <w:name w:val="Part_No"/>
    <w:basedOn w:val="AnnexNo"/>
    <w:next w:val="Partref"/>
    <w:rsid w:val="00B37866"/>
  </w:style>
  <w:style w:type="paragraph" w:customStyle="1" w:styleId="Partref">
    <w:name w:val="Part_ref"/>
    <w:basedOn w:val="Annexref"/>
    <w:next w:val="Parttitle"/>
    <w:rsid w:val="00B37866"/>
  </w:style>
  <w:style w:type="paragraph" w:customStyle="1" w:styleId="Parttitle">
    <w:name w:val="Part_title"/>
    <w:basedOn w:val="Annextitle"/>
    <w:next w:val="Normalaftertitle"/>
    <w:rsid w:val="00B37866"/>
  </w:style>
  <w:style w:type="paragraph" w:customStyle="1" w:styleId="RecNo">
    <w:name w:val="Rec_No"/>
    <w:basedOn w:val="Normal"/>
    <w:next w:val="Rectitle"/>
    <w:rsid w:val="00B37866"/>
    <w:pPr>
      <w:keepNext/>
      <w:keepLines/>
      <w:spacing w:before="480"/>
      <w:jc w:val="center"/>
    </w:pPr>
    <w:rPr>
      <w:caps/>
      <w:sz w:val="28"/>
    </w:rPr>
  </w:style>
  <w:style w:type="paragraph" w:customStyle="1" w:styleId="Rectitle">
    <w:name w:val="Rec_title"/>
    <w:basedOn w:val="RecNo"/>
    <w:next w:val="Recref"/>
    <w:rsid w:val="00F52741"/>
    <w:pPr>
      <w:spacing w:before="240"/>
    </w:pPr>
    <w:rPr>
      <w:b/>
      <w:caps w:val="0"/>
    </w:rPr>
  </w:style>
  <w:style w:type="paragraph" w:customStyle="1" w:styleId="Recref">
    <w:name w:val="Rec_ref"/>
    <w:basedOn w:val="Rectitle"/>
    <w:next w:val="Recdate"/>
    <w:rsid w:val="00F52741"/>
    <w:pPr>
      <w:tabs>
        <w:tab w:val="clear" w:pos="794"/>
        <w:tab w:val="clear" w:pos="1191"/>
        <w:tab w:val="clear" w:pos="1588"/>
        <w:tab w:val="clear" w:pos="1985"/>
      </w:tabs>
      <w:spacing w:before="120"/>
    </w:pPr>
    <w:rPr>
      <w:b w:val="0"/>
      <w:i/>
      <w:sz w:val="24"/>
    </w:rPr>
  </w:style>
  <w:style w:type="paragraph" w:customStyle="1" w:styleId="Recdate">
    <w:name w:val="Rec_date"/>
    <w:basedOn w:val="Recref"/>
    <w:next w:val="Normalaftertitle"/>
    <w:rsid w:val="00B37866"/>
    <w:pPr>
      <w:jc w:val="right"/>
    </w:pPr>
    <w:rPr>
      <w:sz w:val="22"/>
    </w:rPr>
  </w:style>
  <w:style w:type="paragraph" w:customStyle="1" w:styleId="Questiondate">
    <w:name w:val="Question_date"/>
    <w:basedOn w:val="Recdate"/>
    <w:next w:val="Normalaftertitle"/>
    <w:rsid w:val="00F52741"/>
  </w:style>
  <w:style w:type="paragraph" w:customStyle="1" w:styleId="QuestionNo">
    <w:name w:val="Question_No"/>
    <w:basedOn w:val="RecNo"/>
    <w:next w:val="Questiontitle"/>
    <w:rsid w:val="00B37866"/>
  </w:style>
  <w:style w:type="paragraph" w:customStyle="1" w:styleId="Questiontitle">
    <w:name w:val="Question_title"/>
    <w:basedOn w:val="Rectitle"/>
    <w:next w:val="Questionref"/>
    <w:rsid w:val="00F52741"/>
  </w:style>
  <w:style w:type="paragraph" w:customStyle="1" w:styleId="Questionref">
    <w:name w:val="Question_ref"/>
    <w:basedOn w:val="Recref"/>
    <w:next w:val="Questiondate"/>
    <w:rsid w:val="00F52741"/>
  </w:style>
  <w:style w:type="character" w:customStyle="1" w:styleId="Recdef">
    <w:name w:val="Rec_def"/>
    <w:basedOn w:val="DefaultParagraphFont"/>
    <w:rsid w:val="00F52741"/>
    <w:rPr>
      <w:rFonts w:asciiTheme="minorHAnsi" w:hAnsiTheme="minorHAnsi"/>
      <w:b/>
    </w:rPr>
  </w:style>
  <w:style w:type="paragraph" w:customStyle="1" w:styleId="Reftext">
    <w:name w:val="Ref_text"/>
    <w:basedOn w:val="Normal"/>
    <w:rsid w:val="00B37866"/>
    <w:pPr>
      <w:ind w:left="794" w:hanging="794"/>
    </w:pPr>
  </w:style>
  <w:style w:type="paragraph" w:customStyle="1" w:styleId="Reftitle">
    <w:name w:val="Ref_title"/>
    <w:basedOn w:val="Normal"/>
    <w:next w:val="Reftext"/>
    <w:rsid w:val="00B37866"/>
    <w:pPr>
      <w:spacing w:before="480"/>
      <w:jc w:val="center"/>
    </w:pPr>
    <w:rPr>
      <w:caps/>
    </w:rPr>
  </w:style>
  <w:style w:type="paragraph" w:customStyle="1" w:styleId="Repdate">
    <w:name w:val="Rep_date"/>
    <w:basedOn w:val="Recdate"/>
    <w:next w:val="Normalaftertitle"/>
    <w:rsid w:val="00B37866"/>
  </w:style>
  <w:style w:type="paragraph" w:customStyle="1" w:styleId="RepNo">
    <w:name w:val="Rep_No"/>
    <w:basedOn w:val="RecNo"/>
    <w:next w:val="Reptitle"/>
    <w:rsid w:val="00B37866"/>
  </w:style>
  <w:style w:type="paragraph" w:customStyle="1" w:styleId="Reptitle">
    <w:name w:val="Rep_title"/>
    <w:basedOn w:val="Rectitle"/>
    <w:next w:val="Repref"/>
    <w:rsid w:val="00B37866"/>
  </w:style>
  <w:style w:type="paragraph" w:customStyle="1" w:styleId="Repref">
    <w:name w:val="Rep_ref"/>
    <w:basedOn w:val="Recref"/>
    <w:next w:val="Repdate"/>
    <w:rsid w:val="00B37866"/>
  </w:style>
  <w:style w:type="paragraph" w:customStyle="1" w:styleId="Resdate">
    <w:name w:val="Res_date"/>
    <w:basedOn w:val="Recdate"/>
    <w:next w:val="Normalaftertitle"/>
    <w:rsid w:val="00B37866"/>
  </w:style>
  <w:style w:type="character" w:customStyle="1" w:styleId="Resdef">
    <w:name w:val="Res_def"/>
    <w:basedOn w:val="DefaultParagraphFont"/>
    <w:rsid w:val="00F52741"/>
    <w:rPr>
      <w:rFonts w:asciiTheme="minorHAnsi" w:hAnsiTheme="minorHAnsi"/>
      <w:b/>
    </w:rPr>
  </w:style>
  <w:style w:type="paragraph" w:customStyle="1" w:styleId="ResNo">
    <w:name w:val="Res_No"/>
    <w:basedOn w:val="RecNo"/>
    <w:next w:val="Restitle"/>
    <w:rsid w:val="00B37866"/>
  </w:style>
  <w:style w:type="paragraph" w:customStyle="1" w:styleId="Restitle">
    <w:name w:val="Res_title"/>
    <w:basedOn w:val="Rectitle"/>
    <w:next w:val="Resref"/>
    <w:rsid w:val="00B37866"/>
  </w:style>
  <w:style w:type="paragraph" w:customStyle="1" w:styleId="Resref">
    <w:name w:val="Res_ref"/>
    <w:basedOn w:val="Recref"/>
    <w:next w:val="Resdate"/>
    <w:rsid w:val="00B37866"/>
  </w:style>
  <w:style w:type="paragraph" w:customStyle="1" w:styleId="SectionNo">
    <w:name w:val="Section_No"/>
    <w:basedOn w:val="AnnexNo"/>
    <w:next w:val="Sectiontitle"/>
    <w:rsid w:val="00B37866"/>
  </w:style>
  <w:style w:type="paragraph" w:customStyle="1" w:styleId="Sectiontitle">
    <w:name w:val="Section_title"/>
    <w:basedOn w:val="Annextitle"/>
    <w:next w:val="Normalaftertitle"/>
    <w:rsid w:val="00B37866"/>
  </w:style>
  <w:style w:type="paragraph" w:customStyle="1" w:styleId="SpecialFooter">
    <w:name w:val="Special Footer"/>
    <w:basedOn w:val="Footer"/>
    <w:rsid w:val="00B37866"/>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F52741"/>
    <w:rPr>
      <w:rFonts w:asciiTheme="minorHAnsi" w:hAnsiTheme="minorHAnsi"/>
      <w:b/>
      <w:color w:val="auto"/>
    </w:rPr>
  </w:style>
  <w:style w:type="paragraph" w:customStyle="1" w:styleId="Tablehead">
    <w:name w:val="Table_head"/>
    <w:basedOn w:val="Tabletext"/>
    <w:next w:val="Tabletext"/>
    <w:rsid w:val="00B37866"/>
    <w:pPr>
      <w:keepNext/>
      <w:spacing w:before="80" w:after="80"/>
      <w:jc w:val="center"/>
    </w:pPr>
    <w:rPr>
      <w:b/>
    </w:rPr>
  </w:style>
  <w:style w:type="paragraph" w:customStyle="1" w:styleId="Tablelegend">
    <w:name w:val="Table_legend"/>
    <w:basedOn w:val="Tabletext"/>
    <w:rsid w:val="00B37866"/>
    <w:pPr>
      <w:spacing w:before="120"/>
    </w:pPr>
  </w:style>
  <w:style w:type="paragraph" w:customStyle="1" w:styleId="TableNo">
    <w:name w:val="Table_No"/>
    <w:basedOn w:val="Normal"/>
    <w:next w:val="Tabletitle"/>
    <w:rsid w:val="00B37866"/>
    <w:pPr>
      <w:keepNext/>
      <w:spacing w:before="560" w:after="120"/>
      <w:jc w:val="center"/>
    </w:pPr>
    <w:rPr>
      <w:caps/>
    </w:rPr>
  </w:style>
  <w:style w:type="paragraph" w:customStyle="1" w:styleId="Tableref">
    <w:name w:val="Table_ref"/>
    <w:basedOn w:val="Normal"/>
    <w:next w:val="Tabletitle"/>
    <w:rsid w:val="00B37866"/>
    <w:pPr>
      <w:keepNext/>
      <w:spacing w:before="0" w:after="120"/>
      <w:jc w:val="center"/>
    </w:pPr>
  </w:style>
  <w:style w:type="character" w:styleId="PageNumber">
    <w:name w:val="page number"/>
    <w:basedOn w:val="DefaultParagraphFont"/>
    <w:rsid w:val="00F52741"/>
    <w:rPr>
      <w:rFonts w:asciiTheme="minorHAnsi" w:hAnsiTheme="minorHAnsi"/>
    </w:rPr>
  </w:style>
  <w:style w:type="character" w:customStyle="1" w:styleId="HeaderChar">
    <w:name w:val="Header Char"/>
    <w:basedOn w:val="DefaultParagraphFont"/>
    <w:link w:val="Header"/>
    <w:uiPriority w:val="99"/>
    <w:rsid w:val="00005791"/>
    <w:rPr>
      <w:rFonts w:ascii="Times New Roman" w:hAnsi="Times New Roman"/>
      <w:sz w:val="18"/>
      <w:lang w:val="fr-FR" w:eastAsia="en-US"/>
    </w:rPr>
  </w:style>
  <w:style w:type="character" w:customStyle="1" w:styleId="FooterChar">
    <w:name w:val="Footer Char"/>
    <w:basedOn w:val="DefaultParagraphFont"/>
    <w:link w:val="Footer"/>
    <w:uiPriority w:val="99"/>
    <w:rsid w:val="0056423B"/>
    <w:rPr>
      <w:rFonts w:ascii="Times New Roman" w:hAnsi="Times New Roman"/>
      <w:caps/>
      <w:noProof/>
      <w:sz w:val="16"/>
      <w:lang w:val="fr-FR" w:eastAsia="en-US"/>
    </w:rPr>
  </w:style>
  <w:style w:type="table" w:styleId="TableGrid">
    <w:name w:val="Table Grid"/>
    <w:basedOn w:val="TableNormal"/>
    <w:uiPriority w:val="59"/>
    <w:rsid w:val="0014700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mmittee">
    <w:name w:val="Committee"/>
    <w:basedOn w:val="Normal"/>
    <w:qFormat/>
    <w:rsid w:val="001A163D"/>
    <w:rPr>
      <w:rFonts w:cs="Times New Roman Bold"/>
      <w:b/>
      <w:caps/>
    </w:rPr>
  </w:style>
  <w:style w:type="character" w:styleId="Hyperlink">
    <w:name w:val="Hyperlink"/>
    <w:aliases w:val="CEO_Hyperlink"/>
    <w:basedOn w:val="DefaultParagraphFont"/>
    <w:uiPriority w:val="99"/>
    <w:rsid w:val="00BA0009"/>
    <w:rPr>
      <w:color w:val="0000FF" w:themeColor="hyperlink"/>
      <w:u w:val="single"/>
    </w:rPr>
  </w:style>
  <w:style w:type="paragraph" w:customStyle="1" w:styleId="BDTLogo">
    <w:name w:val="BDT_Logo"/>
    <w:uiPriority w:val="99"/>
    <w:rsid w:val="00C72713"/>
    <w:pPr>
      <w:jc w:val="center"/>
    </w:pPr>
    <w:rPr>
      <w:rFonts w:ascii="Calibri" w:eastAsia="SimHei" w:hAnsi="Calibri" w:cs="Simplified Arabic"/>
      <w:sz w:val="22"/>
      <w:szCs w:val="28"/>
      <w:lang w:val="en-GB" w:eastAsia="en-US"/>
    </w:rPr>
  </w:style>
  <w:style w:type="paragraph" w:styleId="ListParagraph">
    <w:name w:val="List Paragraph"/>
    <w:basedOn w:val="Normal"/>
    <w:uiPriority w:val="34"/>
    <w:qFormat/>
    <w:rsid w:val="00A721F4"/>
    <w:pPr>
      <w:tabs>
        <w:tab w:val="clear" w:pos="794"/>
        <w:tab w:val="clear" w:pos="1191"/>
        <w:tab w:val="clear" w:pos="1588"/>
        <w:tab w:val="clear" w:pos="1985"/>
        <w:tab w:val="left" w:pos="1134"/>
        <w:tab w:val="left" w:pos="1871"/>
        <w:tab w:val="left" w:pos="2268"/>
      </w:tabs>
      <w:ind w:left="720"/>
      <w:contextualSpacing/>
    </w:pPr>
  </w:style>
  <w:style w:type="paragraph" w:customStyle="1" w:styleId="AppArtNo">
    <w:name w:val="App_Art_No"/>
    <w:basedOn w:val="ArtNo"/>
    <w:qFormat/>
    <w:rsid w:val="00A50CA0"/>
    <w:pPr>
      <w:tabs>
        <w:tab w:val="clear" w:pos="794"/>
        <w:tab w:val="clear" w:pos="1191"/>
        <w:tab w:val="clear" w:pos="1588"/>
        <w:tab w:val="clear" w:pos="1985"/>
        <w:tab w:val="left" w:pos="1134"/>
        <w:tab w:val="left" w:pos="1871"/>
        <w:tab w:val="left" w:pos="2268"/>
      </w:tabs>
    </w:pPr>
  </w:style>
  <w:style w:type="paragraph" w:customStyle="1" w:styleId="AppArttitle">
    <w:name w:val="App_Art_title"/>
    <w:basedOn w:val="Arttitle"/>
    <w:qFormat/>
    <w:rsid w:val="00A50CA0"/>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A50CA0"/>
    <w:pPr>
      <w:tabs>
        <w:tab w:val="clear" w:pos="794"/>
        <w:tab w:val="clear" w:pos="1191"/>
        <w:tab w:val="clear" w:pos="1588"/>
        <w:tab w:val="clear" w:pos="1985"/>
        <w:tab w:val="left" w:pos="1134"/>
        <w:tab w:val="left" w:pos="1871"/>
        <w:tab w:val="left" w:pos="2268"/>
      </w:tabs>
    </w:pPr>
  </w:style>
  <w:style w:type="paragraph" w:customStyle="1" w:styleId="Volumetitle">
    <w:name w:val="Volume_title"/>
    <w:basedOn w:val="Normal"/>
    <w:qFormat/>
    <w:rsid w:val="00A50CA0"/>
    <w:pPr>
      <w:tabs>
        <w:tab w:val="clear" w:pos="794"/>
        <w:tab w:val="clear" w:pos="1191"/>
        <w:tab w:val="clear" w:pos="1588"/>
        <w:tab w:val="clear" w:pos="1985"/>
        <w:tab w:val="left" w:pos="1871"/>
      </w:tabs>
      <w:overflowPunct/>
      <w:autoSpaceDE/>
      <w:autoSpaceDN/>
      <w:adjustRightInd/>
      <w:spacing w:before="0"/>
      <w:textAlignment w:val="auto"/>
    </w:pPr>
    <w:rPr>
      <w:b/>
      <w:sz w:val="28"/>
      <w:lang w:val="en-US"/>
    </w:rPr>
  </w:style>
  <w:style w:type="paragraph" w:customStyle="1" w:styleId="Proposal">
    <w:name w:val="Proposal"/>
    <w:basedOn w:val="Normal"/>
    <w:next w:val="Normal"/>
    <w:rsid w:val="00904230"/>
    <w:pPr>
      <w:keepNext/>
      <w:tabs>
        <w:tab w:val="clear" w:pos="794"/>
        <w:tab w:val="clear" w:pos="1191"/>
        <w:tab w:val="clear" w:pos="1588"/>
        <w:tab w:val="clear" w:pos="1985"/>
        <w:tab w:val="left" w:pos="1134"/>
        <w:tab w:val="left" w:pos="1871"/>
        <w:tab w:val="left" w:pos="2268"/>
      </w:tabs>
      <w:spacing w:before="240"/>
    </w:pPr>
    <w:rPr>
      <w:rFonts w:hAnsi="Times New Roman Bold"/>
    </w:rPr>
  </w:style>
  <w:style w:type="paragraph" w:customStyle="1" w:styleId="Reasons">
    <w:name w:val="Reasons"/>
    <w:basedOn w:val="Normal"/>
    <w:rsid w:val="005D2C3A"/>
    <w:pPr>
      <w:tabs>
        <w:tab w:val="clear" w:pos="794"/>
        <w:tab w:val="clear" w:pos="1191"/>
        <w:tab w:val="left" w:pos="1134"/>
        <w:tab w:val="left" w:pos="1871"/>
      </w:tabs>
    </w:pPr>
  </w:style>
  <w:style w:type="character" w:styleId="FollowedHyperlink">
    <w:name w:val="FollowedHyperlink"/>
    <w:basedOn w:val="DefaultParagraphFont"/>
    <w:uiPriority w:val="99"/>
    <w:semiHidden/>
    <w:unhideWhenUsed/>
    <w:rsid w:val="00AD4677"/>
    <w:rPr>
      <w:color w:val="800080" w:themeColor="followedHyperlink"/>
      <w:u w:val="single"/>
    </w:rPr>
  </w:style>
  <w:style w:type="character" w:customStyle="1" w:styleId="Heading2Char">
    <w:name w:val="Heading 2 Char"/>
    <w:basedOn w:val="DefaultParagraphFont"/>
    <w:link w:val="Heading2"/>
    <w:uiPriority w:val="9"/>
    <w:rsid w:val="00513E86"/>
    <w:rPr>
      <w:rFonts w:asciiTheme="minorHAnsi" w:hAnsiTheme="minorHAnsi"/>
      <w:b/>
      <w:sz w:val="24"/>
      <w:lang w:val="en-GB" w:eastAsia="en-US"/>
    </w:rPr>
  </w:style>
  <w:style w:type="character" w:styleId="CommentReference">
    <w:name w:val="annotation reference"/>
    <w:basedOn w:val="DefaultParagraphFont"/>
    <w:uiPriority w:val="99"/>
    <w:semiHidden/>
    <w:unhideWhenUsed/>
    <w:rsid w:val="00513E86"/>
    <w:rPr>
      <w:sz w:val="16"/>
      <w:szCs w:val="16"/>
    </w:rPr>
  </w:style>
  <w:style w:type="paragraph" w:styleId="CommentText">
    <w:name w:val="annotation text"/>
    <w:basedOn w:val="Normal"/>
    <w:link w:val="CommentTextChar"/>
    <w:uiPriority w:val="99"/>
    <w:unhideWhenUsed/>
    <w:rsid w:val="00513E86"/>
    <w:pPr>
      <w:tabs>
        <w:tab w:val="clear" w:pos="794"/>
        <w:tab w:val="clear" w:pos="1191"/>
        <w:tab w:val="clear" w:pos="1588"/>
        <w:tab w:val="clear" w:pos="1985"/>
      </w:tabs>
      <w:overflowPunct/>
      <w:autoSpaceDE/>
      <w:autoSpaceDN/>
      <w:adjustRightInd/>
      <w:spacing w:before="0" w:after="160"/>
      <w:textAlignment w:val="auto"/>
    </w:pPr>
    <w:rPr>
      <w:rFonts w:eastAsiaTheme="minorHAnsi" w:cstheme="minorBidi"/>
      <w:kern w:val="2"/>
      <w:sz w:val="20"/>
      <w14:ligatures w14:val="standardContextual"/>
    </w:rPr>
  </w:style>
  <w:style w:type="character" w:customStyle="1" w:styleId="CommentTextChar">
    <w:name w:val="Comment Text Char"/>
    <w:basedOn w:val="DefaultParagraphFont"/>
    <w:link w:val="CommentText"/>
    <w:uiPriority w:val="99"/>
    <w:rsid w:val="00513E86"/>
    <w:rPr>
      <w:rFonts w:asciiTheme="minorHAnsi" w:eastAsiaTheme="minorHAnsi" w:hAnsiTheme="minorHAnsi" w:cstheme="minorBidi"/>
      <w:kern w:val="2"/>
      <w:lang w:val="en-GB" w:eastAsia="en-US"/>
      <w14:ligatures w14:val="standardContextual"/>
    </w:rPr>
  </w:style>
  <w:style w:type="character" w:customStyle="1" w:styleId="Colored-Normal">
    <w:name w:val="Colored - Normal"/>
    <w:rsid w:val="00513E86"/>
    <w:rPr>
      <w:color w:val="0070C0"/>
    </w:rPr>
  </w:style>
  <w:style w:type="paragraph" w:customStyle="1" w:styleId="Figuretitle0">
    <w:name w:val="Figure title"/>
    <w:basedOn w:val="Normal"/>
    <w:link w:val="FiguretitleChar"/>
    <w:rsid w:val="00513E86"/>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pPr>
    <w:rPr>
      <w:rFonts w:ascii="AvenirNext LT Pro Light" w:eastAsiaTheme="majorEastAsia" w:hAnsi="AvenirNext LT Pro Light" w:cs="Calibri"/>
      <w:color w:val="4F81BD" w:themeColor="accent1"/>
      <w:spacing w:val="-10"/>
      <w:kern w:val="28"/>
      <w:szCs w:val="24"/>
      <w:lang w:val="en-US"/>
    </w:rPr>
  </w:style>
  <w:style w:type="character" w:customStyle="1" w:styleId="FiguretitleChar">
    <w:name w:val="Figure title Char"/>
    <w:basedOn w:val="DefaultParagraphFont"/>
    <w:link w:val="Figuretitle0"/>
    <w:locked/>
    <w:rsid w:val="00513E86"/>
    <w:rPr>
      <w:rFonts w:ascii="AvenirNext LT Pro Light" w:eastAsiaTheme="majorEastAsia" w:hAnsi="AvenirNext LT Pro Light" w:cs="Calibri"/>
      <w:color w:val="4F81BD" w:themeColor="accent1"/>
      <w:spacing w:val="-10"/>
      <w:kern w:val="28"/>
      <w:sz w:val="24"/>
      <w:szCs w:val="24"/>
      <w:lang w:eastAsia="en-US"/>
    </w:rPr>
  </w:style>
  <w:style w:type="paragraph" w:customStyle="1" w:styleId="Sourcetext">
    <w:name w:val="Source text"/>
    <w:basedOn w:val="Normal"/>
    <w:autoRedefine/>
    <w:qFormat/>
    <w:rsid w:val="00EB15E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after="120"/>
      <w:textAlignment w:val="center"/>
    </w:pPr>
    <w:rPr>
      <w:rFonts w:ascii="Aptos" w:eastAsiaTheme="minorHAnsi" w:hAnsi="Aptos" w:cstheme="minorBidi"/>
      <w:kern w:val="2"/>
      <w:sz w:val="16"/>
      <w:szCs w:val="28"/>
      <w14:ligatures w14:val="standardContextual"/>
    </w:rPr>
  </w:style>
  <w:style w:type="character" w:customStyle="1" w:styleId="FootnoteTextChar">
    <w:name w:val="Footnote Text Char"/>
    <w:basedOn w:val="DefaultParagraphFont"/>
    <w:link w:val="FootnoteText"/>
    <w:uiPriority w:val="99"/>
    <w:rsid w:val="00391B26"/>
    <w:rPr>
      <w:rFonts w:ascii="Aptos" w:hAnsi="Aptos"/>
      <w:lang w:val="en-GB" w:eastAsia="en-US"/>
    </w:rPr>
  </w:style>
  <w:style w:type="character" w:styleId="Mention">
    <w:name w:val="Mention"/>
    <w:basedOn w:val="DefaultParagraphFont"/>
    <w:uiPriority w:val="99"/>
    <w:unhideWhenUsed/>
    <w:rsid w:val="00513E86"/>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8136E9"/>
    <w:pPr>
      <w:tabs>
        <w:tab w:val="left" w:pos="794"/>
        <w:tab w:val="left" w:pos="1191"/>
        <w:tab w:val="left" w:pos="1588"/>
        <w:tab w:val="left" w:pos="1985"/>
      </w:tabs>
      <w:overflowPunct w:val="0"/>
      <w:autoSpaceDE w:val="0"/>
      <w:autoSpaceDN w:val="0"/>
      <w:adjustRightInd w:val="0"/>
      <w:spacing w:before="120" w:after="0"/>
      <w:textAlignment w:val="baseline"/>
    </w:pPr>
    <w:rPr>
      <w:rFonts w:eastAsia="Times New Roman" w:cs="Times New Roman"/>
      <w:b/>
      <w:bCs/>
      <w:kern w:val="0"/>
      <w14:ligatures w14:val="none"/>
    </w:rPr>
  </w:style>
  <w:style w:type="character" w:customStyle="1" w:styleId="CommentSubjectChar">
    <w:name w:val="Comment Subject Char"/>
    <w:basedOn w:val="CommentTextChar"/>
    <w:link w:val="CommentSubject"/>
    <w:uiPriority w:val="99"/>
    <w:semiHidden/>
    <w:rsid w:val="008136E9"/>
    <w:rPr>
      <w:rFonts w:asciiTheme="minorHAnsi" w:eastAsiaTheme="minorHAnsi" w:hAnsiTheme="minorHAnsi" w:cstheme="minorBidi"/>
      <w:b/>
      <w:bCs/>
      <w:kern w:val="2"/>
      <w:lang w:val="en-GB" w:eastAsia="en-US"/>
      <w14:ligatures w14:val="standardContextual"/>
    </w:rPr>
  </w:style>
  <w:style w:type="paragraph" w:styleId="Title">
    <w:name w:val="Title"/>
    <w:basedOn w:val="Normal"/>
    <w:next w:val="Normal"/>
    <w:link w:val="TitleChar"/>
    <w:uiPriority w:val="10"/>
    <w:qFormat/>
    <w:rsid w:val="006C41B5"/>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41B5"/>
    <w:rPr>
      <w:rFonts w:asciiTheme="majorHAnsi" w:eastAsiaTheme="majorEastAsia" w:hAnsiTheme="majorHAnsi" w:cstheme="majorBidi"/>
      <w:spacing w:val="-10"/>
      <w:kern w:val="28"/>
      <w:sz w:val="56"/>
      <w:szCs w:val="56"/>
      <w:lang w:val="en-GB" w:eastAsia="en-US"/>
    </w:rPr>
  </w:style>
  <w:style w:type="numbering" w:customStyle="1" w:styleId="NoList1">
    <w:name w:val="No List1"/>
    <w:next w:val="NoList"/>
    <w:uiPriority w:val="99"/>
    <w:semiHidden/>
    <w:unhideWhenUsed/>
    <w:rsid w:val="006C41B5"/>
  </w:style>
  <w:style w:type="character" w:customStyle="1" w:styleId="Heading1Char">
    <w:name w:val="Heading 1 Char"/>
    <w:basedOn w:val="DefaultParagraphFont"/>
    <w:link w:val="Heading1"/>
    <w:uiPriority w:val="9"/>
    <w:rsid w:val="006C41B5"/>
    <w:rPr>
      <w:rFonts w:asciiTheme="minorHAnsi" w:hAnsiTheme="minorHAnsi"/>
      <w:b/>
      <w:sz w:val="28"/>
      <w:lang w:val="en-GB" w:eastAsia="en-US"/>
    </w:rPr>
  </w:style>
  <w:style w:type="character" w:customStyle="1" w:styleId="Heading3Char">
    <w:name w:val="Heading 3 Char"/>
    <w:basedOn w:val="DefaultParagraphFont"/>
    <w:link w:val="Heading3"/>
    <w:uiPriority w:val="9"/>
    <w:rsid w:val="006C41B5"/>
    <w:rPr>
      <w:rFonts w:asciiTheme="minorHAnsi" w:hAnsiTheme="minorHAnsi"/>
      <w:b/>
      <w:sz w:val="24"/>
      <w:lang w:val="en-GB" w:eastAsia="en-US"/>
    </w:rPr>
  </w:style>
  <w:style w:type="character" w:customStyle="1" w:styleId="Heading4Char">
    <w:name w:val="Heading 4 Char"/>
    <w:basedOn w:val="DefaultParagraphFont"/>
    <w:link w:val="Heading4"/>
    <w:uiPriority w:val="9"/>
    <w:rsid w:val="006C41B5"/>
    <w:rPr>
      <w:rFonts w:asciiTheme="minorHAnsi" w:hAnsiTheme="minorHAnsi"/>
      <w:b/>
      <w:sz w:val="24"/>
      <w:lang w:val="en-GB" w:eastAsia="en-US"/>
    </w:rPr>
  </w:style>
  <w:style w:type="character" w:customStyle="1" w:styleId="Heading5Char">
    <w:name w:val="Heading 5 Char"/>
    <w:basedOn w:val="DefaultParagraphFont"/>
    <w:link w:val="Heading5"/>
    <w:uiPriority w:val="9"/>
    <w:rsid w:val="006C41B5"/>
    <w:rPr>
      <w:rFonts w:asciiTheme="minorHAnsi" w:hAnsiTheme="minorHAnsi"/>
      <w:b/>
      <w:sz w:val="24"/>
      <w:lang w:val="en-GB" w:eastAsia="en-US"/>
    </w:rPr>
  </w:style>
  <w:style w:type="character" w:customStyle="1" w:styleId="Heading6Char">
    <w:name w:val="Heading 6 Char"/>
    <w:basedOn w:val="DefaultParagraphFont"/>
    <w:link w:val="Heading6"/>
    <w:uiPriority w:val="9"/>
    <w:rsid w:val="006C41B5"/>
    <w:rPr>
      <w:rFonts w:asciiTheme="minorHAnsi" w:hAnsiTheme="minorHAnsi"/>
      <w:b/>
      <w:sz w:val="24"/>
      <w:lang w:val="en-GB" w:eastAsia="en-US"/>
    </w:rPr>
  </w:style>
  <w:style w:type="character" w:customStyle="1" w:styleId="Heading7Char">
    <w:name w:val="Heading 7 Char"/>
    <w:basedOn w:val="DefaultParagraphFont"/>
    <w:link w:val="Heading7"/>
    <w:uiPriority w:val="9"/>
    <w:rsid w:val="006C41B5"/>
    <w:rPr>
      <w:rFonts w:asciiTheme="minorHAnsi" w:hAnsiTheme="minorHAnsi"/>
      <w:b/>
      <w:sz w:val="24"/>
      <w:lang w:val="en-GB" w:eastAsia="en-US"/>
    </w:rPr>
  </w:style>
  <w:style w:type="character" w:customStyle="1" w:styleId="Heading8Char">
    <w:name w:val="Heading 8 Char"/>
    <w:basedOn w:val="DefaultParagraphFont"/>
    <w:link w:val="Heading8"/>
    <w:uiPriority w:val="9"/>
    <w:rsid w:val="006C41B5"/>
    <w:rPr>
      <w:rFonts w:asciiTheme="minorHAnsi" w:hAnsiTheme="minorHAnsi"/>
      <w:b/>
      <w:sz w:val="24"/>
      <w:lang w:val="en-GB" w:eastAsia="en-US"/>
    </w:rPr>
  </w:style>
  <w:style w:type="character" w:customStyle="1" w:styleId="Heading9Char">
    <w:name w:val="Heading 9 Char"/>
    <w:basedOn w:val="DefaultParagraphFont"/>
    <w:link w:val="Heading9"/>
    <w:uiPriority w:val="9"/>
    <w:rsid w:val="006C41B5"/>
    <w:rPr>
      <w:rFonts w:asciiTheme="minorHAnsi" w:hAnsiTheme="minorHAnsi"/>
      <w:b/>
      <w:sz w:val="24"/>
      <w:lang w:val="en-GB" w:eastAsia="en-US"/>
    </w:rPr>
  </w:style>
  <w:style w:type="paragraph" w:customStyle="1" w:styleId="Subtitle1">
    <w:name w:val="Subtitle1"/>
    <w:basedOn w:val="Normal"/>
    <w:next w:val="Normal"/>
    <w:uiPriority w:val="11"/>
    <w:qFormat/>
    <w:rsid w:val="006C41B5"/>
    <w:pPr>
      <w:numPr>
        <w:ilvl w:val="1"/>
      </w:numPr>
      <w:tabs>
        <w:tab w:val="clear" w:pos="794"/>
        <w:tab w:val="clear" w:pos="1191"/>
        <w:tab w:val="clear" w:pos="1588"/>
        <w:tab w:val="clear" w:pos="1985"/>
      </w:tabs>
      <w:overflowPunct/>
      <w:autoSpaceDE/>
      <w:autoSpaceDN/>
      <w:adjustRightInd/>
      <w:spacing w:before="0" w:after="160" w:line="259" w:lineRule="auto"/>
      <w:textAlignment w:val="auto"/>
    </w:pPr>
    <w:rPr>
      <w:rFonts w:eastAsia="Yu Gothic Light"/>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6C41B5"/>
    <w:rPr>
      <w:rFonts w:eastAsia="Yu Gothic Light" w:cs="Times New Roman"/>
      <w:color w:val="595959"/>
      <w:spacing w:val="15"/>
      <w:sz w:val="28"/>
      <w:szCs w:val="28"/>
    </w:rPr>
  </w:style>
  <w:style w:type="paragraph" w:customStyle="1" w:styleId="Quote1">
    <w:name w:val="Quote1"/>
    <w:basedOn w:val="Normal"/>
    <w:next w:val="Normal"/>
    <w:uiPriority w:val="29"/>
    <w:qFormat/>
    <w:rsid w:val="006C41B5"/>
    <w:pPr>
      <w:tabs>
        <w:tab w:val="clear" w:pos="794"/>
        <w:tab w:val="clear" w:pos="1191"/>
        <w:tab w:val="clear" w:pos="1588"/>
        <w:tab w:val="clear" w:pos="1985"/>
      </w:tabs>
      <w:overflowPunct/>
      <w:autoSpaceDE/>
      <w:autoSpaceDN/>
      <w:adjustRightInd/>
      <w:spacing w:before="160" w:after="160" w:line="259" w:lineRule="auto"/>
      <w:jc w:val="center"/>
      <w:textAlignment w:val="auto"/>
    </w:pPr>
    <w:rPr>
      <w:rFonts w:eastAsia="Aptos" w:cs="Arial"/>
      <w:i/>
      <w:iCs/>
      <w:color w:val="404040"/>
      <w:kern w:val="2"/>
      <w:sz w:val="22"/>
      <w:szCs w:val="22"/>
      <w14:ligatures w14:val="standardContextual"/>
    </w:rPr>
  </w:style>
  <w:style w:type="character" w:customStyle="1" w:styleId="QuoteChar">
    <w:name w:val="Quote Char"/>
    <w:basedOn w:val="DefaultParagraphFont"/>
    <w:link w:val="Quote"/>
    <w:uiPriority w:val="29"/>
    <w:rsid w:val="006C41B5"/>
    <w:rPr>
      <w:i/>
      <w:iCs/>
      <w:color w:val="404040"/>
    </w:rPr>
  </w:style>
  <w:style w:type="character" w:customStyle="1" w:styleId="IntenseEmphasis1">
    <w:name w:val="Intense Emphasis1"/>
    <w:basedOn w:val="DefaultParagraphFont"/>
    <w:uiPriority w:val="21"/>
    <w:qFormat/>
    <w:rsid w:val="006C41B5"/>
    <w:rPr>
      <w:i/>
      <w:iCs/>
      <w:color w:val="0F4761"/>
    </w:rPr>
  </w:style>
  <w:style w:type="paragraph" w:customStyle="1" w:styleId="IntenseQuote1">
    <w:name w:val="Intense Quote1"/>
    <w:basedOn w:val="Normal"/>
    <w:next w:val="Normal"/>
    <w:uiPriority w:val="30"/>
    <w:qFormat/>
    <w:rsid w:val="006C41B5"/>
    <w:pPr>
      <w:pBdr>
        <w:top w:val="single" w:sz="4" w:space="10" w:color="0F4761"/>
        <w:bottom w:val="single" w:sz="4" w:space="10" w:color="0F4761"/>
      </w:pBdr>
      <w:tabs>
        <w:tab w:val="clear" w:pos="794"/>
        <w:tab w:val="clear" w:pos="1191"/>
        <w:tab w:val="clear" w:pos="1588"/>
        <w:tab w:val="clear" w:pos="1985"/>
      </w:tabs>
      <w:overflowPunct/>
      <w:autoSpaceDE/>
      <w:autoSpaceDN/>
      <w:adjustRightInd/>
      <w:spacing w:before="360" w:after="360" w:line="259" w:lineRule="auto"/>
      <w:ind w:left="864" w:right="864"/>
      <w:jc w:val="center"/>
      <w:textAlignment w:val="auto"/>
    </w:pPr>
    <w:rPr>
      <w:rFonts w:eastAsia="Aptos" w:cs="Arial"/>
      <w:i/>
      <w:iCs/>
      <w:color w:val="0F4761"/>
      <w:kern w:val="2"/>
      <w:sz w:val="22"/>
      <w:szCs w:val="22"/>
      <w14:ligatures w14:val="standardContextual"/>
    </w:rPr>
  </w:style>
  <w:style w:type="character" w:customStyle="1" w:styleId="IntenseQuoteChar">
    <w:name w:val="Intense Quote Char"/>
    <w:basedOn w:val="DefaultParagraphFont"/>
    <w:link w:val="IntenseQuote"/>
    <w:uiPriority w:val="30"/>
    <w:rsid w:val="006C41B5"/>
    <w:rPr>
      <w:i/>
      <w:iCs/>
      <w:color w:val="0F4761"/>
    </w:rPr>
  </w:style>
  <w:style w:type="character" w:customStyle="1" w:styleId="IntenseReference1">
    <w:name w:val="Intense Reference1"/>
    <w:basedOn w:val="DefaultParagraphFont"/>
    <w:uiPriority w:val="32"/>
    <w:qFormat/>
    <w:rsid w:val="006C41B5"/>
    <w:rPr>
      <w:b/>
      <w:bCs/>
      <w:smallCaps/>
      <w:color w:val="0F4761"/>
      <w:spacing w:val="5"/>
    </w:rPr>
  </w:style>
  <w:style w:type="table" w:customStyle="1" w:styleId="TableGrid1">
    <w:name w:val="Table Grid1"/>
    <w:basedOn w:val="TableNormal"/>
    <w:next w:val="TableGrid"/>
    <w:uiPriority w:val="39"/>
    <w:rsid w:val="006C41B5"/>
    <w:rPr>
      <w:rFonts w:ascii="Aptos" w:eastAsia="Aptos" w:hAnsi="Aptos" w:cs="Arial"/>
      <w:kern w:val="2"/>
      <w:sz w:val="22"/>
      <w:szCs w:val="22"/>
      <w:lang w:val="en-GB"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C41B5"/>
    <w:rPr>
      <w:color w:val="605E5C"/>
      <w:shd w:val="clear" w:color="auto" w:fill="E1DFDD"/>
    </w:rPr>
  </w:style>
  <w:style w:type="paragraph" w:styleId="Revision">
    <w:name w:val="Revision"/>
    <w:hidden/>
    <w:uiPriority w:val="99"/>
    <w:semiHidden/>
    <w:rsid w:val="006C41B5"/>
    <w:rPr>
      <w:rFonts w:ascii="Aptos" w:eastAsia="Aptos" w:hAnsi="Aptos" w:cs="Arial"/>
      <w:kern w:val="2"/>
      <w:sz w:val="22"/>
      <w:szCs w:val="22"/>
      <w:lang w:val="en-GB" w:eastAsia="en-US"/>
      <w14:ligatures w14:val="standardContextual"/>
    </w:rPr>
  </w:style>
  <w:style w:type="table" w:customStyle="1" w:styleId="GridTable2-Accent11">
    <w:name w:val="Grid Table 2 - Accent 11"/>
    <w:basedOn w:val="TableNormal"/>
    <w:next w:val="GridTable2-Accent1"/>
    <w:uiPriority w:val="47"/>
    <w:rsid w:val="006C41B5"/>
    <w:rPr>
      <w:rFonts w:ascii="Aptos" w:eastAsia="Aptos" w:hAnsi="Aptos" w:cs="Arial"/>
      <w:sz w:val="22"/>
      <w:szCs w:val="22"/>
      <w:lang w:val="en-GB" w:eastAsia="en-US"/>
    </w:rPr>
    <w:tblPr>
      <w:tblStyleRowBandSize w:val="1"/>
      <w:tblStyleColBandSize w:val="1"/>
      <w:tblBorders>
        <w:top w:val="single" w:sz="2" w:space="0" w:color="45B0E1"/>
        <w:bottom w:val="single" w:sz="2" w:space="0" w:color="45B0E1"/>
        <w:insideH w:val="single" w:sz="2" w:space="0" w:color="45B0E1"/>
        <w:insideV w:val="single" w:sz="2" w:space="0" w:color="45B0E1"/>
      </w:tblBorders>
    </w:tblPr>
    <w:tblStylePr w:type="firstRow">
      <w:rPr>
        <w:b/>
        <w:bCs/>
      </w:rPr>
      <w:tblPr/>
      <w:tcPr>
        <w:tcBorders>
          <w:top w:val="nil"/>
          <w:bottom w:val="single" w:sz="12" w:space="0" w:color="45B0E1"/>
          <w:insideH w:val="nil"/>
          <w:insideV w:val="nil"/>
        </w:tcBorders>
        <w:shd w:val="clear" w:color="auto" w:fill="FFFFFF"/>
      </w:tcPr>
    </w:tblStylePr>
    <w:tblStylePr w:type="lastRow">
      <w:rPr>
        <w:b/>
        <w:bCs/>
      </w:rPr>
      <w:tblPr/>
      <w:tcPr>
        <w:tcBorders>
          <w:top w:val="double" w:sz="2" w:space="0" w:color="45B0E1"/>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paragraph" w:customStyle="1" w:styleId="Tabletext0">
    <w:name w:val="Table text"/>
    <w:basedOn w:val="Normal"/>
    <w:link w:val="TabletextChar"/>
    <w:rsid w:val="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pPr>
    <w:rPr>
      <w:rFonts w:ascii="AvenirNext LT Pro Light" w:eastAsia="Yu Gothic Light" w:hAnsi="AvenirNext LT Pro Light" w:cs="Calibri"/>
      <w:color w:val="000000"/>
      <w:kern w:val="28"/>
      <w:sz w:val="19"/>
      <w:lang w:val="en-US"/>
    </w:rPr>
  </w:style>
  <w:style w:type="character" w:customStyle="1" w:styleId="TabletextChar">
    <w:name w:val="Table text Char"/>
    <w:basedOn w:val="DefaultParagraphFont"/>
    <w:link w:val="Tabletext0"/>
    <w:rsid w:val="006C41B5"/>
    <w:rPr>
      <w:rFonts w:ascii="AvenirNext LT Pro Light" w:eastAsia="Yu Gothic Light" w:hAnsi="AvenirNext LT Pro Light" w:cs="Calibri"/>
      <w:color w:val="000000"/>
      <w:kern w:val="28"/>
      <w:sz w:val="19"/>
      <w:lang w:eastAsia="en-US"/>
    </w:rPr>
  </w:style>
  <w:style w:type="paragraph" w:customStyle="1" w:styleId="Tableheadwhitecentred">
    <w:name w:val="Table head white centred"/>
    <w:basedOn w:val="Normal"/>
    <w:rsid w:val="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pPr>
    <w:rPr>
      <w:rFonts w:ascii="AvenirNext LT Pro Medium" w:eastAsia="Yu Gothic Light" w:hAnsi="AvenirNext LT Pro Medium" w:cs="Calibri"/>
      <w:color w:val="000000"/>
      <w:spacing w:val="-10"/>
      <w:kern w:val="28"/>
      <w:sz w:val="20"/>
      <w:szCs w:val="24"/>
      <w:lang w:val="en-US"/>
    </w:rPr>
  </w:style>
  <w:style w:type="paragraph" w:customStyle="1" w:styleId="Tabletextcentred">
    <w:name w:val="Table text centred"/>
    <w:basedOn w:val="Tabletext0"/>
    <w:rsid w:val="006C41B5"/>
    <w:pPr>
      <w:jc w:val="center"/>
    </w:pPr>
  </w:style>
  <w:style w:type="paragraph" w:styleId="NoSpacing">
    <w:name w:val="No Spacing"/>
    <w:uiPriority w:val="1"/>
    <w:qFormat/>
    <w:rsid w:val="006C41B5"/>
    <w:rPr>
      <w:rFonts w:ascii="Aptos" w:eastAsia="Aptos" w:hAnsi="Aptos" w:cs="Arial"/>
      <w:kern w:val="2"/>
      <w:sz w:val="22"/>
      <w:szCs w:val="22"/>
      <w:lang w:val="en-GB" w:eastAsia="en-US"/>
      <w14:ligatures w14:val="standardContextual"/>
    </w:rPr>
  </w:style>
  <w:style w:type="paragraph" w:customStyle="1" w:styleId="FigureTabletitle">
    <w:name w:val="Figure Table title"/>
    <w:basedOn w:val="Figuretitle0"/>
    <w:link w:val="FigureTabletitleChar"/>
    <w:qFormat/>
    <w:rsid w:val="006C41B5"/>
    <w:rPr>
      <w:color w:val="0070C0"/>
      <w:lang w:val="en-GB"/>
    </w:rPr>
  </w:style>
  <w:style w:type="character" w:customStyle="1" w:styleId="FigureTabletitleChar">
    <w:name w:val="Figure Table title Char"/>
    <w:basedOn w:val="FiguretitleChar"/>
    <w:link w:val="FigureTabletitle"/>
    <w:rsid w:val="006C41B5"/>
    <w:rPr>
      <w:rFonts w:ascii="AvenirNext LT Pro Light" w:eastAsiaTheme="majorEastAsia" w:hAnsi="AvenirNext LT Pro Light" w:cs="Calibri"/>
      <w:color w:val="0070C0"/>
      <w:spacing w:val="-10"/>
      <w:kern w:val="28"/>
      <w:sz w:val="24"/>
      <w:szCs w:val="24"/>
      <w:lang w:val="en-GB" w:eastAsia="en-US"/>
    </w:rPr>
  </w:style>
  <w:style w:type="paragraph" w:customStyle="1" w:styleId="notetext">
    <w:name w:val="note text"/>
    <w:basedOn w:val="Sourcetext"/>
    <w:qFormat/>
    <w:rsid w:val="006C41B5"/>
  </w:style>
  <w:style w:type="character" w:styleId="Strong">
    <w:name w:val="Strong"/>
    <w:basedOn w:val="DefaultParagraphFont"/>
    <w:uiPriority w:val="22"/>
    <w:qFormat/>
    <w:rsid w:val="006C41B5"/>
    <w:rPr>
      <w:b/>
      <w:bCs/>
    </w:rPr>
  </w:style>
  <w:style w:type="paragraph" w:customStyle="1" w:styleId="Caption1">
    <w:name w:val="Caption1"/>
    <w:basedOn w:val="Normal"/>
    <w:next w:val="Normal"/>
    <w:uiPriority w:val="35"/>
    <w:unhideWhenUsed/>
    <w:qFormat/>
    <w:rsid w:val="006C41B5"/>
    <w:pPr>
      <w:tabs>
        <w:tab w:val="clear" w:pos="794"/>
        <w:tab w:val="clear" w:pos="1191"/>
        <w:tab w:val="clear" w:pos="1588"/>
        <w:tab w:val="clear" w:pos="1985"/>
      </w:tabs>
      <w:overflowPunct/>
      <w:autoSpaceDE/>
      <w:autoSpaceDN/>
      <w:adjustRightInd/>
      <w:spacing w:before="0" w:after="200"/>
      <w:textAlignment w:val="auto"/>
    </w:pPr>
    <w:rPr>
      <w:rFonts w:eastAsia="Aptos" w:cs="Arial"/>
      <w:i/>
      <w:iCs/>
      <w:color w:val="0E2841"/>
      <w:kern w:val="2"/>
      <w:sz w:val="18"/>
      <w:szCs w:val="18"/>
      <w14:ligatures w14:val="standardContextual"/>
    </w:rPr>
  </w:style>
  <w:style w:type="paragraph" w:styleId="NormalWeb">
    <w:name w:val="Normal (Web)"/>
    <w:basedOn w:val="Normal"/>
    <w:uiPriority w:val="99"/>
    <w:semiHidden/>
    <w:unhideWhenUsed/>
    <w:rsid w:val="006C41B5"/>
    <w:pPr>
      <w:tabs>
        <w:tab w:val="clear" w:pos="794"/>
        <w:tab w:val="clear" w:pos="1191"/>
        <w:tab w:val="clear" w:pos="1588"/>
        <w:tab w:val="clear" w:pos="1985"/>
      </w:tabs>
      <w:overflowPunct/>
      <w:autoSpaceDE/>
      <w:autoSpaceDN/>
      <w:adjustRightInd/>
      <w:spacing w:before="0" w:after="160" w:line="259" w:lineRule="auto"/>
      <w:textAlignment w:val="auto"/>
    </w:pPr>
    <w:rPr>
      <w:rFonts w:ascii="Times New Roman" w:eastAsia="Aptos" w:hAnsi="Times New Roman"/>
      <w:kern w:val="2"/>
      <w:szCs w:val="24"/>
      <w14:ligatures w14:val="standardContextual"/>
    </w:rPr>
  </w:style>
  <w:style w:type="paragraph" w:styleId="EndnoteText">
    <w:name w:val="endnote text"/>
    <w:basedOn w:val="Normal"/>
    <w:link w:val="EndnoteTextChar"/>
    <w:uiPriority w:val="99"/>
    <w:semiHidden/>
    <w:unhideWhenUsed/>
    <w:rsid w:val="006C41B5"/>
    <w:pPr>
      <w:tabs>
        <w:tab w:val="clear" w:pos="794"/>
        <w:tab w:val="clear" w:pos="1191"/>
        <w:tab w:val="clear" w:pos="1588"/>
        <w:tab w:val="clear" w:pos="1985"/>
      </w:tabs>
      <w:overflowPunct/>
      <w:autoSpaceDE/>
      <w:autoSpaceDN/>
      <w:adjustRightInd/>
      <w:spacing w:before="0"/>
      <w:textAlignment w:val="auto"/>
    </w:pPr>
    <w:rPr>
      <w:rFonts w:ascii="Aptos" w:eastAsia="Aptos" w:hAnsi="Aptos" w:cs="Aptos"/>
      <w:sz w:val="20"/>
      <w14:ligatures w14:val="standardContextual"/>
    </w:rPr>
  </w:style>
  <w:style w:type="character" w:customStyle="1" w:styleId="EndnoteTextChar">
    <w:name w:val="Endnote Text Char"/>
    <w:basedOn w:val="DefaultParagraphFont"/>
    <w:link w:val="EndnoteText"/>
    <w:uiPriority w:val="99"/>
    <w:semiHidden/>
    <w:rsid w:val="006C41B5"/>
    <w:rPr>
      <w:rFonts w:ascii="Aptos" w:eastAsia="Aptos" w:hAnsi="Aptos" w:cs="Aptos"/>
      <w:lang w:val="en-GB" w:eastAsia="en-US"/>
      <w14:ligatures w14:val="standardContextual"/>
    </w:rPr>
  </w:style>
  <w:style w:type="paragraph" w:styleId="Subtitle">
    <w:name w:val="Subtitle"/>
    <w:basedOn w:val="Normal"/>
    <w:next w:val="Normal"/>
    <w:link w:val="SubtitleChar"/>
    <w:uiPriority w:val="11"/>
    <w:qFormat/>
    <w:rsid w:val="006C41B5"/>
    <w:pPr>
      <w:numPr>
        <w:ilvl w:val="1"/>
      </w:numPr>
      <w:spacing w:after="160"/>
    </w:pPr>
    <w:rPr>
      <w:rFonts w:ascii="CG Times" w:eastAsia="Yu Gothic Light" w:hAnsi="CG Times"/>
      <w:color w:val="595959"/>
      <w:spacing w:val="15"/>
      <w:sz w:val="28"/>
      <w:szCs w:val="28"/>
      <w:lang w:val="en-US" w:eastAsia="zh-CN"/>
    </w:rPr>
  </w:style>
  <w:style w:type="character" w:customStyle="1" w:styleId="SubtitleChar1">
    <w:name w:val="Subtitle Char1"/>
    <w:basedOn w:val="DefaultParagraphFont"/>
    <w:rsid w:val="006C41B5"/>
    <w:rPr>
      <w:rFonts w:asciiTheme="minorHAnsi" w:eastAsiaTheme="minorEastAsia" w:hAnsiTheme="minorHAnsi" w:cstheme="minorBidi"/>
      <w:color w:val="5A5A5A" w:themeColor="text1" w:themeTint="A5"/>
      <w:spacing w:val="15"/>
      <w:sz w:val="22"/>
      <w:szCs w:val="22"/>
      <w:lang w:val="en-GB" w:eastAsia="en-US"/>
    </w:rPr>
  </w:style>
  <w:style w:type="paragraph" w:styleId="Quote">
    <w:name w:val="Quote"/>
    <w:basedOn w:val="Normal"/>
    <w:next w:val="Normal"/>
    <w:link w:val="QuoteChar"/>
    <w:uiPriority w:val="29"/>
    <w:qFormat/>
    <w:rsid w:val="006C41B5"/>
    <w:pPr>
      <w:spacing w:before="200" w:after="160"/>
      <w:ind w:left="864" w:right="864"/>
      <w:jc w:val="center"/>
    </w:pPr>
    <w:rPr>
      <w:rFonts w:ascii="CG Times" w:hAnsi="CG Times"/>
      <w:i/>
      <w:iCs/>
      <w:color w:val="404040"/>
      <w:sz w:val="20"/>
      <w:lang w:val="en-US" w:eastAsia="zh-CN"/>
    </w:rPr>
  </w:style>
  <w:style w:type="character" w:customStyle="1" w:styleId="QuoteChar1">
    <w:name w:val="Quote Char1"/>
    <w:basedOn w:val="DefaultParagraphFont"/>
    <w:uiPriority w:val="29"/>
    <w:rsid w:val="006C41B5"/>
    <w:rPr>
      <w:rFonts w:asciiTheme="minorHAnsi" w:hAnsiTheme="minorHAnsi"/>
      <w:i/>
      <w:iCs/>
      <w:color w:val="404040" w:themeColor="text1" w:themeTint="BF"/>
      <w:sz w:val="24"/>
      <w:lang w:val="en-GB" w:eastAsia="en-US"/>
    </w:rPr>
  </w:style>
  <w:style w:type="character" w:styleId="IntenseEmphasis">
    <w:name w:val="Intense Emphasis"/>
    <w:basedOn w:val="DefaultParagraphFont"/>
    <w:uiPriority w:val="21"/>
    <w:qFormat/>
    <w:rsid w:val="006C41B5"/>
    <w:rPr>
      <w:i/>
      <w:iCs/>
      <w:color w:val="4F81BD" w:themeColor="accent1"/>
    </w:rPr>
  </w:style>
  <w:style w:type="paragraph" w:styleId="IntenseQuote">
    <w:name w:val="Intense Quote"/>
    <w:basedOn w:val="Normal"/>
    <w:next w:val="Normal"/>
    <w:link w:val="IntenseQuoteChar"/>
    <w:uiPriority w:val="30"/>
    <w:qFormat/>
    <w:rsid w:val="006C41B5"/>
    <w:pPr>
      <w:pBdr>
        <w:top w:val="single" w:sz="4" w:space="10" w:color="4F81BD" w:themeColor="accent1"/>
        <w:bottom w:val="single" w:sz="4" w:space="10" w:color="4F81BD" w:themeColor="accent1"/>
      </w:pBdr>
      <w:spacing w:before="360" w:after="360"/>
      <w:ind w:left="864" w:right="864"/>
      <w:jc w:val="center"/>
    </w:pPr>
    <w:rPr>
      <w:rFonts w:ascii="CG Times" w:hAnsi="CG Times"/>
      <w:i/>
      <w:iCs/>
      <w:color w:val="0F4761"/>
      <w:sz w:val="20"/>
      <w:lang w:val="en-US" w:eastAsia="zh-CN"/>
    </w:rPr>
  </w:style>
  <w:style w:type="character" w:customStyle="1" w:styleId="IntenseQuoteChar1">
    <w:name w:val="Intense Quote Char1"/>
    <w:basedOn w:val="DefaultParagraphFont"/>
    <w:uiPriority w:val="30"/>
    <w:rsid w:val="006C41B5"/>
    <w:rPr>
      <w:rFonts w:asciiTheme="minorHAnsi" w:hAnsiTheme="minorHAnsi"/>
      <w:i/>
      <w:iCs/>
      <w:color w:val="4F81BD" w:themeColor="accent1"/>
      <w:sz w:val="24"/>
      <w:lang w:val="en-GB" w:eastAsia="en-US"/>
    </w:rPr>
  </w:style>
  <w:style w:type="character" w:styleId="IntenseReference">
    <w:name w:val="Intense Reference"/>
    <w:basedOn w:val="DefaultParagraphFont"/>
    <w:uiPriority w:val="32"/>
    <w:qFormat/>
    <w:rsid w:val="006C41B5"/>
    <w:rPr>
      <w:b/>
      <w:bCs/>
      <w:smallCaps/>
      <w:color w:val="4F81BD" w:themeColor="accent1"/>
      <w:spacing w:val="5"/>
    </w:rPr>
  </w:style>
  <w:style w:type="table" w:styleId="GridTable2-Accent1">
    <w:name w:val="Grid Table 2 Accent 1"/>
    <w:basedOn w:val="TableNormal"/>
    <w:uiPriority w:val="47"/>
    <w:rsid w:val="006C41B5"/>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Heading">
    <w:name w:val="TOC Heading"/>
    <w:basedOn w:val="Heading1"/>
    <w:next w:val="Normal"/>
    <w:uiPriority w:val="39"/>
    <w:unhideWhenUsed/>
    <w:qFormat/>
    <w:rsid w:val="00761F14"/>
    <w:pPr>
      <w:tabs>
        <w:tab w:val="clear" w:pos="794"/>
        <w:tab w:val="clear" w:pos="1191"/>
        <w:tab w:val="clear" w:pos="1588"/>
        <w:tab w:val="clear" w:pos="1985"/>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paragraph" w:customStyle="1" w:styleId="Body">
    <w:name w:val="Body"/>
    <w:rsid w:val="00B727CE"/>
    <w:pPr>
      <w:pBdr>
        <w:top w:val="nil"/>
        <w:left w:val="nil"/>
        <w:bottom w:val="nil"/>
        <w:right w:val="nil"/>
        <w:between w:val="nil"/>
        <w:bar w:val="nil"/>
      </w:pBdr>
      <w:spacing w:line="276" w:lineRule="auto"/>
    </w:pPr>
    <w:rPr>
      <w:rFonts w:ascii="Arial" w:eastAsia="Arial Unicode MS" w:hAnsi="Arial" w:cs="Arial Unicode MS"/>
      <w:color w:val="000000"/>
      <w:sz w:val="22"/>
      <w:szCs w:val="22"/>
      <w:u w:color="000000"/>
      <w:bdr w:val="nil"/>
      <w:lang w:eastAsia="en-GB"/>
      <w14:textOutline w14:w="0" w14:cap="flat" w14:cmpd="sng" w14:algn="ctr">
        <w14:noFill/>
        <w14:prstDash w14:val="solid"/>
        <w14:bevel/>
      </w14:textOutline>
    </w:rPr>
  </w:style>
  <w:style w:type="paragraph" w:customStyle="1" w:styleId="Heading2Aptos">
    <w:name w:val="Heading 2 Aptos"/>
    <w:basedOn w:val="Normal"/>
    <w:link w:val="Heading2AptosChar"/>
    <w:qFormat/>
    <w:rsid w:val="008E298A"/>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pPr>
    <w:rPr>
      <w:rFonts w:ascii="Aptos Display" w:eastAsia="Yu Gothic Light" w:hAnsi="Aptos Display"/>
      <w:color w:val="0F4761"/>
      <w:kern w:val="2"/>
      <w:sz w:val="32"/>
      <w:szCs w:val="32"/>
      <w14:ligatures w14:val="standardContextual"/>
    </w:rPr>
  </w:style>
  <w:style w:type="character" w:customStyle="1" w:styleId="Heading2AptosChar">
    <w:name w:val="Heading 2 Aptos Char"/>
    <w:basedOn w:val="DefaultParagraphFont"/>
    <w:link w:val="Heading2Aptos"/>
    <w:rsid w:val="008E298A"/>
    <w:rPr>
      <w:rFonts w:ascii="Aptos Display" w:eastAsia="Yu Gothic Light" w:hAnsi="Aptos Display"/>
      <w:color w:val="0F4761"/>
      <w:kern w:val="2"/>
      <w:sz w:val="32"/>
      <w:szCs w:val="32"/>
      <w:lang w:val="en-GB" w:eastAsia="en-US"/>
      <w14:ligatures w14:val="standardContextual"/>
    </w:rPr>
  </w:style>
  <w:style w:type="paragraph" w:customStyle="1" w:styleId="Parttitle0">
    <w:name w:val="Part title"/>
    <w:basedOn w:val="Normal"/>
    <w:link w:val="ParttitleChar"/>
    <w:qFormat/>
    <w:rsid w:val="009D660C"/>
    <w:pPr>
      <w:keepNext/>
      <w:keepLines/>
      <w:tabs>
        <w:tab w:val="clear" w:pos="794"/>
        <w:tab w:val="clear" w:pos="1191"/>
        <w:tab w:val="clear" w:pos="1588"/>
        <w:tab w:val="clear" w:pos="1985"/>
      </w:tabs>
      <w:overflowPunct/>
      <w:autoSpaceDE/>
      <w:autoSpaceDN/>
      <w:adjustRightInd/>
      <w:spacing w:before="360" w:after="80" w:line="259" w:lineRule="auto"/>
      <w:textAlignment w:val="auto"/>
      <w:outlineLvl w:val="0"/>
    </w:pPr>
    <w:rPr>
      <w:rFonts w:ascii="Aptos Display" w:eastAsia="Yu Gothic Light" w:hAnsi="Aptos Display"/>
      <w:color w:val="0F4761"/>
      <w:kern w:val="2"/>
      <w:sz w:val="40"/>
      <w:szCs w:val="40"/>
      <w14:ligatures w14:val="standardContextual"/>
    </w:rPr>
  </w:style>
  <w:style w:type="character" w:customStyle="1" w:styleId="ParttitleChar">
    <w:name w:val="Part title Char"/>
    <w:basedOn w:val="DefaultParagraphFont"/>
    <w:link w:val="Parttitle0"/>
    <w:rsid w:val="009D660C"/>
    <w:rPr>
      <w:rFonts w:ascii="Aptos Display" w:eastAsia="Yu Gothic Light" w:hAnsi="Aptos Display"/>
      <w:color w:val="0F4761"/>
      <w:kern w:val="2"/>
      <w:sz w:val="40"/>
      <w:szCs w:val="40"/>
      <w:lang w:val="en-GB" w:eastAsia="en-US"/>
      <w14:ligatures w14:val="standardContextual"/>
    </w:rPr>
  </w:style>
  <w:style w:type="character" w:customStyle="1" w:styleId="normaltextrun">
    <w:name w:val="normaltextrun"/>
    <w:basedOn w:val="DefaultParagraphFont"/>
    <w:rsid w:val="002411A4"/>
  </w:style>
  <w:style w:type="character" w:customStyle="1" w:styleId="eop">
    <w:name w:val="eop"/>
    <w:basedOn w:val="DefaultParagraphFont"/>
    <w:rsid w:val="00300307"/>
  </w:style>
  <w:style w:type="paragraph" w:customStyle="1" w:styleId="Section">
    <w:name w:val="Section"/>
    <w:basedOn w:val="Normal"/>
    <w:link w:val="SectionChar"/>
    <w:qFormat/>
    <w:rsid w:val="00A217F8"/>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pPr>
    <w:rPr>
      <w:rFonts w:ascii="Aptos Display" w:eastAsia="Yu Gothic Light" w:hAnsi="Aptos Display"/>
      <w:color w:val="0F4761"/>
      <w:kern w:val="2"/>
      <w:sz w:val="32"/>
      <w:szCs w:val="32"/>
      <w14:ligatures w14:val="standardContextual"/>
    </w:rPr>
  </w:style>
  <w:style w:type="character" w:customStyle="1" w:styleId="SectionChar">
    <w:name w:val="Section Char"/>
    <w:basedOn w:val="DefaultParagraphFont"/>
    <w:link w:val="Section"/>
    <w:rsid w:val="00A217F8"/>
    <w:rPr>
      <w:rFonts w:ascii="Aptos Display" w:eastAsia="Yu Gothic Light" w:hAnsi="Aptos Display"/>
      <w:color w:val="0F4761"/>
      <w:kern w:val="2"/>
      <w:sz w:val="32"/>
      <w:szCs w:val="32"/>
      <w:lang w:val="en-GB" w:eastAsia="en-US"/>
      <w14:ligatures w14:val="standardContextual"/>
    </w:rPr>
  </w:style>
  <w:style w:type="paragraph" w:customStyle="1" w:styleId="Bulletlist1">
    <w:name w:val="Bullet list 1"/>
    <w:basedOn w:val="Normal"/>
    <w:rsid w:val="0025346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40" w:after="40" w:line="284" w:lineRule="atLeast"/>
      <w:ind w:left="567" w:hanging="567"/>
      <w:jc w:val="both"/>
      <w:textAlignment w:val="center"/>
    </w:pPr>
    <w:rPr>
      <w:rFonts w:ascii="Avenir Next W1G" w:eastAsiaTheme="minorEastAsia" w:hAnsi="Avenir Next W1G" w:cstheme="minorBidi"/>
      <w:color w:val="000000"/>
      <w:sz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249780">
      <w:bodyDiv w:val="1"/>
      <w:marLeft w:val="0"/>
      <w:marRight w:val="0"/>
      <w:marTop w:val="0"/>
      <w:marBottom w:val="0"/>
      <w:divBdr>
        <w:top w:val="none" w:sz="0" w:space="0" w:color="auto"/>
        <w:left w:val="none" w:sz="0" w:space="0" w:color="auto"/>
        <w:bottom w:val="none" w:sz="0" w:space="0" w:color="auto"/>
        <w:right w:val="none" w:sz="0" w:space="0" w:color="auto"/>
      </w:divBdr>
    </w:div>
    <w:div w:id="138424915">
      <w:bodyDiv w:val="1"/>
      <w:marLeft w:val="0"/>
      <w:marRight w:val="0"/>
      <w:marTop w:val="0"/>
      <w:marBottom w:val="0"/>
      <w:divBdr>
        <w:top w:val="none" w:sz="0" w:space="0" w:color="auto"/>
        <w:left w:val="none" w:sz="0" w:space="0" w:color="auto"/>
        <w:bottom w:val="none" w:sz="0" w:space="0" w:color="auto"/>
        <w:right w:val="none" w:sz="0" w:space="0" w:color="auto"/>
      </w:divBdr>
    </w:div>
    <w:div w:id="146897608">
      <w:bodyDiv w:val="1"/>
      <w:marLeft w:val="0"/>
      <w:marRight w:val="0"/>
      <w:marTop w:val="0"/>
      <w:marBottom w:val="0"/>
      <w:divBdr>
        <w:top w:val="none" w:sz="0" w:space="0" w:color="auto"/>
        <w:left w:val="none" w:sz="0" w:space="0" w:color="auto"/>
        <w:bottom w:val="none" w:sz="0" w:space="0" w:color="auto"/>
        <w:right w:val="none" w:sz="0" w:space="0" w:color="auto"/>
      </w:divBdr>
    </w:div>
    <w:div w:id="173615908">
      <w:bodyDiv w:val="1"/>
      <w:marLeft w:val="0"/>
      <w:marRight w:val="0"/>
      <w:marTop w:val="0"/>
      <w:marBottom w:val="0"/>
      <w:divBdr>
        <w:top w:val="none" w:sz="0" w:space="0" w:color="auto"/>
        <w:left w:val="none" w:sz="0" w:space="0" w:color="auto"/>
        <w:bottom w:val="none" w:sz="0" w:space="0" w:color="auto"/>
        <w:right w:val="none" w:sz="0" w:space="0" w:color="auto"/>
      </w:divBdr>
    </w:div>
    <w:div w:id="192771772">
      <w:bodyDiv w:val="1"/>
      <w:marLeft w:val="0"/>
      <w:marRight w:val="0"/>
      <w:marTop w:val="0"/>
      <w:marBottom w:val="0"/>
      <w:divBdr>
        <w:top w:val="none" w:sz="0" w:space="0" w:color="auto"/>
        <w:left w:val="none" w:sz="0" w:space="0" w:color="auto"/>
        <w:bottom w:val="none" w:sz="0" w:space="0" w:color="auto"/>
        <w:right w:val="none" w:sz="0" w:space="0" w:color="auto"/>
      </w:divBdr>
    </w:div>
    <w:div w:id="238560725">
      <w:bodyDiv w:val="1"/>
      <w:marLeft w:val="0"/>
      <w:marRight w:val="0"/>
      <w:marTop w:val="0"/>
      <w:marBottom w:val="0"/>
      <w:divBdr>
        <w:top w:val="none" w:sz="0" w:space="0" w:color="auto"/>
        <w:left w:val="none" w:sz="0" w:space="0" w:color="auto"/>
        <w:bottom w:val="none" w:sz="0" w:space="0" w:color="auto"/>
        <w:right w:val="none" w:sz="0" w:space="0" w:color="auto"/>
      </w:divBdr>
    </w:div>
    <w:div w:id="334768446">
      <w:bodyDiv w:val="1"/>
      <w:marLeft w:val="0"/>
      <w:marRight w:val="0"/>
      <w:marTop w:val="0"/>
      <w:marBottom w:val="0"/>
      <w:divBdr>
        <w:top w:val="none" w:sz="0" w:space="0" w:color="auto"/>
        <w:left w:val="none" w:sz="0" w:space="0" w:color="auto"/>
        <w:bottom w:val="none" w:sz="0" w:space="0" w:color="auto"/>
        <w:right w:val="none" w:sz="0" w:space="0" w:color="auto"/>
      </w:divBdr>
    </w:div>
    <w:div w:id="391927088">
      <w:bodyDiv w:val="1"/>
      <w:marLeft w:val="0"/>
      <w:marRight w:val="0"/>
      <w:marTop w:val="0"/>
      <w:marBottom w:val="0"/>
      <w:divBdr>
        <w:top w:val="none" w:sz="0" w:space="0" w:color="auto"/>
        <w:left w:val="none" w:sz="0" w:space="0" w:color="auto"/>
        <w:bottom w:val="none" w:sz="0" w:space="0" w:color="auto"/>
        <w:right w:val="none" w:sz="0" w:space="0" w:color="auto"/>
      </w:divBdr>
    </w:div>
    <w:div w:id="493572749">
      <w:bodyDiv w:val="1"/>
      <w:marLeft w:val="0"/>
      <w:marRight w:val="0"/>
      <w:marTop w:val="0"/>
      <w:marBottom w:val="0"/>
      <w:divBdr>
        <w:top w:val="none" w:sz="0" w:space="0" w:color="auto"/>
        <w:left w:val="none" w:sz="0" w:space="0" w:color="auto"/>
        <w:bottom w:val="none" w:sz="0" w:space="0" w:color="auto"/>
        <w:right w:val="none" w:sz="0" w:space="0" w:color="auto"/>
      </w:divBdr>
    </w:div>
    <w:div w:id="531502494">
      <w:bodyDiv w:val="1"/>
      <w:marLeft w:val="0"/>
      <w:marRight w:val="0"/>
      <w:marTop w:val="0"/>
      <w:marBottom w:val="0"/>
      <w:divBdr>
        <w:top w:val="none" w:sz="0" w:space="0" w:color="auto"/>
        <w:left w:val="none" w:sz="0" w:space="0" w:color="auto"/>
        <w:bottom w:val="none" w:sz="0" w:space="0" w:color="auto"/>
        <w:right w:val="none" w:sz="0" w:space="0" w:color="auto"/>
      </w:divBdr>
    </w:div>
    <w:div w:id="604533245">
      <w:bodyDiv w:val="1"/>
      <w:marLeft w:val="0"/>
      <w:marRight w:val="0"/>
      <w:marTop w:val="0"/>
      <w:marBottom w:val="0"/>
      <w:divBdr>
        <w:top w:val="none" w:sz="0" w:space="0" w:color="auto"/>
        <w:left w:val="none" w:sz="0" w:space="0" w:color="auto"/>
        <w:bottom w:val="none" w:sz="0" w:space="0" w:color="auto"/>
        <w:right w:val="none" w:sz="0" w:space="0" w:color="auto"/>
      </w:divBdr>
    </w:div>
    <w:div w:id="701899014">
      <w:bodyDiv w:val="1"/>
      <w:marLeft w:val="0"/>
      <w:marRight w:val="0"/>
      <w:marTop w:val="0"/>
      <w:marBottom w:val="0"/>
      <w:divBdr>
        <w:top w:val="none" w:sz="0" w:space="0" w:color="auto"/>
        <w:left w:val="none" w:sz="0" w:space="0" w:color="auto"/>
        <w:bottom w:val="none" w:sz="0" w:space="0" w:color="auto"/>
        <w:right w:val="none" w:sz="0" w:space="0" w:color="auto"/>
      </w:divBdr>
    </w:div>
    <w:div w:id="873228548">
      <w:bodyDiv w:val="1"/>
      <w:marLeft w:val="0"/>
      <w:marRight w:val="0"/>
      <w:marTop w:val="0"/>
      <w:marBottom w:val="0"/>
      <w:divBdr>
        <w:top w:val="none" w:sz="0" w:space="0" w:color="auto"/>
        <w:left w:val="none" w:sz="0" w:space="0" w:color="auto"/>
        <w:bottom w:val="none" w:sz="0" w:space="0" w:color="auto"/>
        <w:right w:val="none" w:sz="0" w:space="0" w:color="auto"/>
      </w:divBdr>
    </w:div>
    <w:div w:id="878859544">
      <w:bodyDiv w:val="1"/>
      <w:marLeft w:val="0"/>
      <w:marRight w:val="0"/>
      <w:marTop w:val="0"/>
      <w:marBottom w:val="0"/>
      <w:divBdr>
        <w:top w:val="none" w:sz="0" w:space="0" w:color="auto"/>
        <w:left w:val="none" w:sz="0" w:space="0" w:color="auto"/>
        <w:bottom w:val="none" w:sz="0" w:space="0" w:color="auto"/>
        <w:right w:val="none" w:sz="0" w:space="0" w:color="auto"/>
      </w:divBdr>
    </w:div>
    <w:div w:id="900680185">
      <w:bodyDiv w:val="1"/>
      <w:marLeft w:val="0"/>
      <w:marRight w:val="0"/>
      <w:marTop w:val="0"/>
      <w:marBottom w:val="0"/>
      <w:divBdr>
        <w:top w:val="none" w:sz="0" w:space="0" w:color="auto"/>
        <w:left w:val="none" w:sz="0" w:space="0" w:color="auto"/>
        <w:bottom w:val="none" w:sz="0" w:space="0" w:color="auto"/>
        <w:right w:val="none" w:sz="0" w:space="0" w:color="auto"/>
      </w:divBdr>
    </w:div>
    <w:div w:id="906887751">
      <w:bodyDiv w:val="1"/>
      <w:marLeft w:val="0"/>
      <w:marRight w:val="0"/>
      <w:marTop w:val="0"/>
      <w:marBottom w:val="0"/>
      <w:divBdr>
        <w:top w:val="none" w:sz="0" w:space="0" w:color="auto"/>
        <w:left w:val="none" w:sz="0" w:space="0" w:color="auto"/>
        <w:bottom w:val="none" w:sz="0" w:space="0" w:color="auto"/>
        <w:right w:val="none" w:sz="0" w:space="0" w:color="auto"/>
      </w:divBdr>
    </w:div>
    <w:div w:id="1040203964">
      <w:bodyDiv w:val="1"/>
      <w:marLeft w:val="0"/>
      <w:marRight w:val="0"/>
      <w:marTop w:val="0"/>
      <w:marBottom w:val="0"/>
      <w:divBdr>
        <w:top w:val="none" w:sz="0" w:space="0" w:color="auto"/>
        <w:left w:val="none" w:sz="0" w:space="0" w:color="auto"/>
        <w:bottom w:val="none" w:sz="0" w:space="0" w:color="auto"/>
        <w:right w:val="none" w:sz="0" w:space="0" w:color="auto"/>
      </w:divBdr>
    </w:div>
    <w:div w:id="1063286050">
      <w:bodyDiv w:val="1"/>
      <w:marLeft w:val="0"/>
      <w:marRight w:val="0"/>
      <w:marTop w:val="0"/>
      <w:marBottom w:val="0"/>
      <w:divBdr>
        <w:top w:val="none" w:sz="0" w:space="0" w:color="auto"/>
        <w:left w:val="none" w:sz="0" w:space="0" w:color="auto"/>
        <w:bottom w:val="none" w:sz="0" w:space="0" w:color="auto"/>
        <w:right w:val="none" w:sz="0" w:space="0" w:color="auto"/>
      </w:divBdr>
    </w:div>
    <w:div w:id="1087268535">
      <w:bodyDiv w:val="1"/>
      <w:marLeft w:val="0"/>
      <w:marRight w:val="0"/>
      <w:marTop w:val="0"/>
      <w:marBottom w:val="0"/>
      <w:divBdr>
        <w:top w:val="none" w:sz="0" w:space="0" w:color="auto"/>
        <w:left w:val="none" w:sz="0" w:space="0" w:color="auto"/>
        <w:bottom w:val="none" w:sz="0" w:space="0" w:color="auto"/>
        <w:right w:val="none" w:sz="0" w:space="0" w:color="auto"/>
      </w:divBdr>
    </w:div>
    <w:div w:id="1152722139">
      <w:bodyDiv w:val="1"/>
      <w:marLeft w:val="0"/>
      <w:marRight w:val="0"/>
      <w:marTop w:val="0"/>
      <w:marBottom w:val="0"/>
      <w:divBdr>
        <w:top w:val="none" w:sz="0" w:space="0" w:color="auto"/>
        <w:left w:val="none" w:sz="0" w:space="0" w:color="auto"/>
        <w:bottom w:val="none" w:sz="0" w:space="0" w:color="auto"/>
        <w:right w:val="none" w:sz="0" w:space="0" w:color="auto"/>
      </w:divBdr>
    </w:div>
    <w:div w:id="1220241432">
      <w:bodyDiv w:val="1"/>
      <w:marLeft w:val="0"/>
      <w:marRight w:val="0"/>
      <w:marTop w:val="0"/>
      <w:marBottom w:val="0"/>
      <w:divBdr>
        <w:top w:val="none" w:sz="0" w:space="0" w:color="auto"/>
        <w:left w:val="none" w:sz="0" w:space="0" w:color="auto"/>
        <w:bottom w:val="none" w:sz="0" w:space="0" w:color="auto"/>
        <w:right w:val="none" w:sz="0" w:space="0" w:color="auto"/>
      </w:divBdr>
    </w:div>
    <w:div w:id="1444880070">
      <w:bodyDiv w:val="1"/>
      <w:marLeft w:val="0"/>
      <w:marRight w:val="0"/>
      <w:marTop w:val="0"/>
      <w:marBottom w:val="0"/>
      <w:divBdr>
        <w:top w:val="none" w:sz="0" w:space="0" w:color="auto"/>
        <w:left w:val="none" w:sz="0" w:space="0" w:color="auto"/>
        <w:bottom w:val="none" w:sz="0" w:space="0" w:color="auto"/>
        <w:right w:val="none" w:sz="0" w:space="0" w:color="auto"/>
      </w:divBdr>
    </w:div>
    <w:div w:id="1639144106">
      <w:bodyDiv w:val="1"/>
      <w:marLeft w:val="0"/>
      <w:marRight w:val="0"/>
      <w:marTop w:val="0"/>
      <w:marBottom w:val="0"/>
      <w:divBdr>
        <w:top w:val="none" w:sz="0" w:space="0" w:color="auto"/>
        <w:left w:val="none" w:sz="0" w:space="0" w:color="auto"/>
        <w:bottom w:val="none" w:sz="0" w:space="0" w:color="auto"/>
        <w:right w:val="none" w:sz="0" w:space="0" w:color="auto"/>
      </w:divBdr>
    </w:div>
    <w:div w:id="1665551957">
      <w:bodyDiv w:val="1"/>
      <w:marLeft w:val="0"/>
      <w:marRight w:val="0"/>
      <w:marTop w:val="0"/>
      <w:marBottom w:val="0"/>
      <w:divBdr>
        <w:top w:val="none" w:sz="0" w:space="0" w:color="auto"/>
        <w:left w:val="none" w:sz="0" w:space="0" w:color="auto"/>
        <w:bottom w:val="none" w:sz="0" w:space="0" w:color="auto"/>
        <w:right w:val="none" w:sz="0" w:space="0" w:color="auto"/>
      </w:divBdr>
    </w:div>
    <w:div w:id="1680964371">
      <w:bodyDiv w:val="1"/>
      <w:marLeft w:val="0"/>
      <w:marRight w:val="0"/>
      <w:marTop w:val="0"/>
      <w:marBottom w:val="0"/>
      <w:divBdr>
        <w:top w:val="none" w:sz="0" w:space="0" w:color="auto"/>
        <w:left w:val="none" w:sz="0" w:space="0" w:color="auto"/>
        <w:bottom w:val="none" w:sz="0" w:space="0" w:color="auto"/>
        <w:right w:val="none" w:sz="0" w:space="0" w:color="auto"/>
      </w:divBdr>
    </w:div>
    <w:div w:id="1798523265">
      <w:bodyDiv w:val="1"/>
      <w:marLeft w:val="0"/>
      <w:marRight w:val="0"/>
      <w:marTop w:val="0"/>
      <w:marBottom w:val="0"/>
      <w:divBdr>
        <w:top w:val="none" w:sz="0" w:space="0" w:color="auto"/>
        <w:left w:val="none" w:sz="0" w:space="0" w:color="auto"/>
        <w:bottom w:val="none" w:sz="0" w:space="0" w:color="auto"/>
        <w:right w:val="none" w:sz="0" w:space="0" w:color="auto"/>
      </w:divBdr>
    </w:div>
    <w:div w:id="1821539621">
      <w:bodyDiv w:val="1"/>
      <w:marLeft w:val="0"/>
      <w:marRight w:val="0"/>
      <w:marTop w:val="0"/>
      <w:marBottom w:val="0"/>
      <w:divBdr>
        <w:top w:val="none" w:sz="0" w:space="0" w:color="auto"/>
        <w:left w:val="none" w:sz="0" w:space="0" w:color="auto"/>
        <w:bottom w:val="none" w:sz="0" w:space="0" w:color="auto"/>
        <w:right w:val="none" w:sz="0" w:space="0" w:color="auto"/>
      </w:divBdr>
    </w:div>
    <w:div w:id="1913462158">
      <w:bodyDiv w:val="1"/>
      <w:marLeft w:val="0"/>
      <w:marRight w:val="0"/>
      <w:marTop w:val="0"/>
      <w:marBottom w:val="0"/>
      <w:divBdr>
        <w:top w:val="none" w:sz="0" w:space="0" w:color="auto"/>
        <w:left w:val="none" w:sz="0" w:space="0" w:color="auto"/>
        <w:bottom w:val="none" w:sz="0" w:space="0" w:color="auto"/>
        <w:right w:val="none" w:sz="0" w:space="0" w:color="auto"/>
      </w:divBdr>
    </w:div>
    <w:div w:id="2040665425">
      <w:bodyDiv w:val="1"/>
      <w:marLeft w:val="0"/>
      <w:marRight w:val="0"/>
      <w:marTop w:val="0"/>
      <w:marBottom w:val="0"/>
      <w:divBdr>
        <w:top w:val="none" w:sz="0" w:space="0" w:color="auto"/>
        <w:left w:val="none" w:sz="0" w:space="0" w:color="auto"/>
        <w:bottom w:val="none" w:sz="0" w:space="0" w:color="auto"/>
        <w:right w:val="none" w:sz="0" w:space="0" w:color="auto"/>
      </w:divBdr>
    </w:div>
    <w:div w:id="2102411768">
      <w:bodyDiv w:val="1"/>
      <w:marLeft w:val="0"/>
      <w:marRight w:val="0"/>
      <w:marTop w:val="0"/>
      <w:marBottom w:val="0"/>
      <w:divBdr>
        <w:top w:val="none" w:sz="0" w:space="0" w:color="auto"/>
        <w:left w:val="none" w:sz="0" w:space="0" w:color="auto"/>
        <w:bottom w:val="none" w:sz="0" w:space="0" w:color="auto"/>
        <w:right w:val="none" w:sz="0" w:space="0" w:color="auto"/>
      </w:divBdr>
    </w:div>
    <w:div w:id="212619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8.svg"/><Relationship Id="rId21" Type="http://schemas.openxmlformats.org/officeDocument/2006/relationships/image" Target="media/image7.svg"/><Relationship Id="rId42" Type="http://schemas.openxmlformats.org/officeDocument/2006/relationships/image" Target="media/image27.svg"/><Relationship Id="rId63" Type="http://schemas.openxmlformats.org/officeDocument/2006/relationships/image" Target="media/image46.svg"/><Relationship Id="rId84" Type="http://schemas.openxmlformats.org/officeDocument/2006/relationships/image" Target="media/image66.svg"/><Relationship Id="rId138" Type="http://schemas.openxmlformats.org/officeDocument/2006/relationships/hyperlink" Target="https://www.itu.int/itu-d/reports/statistics/facts-figures-2024/" TargetMode="External"/><Relationship Id="rId107" Type="http://schemas.openxmlformats.org/officeDocument/2006/relationships/hyperlink" Target="https://publications.jrc.ec.europa.eu/repository/handle/JRC130341" TargetMode="External"/><Relationship Id="rId11" Type="http://schemas.openxmlformats.org/officeDocument/2006/relationships/image" Target="media/image1.jpeg"/><Relationship Id="rId32" Type="http://schemas.openxmlformats.org/officeDocument/2006/relationships/image" Target="media/image17.svg"/><Relationship Id="rId53" Type="http://schemas.openxmlformats.org/officeDocument/2006/relationships/image" Target="media/image38.png"/><Relationship Id="rId74" Type="http://schemas.openxmlformats.org/officeDocument/2006/relationships/hyperlink" Target="https://www.broadbandcommission.org/" TargetMode="External"/><Relationship Id="rId128" Type="http://schemas.openxmlformats.org/officeDocument/2006/relationships/hyperlink" Target="https://www.itu.int/en/ITU-D/Cybersecurity/Pages/COP/COP.aspx" TargetMode="External"/><Relationship Id="rId5" Type="http://schemas.openxmlformats.org/officeDocument/2006/relationships/numbering" Target="numbering.xml"/><Relationship Id="rId90" Type="http://schemas.openxmlformats.org/officeDocument/2006/relationships/hyperlink" Target="https://www.itu.int/itu-d/meetings/statistics/wp-content/uploads/sites/8/2023/09/Report-of-the-EGH-subgroup-on-ICT-Skills.pdf" TargetMode="External"/><Relationship Id="rId95" Type="http://schemas.openxmlformats.org/officeDocument/2006/relationships/hyperlink" Target="https://publications.jrc.ec.europa.eu/repository/handle/JRC130341" TargetMode="External"/><Relationship Id="rId22" Type="http://schemas.openxmlformats.org/officeDocument/2006/relationships/hyperlink" Target="https://www.itu.int/pub/D-PREF-BB.REG_OUT01-2023/en" TargetMode="External"/><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svg"/><Relationship Id="rId64" Type="http://schemas.openxmlformats.org/officeDocument/2006/relationships/image" Target="media/image47.png"/><Relationship Id="rId69" Type="http://schemas.openxmlformats.org/officeDocument/2006/relationships/image" Target="media/image52.svg"/><Relationship Id="rId113" Type="http://schemas.openxmlformats.org/officeDocument/2006/relationships/image" Target="media/image84.svg"/><Relationship Id="rId118" Type="http://schemas.openxmlformats.org/officeDocument/2006/relationships/hyperlink" Target="https://www.itu.int/hub/publication/d-gen-e_waste-01-2024/" TargetMode="External"/><Relationship Id="rId134" Type="http://schemas.openxmlformats.org/officeDocument/2006/relationships/hyperlink" Target="https://www.itu.int/en/ITU-D/Statistics/Documents/facts/rpm_arb_pub_2025_data.xlsx" TargetMode="External"/><Relationship Id="rId139" Type="http://schemas.openxmlformats.org/officeDocument/2006/relationships/hyperlink" Target="https://www.itu.int/en/ITU-D/Statistics/Documents/facts/ITU_regional_global_Key_ICT_indicator_aggregates_Nov_2024.xlsx" TargetMode="External"/><Relationship Id="rId80" Type="http://schemas.openxmlformats.org/officeDocument/2006/relationships/image" Target="media/image62.svg"/><Relationship Id="rId85" Type="http://schemas.openxmlformats.org/officeDocument/2006/relationships/image" Target="media/image67.png"/><Relationship Id="rId12" Type="http://schemas.openxmlformats.org/officeDocument/2006/relationships/image" Target="media/image2.png"/><Relationship Id="rId17" Type="http://schemas.openxmlformats.org/officeDocument/2006/relationships/hyperlink" Target="https://app.gen5.digital/benchmark/metrics" TargetMode="External"/><Relationship Id="rId33" Type="http://schemas.openxmlformats.org/officeDocument/2006/relationships/image" Target="media/image18.png"/><Relationship Id="rId38" Type="http://schemas.openxmlformats.org/officeDocument/2006/relationships/image" Target="media/image23.svg"/><Relationship Id="rId59" Type="http://schemas.openxmlformats.org/officeDocument/2006/relationships/image" Target="media/image43.png"/><Relationship Id="rId103" Type="http://schemas.openxmlformats.org/officeDocument/2006/relationships/hyperlink" Target="https://publications.jrc.ec.europa.eu/repository/handle/JRC130341" TargetMode="External"/><Relationship Id="rId108" Type="http://schemas.openxmlformats.org/officeDocument/2006/relationships/image" Target="media/image79.png"/><Relationship Id="rId124" Type="http://schemas.openxmlformats.org/officeDocument/2006/relationships/image" Target="media/image91.png"/><Relationship Id="rId129" Type="http://schemas.openxmlformats.org/officeDocument/2006/relationships/hyperlink" Target="https://www.itu-cop-guidelines.com/" TargetMode="External"/><Relationship Id="rId54" Type="http://schemas.openxmlformats.org/officeDocument/2006/relationships/image" Target="media/image39.svg"/><Relationship Id="rId70" Type="http://schemas.openxmlformats.org/officeDocument/2006/relationships/image" Target="media/image53.png"/><Relationship Id="rId75" Type="http://schemas.openxmlformats.org/officeDocument/2006/relationships/image" Target="media/image57.png"/><Relationship Id="rId91" Type="http://schemas.openxmlformats.org/officeDocument/2006/relationships/hyperlink" Target="https://publications.jrc.ec.europa.eu/repository/handle/JRC130341" TargetMode="External"/><Relationship Id="rId96" Type="http://schemas.openxmlformats.org/officeDocument/2006/relationships/image" Target="media/image73.png"/><Relationship Id="rId140" Type="http://schemas.openxmlformats.org/officeDocument/2006/relationships/header" Target="header1.xml"/><Relationship Id="rId14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8.png"/><Relationship Id="rId28" Type="http://schemas.openxmlformats.org/officeDocument/2006/relationships/image" Target="media/image13.svg"/><Relationship Id="rId49" Type="http://schemas.openxmlformats.org/officeDocument/2006/relationships/image" Target="media/image34.png"/><Relationship Id="rId114" Type="http://schemas.openxmlformats.org/officeDocument/2006/relationships/image" Target="media/image85.png"/><Relationship Id="rId119" Type="http://schemas.openxmlformats.org/officeDocument/2006/relationships/hyperlink" Target="https://www.itu.int/hub/publication/d-gen-e_waste-01-2024/" TargetMode="External"/><Relationship Id="rId44" Type="http://schemas.openxmlformats.org/officeDocument/2006/relationships/image" Target="media/image29.svg"/><Relationship Id="rId60" Type="http://schemas.openxmlformats.org/officeDocument/2006/relationships/image" Target="media/image44.svg"/><Relationship Id="rId65" Type="http://schemas.openxmlformats.org/officeDocument/2006/relationships/image" Target="media/image48.svg"/><Relationship Id="rId81" Type="http://schemas.openxmlformats.org/officeDocument/2006/relationships/image" Target="media/image63.png"/><Relationship Id="rId86" Type="http://schemas.openxmlformats.org/officeDocument/2006/relationships/image" Target="media/image68.svg"/><Relationship Id="rId130" Type="http://schemas.openxmlformats.org/officeDocument/2006/relationships/hyperlink" Target="https://www.itu.int/itu-d/sites/digital-impact-unlocked/opening-of-the-ipv6-laboratory-in-montenegro/" TargetMode="External"/><Relationship Id="rId135" Type="http://schemas.openxmlformats.org/officeDocument/2006/relationships/hyperlink" Target="https://www.itu.int/en/ITU-D/Statistics/Documents/facts/rpm_eur_pub_2025_data.xlsx" TargetMode="External"/><Relationship Id="rId13" Type="http://schemas.openxmlformats.org/officeDocument/2006/relationships/image" Target="media/image3.svg"/><Relationship Id="rId18" Type="http://schemas.openxmlformats.org/officeDocument/2006/relationships/hyperlink" Target="https://app.gen5.digital/G5Benchmark_methodology_2023.pdf" TargetMode="External"/><Relationship Id="rId39" Type="http://schemas.openxmlformats.org/officeDocument/2006/relationships/image" Target="media/image24.png"/><Relationship Id="rId109" Type="http://schemas.openxmlformats.org/officeDocument/2006/relationships/image" Target="media/image80.svg"/><Relationship Id="rId34" Type="http://schemas.openxmlformats.org/officeDocument/2006/relationships/image" Target="media/image19.svg"/><Relationship Id="rId50" Type="http://schemas.openxmlformats.org/officeDocument/2006/relationships/image" Target="media/image35.svg"/><Relationship Id="rId55" Type="http://schemas.openxmlformats.org/officeDocument/2006/relationships/image" Target="media/image40.png"/><Relationship Id="rId76" Type="http://schemas.openxmlformats.org/officeDocument/2006/relationships/image" Target="media/image58.svg"/><Relationship Id="rId97" Type="http://schemas.openxmlformats.org/officeDocument/2006/relationships/image" Target="media/image74.svg"/><Relationship Id="rId104" Type="http://schemas.openxmlformats.org/officeDocument/2006/relationships/image" Target="media/image77.png"/><Relationship Id="rId120" Type="http://schemas.openxmlformats.org/officeDocument/2006/relationships/image" Target="media/image89.png"/><Relationship Id="rId125" Type="http://schemas.openxmlformats.org/officeDocument/2006/relationships/image" Target="media/image92.svg"/><Relationship Id="rId141" Type="http://schemas.openxmlformats.org/officeDocument/2006/relationships/header" Target="header2.xml"/><Relationship Id="rId14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4.svg"/><Relationship Id="rId92" Type="http://schemas.openxmlformats.org/officeDocument/2006/relationships/image" Target="media/image71.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svg"/><Relationship Id="rId40" Type="http://schemas.openxmlformats.org/officeDocument/2006/relationships/image" Target="media/image25.svg"/><Relationship Id="rId45" Type="http://schemas.openxmlformats.org/officeDocument/2006/relationships/image" Target="media/image30.png"/><Relationship Id="rId66" Type="http://schemas.openxmlformats.org/officeDocument/2006/relationships/image" Target="media/image49.png"/><Relationship Id="rId87" Type="http://schemas.openxmlformats.org/officeDocument/2006/relationships/hyperlink" Target="https://www.itu.int/itu-d/meetings/statistics/wp-content/uploads/sites/8/2023/09/Report-of-the-EGH-subgroup-on-ICT-Skills.pdf" TargetMode="External"/><Relationship Id="rId110" Type="http://schemas.openxmlformats.org/officeDocument/2006/relationships/image" Target="media/image81.png"/><Relationship Id="rId115" Type="http://schemas.openxmlformats.org/officeDocument/2006/relationships/image" Target="media/image86.svg"/><Relationship Id="rId131" Type="http://schemas.openxmlformats.org/officeDocument/2006/relationships/hyperlink" Target="https://www.itu.int/en/ITU-D/Cybersecurity/Pages/CyberDrill-2024/Europe-Regional-CyberDrill.aspx" TargetMode="External"/><Relationship Id="rId136" Type="http://schemas.openxmlformats.org/officeDocument/2006/relationships/hyperlink" Target="https://datahub.itu.int/" TargetMode="External"/><Relationship Id="rId61" Type="http://schemas.openxmlformats.org/officeDocument/2006/relationships/hyperlink" Target="https://bbmaps.itu.int/indicators-bbmaps" TargetMode="External"/><Relationship Id="rId82" Type="http://schemas.openxmlformats.org/officeDocument/2006/relationships/image" Target="media/image64.svg"/><Relationship Id="rId19" Type="http://schemas.openxmlformats.org/officeDocument/2006/relationships/hyperlink" Target="https://gen5.digital/" TargetMode="External"/><Relationship Id="rId14" Type="http://schemas.openxmlformats.org/officeDocument/2006/relationships/hyperlink" Target="https://app.gen5.digital/tracker/metrics" TargetMode="External"/><Relationship Id="rId30" Type="http://schemas.openxmlformats.org/officeDocument/2006/relationships/image" Target="media/image15.svg"/><Relationship Id="rId35" Type="http://schemas.openxmlformats.org/officeDocument/2006/relationships/image" Target="media/image20.png"/><Relationship Id="rId56" Type="http://schemas.openxmlformats.org/officeDocument/2006/relationships/image" Target="media/image41.svg"/><Relationship Id="rId77" Type="http://schemas.openxmlformats.org/officeDocument/2006/relationships/image" Target="media/image59.png"/><Relationship Id="rId100" Type="http://schemas.openxmlformats.org/officeDocument/2006/relationships/image" Target="media/image75.png"/><Relationship Id="rId105" Type="http://schemas.openxmlformats.org/officeDocument/2006/relationships/image" Target="media/image78.svg"/><Relationship Id="rId126" Type="http://schemas.openxmlformats.org/officeDocument/2006/relationships/image" Target="media/image93.emf"/><Relationship Id="rId14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5.png"/><Relationship Id="rId93" Type="http://schemas.openxmlformats.org/officeDocument/2006/relationships/image" Target="media/image72.svg"/><Relationship Id="rId98" Type="http://schemas.openxmlformats.org/officeDocument/2006/relationships/hyperlink" Target="https://www.itu.int/itu-d/meetings/statistics/wp-content/uploads/sites/8/2023/09/Report-of-the-EGH-subgroup-on-ICT-Skills.pdf" TargetMode="External"/><Relationship Id="rId121" Type="http://schemas.openxmlformats.org/officeDocument/2006/relationships/image" Target="media/image90.svg"/><Relationship Id="rId142"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31.svg"/><Relationship Id="rId67" Type="http://schemas.openxmlformats.org/officeDocument/2006/relationships/image" Target="media/image50.svg"/><Relationship Id="rId116" Type="http://schemas.openxmlformats.org/officeDocument/2006/relationships/image" Target="media/image87.png"/><Relationship Id="rId137" Type="http://schemas.openxmlformats.org/officeDocument/2006/relationships/hyperlink" Target="https://www.itu.int/en/ITU-D/Statistics/Documents/facts/ITU_regional_global_Key_ICT_indicator_aggregates_Nov_2024.xlsx" TargetMode="External"/><Relationship Id="rId20" Type="http://schemas.openxmlformats.org/officeDocument/2006/relationships/image" Target="media/image6.png"/><Relationship Id="rId41" Type="http://schemas.openxmlformats.org/officeDocument/2006/relationships/image" Target="media/image26.png"/><Relationship Id="rId62" Type="http://schemas.openxmlformats.org/officeDocument/2006/relationships/image" Target="media/image45.png"/><Relationship Id="rId83" Type="http://schemas.openxmlformats.org/officeDocument/2006/relationships/image" Target="media/image65.png"/><Relationship Id="rId88" Type="http://schemas.openxmlformats.org/officeDocument/2006/relationships/image" Target="media/image69.png"/><Relationship Id="rId111" Type="http://schemas.openxmlformats.org/officeDocument/2006/relationships/image" Target="media/image82.svg"/><Relationship Id="rId132" Type="http://schemas.openxmlformats.org/officeDocument/2006/relationships/hyperlink" Target="https://www.itu.int/en/ITU-D/Cybersecurity/Pages/CyberDrill-2023/EUR-ASP-23-CD.aspx" TargetMode="External"/><Relationship Id="rId15" Type="http://schemas.openxmlformats.org/officeDocument/2006/relationships/image" Target="media/image4.png"/><Relationship Id="rId36" Type="http://schemas.openxmlformats.org/officeDocument/2006/relationships/image" Target="media/image21.svg"/><Relationship Id="rId57" Type="http://schemas.openxmlformats.org/officeDocument/2006/relationships/image" Target="media/image42.png"/><Relationship Id="rId106" Type="http://schemas.openxmlformats.org/officeDocument/2006/relationships/hyperlink" Target="https://www.itu.int/itu-d/meetings/statistics/wp-content/uploads/sites/8/2023/09/Report-of-the-EGH-subgroup-on-ICT-Skills.pdf" TargetMode="External"/><Relationship Id="rId127" Type="http://schemas.openxmlformats.org/officeDocument/2006/relationships/hyperlink" Target="https://www.itu.int/itu-d/sites/projectumc/" TargetMode="External"/><Relationship Id="rId10" Type="http://schemas.openxmlformats.org/officeDocument/2006/relationships/endnotes" Target="endnotes.xml"/><Relationship Id="rId31" Type="http://schemas.openxmlformats.org/officeDocument/2006/relationships/image" Target="media/image16.png"/><Relationship Id="rId52" Type="http://schemas.openxmlformats.org/officeDocument/2006/relationships/image" Target="media/image37.svg"/><Relationship Id="rId73" Type="http://schemas.openxmlformats.org/officeDocument/2006/relationships/image" Target="media/image56.svg"/><Relationship Id="rId78" Type="http://schemas.openxmlformats.org/officeDocument/2006/relationships/image" Target="media/image60.svg"/><Relationship Id="rId94" Type="http://schemas.openxmlformats.org/officeDocument/2006/relationships/hyperlink" Target="https://www.itu.int/itu-d/meetings/statistics/wp-content/uploads/sites/8/2023/09/Report-of-the-EGH-subgroup-on-ICT-Skills.pdf" TargetMode="External"/><Relationship Id="rId99" Type="http://schemas.openxmlformats.org/officeDocument/2006/relationships/hyperlink" Target="https://publications.jrc.ec.europa.eu/repository/handle/JRC130341" TargetMode="External"/><Relationship Id="rId101" Type="http://schemas.openxmlformats.org/officeDocument/2006/relationships/image" Target="media/image76.svg"/><Relationship Id="rId122" Type="http://schemas.openxmlformats.org/officeDocument/2006/relationships/hyperlink" Target="https://www.itu.int/hub/publication/d-gen-e_waste-01-2024/" TargetMode="External"/><Relationship Id="rId143" Type="http://schemas.openxmlformats.org/officeDocument/2006/relationships/footer" Target="footer2.xml"/><Relationship Id="rId148"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1.svg"/><Relationship Id="rId47" Type="http://schemas.openxmlformats.org/officeDocument/2006/relationships/image" Target="media/image32.png"/><Relationship Id="rId68" Type="http://schemas.openxmlformats.org/officeDocument/2006/relationships/image" Target="media/image51.png"/><Relationship Id="rId89" Type="http://schemas.openxmlformats.org/officeDocument/2006/relationships/image" Target="media/image70.svg"/><Relationship Id="rId112" Type="http://schemas.openxmlformats.org/officeDocument/2006/relationships/image" Target="media/image83.png"/><Relationship Id="rId133" Type="http://schemas.openxmlformats.org/officeDocument/2006/relationships/hyperlink" Target="https://www.itu.int/en/ITU-D/bdt-director/Pages/News.aspx?ItemID=647" TargetMode="External"/><Relationship Id="rId16" Type="http://schemas.openxmlformats.org/officeDocument/2006/relationships/image" Target="media/image5.svg"/><Relationship Id="rId37" Type="http://schemas.openxmlformats.org/officeDocument/2006/relationships/image" Target="media/image22.png"/><Relationship Id="rId58" Type="http://schemas.openxmlformats.org/officeDocument/2006/relationships/hyperlink" Target="https://bbmaps.itu.int/app" TargetMode="External"/><Relationship Id="rId79" Type="http://schemas.openxmlformats.org/officeDocument/2006/relationships/image" Target="media/image61.png"/><Relationship Id="rId102" Type="http://schemas.openxmlformats.org/officeDocument/2006/relationships/hyperlink" Target="https://www.itu.int/itu-d/meetings/statistics/wp-content/uploads/sites/8/2023/09/Report-of-the-EGH-subgroup-on-ICT-Skills.pdf" TargetMode="External"/><Relationship Id="rId123" Type="http://schemas.openxmlformats.org/officeDocument/2006/relationships/hyperlink" Target="https://www.itu.int/hub/publication/d-gen-e_waste-01-2024/" TargetMode="External"/><Relationship Id="rId14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hyperlink" Target="mailto:thierry.geiger@itu.in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itu.int/epublications/publication/global-cybersecurity-index-2024" TargetMode="External"/><Relationship Id="rId2" Type="http://schemas.openxmlformats.org/officeDocument/2006/relationships/hyperlink" Target="https://www.itu.int/pub/D-PREF-BB.REG_OUT01-2023/en" TargetMode="External"/><Relationship Id="rId1" Type="http://schemas.openxmlformats.org/officeDocument/2006/relationships/hyperlink" Target="https://commission.europa.eu/strategy-and-policy/priorities-2019-2024/europe-fit-digital-age_en" TargetMode="External"/><Relationship Id="rId5" Type="http://schemas.openxmlformats.org/officeDocument/2006/relationships/hyperlink" Target="https://www.itu.int/itu-d/reports/statistics/facts-figures-2024/" TargetMode="External"/><Relationship Id="rId4" Type="http://schemas.openxmlformats.org/officeDocument/2006/relationships/hyperlink" Target="https://datahub.itu.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6109c62-af78-494c-a825-80e1ffe32798">
      <Terms xmlns="http://schemas.microsoft.com/office/infopath/2007/PartnerControls"/>
    </lcf76f155ced4ddcb4097134ff3c332f>
    <TaxCatchAll xmlns="54151c7f-6a84-4427-a6ce-bf1d7f28364f"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3CCE0E51E9C1044807BC3B58DFAB656" ma:contentTypeVersion="14" ma:contentTypeDescription="Create a new document." ma:contentTypeScope="" ma:versionID="0542466fb3227df020f2251ae0b8c19a">
  <xsd:schema xmlns:xsd="http://www.w3.org/2001/XMLSchema" xmlns:xs="http://www.w3.org/2001/XMLSchema" xmlns:p="http://schemas.microsoft.com/office/2006/metadata/properties" xmlns:ns2="b6109c62-af78-494c-a825-80e1ffe32798" xmlns:ns3="54151c7f-6a84-4427-a6ce-bf1d7f28364f" targetNamespace="http://schemas.microsoft.com/office/2006/metadata/properties" ma:root="true" ma:fieldsID="fba0f8afe28ffa52de8d1b53a62a57c1" ns2:_="" ns3:_="">
    <xsd:import namespace="b6109c62-af78-494c-a825-80e1ffe32798"/>
    <xsd:import namespace="54151c7f-6a84-4427-a6ce-bf1d7f28364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109c62-af78-494c-a825-80e1ffe327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e895586-ec57-4162-862b-45953123501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151c7f-6a84-4427-a6ce-bf1d7f28364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d29b382-fa5a-4cbe-be10-aecbe8bfdefe}" ma:internalName="TaxCatchAll" ma:showField="CatchAllData" ma:web="54151c7f-6a84-4427-a6ce-bf1d7f2836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17E243-CB01-4DD2-9601-80AA209EE04B}">
  <ds:schemaRefs>
    <ds:schemaRef ds:uri="http://schemas.microsoft.com/sharepoint/v3/contenttype/forms"/>
  </ds:schemaRefs>
</ds:datastoreItem>
</file>

<file path=customXml/itemProps2.xml><?xml version="1.0" encoding="utf-8"?>
<ds:datastoreItem xmlns:ds="http://schemas.openxmlformats.org/officeDocument/2006/customXml" ds:itemID="{3EC58782-B0E1-4E89-9094-CADA65784796}">
  <ds:schemaRefs>
    <ds:schemaRef ds:uri="http://schemas.microsoft.com/office/2006/metadata/properties"/>
    <ds:schemaRef ds:uri="http://schemas.microsoft.com/office/infopath/2007/PartnerControls"/>
    <ds:schemaRef ds:uri="b6109c62-af78-494c-a825-80e1ffe32798"/>
    <ds:schemaRef ds:uri="54151c7f-6a84-4427-a6ce-bf1d7f28364f"/>
  </ds:schemaRefs>
</ds:datastoreItem>
</file>

<file path=customXml/itemProps3.xml><?xml version="1.0" encoding="utf-8"?>
<ds:datastoreItem xmlns:ds="http://schemas.openxmlformats.org/officeDocument/2006/customXml" ds:itemID="{BACF41A4-028F-4752-A2BC-E01D80CDE6F4}">
  <ds:schemaRefs>
    <ds:schemaRef ds:uri="http://schemas.openxmlformats.org/officeDocument/2006/bibliography"/>
  </ds:schemaRefs>
</ds:datastoreItem>
</file>

<file path=customXml/itemProps4.xml><?xml version="1.0" encoding="utf-8"?>
<ds:datastoreItem xmlns:ds="http://schemas.openxmlformats.org/officeDocument/2006/customXml" ds:itemID="{10EB4780-D9FE-4E2D-9115-D57869E8A4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109c62-af78-494c-a825-80e1ffe32798"/>
    <ds:schemaRef ds:uri="54151c7f-6a84-4427-a6ce-bf1d7f2836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48</Pages>
  <Words>11397</Words>
  <Characters>64963</Characters>
  <Application>Microsoft Office Word</Application>
  <DocSecurity>0</DocSecurity>
  <Lines>541</Lines>
  <Paragraphs>152</Paragraphs>
  <ScaleCrop>false</ScaleCrop>
  <Manager>General Secretariat - Pool</Manager>
  <Company>International Telecommunication Union (ITU)</Company>
  <LinksUpToDate>false</LinksUpToDate>
  <CharactersWithSpaces>76208</CharactersWithSpaces>
  <SharedDoc>false</SharedDoc>
  <HLinks>
    <vt:vector size="252" baseType="variant">
      <vt:variant>
        <vt:i4>786511</vt:i4>
      </vt:variant>
      <vt:variant>
        <vt:i4>180</vt:i4>
      </vt:variant>
      <vt:variant>
        <vt:i4>0</vt:i4>
      </vt:variant>
      <vt:variant>
        <vt:i4>5</vt:i4>
      </vt:variant>
      <vt:variant>
        <vt:lpwstr>https://www.itu.int/en/ITU-D/Statistics/Documents/facts/ITU_regional_global_Key_ICT_indicator_aggregates_Nov_2024.xlsx</vt:lpwstr>
      </vt:variant>
      <vt:variant>
        <vt:lpwstr/>
      </vt:variant>
      <vt:variant>
        <vt:i4>4456465</vt:i4>
      </vt:variant>
      <vt:variant>
        <vt:i4>177</vt:i4>
      </vt:variant>
      <vt:variant>
        <vt:i4>0</vt:i4>
      </vt:variant>
      <vt:variant>
        <vt:i4>5</vt:i4>
      </vt:variant>
      <vt:variant>
        <vt:lpwstr>https://www.itu.int/itu-d/reports/statistics/facts-figures-2024/</vt:lpwstr>
      </vt:variant>
      <vt:variant>
        <vt:lpwstr/>
      </vt:variant>
      <vt:variant>
        <vt:i4>786511</vt:i4>
      </vt:variant>
      <vt:variant>
        <vt:i4>174</vt:i4>
      </vt:variant>
      <vt:variant>
        <vt:i4>0</vt:i4>
      </vt:variant>
      <vt:variant>
        <vt:i4>5</vt:i4>
      </vt:variant>
      <vt:variant>
        <vt:lpwstr>https://www.itu.int/en/ITU-D/Statistics/Documents/facts/ITU_regional_global_Key_ICT_indicator_aggregates_Nov_2024.xlsx</vt:lpwstr>
      </vt:variant>
      <vt:variant>
        <vt:lpwstr/>
      </vt:variant>
      <vt:variant>
        <vt:i4>5308507</vt:i4>
      </vt:variant>
      <vt:variant>
        <vt:i4>171</vt:i4>
      </vt:variant>
      <vt:variant>
        <vt:i4>0</vt:i4>
      </vt:variant>
      <vt:variant>
        <vt:i4>5</vt:i4>
      </vt:variant>
      <vt:variant>
        <vt:lpwstr>https://datahub.itu.int/</vt:lpwstr>
      </vt:variant>
      <vt:variant>
        <vt:lpwstr/>
      </vt:variant>
      <vt:variant>
        <vt:i4>1572955</vt:i4>
      </vt:variant>
      <vt:variant>
        <vt:i4>168</vt:i4>
      </vt:variant>
      <vt:variant>
        <vt:i4>0</vt:i4>
      </vt:variant>
      <vt:variant>
        <vt:i4>5</vt:i4>
      </vt:variant>
      <vt:variant>
        <vt:lpwstr>https://www.itu.int/en/ITU-D/Statistics/Documents/facts/rpm_eur_pub_2025_data.xlsx</vt:lpwstr>
      </vt:variant>
      <vt:variant>
        <vt:lpwstr/>
      </vt:variant>
      <vt:variant>
        <vt:i4>2031695</vt:i4>
      </vt:variant>
      <vt:variant>
        <vt:i4>165</vt:i4>
      </vt:variant>
      <vt:variant>
        <vt:i4>0</vt:i4>
      </vt:variant>
      <vt:variant>
        <vt:i4>5</vt:i4>
      </vt:variant>
      <vt:variant>
        <vt:lpwstr>https://www.itu.int/en/ITU-D/Statistics/Documents/facts/rpm_arb_pub_2025_data.xlsx</vt:lpwstr>
      </vt:variant>
      <vt:variant>
        <vt:lpwstr/>
      </vt:variant>
      <vt:variant>
        <vt:i4>589834</vt:i4>
      </vt:variant>
      <vt:variant>
        <vt:i4>162</vt:i4>
      </vt:variant>
      <vt:variant>
        <vt:i4>0</vt:i4>
      </vt:variant>
      <vt:variant>
        <vt:i4>5</vt:i4>
      </vt:variant>
      <vt:variant>
        <vt:lpwstr>https://www.itu.int/en/ITU-D/bdt-director/Pages/News.aspx?ItemID=647</vt:lpwstr>
      </vt:variant>
      <vt:variant>
        <vt:lpwstr/>
      </vt:variant>
      <vt:variant>
        <vt:i4>8192042</vt:i4>
      </vt:variant>
      <vt:variant>
        <vt:i4>159</vt:i4>
      </vt:variant>
      <vt:variant>
        <vt:i4>0</vt:i4>
      </vt:variant>
      <vt:variant>
        <vt:i4>5</vt:i4>
      </vt:variant>
      <vt:variant>
        <vt:lpwstr>https://www.itu.int/en/ITU-D/Cybersecurity/Pages/CyberDrill-2023/EUR-ASP-23-CD.aspx</vt:lpwstr>
      </vt:variant>
      <vt:variant>
        <vt:lpwstr/>
      </vt:variant>
      <vt:variant>
        <vt:i4>1703940</vt:i4>
      </vt:variant>
      <vt:variant>
        <vt:i4>156</vt:i4>
      </vt:variant>
      <vt:variant>
        <vt:i4>0</vt:i4>
      </vt:variant>
      <vt:variant>
        <vt:i4>5</vt:i4>
      </vt:variant>
      <vt:variant>
        <vt:lpwstr>https://www.itu.int/en/ITU-D/Cybersecurity/Pages/CyberDrill-2024/Europe-Regional-CyberDrill.aspx</vt:lpwstr>
      </vt:variant>
      <vt:variant>
        <vt:lpwstr/>
      </vt:variant>
      <vt:variant>
        <vt:i4>5898242</vt:i4>
      </vt:variant>
      <vt:variant>
        <vt:i4>153</vt:i4>
      </vt:variant>
      <vt:variant>
        <vt:i4>0</vt:i4>
      </vt:variant>
      <vt:variant>
        <vt:i4>5</vt:i4>
      </vt:variant>
      <vt:variant>
        <vt:lpwstr>https://www.itu.int/itu-d/sites/digital-impact-unlocked/opening-of-the-ipv6-laboratory-in-montenegro/</vt:lpwstr>
      </vt:variant>
      <vt:variant>
        <vt:lpwstr/>
      </vt:variant>
      <vt:variant>
        <vt:i4>3997801</vt:i4>
      </vt:variant>
      <vt:variant>
        <vt:i4>150</vt:i4>
      </vt:variant>
      <vt:variant>
        <vt:i4>0</vt:i4>
      </vt:variant>
      <vt:variant>
        <vt:i4>5</vt:i4>
      </vt:variant>
      <vt:variant>
        <vt:lpwstr>https://www.itu-cop-guidelines.com/</vt:lpwstr>
      </vt:variant>
      <vt:variant>
        <vt:lpwstr/>
      </vt:variant>
      <vt:variant>
        <vt:i4>4390913</vt:i4>
      </vt:variant>
      <vt:variant>
        <vt:i4>147</vt:i4>
      </vt:variant>
      <vt:variant>
        <vt:i4>0</vt:i4>
      </vt:variant>
      <vt:variant>
        <vt:i4>5</vt:i4>
      </vt:variant>
      <vt:variant>
        <vt:lpwstr>https://www.itu.int/en/ITU-D/Cybersecurity/Pages/COP/COP.aspx</vt:lpwstr>
      </vt:variant>
      <vt:variant>
        <vt:lpwstr/>
      </vt:variant>
      <vt:variant>
        <vt:i4>7012398</vt:i4>
      </vt:variant>
      <vt:variant>
        <vt:i4>144</vt:i4>
      </vt:variant>
      <vt:variant>
        <vt:i4>0</vt:i4>
      </vt:variant>
      <vt:variant>
        <vt:i4>5</vt:i4>
      </vt:variant>
      <vt:variant>
        <vt:lpwstr>https://www.itu.int/itu-d/sites/projectumc/</vt:lpwstr>
      </vt:variant>
      <vt:variant>
        <vt:lpwstr/>
      </vt:variant>
      <vt:variant>
        <vt:i4>5963814</vt:i4>
      </vt:variant>
      <vt:variant>
        <vt:i4>141</vt:i4>
      </vt:variant>
      <vt:variant>
        <vt:i4>0</vt:i4>
      </vt:variant>
      <vt:variant>
        <vt:i4>5</vt:i4>
      </vt:variant>
      <vt:variant>
        <vt:lpwstr>https://www.itu.int/hub/publication/d-gen-e_waste-01-2024/</vt:lpwstr>
      </vt:variant>
      <vt:variant>
        <vt:lpwstr/>
      </vt:variant>
      <vt:variant>
        <vt:i4>5963814</vt:i4>
      </vt:variant>
      <vt:variant>
        <vt:i4>138</vt:i4>
      </vt:variant>
      <vt:variant>
        <vt:i4>0</vt:i4>
      </vt:variant>
      <vt:variant>
        <vt:i4>5</vt:i4>
      </vt:variant>
      <vt:variant>
        <vt:lpwstr>https://www.itu.int/hub/publication/d-gen-e_waste-01-2024/</vt:lpwstr>
      </vt:variant>
      <vt:variant>
        <vt:lpwstr/>
      </vt:variant>
      <vt:variant>
        <vt:i4>5963814</vt:i4>
      </vt:variant>
      <vt:variant>
        <vt:i4>135</vt:i4>
      </vt:variant>
      <vt:variant>
        <vt:i4>0</vt:i4>
      </vt:variant>
      <vt:variant>
        <vt:i4>5</vt:i4>
      </vt:variant>
      <vt:variant>
        <vt:lpwstr>https://www.itu.int/hub/publication/d-gen-e_waste-01-2024/</vt:lpwstr>
      </vt:variant>
      <vt:variant>
        <vt:lpwstr/>
      </vt:variant>
      <vt:variant>
        <vt:i4>5963814</vt:i4>
      </vt:variant>
      <vt:variant>
        <vt:i4>132</vt:i4>
      </vt:variant>
      <vt:variant>
        <vt:i4>0</vt:i4>
      </vt:variant>
      <vt:variant>
        <vt:i4>5</vt:i4>
      </vt:variant>
      <vt:variant>
        <vt:lpwstr>https://www.itu.int/hub/publication/d-gen-e_waste-01-2024/</vt:lpwstr>
      </vt:variant>
      <vt:variant>
        <vt:lpwstr/>
      </vt:variant>
      <vt:variant>
        <vt:i4>458817</vt:i4>
      </vt:variant>
      <vt:variant>
        <vt:i4>129</vt:i4>
      </vt:variant>
      <vt:variant>
        <vt:i4>0</vt:i4>
      </vt:variant>
      <vt:variant>
        <vt:i4>5</vt:i4>
      </vt:variant>
      <vt:variant>
        <vt:lpwstr>https://publications.jrc.ec.europa.eu/repository/handle/JRC130341</vt:lpwstr>
      </vt:variant>
      <vt:variant>
        <vt:lpwstr/>
      </vt:variant>
      <vt:variant>
        <vt:i4>262155</vt:i4>
      </vt:variant>
      <vt:variant>
        <vt:i4>126</vt:i4>
      </vt:variant>
      <vt:variant>
        <vt:i4>0</vt:i4>
      </vt:variant>
      <vt:variant>
        <vt:i4>5</vt:i4>
      </vt:variant>
      <vt:variant>
        <vt:lpwstr>https://www.itu.int/itu-d/meetings/statistics/wp-content/uploads/sites/8/2023/09/Report-of-the-EGH-subgroup-on-ICT-Skills.pdf</vt:lpwstr>
      </vt:variant>
      <vt:variant>
        <vt:lpwstr/>
      </vt:variant>
      <vt:variant>
        <vt:i4>458817</vt:i4>
      </vt:variant>
      <vt:variant>
        <vt:i4>123</vt:i4>
      </vt:variant>
      <vt:variant>
        <vt:i4>0</vt:i4>
      </vt:variant>
      <vt:variant>
        <vt:i4>5</vt:i4>
      </vt:variant>
      <vt:variant>
        <vt:lpwstr>https://publications.jrc.ec.europa.eu/repository/handle/JRC130341</vt:lpwstr>
      </vt:variant>
      <vt:variant>
        <vt:lpwstr/>
      </vt:variant>
      <vt:variant>
        <vt:i4>262155</vt:i4>
      </vt:variant>
      <vt:variant>
        <vt:i4>120</vt:i4>
      </vt:variant>
      <vt:variant>
        <vt:i4>0</vt:i4>
      </vt:variant>
      <vt:variant>
        <vt:i4>5</vt:i4>
      </vt:variant>
      <vt:variant>
        <vt:lpwstr>https://www.itu.int/itu-d/meetings/statistics/wp-content/uploads/sites/8/2023/09/Report-of-the-EGH-subgroup-on-ICT-Skills.pdf</vt:lpwstr>
      </vt:variant>
      <vt:variant>
        <vt:lpwstr/>
      </vt:variant>
      <vt:variant>
        <vt:i4>458817</vt:i4>
      </vt:variant>
      <vt:variant>
        <vt:i4>117</vt:i4>
      </vt:variant>
      <vt:variant>
        <vt:i4>0</vt:i4>
      </vt:variant>
      <vt:variant>
        <vt:i4>5</vt:i4>
      </vt:variant>
      <vt:variant>
        <vt:lpwstr>https://publications.jrc.ec.europa.eu/repository/handle/JRC130341</vt:lpwstr>
      </vt:variant>
      <vt:variant>
        <vt:lpwstr/>
      </vt:variant>
      <vt:variant>
        <vt:i4>262155</vt:i4>
      </vt:variant>
      <vt:variant>
        <vt:i4>114</vt:i4>
      </vt:variant>
      <vt:variant>
        <vt:i4>0</vt:i4>
      </vt:variant>
      <vt:variant>
        <vt:i4>5</vt:i4>
      </vt:variant>
      <vt:variant>
        <vt:lpwstr>https://www.itu.int/itu-d/meetings/statistics/wp-content/uploads/sites/8/2023/09/Report-of-the-EGH-subgroup-on-ICT-Skills.pdf</vt:lpwstr>
      </vt:variant>
      <vt:variant>
        <vt:lpwstr/>
      </vt:variant>
      <vt:variant>
        <vt:i4>458817</vt:i4>
      </vt:variant>
      <vt:variant>
        <vt:i4>111</vt:i4>
      </vt:variant>
      <vt:variant>
        <vt:i4>0</vt:i4>
      </vt:variant>
      <vt:variant>
        <vt:i4>5</vt:i4>
      </vt:variant>
      <vt:variant>
        <vt:lpwstr>https://publications.jrc.ec.europa.eu/repository/handle/JRC130341</vt:lpwstr>
      </vt:variant>
      <vt:variant>
        <vt:lpwstr/>
      </vt:variant>
      <vt:variant>
        <vt:i4>262155</vt:i4>
      </vt:variant>
      <vt:variant>
        <vt:i4>108</vt:i4>
      </vt:variant>
      <vt:variant>
        <vt:i4>0</vt:i4>
      </vt:variant>
      <vt:variant>
        <vt:i4>5</vt:i4>
      </vt:variant>
      <vt:variant>
        <vt:lpwstr>https://www.itu.int/itu-d/meetings/statistics/wp-content/uploads/sites/8/2023/09/Report-of-the-EGH-subgroup-on-ICT-Skills.pdf</vt:lpwstr>
      </vt:variant>
      <vt:variant>
        <vt:lpwstr/>
      </vt:variant>
      <vt:variant>
        <vt:i4>458817</vt:i4>
      </vt:variant>
      <vt:variant>
        <vt:i4>105</vt:i4>
      </vt:variant>
      <vt:variant>
        <vt:i4>0</vt:i4>
      </vt:variant>
      <vt:variant>
        <vt:i4>5</vt:i4>
      </vt:variant>
      <vt:variant>
        <vt:lpwstr>https://publications.jrc.ec.europa.eu/repository/handle/JRC130341</vt:lpwstr>
      </vt:variant>
      <vt:variant>
        <vt:lpwstr/>
      </vt:variant>
      <vt:variant>
        <vt:i4>262155</vt:i4>
      </vt:variant>
      <vt:variant>
        <vt:i4>102</vt:i4>
      </vt:variant>
      <vt:variant>
        <vt:i4>0</vt:i4>
      </vt:variant>
      <vt:variant>
        <vt:i4>5</vt:i4>
      </vt:variant>
      <vt:variant>
        <vt:lpwstr>https://www.itu.int/itu-d/meetings/statistics/wp-content/uploads/sites/8/2023/09/Report-of-the-EGH-subgroup-on-ICT-Skills.pdf</vt:lpwstr>
      </vt:variant>
      <vt:variant>
        <vt:lpwstr/>
      </vt:variant>
      <vt:variant>
        <vt:i4>262155</vt:i4>
      </vt:variant>
      <vt:variant>
        <vt:i4>99</vt:i4>
      </vt:variant>
      <vt:variant>
        <vt:i4>0</vt:i4>
      </vt:variant>
      <vt:variant>
        <vt:i4>5</vt:i4>
      </vt:variant>
      <vt:variant>
        <vt:lpwstr>https://www.itu.int/itu-d/meetings/statistics/wp-content/uploads/sites/8/2023/09/Report-of-the-EGH-subgroup-on-ICT-Skills.pdf</vt:lpwstr>
      </vt:variant>
      <vt:variant>
        <vt:lpwstr/>
      </vt:variant>
      <vt:variant>
        <vt:i4>6226002</vt:i4>
      </vt:variant>
      <vt:variant>
        <vt:i4>96</vt:i4>
      </vt:variant>
      <vt:variant>
        <vt:i4>0</vt:i4>
      </vt:variant>
      <vt:variant>
        <vt:i4>5</vt:i4>
      </vt:variant>
      <vt:variant>
        <vt:lpwstr>https://www.broadbandcommission.org/</vt:lpwstr>
      </vt:variant>
      <vt:variant>
        <vt:lpwstr/>
      </vt:variant>
      <vt:variant>
        <vt:i4>5570575</vt:i4>
      </vt:variant>
      <vt:variant>
        <vt:i4>93</vt:i4>
      </vt:variant>
      <vt:variant>
        <vt:i4>0</vt:i4>
      </vt:variant>
      <vt:variant>
        <vt:i4>5</vt:i4>
      </vt:variant>
      <vt:variant>
        <vt:lpwstr>https://bbmaps.itu.int/indicators-bbmaps</vt:lpwstr>
      </vt:variant>
      <vt:variant>
        <vt:lpwstr/>
      </vt:variant>
      <vt:variant>
        <vt:i4>7405690</vt:i4>
      </vt:variant>
      <vt:variant>
        <vt:i4>90</vt:i4>
      </vt:variant>
      <vt:variant>
        <vt:i4>0</vt:i4>
      </vt:variant>
      <vt:variant>
        <vt:i4>5</vt:i4>
      </vt:variant>
      <vt:variant>
        <vt:lpwstr>https://bbmaps.itu.int/app</vt:lpwstr>
      </vt:variant>
      <vt:variant>
        <vt:lpwstr/>
      </vt:variant>
      <vt:variant>
        <vt:i4>4718717</vt:i4>
      </vt:variant>
      <vt:variant>
        <vt:i4>87</vt:i4>
      </vt:variant>
      <vt:variant>
        <vt:i4>0</vt:i4>
      </vt:variant>
      <vt:variant>
        <vt:i4>5</vt:i4>
      </vt:variant>
      <vt:variant>
        <vt:lpwstr>https://www.itu.int/pub/D-PREF-BB.REG_OUT01-2023/en</vt:lpwstr>
      </vt:variant>
      <vt:variant>
        <vt:lpwstr/>
      </vt:variant>
      <vt:variant>
        <vt:i4>5898246</vt:i4>
      </vt:variant>
      <vt:variant>
        <vt:i4>84</vt:i4>
      </vt:variant>
      <vt:variant>
        <vt:i4>0</vt:i4>
      </vt:variant>
      <vt:variant>
        <vt:i4>5</vt:i4>
      </vt:variant>
      <vt:variant>
        <vt:lpwstr>https://gen5.digital/</vt:lpwstr>
      </vt:variant>
      <vt:variant>
        <vt:lpwstr/>
      </vt:variant>
      <vt:variant>
        <vt:i4>4718597</vt:i4>
      </vt:variant>
      <vt:variant>
        <vt:i4>81</vt:i4>
      </vt:variant>
      <vt:variant>
        <vt:i4>0</vt:i4>
      </vt:variant>
      <vt:variant>
        <vt:i4>5</vt:i4>
      </vt:variant>
      <vt:variant>
        <vt:lpwstr>https://app.gen5.digital/G5Benchmark_methodology_2023.pdf</vt:lpwstr>
      </vt:variant>
      <vt:variant>
        <vt:lpwstr/>
      </vt:variant>
      <vt:variant>
        <vt:i4>6881402</vt:i4>
      </vt:variant>
      <vt:variant>
        <vt:i4>78</vt:i4>
      </vt:variant>
      <vt:variant>
        <vt:i4>0</vt:i4>
      </vt:variant>
      <vt:variant>
        <vt:i4>5</vt:i4>
      </vt:variant>
      <vt:variant>
        <vt:lpwstr>https://app.gen5.digital/benchmark/metrics</vt:lpwstr>
      </vt:variant>
      <vt:variant>
        <vt:lpwstr/>
      </vt:variant>
      <vt:variant>
        <vt:i4>720919</vt:i4>
      </vt:variant>
      <vt:variant>
        <vt:i4>75</vt:i4>
      </vt:variant>
      <vt:variant>
        <vt:i4>0</vt:i4>
      </vt:variant>
      <vt:variant>
        <vt:i4>5</vt:i4>
      </vt:variant>
      <vt:variant>
        <vt:lpwstr>https://app.gen5.digital/tracker/metrics</vt:lpwstr>
      </vt:variant>
      <vt:variant>
        <vt:lpwstr/>
      </vt:variant>
      <vt:variant>
        <vt:i4>4456465</vt:i4>
      </vt:variant>
      <vt:variant>
        <vt:i4>12</vt:i4>
      </vt:variant>
      <vt:variant>
        <vt:i4>0</vt:i4>
      </vt:variant>
      <vt:variant>
        <vt:i4>5</vt:i4>
      </vt:variant>
      <vt:variant>
        <vt:lpwstr>https://www.itu.int/itu-d/reports/statistics/facts-figures-2024/</vt:lpwstr>
      </vt:variant>
      <vt:variant>
        <vt:lpwstr/>
      </vt:variant>
      <vt:variant>
        <vt:i4>5308507</vt:i4>
      </vt:variant>
      <vt:variant>
        <vt:i4>9</vt:i4>
      </vt:variant>
      <vt:variant>
        <vt:i4>0</vt:i4>
      </vt:variant>
      <vt:variant>
        <vt:i4>5</vt:i4>
      </vt:variant>
      <vt:variant>
        <vt:lpwstr>https://datahub.itu.int/</vt:lpwstr>
      </vt:variant>
      <vt:variant>
        <vt:lpwstr/>
      </vt:variant>
      <vt:variant>
        <vt:i4>4915294</vt:i4>
      </vt:variant>
      <vt:variant>
        <vt:i4>6</vt:i4>
      </vt:variant>
      <vt:variant>
        <vt:i4>0</vt:i4>
      </vt:variant>
      <vt:variant>
        <vt:i4>5</vt:i4>
      </vt:variant>
      <vt:variant>
        <vt:lpwstr>https://www.itu.int/epublications/publication/global-cybersecurity-index-2024</vt:lpwstr>
      </vt:variant>
      <vt:variant>
        <vt:lpwstr/>
      </vt:variant>
      <vt:variant>
        <vt:i4>4718717</vt:i4>
      </vt:variant>
      <vt:variant>
        <vt:i4>3</vt:i4>
      </vt:variant>
      <vt:variant>
        <vt:i4>0</vt:i4>
      </vt:variant>
      <vt:variant>
        <vt:i4>5</vt:i4>
      </vt:variant>
      <vt:variant>
        <vt:lpwstr>https://www.itu.int/pub/D-PREF-BB.REG_OUT01-2023/en</vt:lpwstr>
      </vt:variant>
      <vt:variant>
        <vt:lpwstr/>
      </vt:variant>
      <vt:variant>
        <vt:i4>4063302</vt:i4>
      </vt:variant>
      <vt:variant>
        <vt:i4>0</vt:i4>
      </vt:variant>
      <vt:variant>
        <vt:i4>0</vt:i4>
      </vt:variant>
      <vt:variant>
        <vt:i4>5</vt:i4>
      </vt:variant>
      <vt:variant>
        <vt:lpwstr>https://commission.europa.eu/strategy-and-policy/priorities-2019-2024/europe-fit-digital-age_en</vt:lpwstr>
      </vt:variant>
      <vt:variant>
        <vt:lpwstr/>
      </vt:variant>
      <vt:variant>
        <vt:i4>7012382</vt:i4>
      </vt:variant>
      <vt:variant>
        <vt:i4>3</vt:i4>
      </vt:variant>
      <vt:variant>
        <vt:i4>0</vt:i4>
      </vt:variant>
      <vt:variant>
        <vt:i4>5</vt:i4>
      </vt:variant>
      <vt:variant>
        <vt:lpwstr>mailto:thierry.geiger@itu.int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TDAG19</dc:title>
  <dc:subject/>
  <dc:creator>BDT-nd</dc:creator>
  <cp:keywords/>
  <cp:lastModifiedBy>BDT</cp:lastModifiedBy>
  <cp:revision>48</cp:revision>
  <cp:lastPrinted>2014-11-06T15:22:00Z</cp:lastPrinted>
  <dcterms:created xsi:type="dcterms:W3CDTF">2025-01-18T02:02:00Z</dcterms:created>
  <dcterms:modified xsi:type="dcterms:W3CDTF">2025-02-03T13:34:00Z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1/001-E</vt:lpwstr>
  </property>
  <property fmtid="{D5CDD505-2E9C-101B-9397-08002B2CF9AE}" pid="3" name="Docdate">
    <vt:lpwstr>[Date]</vt:lpwstr>
  </property>
  <property fmtid="{D5CDD505-2E9C-101B-9397-08002B2CF9AE}" pid="4" name="Docorlang">
    <vt:lpwstr>For action</vt:lpwstr>
  </property>
  <property fmtid="{D5CDD505-2E9C-101B-9397-08002B2CF9AE}" pid="5" name="Docdest">
    <vt:lpwstr/>
  </property>
  <property fmtid="{D5CDD505-2E9C-101B-9397-08002B2CF9AE}" pid="6" name="Docauthor">
    <vt:lpwstr>[Insert here]</vt:lpwstr>
  </property>
  <property fmtid="{D5CDD505-2E9C-101B-9397-08002B2CF9AE}" pid="7" name="Docbluepink">
    <vt:lpwstr/>
  </property>
  <property fmtid="{D5CDD505-2E9C-101B-9397-08002B2CF9AE}" pid="8" name="MediaServiceImageTags">
    <vt:lpwstr/>
  </property>
  <property fmtid="{D5CDD505-2E9C-101B-9397-08002B2CF9AE}" pid="9" name="ContentTypeId">
    <vt:lpwstr>0x010100B3CCE0E51E9C1044807BC3B58DFAB656</vt:lpwstr>
  </property>
</Properties>
</file>