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69181B" w:rsidRPr="006D4EA0" w14:paraId="3F0E9EC4" w14:textId="77777777" w:rsidTr="007F37DF">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74BD96D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2871980" w14:textId="77777777" w:rsidR="00974C40" w:rsidRDefault="00974C40" w:rsidP="00974C40">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6B503E">
              <w:rPr>
                <w:b/>
                <w:bCs/>
                <w:sz w:val="32"/>
                <w:szCs w:val="32"/>
              </w:rPr>
              <w:t>for</w:t>
            </w:r>
            <w:r w:rsidRPr="004B1E9D">
              <w:rPr>
                <w:b/>
                <w:bCs/>
                <w:sz w:val="32"/>
                <w:szCs w:val="32"/>
              </w:rPr>
              <w:t xml:space="preserve"> CIS Countrie</w:t>
            </w:r>
            <w:r>
              <w:rPr>
                <w:b/>
                <w:bCs/>
                <w:sz w:val="32"/>
                <w:szCs w:val="32"/>
              </w:rPr>
              <w:t xml:space="preserve">s </w:t>
            </w:r>
            <w:r w:rsidRPr="006B503E">
              <w:rPr>
                <w:b/>
                <w:bCs/>
                <w:sz w:val="32"/>
                <w:szCs w:val="32"/>
              </w:rPr>
              <w:t>for WTDC-25</w:t>
            </w:r>
            <w:r>
              <w:rPr>
                <w:b/>
                <w:bCs/>
                <w:sz w:val="32"/>
                <w:szCs w:val="32"/>
              </w:rPr>
              <w:t xml:space="preserve"> </w:t>
            </w:r>
            <w:r w:rsidRPr="00121846">
              <w:rPr>
                <w:b/>
                <w:bCs/>
                <w:sz w:val="32"/>
                <w:szCs w:val="32"/>
              </w:rPr>
              <w:t>(RPM-</w:t>
            </w:r>
            <w:r>
              <w:rPr>
                <w:b/>
                <w:bCs/>
                <w:sz w:val="32"/>
                <w:szCs w:val="32"/>
              </w:rPr>
              <w:t>CIS</w:t>
            </w:r>
            <w:r w:rsidRPr="00121846">
              <w:rPr>
                <w:b/>
                <w:bCs/>
                <w:sz w:val="32"/>
                <w:szCs w:val="32"/>
              </w:rPr>
              <w:t>)</w:t>
            </w:r>
          </w:p>
          <w:p w14:paraId="5F5F590A" w14:textId="13EA018B" w:rsidR="0069181B" w:rsidRPr="006D4EA0" w:rsidRDefault="00974C40" w:rsidP="00974C40">
            <w:pPr>
              <w:tabs>
                <w:tab w:val="clear" w:pos="1191"/>
                <w:tab w:val="clear" w:pos="1588"/>
                <w:tab w:val="clear" w:pos="1985"/>
              </w:tabs>
              <w:spacing w:before="240" w:after="120"/>
              <w:ind w:left="34"/>
              <w:rPr>
                <w:rFonts w:ascii="Verdana" w:hAnsi="Verdana"/>
                <w:sz w:val="28"/>
                <w:szCs w:val="28"/>
              </w:rPr>
            </w:pPr>
            <w:r w:rsidRPr="007C7937">
              <w:rPr>
                <w:b/>
                <w:bCs/>
                <w:sz w:val="26"/>
                <w:szCs w:val="26"/>
              </w:rPr>
              <w:t>Bishkek</w:t>
            </w:r>
            <w:r>
              <w:rPr>
                <w:b/>
                <w:bCs/>
                <w:sz w:val="26"/>
                <w:szCs w:val="26"/>
              </w:rPr>
              <w:t>,</w:t>
            </w:r>
            <w:r w:rsidRPr="007C7937">
              <w:rPr>
                <w:b/>
                <w:bCs/>
                <w:sz w:val="26"/>
                <w:szCs w:val="26"/>
              </w:rPr>
              <w:t xml:space="preserve"> Kyrgyzstan</w:t>
            </w:r>
            <w:r>
              <w:rPr>
                <w:b/>
                <w:bCs/>
                <w:sz w:val="26"/>
                <w:szCs w:val="26"/>
              </w:rPr>
              <w:t xml:space="preserve">, 24-25 April </w:t>
            </w:r>
            <w:r w:rsidRPr="006D4EA0">
              <w:rPr>
                <w:b/>
                <w:bCs/>
                <w:sz w:val="26"/>
                <w:szCs w:val="26"/>
              </w:rPr>
              <w:t>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C27A6C" w14:paraId="0BB3FBC4" w14:textId="77777777" w:rsidTr="005715A7">
        <w:trPr>
          <w:cantSplit/>
        </w:trPr>
        <w:tc>
          <w:tcPr>
            <w:tcW w:w="6096" w:type="dxa"/>
            <w:gridSpan w:val="2"/>
          </w:tcPr>
          <w:p w14:paraId="43C54B3D" w14:textId="77777777" w:rsidR="008C614C" w:rsidRPr="006D4EA0" w:rsidRDefault="008C614C" w:rsidP="008C614C">
            <w:pPr>
              <w:pStyle w:val="Committee"/>
              <w:spacing w:before="0"/>
              <w:rPr>
                <w:b w:val="0"/>
                <w:szCs w:val="24"/>
              </w:rPr>
            </w:pPr>
          </w:p>
        </w:tc>
        <w:tc>
          <w:tcPr>
            <w:tcW w:w="3792" w:type="dxa"/>
            <w:gridSpan w:val="2"/>
          </w:tcPr>
          <w:p w14:paraId="02E44EE9" w14:textId="7C329C92"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sidR="00974C40">
              <w:rPr>
                <w:b/>
                <w:bCs/>
                <w:lang w:val="pt-BR"/>
              </w:rPr>
              <w:t>CIS</w:t>
            </w:r>
            <w:r w:rsidRPr="005346F7">
              <w:rPr>
                <w:b/>
                <w:bCs/>
                <w:lang w:val="pt-BR"/>
              </w:rPr>
              <w:t>25/</w:t>
            </w:r>
            <w:r>
              <w:rPr>
                <w:b/>
                <w:bCs/>
                <w:lang w:val="pt-BR"/>
              </w:rPr>
              <w:t>5</w:t>
            </w:r>
            <w:r w:rsidR="007E48F2">
              <w:rPr>
                <w:b/>
                <w:bCs/>
                <w:lang w:val="pt-BR"/>
              </w:rPr>
              <w:t>(Rev.</w:t>
            </w:r>
            <w:r w:rsidR="003E484C">
              <w:rPr>
                <w:rFonts w:hint="eastAsia"/>
                <w:b/>
                <w:bCs/>
                <w:lang w:val="pt-BR" w:eastAsia="ko-KR"/>
              </w:rPr>
              <w:t>3</w:t>
            </w:r>
            <w:r w:rsidR="007E48F2">
              <w:rPr>
                <w:b/>
                <w:bCs/>
                <w:lang w:val="pt-BR"/>
              </w:rPr>
              <w:t>)</w:t>
            </w:r>
            <w:r>
              <w:rPr>
                <w:b/>
                <w:bCs/>
                <w:lang w:val="pt-BR"/>
              </w:rPr>
              <w:t>-E</w:t>
            </w:r>
          </w:p>
        </w:tc>
      </w:tr>
      <w:tr w:rsidR="008C614C" w:rsidRPr="006D4EA0" w14:paraId="24D04936" w14:textId="77777777" w:rsidTr="005715A7">
        <w:trPr>
          <w:cantSplit/>
        </w:trPr>
        <w:tc>
          <w:tcPr>
            <w:tcW w:w="6096" w:type="dxa"/>
            <w:gridSpan w:val="2"/>
          </w:tcPr>
          <w:p w14:paraId="12CE4DBF" w14:textId="77777777" w:rsidR="008C614C" w:rsidRPr="006D4EA0" w:rsidRDefault="008C614C" w:rsidP="008C614C">
            <w:pPr>
              <w:spacing w:before="0"/>
              <w:rPr>
                <w:b/>
                <w:bCs/>
                <w:smallCaps/>
                <w:szCs w:val="24"/>
                <w:lang w:val="fr-FR"/>
              </w:rPr>
            </w:pPr>
          </w:p>
        </w:tc>
        <w:tc>
          <w:tcPr>
            <w:tcW w:w="3792" w:type="dxa"/>
            <w:gridSpan w:val="2"/>
          </w:tcPr>
          <w:p w14:paraId="0F89640F" w14:textId="4814D8F8" w:rsidR="008C614C" w:rsidRPr="006D4EA0" w:rsidRDefault="008B5F7C" w:rsidP="008C614C">
            <w:pPr>
              <w:spacing w:before="0"/>
              <w:rPr>
                <w:b/>
                <w:szCs w:val="24"/>
              </w:rPr>
            </w:pPr>
            <w:r>
              <w:rPr>
                <w:rFonts w:hint="eastAsia"/>
                <w:b/>
                <w:bCs/>
                <w:szCs w:val="28"/>
                <w:lang w:eastAsia="ko-KR"/>
              </w:rPr>
              <w:t>23</w:t>
            </w:r>
            <w:r w:rsidR="003E484C">
              <w:rPr>
                <w:rFonts w:hint="eastAsia"/>
                <w:b/>
                <w:bCs/>
                <w:szCs w:val="28"/>
                <w:lang w:eastAsia="ko-KR"/>
              </w:rPr>
              <w:t xml:space="preserve"> April</w:t>
            </w:r>
            <w:r w:rsidR="005715A7">
              <w:rPr>
                <w:b/>
                <w:bCs/>
                <w:szCs w:val="28"/>
              </w:rPr>
              <w:t xml:space="preserve"> </w:t>
            </w:r>
            <w:r w:rsidR="005715A7" w:rsidRPr="002C3C50">
              <w:rPr>
                <w:b/>
                <w:bCs/>
                <w:szCs w:val="28"/>
              </w:rPr>
              <w:t>202</w:t>
            </w:r>
            <w:r w:rsidR="005715A7">
              <w:rPr>
                <w:b/>
                <w:bCs/>
                <w:szCs w:val="28"/>
              </w:rPr>
              <w:t>5</w:t>
            </w:r>
          </w:p>
        </w:tc>
      </w:tr>
      <w:tr w:rsidR="008C614C" w:rsidRPr="006D4EA0" w14:paraId="7B96545F" w14:textId="77777777" w:rsidTr="005715A7">
        <w:trPr>
          <w:cantSplit/>
        </w:trPr>
        <w:tc>
          <w:tcPr>
            <w:tcW w:w="6096" w:type="dxa"/>
            <w:gridSpan w:val="2"/>
          </w:tcPr>
          <w:p w14:paraId="65956FD3" w14:textId="77777777" w:rsidR="008C614C" w:rsidRPr="006D4EA0" w:rsidRDefault="008C614C" w:rsidP="008C614C">
            <w:pPr>
              <w:spacing w:before="0"/>
              <w:rPr>
                <w:b/>
                <w:bCs/>
                <w:smallCaps/>
                <w:szCs w:val="24"/>
              </w:rPr>
            </w:pPr>
          </w:p>
        </w:tc>
        <w:tc>
          <w:tcPr>
            <w:tcW w:w="3792" w:type="dxa"/>
            <w:gridSpan w:val="2"/>
          </w:tcPr>
          <w:p w14:paraId="30EFD39F" w14:textId="4D8EA786" w:rsidR="008C614C" w:rsidRPr="006D4EA0" w:rsidRDefault="008C614C" w:rsidP="008C614C">
            <w:pPr>
              <w:spacing w:before="0"/>
              <w:rPr>
                <w:szCs w:val="24"/>
              </w:rPr>
            </w:pPr>
            <w:bookmarkStart w:id="1" w:name="Original"/>
            <w:bookmarkEnd w:id="1"/>
            <w:r w:rsidRPr="006D4EA0">
              <w:rPr>
                <w:b/>
              </w:rPr>
              <w:t>Englis</w:t>
            </w:r>
            <w:r>
              <w:rPr>
                <w:b/>
              </w:rPr>
              <w:t>h</w:t>
            </w:r>
            <w:r w:rsidR="002176FB">
              <w:rPr>
                <w:b/>
              </w:rPr>
              <w:t xml:space="preserve"> only</w:t>
            </w:r>
          </w:p>
        </w:tc>
      </w:tr>
      <w:tr w:rsidR="00A13162" w:rsidRPr="006D4EA0" w14:paraId="31656E31" w14:textId="77777777" w:rsidTr="58484CDC">
        <w:trPr>
          <w:cantSplit/>
          <w:trHeight w:val="852"/>
        </w:trPr>
        <w:tc>
          <w:tcPr>
            <w:tcW w:w="9888" w:type="dxa"/>
            <w:gridSpan w:val="4"/>
          </w:tcPr>
          <w:p w14:paraId="512FCA01" w14:textId="039A1805" w:rsidR="00A13162" w:rsidRPr="006D4EA0" w:rsidRDefault="002C3C50" w:rsidP="0030353C">
            <w:pPr>
              <w:pStyle w:val="Source"/>
            </w:pPr>
            <w:bookmarkStart w:id="2" w:name="Source"/>
            <w:bookmarkEnd w:id="2"/>
            <w:r w:rsidRPr="002C3C50">
              <w:t>Chair, TDAG-WG-futureSGQ</w:t>
            </w:r>
          </w:p>
        </w:tc>
      </w:tr>
      <w:tr w:rsidR="00AC6F14" w:rsidRPr="006D4EA0" w14:paraId="2CBD3A36" w14:textId="77777777" w:rsidTr="58484CDC">
        <w:trPr>
          <w:cantSplit/>
        </w:trPr>
        <w:tc>
          <w:tcPr>
            <w:tcW w:w="9888" w:type="dxa"/>
            <w:gridSpan w:val="4"/>
          </w:tcPr>
          <w:p w14:paraId="1B4121DF" w14:textId="499830C3" w:rsidR="00AC6F14" w:rsidRPr="006D4EA0" w:rsidRDefault="002C3C50" w:rsidP="0030353C">
            <w:pPr>
              <w:pStyle w:val="Title1"/>
              <w:rPr>
                <w:rFonts w:cs="Times New Roman"/>
                <w:bCs/>
              </w:rPr>
            </w:pPr>
            <w:bookmarkStart w:id="3" w:name="Title"/>
            <w:bookmarkEnd w:id="3"/>
            <w:r w:rsidRPr="002C3C50">
              <w:rPr>
                <w:rFonts w:cs="Times New Roman"/>
                <w:bCs/>
              </w:rPr>
              <w:t>Progress report on the work of the TDAG-WG-futureSGQ</w:t>
            </w:r>
          </w:p>
        </w:tc>
      </w:tr>
      <w:tr w:rsidR="00A721F4" w:rsidRPr="006D4EA0" w14:paraId="23A30231" w14:textId="77777777" w:rsidTr="58484CDC">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4"/>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5724DC48"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(TDAG-WG-futureSGQ) since May 2024. This revised version provides a shortened version of the updates from second</w:t>
            </w:r>
            <w:r w:rsidR="00B43A3C">
              <w:rPr>
                <w:rFonts w:hint="eastAsia"/>
                <w:lang w:eastAsia="ko-KR"/>
              </w:rPr>
              <w:t>,</w:t>
            </w:r>
            <w:r>
              <w:t xml:space="preserve"> third</w:t>
            </w:r>
            <w:r w:rsidR="0033474A">
              <w:rPr>
                <w:rFonts w:hint="eastAsia"/>
                <w:lang w:eastAsia="ko-KR"/>
              </w:rPr>
              <w:t>,</w:t>
            </w:r>
            <w:r w:rsidR="00B43A3C">
              <w:rPr>
                <w:rFonts w:hint="eastAsia"/>
                <w:lang w:eastAsia="ko-KR"/>
              </w:rPr>
              <w:t xml:space="preserve"> fourth </w:t>
            </w:r>
            <w:r w:rsidR="0033474A">
              <w:rPr>
                <w:rFonts w:hint="eastAsia"/>
                <w:lang w:eastAsia="ko-KR"/>
              </w:rPr>
              <w:t xml:space="preserve">and fifth </w:t>
            </w:r>
            <w:r>
              <w:t xml:space="preserve">meetings of TDAG-WG-futureSGQ and includes a section on updates from the </w:t>
            </w:r>
            <w:r w:rsidR="0033474A">
              <w:rPr>
                <w:rFonts w:hint="eastAsia"/>
                <w:lang w:eastAsia="ko-KR"/>
              </w:rPr>
              <w:t>sixth</w:t>
            </w:r>
            <w:r>
              <w:t xml:space="preserve"> meeting held on </w:t>
            </w:r>
            <w:r w:rsidR="0033474A">
              <w:rPr>
                <w:rFonts w:hint="eastAsia"/>
                <w:lang w:eastAsia="ko-KR"/>
              </w:rPr>
              <w:t>16 April</w:t>
            </w:r>
            <w:r>
              <w:t xml:space="preserve"> 2025.</w:t>
            </w:r>
          </w:p>
          <w:p w14:paraId="5FB106AC" w14:textId="77777777" w:rsidR="00886F1F" w:rsidRPr="00D9621A" w:rsidRDefault="00886F1F" w:rsidP="00886F1F">
            <w:pPr>
              <w:spacing w:after="120"/>
              <w:rPr>
                <w:b/>
                <w:bCs/>
                <w:szCs w:val="24"/>
              </w:rPr>
            </w:pPr>
            <w:r w:rsidRPr="005E090D">
              <w:rPr>
                <w:b/>
                <w:bCs/>
              </w:rPr>
              <w:t>Action required:</w:t>
            </w:r>
          </w:p>
          <w:p w14:paraId="0A08CAAA" w14:textId="0FD9BD94" w:rsidR="002C3C50" w:rsidRDefault="008C614C" w:rsidP="002C3C50">
            <w:pPr>
              <w:spacing w:after="120"/>
            </w:pPr>
            <w:r>
              <w:t>RPM-</w:t>
            </w:r>
            <w:r w:rsidR="00974C40">
              <w:t>CI</w:t>
            </w:r>
            <w:r w:rsidR="007623CD">
              <w:t>S</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3" w:history="1">
              <w:r w:rsidRPr="00943AEA">
                <w:rPr>
                  <w:rStyle w:val="Hyperlink"/>
                  <w:lang w:val="en-US"/>
                </w:rPr>
                <w:t>TDAG-2</w:t>
              </w:r>
              <w:bookmarkStart w:id="4" w:name="DocNo1"/>
              <w:bookmarkEnd w:id="4"/>
              <w:r w:rsidRPr="00943AEA">
                <w:rPr>
                  <w:rStyle w:val="Hyperlink"/>
                  <w:lang w:val="en-US"/>
                </w:rPr>
                <w:t>4/25</w:t>
              </w:r>
            </w:hyperlink>
            <w:r w:rsidR="00D353DA" w:rsidRPr="00943AEA">
              <w:rPr>
                <w:lang w:val="en-US"/>
              </w:rPr>
              <w:t xml:space="preserve"> (first progress report of </w:t>
            </w:r>
            <w:r w:rsidR="00D353DA">
              <w:t>TDAG-WG-futureSGQ)</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5203E42D" w:rsidR="009373DB" w:rsidRPr="00CB3A37" w:rsidRDefault="009373DB" w:rsidP="004216FE">
      <w:pPr>
        <w:pStyle w:val="ListParagraph"/>
        <w:numPr>
          <w:ilvl w:val="0"/>
          <w:numId w:val="2"/>
        </w:numPr>
        <w:spacing w:after="120"/>
        <w:contextualSpacing w:val="0"/>
        <w:rPr>
          <w:rFonts w:cstheme="minorHAnsi"/>
          <w:b/>
          <w:bCs/>
          <w:szCs w:val="24"/>
        </w:rPr>
      </w:pPr>
      <w:bookmarkStart w:id="5" w:name="Proposal"/>
      <w:bookmarkEnd w:id="5"/>
      <w:r w:rsidRPr="00CB3A37">
        <w:rPr>
          <w:rFonts w:cstheme="minorHAnsi"/>
          <w:b/>
          <w:bCs/>
          <w:szCs w:val="24"/>
        </w:rPr>
        <w:lastRenderedPageBreak/>
        <w:t>Introduction</w:t>
      </w:r>
    </w:p>
    <w:p w14:paraId="102949BF" w14:textId="77777777" w:rsidR="009373DB" w:rsidRPr="00CB3A37" w:rsidRDefault="009373DB" w:rsidP="004216FE">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(TDAG-WG-futureSGQ)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0752DD2D" w:rsidR="009373DB" w:rsidRDefault="009373DB" w:rsidP="004216FE">
      <w:pPr>
        <w:spacing w:after="120"/>
        <w:rPr>
          <w:rFonts w:cstheme="minorHAnsi"/>
          <w:szCs w:val="24"/>
          <w:lang w:eastAsia="ko-KR"/>
        </w:rPr>
      </w:pPr>
      <w:r w:rsidRPr="00CB3A37">
        <w:rPr>
          <w:rFonts w:cstheme="minorHAnsi"/>
          <w:szCs w:val="24"/>
        </w:rPr>
        <w:t xml:space="preserve">Following the approval of the terms of reference at the TDAG meeting of May 2024, the TDAG-WG-futureSGQ held </w:t>
      </w:r>
      <w:r w:rsidR="0033474A">
        <w:rPr>
          <w:rFonts w:cstheme="minorHAnsi" w:hint="eastAsia"/>
          <w:szCs w:val="24"/>
          <w:lang w:eastAsia="ko-KR"/>
        </w:rPr>
        <w:t xml:space="preserve">five additional </w:t>
      </w:r>
      <w:r w:rsidRPr="00CB3A37">
        <w:rPr>
          <w:rFonts w:cstheme="minorHAnsi"/>
          <w:szCs w:val="24"/>
        </w:rPr>
        <w:t>fully online meetings on</w:t>
      </w:r>
      <w:r w:rsidR="0033474A">
        <w:rPr>
          <w:rFonts w:cstheme="minorHAnsi" w:hint="eastAsia"/>
          <w:szCs w:val="24"/>
          <w:lang w:eastAsia="ko-KR"/>
        </w:rPr>
        <w:t xml:space="preserve"> the following dates:</w:t>
      </w:r>
      <w:r w:rsidRPr="00CB3A37">
        <w:rPr>
          <w:rFonts w:cstheme="minorHAnsi"/>
          <w:szCs w:val="24"/>
        </w:rPr>
        <w:t xml:space="preserve"> 3 September 2024</w:t>
      </w:r>
      <w:r w:rsidR="0033474A">
        <w:rPr>
          <w:rFonts w:cstheme="minorHAnsi" w:hint="eastAsia"/>
          <w:szCs w:val="24"/>
          <w:lang w:eastAsia="ko-KR"/>
        </w:rPr>
        <w:t>,</w:t>
      </w:r>
      <w:r w:rsidRPr="00CB3A37">
        <w:rPr>
          <w:rFonts w:cstheme="minorHAnsi"/>
          <w:szCs w:val="24"/>
        </w:rPr>
        <w:t xml:space="preserve"> 3</w:t>
      </w:r>
      <w:r w:rsidR="004216FE">
        <w:rPr>
          <w:rFonts w:cstheme="minorHAnsi"/>
          <w:szCs w:val="24"/>
        </w:rPr>
        <w:t> </w:t>
      </w:r>
      <w:r w:rsidRPr="00CB3A37">
        <w:rPr>
          <w:rFonts w:cstheme="minorHAnsi"/>
          <w:szCs w:val="24"/>
        </w:rPr>
        <w:t xml:space="preserve">December 2024, </w:t>
      </w:r>
      <w:r w:rsidR="0033474A">
        <w:rPr>
          <w:rFonts w:cstheme="minorHAnsi" w:hint="eastAsia"/>
          <w:szCs w:val="24"/>
          <w:lang w:eastAsia="ko-KR"/>
        </w:rPr>
        <w:t>21 January 2025, 4 March 2025 and 16 April 2025</w:t>
      </w:r>
    </w:p>
    <w:p w14:paraId="3F4CD835" w14:textId="2523D7DA" w:rsidR="009373DB" w:rsidRDefault="009373DB" w:rsidP="004216FE">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0033474A">
        <w:rPr>
          <w:rFonts w:cstheme="minorHAnsi" w:hint="eastAsia"/>
          <w:szCs w:val="24"/>
          <w:lang w:eastAsia="ko-KR"/>
        </w:rPr>
        <w:t>from</w:t>
      </w:r>
      <w:r w:rsidRPr="00CB3A37">
        <w:rPr>
          <w:rFonts w:cstheme="minorHAnsi"/>
          <w:szCs w:val="24"/>
        </w:rPr>
        <w:t xml:space="preserve"> the </w:t>
      </w:r>
      <w:r>
        <w:rPr>
          <w:rFonts w:cstheme="minorHAnsi"/>
          <w:szCs w:val="24"/>
        </w:rPr>
        <w:t xml:space="preserve">second </w:t>
      </w:r>
      <w:r w:rsidR="0033474A">
        <w:rPr>
          <w:rFonts w:cstheme="minorHAnsi" w:hint="eastAsia"/>
          <w:szCs w:val="24"/>
          <w:lang w:eastAsia="ko-KR"/>
        </w:rPr>
        <w:t xml:space="preserve">to the sixth </w:t>
      </w:r>
      <w:r>
        <w:rPr>
          <w:rFonts w:cstheme="minorHAnsi"/>
          <w:szCs w:val="24"/>
        </w:rPr>
        <w:t xml:space="preserve">meeting of </w:t>
      </w:r>
      <w:r w:rsidRPr="00CB3A37">
        <w:rPr>
          <w:rFonts w:cstheme="minorHAnsi"/>
          <w:szCs w:val="24"/>
        </w:rPr>
        <w:t>TDAG-WG-futureSGQ.</w:t>
      </w:r>
    </w:p>
    <w:p w14:paraId="020F2C8B"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6" w:name="_Hlk184983850"/>
      <w:r w:rsidRPr="00CB3A37">
        <w:rPr>
          <w:rFonts w:cstheme="minorHAnsi"/>
          <w:b/>
          <w:bCs/>
          <w:szCs w:val="24"/>
        </w:rPr>
        <w:t xml:space="preserve">TDAG-WG-futureSGQ </w:t>
      </w:r>
      <w:bookmarkEnd w:id="6"/>
      <w:r w:rsidRPr="00CB3A37">
        <w:rPr>
          <w:rFonts w:cstheme="minorHAnsi"/>
          <w:b/>
          <w:bCs/>
          <w:szCs w:val="24"/>
        </w:rPr>
        <w:t>held on 3 September 2024</w:t>
      </w:r>
    </w:p>
    <w:p w14:paraId="1B2C8852" w14:textId="23E90F09" w:rsidR="009373DB" w:rsidRDefault="009373DB" w:rsidP="004216FE">
      <w:pPr>
        <w:spacing w:after="120"/>
        <w:rPr>
          <w:rFonts w:cstheme="minorHAnsi"/>
          <w:szCs w:val="24"/>
        </w:rPr>
      </w:pPr>
      <w:r w:rsidRPr="00CB3A37">
        <w:rPr>
          <w:rFonts w:cstheme="minorHAnsi"/>
          <w:szCs w:val="24"/>
        </w:rPr>
        <w:t xml:space="preserve">The information shared below is from the report of the second meeting of TDAG-WG-futureSGQ (document </w:t>
      </w:r>
      <w:hyperlink r:id="rId15" w:history="1">
        <w:r w:rsidRPr="00CB3A37">
          <w:rPr>
            <w:rStyle w:val="Hyperlink"/>
            <w:rFonts w:cstheme="minorHAnsi"/>
            <w:szCs w:val="24"/>
          </w:rPr>
          <w:t>TDAG-WG-futureSGQ/10</w:t>
        </w:r>
      </w:hyperlink>
      <w:r w:rsidRPr="00CB3A37">
        <w:rPr>
          <w:rFonts w:cstheme="minorHAnsi"/>
          <w:szCs w:val="24"/>
        </w:rPr>
        <w:t>).</w:t>
      </w:r>
    </w:p>
    <w:p w14:paraId="167671A2" w14:textId="77777777" w:rsidR="009373DB" w:rsidRPr="00CB3A37" w:rsidRDefault="009373DB" w:rsidP="004216FE">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TDAG-WG-futureSGQ’s mailing lists.</w:t>
      </w:r>
    </w:p>
    <w:p w14:paraId="58F2150A" w14:textId="77777777" w:rsidR="009373DB" w:rsidRPr="00CB3A37" w:rsidRDefault="009373DB" w:rsidP="004216FE">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4216FE">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TDAG-WG-futureSGQ, scheduled on 3 December 2024, and to assist regional groups in preparing for WTDC-25.</w:t>
      </w:r>
    </w:p>
    <w:p w14:paraId="3BE91B75"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TDAG-WG-futureSGQ held on 3 December 2024</w:t>
      </w:r>
    </w:p>
    <w:p w14:paraId="78CF2401" w14:textId="77777777" w:rsidR="009373DB" w:rsidRPr="00CB3A37" w:rsidRDefault="009373DB" w:rsidP="004216FE">
      <w:pPr>
        <w:spacing w:after="120"/>
        <w:rPr>
          <w:rFonts w:cstheme="minorHAnsi"/>
          <w:szCs w:val="24"/>
        </w:rPr>
      </w:pPr>
      <w:r w:rsidRPr="00CB3A37">
        <w:rPr>
          <w:rFonts w:cstheme="minorHAnsi"/>
          <w:szCs w:val="24"/>
        </w:rPr>
        <w:t xml:space="preserve">The information shared below is from the report of the third meeting of TDAG-WG-futureSGQ (document </w:t>
      </w:r>
      <w:hyperlink r:id="rId16" w:history="1">
        <w:r w:rsidRPr="00CB3A37">
          <w:rPr>
            <w:rStyle w:val="Hyperlink"/>
            <w:rFonts w:cstheme="minorHAnsi"/>
            <w:szCs w:val="24"/>
          </w:rPr>
          <w:t>TDAG-WG-futureSGQ/16</w:t>
        </w:r>
      </w:hyperlink>
      <w:r w:rsidRPr="00CB3A37">
        <w:rPr>
          <w:rFonts w:cstheme="minorHAnsi"/>
          <w:szCs w:val="24"/>
        </w:rPr>
        <w:t>).</w:t>
      </w:r>
    </w:p>
    <w:p w14:paraId="3DA53CAA" w14:textId="786650B1" w:rsidR="009373DB" w:rsidRDefault="009373DB" w:rsidP="004216FE">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TDAG-WG-futureSGQ</w:t>
      </w:r>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7"/>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4216FE">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4216FE">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4216FE">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TDAG-WG-futureSGQ meeting.</w:t>
      </w:r>
    </w:p>
    <w:p w14:paraId="57B3D1FE" w14:textId="677FBB1E" w:rsidR="009373DB" w:rsidRPr="00CB3A37" w:rsidRDefault="009373DB" w:rsidP="004216FE">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TDAG-WG-futureSGQ who will submit and present inputs of RTOs to the next TDAG-WG-futureSGQ</w:t>
      </w:r>
      <w:r>
        <w:rPr>
          <w:rFonts w:cstheme="minorHAnsi"/>
          <w:szCs w:val="24"/>
          <w:lang w:eastAsia="ko-KR"/>
        </w:rPr>
        <w:t>.</w:t>
      </w:r>
    </w:p>
    <w:p w14:paraId="288BD7A4" w14:textId="303E779E" w:rsidR="009373DB" w:rsidRDefault="009373DB" w:rsidP="004216F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77777777" w:rsidR="009373DB" w:rsidRPr="00880939" w:rsidRDefault="009373DB"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 xml:space="preserve">fully online meeting of the TDAG-WG-futureSGQ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2A3A5C1F" w:rsidR="009373DB" w:rsidRDefault="009373DB" w:rsidP="004216FE">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 xml:space="preserve">meeting of TDAG-WG-futureSGQ (document </w:t>
      </w:r>
      <w:hyperlink r:id="rId18" w:history="1">
        <w:r w:rsidRPr="00880939">
          <w:rPr>
            <w:rStyle w:val="Hyperlink"/>
            <w:rFonts w:cstheme="minorHAnsi"/>
            <w:szCs w:val="24"/>
          </w:rPr>
          <w:t>TDAG-WG-futureSGQ/</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4216FE">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4216FE">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TDAG-WG-futureSGQ/</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4216FE">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0" w:history="1">
        <w:r w:rsidRPr="00880939">
          <w:rPr>
            <w:rStyle w:val="Hyperlink"/>
            <w:rFonts w:cstheme="minorHAnsi"/>
            <w:szCs w:val="24"/>
          </w:rPr>
          <w:t>TDAG-WG-futureSGQ/</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TDAG-WG-futureSGQ.</w:t>
      </w:r>
    </w:p>
    <w:p w14:paraId="747EE7AF"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1" w:history="1">
        <w:r w:rsidRPr="00880939">
          <w:rPr>
            <w:rStyle w:val="Hyperlink"/>
            <w:rFonts w:cstheme="minorHAnsi"/>
            <w:szCs w:val="24"/>
          </w:rPr>
          <w:t>TDAG-WG-futureSGQ/</w:t>
        </w:r>
        <w:r>
          <w:rPr>
            <w:rStyle w:val="Hyperlink"/>
            <w:rFonts w:cstheme="minorHAnsi"/>
            <w:szCs w:val="24"/>
          </w:rPr>
          <w:t>23</w:t>
        </w:r>
      </w:hyperlink>
      <w:r w:rsidRPr="000727D2">
        <w:rPr>
          <w:rFonts w:cstheme="minorHAnsi"/>
          <w:szCs w:val="24"/>
          <w:lang w:eastAsia="ko-KR"/>
        </w:rPr>
        <w:t>.</w:t>
      </w:r>
    </w:p>
    <w:p w14:paraId="1E20F87E" w14:textId="23C11F0C" w:rsidR="00B43A3C" w:rsidRPr="00880939" w:rsidRDefault="00B43A3C"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f</w:t>
      </w:r>
      <w:r>
        <w:rPr>
          <w:rFonts w:cstheme="minorHAnsi" w:hint="eastAsia"/>
          <w:b/>
          <w:bCs/>
          <w:szCs w:val="24"/>
          <w:lang w:eastAsia="ko-KR"/>
        </w:rPr>
        <w:t>ifth</w:t>
      </w:r>
      <w:r>
        <w:rPr>
          <w:rFonts w:cstheme="minorHAnsi"/>
          <w:b/>
          <w:bCs/>
          <w:szCs w:val="24"/>
        </w:rPr>
        <w:t xml:space="preserve"> </w:t>
      </w:r>
      <w:r w:rsidRPr="00880939">
        <w:rPr>
          <w:rFonts w:cstheme="minorHAnsi"/>
          <w:b/>
          <w:bCs/>
          <w:szCs w:val="24"/>
        </w:rPr>
        <w:t xml:space="preserve">fully online meeting of the TDAG-WG-futureSGQ held on </w:t>
      </w:r>
      <w:r>
        <w:rPr>
          <w:rFonts w:cstheme="minorHAnsi" w:hint="eastAsia"/>
          <w:b/>
          <w:bCs/>
          <w:szCs w:val="24"/>
          <w:lang w:eastAsia="ko-KR"/>
        </w:rPr>
        <w:t>4</w:t>
      </w:r>
      <w:r>
        <w:rPr>
          <w:rFonts w:cstheme="minorHAnsi"/>
          <w:b/>
          <w:bCs/>
          <w:szCs w:val="24"/>
        </w:rPr>
        <w:t xml:space="preserve"> </w:t>
      </w:r>
      <w:r>
        <w:rPr>
          <w:rFonts w:cstheme="minorHAnsi" w:hint="eastAsia"/>
          <w:b/>
          <w:bCs/>
          <w:szCs w:val="24"/>
          <w:lang w:eastAsia="ko-KR"/>
        </w:rPr>
        <w:t>March</w:t>
      </w:r>
      <w:r>
        <w:rPr>
          <w:rFonts w:cstheme="minorHAnsi"/>
          <w:b/>
          <w:bCs/>
          <w:szCs w:val="24"/>
        </w:rPr>
        <w:t xml:space="preserve"> </w:t>
      </w:r>
      <w:r w:rsidRPr="00880939">
        <w:rPr>
          <w:rFonts w:cstheme="minorHAnsi"/>
          <w:b/>
          <w:bCs/>
          <w:szCs w:val="24"/>
        </w:rPr>
        <w:t>202</w:t>
      </w:r>
      <w:r>
        <w:rPr>
          <w:rFonts w:cstheme="minorHAnsi"/>
          <w:b/>
          <w:bCs/>
          <w:szCs w:val="24"/>
        </w:rPr>
        <w:t>5</w:t>
      </w:r>
    </w:p>
    <w:p w14:paraId="71E9B244" w14:textId="47FE65F1" w:rsidR="00B43A3C" w:rsidRDefault="00B43A3C" w:rsidP="004216FE">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 xml:space="preserve">meeting of TDAG-WG-futureSGQ (document </w:t>
      </w:r>
      <w:hyperlink r:id="rId22" w:history="1">
        <w:r w:rsidRPr="00880939">
          <w:rPr>
            <w:rStyle w:val="Hyperlink"/>
            <w:rFonts w:cstheme="minorHAnsi"/>
            <w:szCs w:val="24"/>
          </w:rPr>
          <w:t>TDAG-WG-futureSGQ/</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4216FE">
      <w:pPr>
        <w:spacing w:before="60" w:after="6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TDAG-WG-futureSGQ</w:t>
      </w:r>
      <w:r w:rsidR="00EC1770">
        <w:rPr>
          <w:rFonts w:cstheme="minorHAnsi" w:hint="eastAsia"/>
          <w:szCs w:val="24"/>
          <w:lang w:eastAsia="ko-KR"/>
        </w:rPr>
        <w:t>.</w:t>
      </w:r>
    </w:p>
    <w:p w14:paraId="46C5CAE6" w14:textId="79158EE0" w:rsidR="00EC1770"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TDAG-WG-futureSGQ.</w:t>
      </w:r>
    </w:p>
    <w:p w14:paraId="67B81536" w14:textId="62E006BB" w:rsidR="00B43A3C" w:rsidRDefault="00B43A3C" w:rsidP="004216FE">
      <w:pPr>
        <w:pStyle w:val="ListParagraph"/>
        <w:numPr>
          <w:ilvl w:val="0"/>
          <w:numId w:val="17"/>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23" w:history="1">
        <w:r w:rsidRPr="00880939">
          <w:rPr>
            <w:rStyle w:val="Hyperlink"/>
            <w:rFonts w:cstheme="minorHAnsi"/>
            <w:szCs w:val="24"/>
          </w:rPr>
          <w:t>TDAG-WG-futureSGQ/</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4216FE">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4216FE">
      <w:pPr>
        <w:pStyle w:val="ListParagraph"/>
        <w:numPr>
          <w:ilvl w:val="0"/>
          <w:numId w:val="19"/>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4216FE">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4216FE">
      <w:pPr>
        <w:pStyle w:val="ListParagraph"/>
        <w:numPr>
          <w:ilvl w:val="0"/>
          <w:numId w:val="19"/>
        </w:numPr>
        <w:spacing w:before="60" w:after="60"/>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4216FE">
      <w:pPr>
        <w:pStyle w:val="ListParagraph"/>
        <w:numPr>
          <w:ilvl w:val="0"/>
          <w:numId w:val="19"/>
        </w:numPr>
        <w:spacing w:before="60" w:after="60"/>
        <w:contextualSpacing w:val="0"/>
        <w:rPr>
          <w:szCs w:val="24"/>
          <w:lang w:eastAsia="ko-KR"/>
        </w:rPr>
      </w:pPr>
      <w:r w:rsidRPr="004C6F38">
        <w:rPr>
          <w:lang w:eastAsia="ko-KR"/>
        </w:rPr>
        <w:lastRenderedPageBreak/>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4D0AC3B7" w:rsidR="00B43A3C" w:rsidRPr="002132A5" w:rsidRDefault="002132A5" w:rsidP="004216FE">
      <w:pPr>
        <w:pStyle w:val="ListParagraph"/>
        <w:numPr>
          <w:ilvl w:val="0"/>
          <w:numId w:val="19"/>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r w:rsidR="00CA6E1B" w:rsidRPr="003F001F">
        <w:rPr>
          <w:vertAlign w:val="superscript"/>
          <w:lang w:eastAsia="ko-KR"/>
        </w:rPr>
        <w:t>1</w:t>
      </w:r>
    </w:p>
    <w:p w14:paraId="62E8AD2C" w14:textId="77777777" w:rsidR="001E7050" w:rsidRPr="003F001F" w:rsidRDefault="001E7050" w:rsidP="001E7050">
      <w:pPr>
        <w:spacing w:after="120"/>
        <w:rPr>
          <w:rFonts w:cstheme="minorHAnsi"/>
          <w:b/>
          <w:bCs/>
          <w:szCs w:val="24"/>
        </w:rPr>
      </w:pPr>
      <w:r w:rsidRPr="003F001F">
        <w:rPr>
          <w:rFonts w:cstheme="minorHAnsi"/>
          <w:b/>
          <w:bCs/>
          <w:szCs w:val="24"/>
        </w:rPr>
        <w:t xml:space="preserve">The </w:t>
      </w:r>
      <w:r>
        <w:rPr>
          <w:rFonts w:cstheme="minorHAnsi" w:hint="eastAsia"/>
          <w:b/>
          <w:bCs/>
          <w:szCs w:val="24"/>
          <w:lang w:eastAsia="ko-KR"/>
        </w:rPr>
        <w:t>sixth</w:t>
      </w:r>
      <w:r w:rsidRPr="003F001F">
        <w:rPr>
          <w:rFonts w:cstheme="minorHAnsi"/>
          <w:b/>
          <w:bCs/>
          <w:szCs w:val="24"/>
        </w:rPr>
        <w:t xml:space="preserve"> fully online meeting of the TDAG-WG-futureSGQ held on </w:t>
      </w:r>
      <w:r>
        <w:rPr>
          <w:rFonts w:cstheme="minorHAnsi" w:hint="eastAsia"/>
          <w:b/>
          <w:bCs/>
          <w:szCs w:val="24"/>
          <w:lang w:eastAsia="ko-KR"/>
        </w:rPr>
        <w:t>16</w:t>
      </w:r>
      <w:r w:rsidRPr="003F001F">
        <w:rPr>
          <w:rFonts w:cstheme="minorHAnsi"/>
          <w:b/>
          <w:bCs/>
          <w:szCs w:val="24"/>
        </w:rPr>
        <w:t xml:space="preserve"> </w:t>
      </w:r>
      <w:r>
        <w:rPr>
          <w:rFonts w:cstheme="minorHAnsi" w:hint="eastAsia"/>
          <w:b/>
          <w:bCs/>
          <w:szCs w:val="24"/>
          <w:lang w:eastAsia="ko-KR"/>
        </w:rPr>
        <w:t>April</w:t>
      </w:r>
      <w:r w:rsidRPr="003F001F">
        <w:rPr>
          <w:rFonts w:cstheme="minorHAnsi"/>
          <w:b/>
          <w:bCs/>
          <w:szCs w:val="24"/>
        </w:rPr>
        <w:t xml:space="preserve"> 2025</w:t>
      </w:r>
    </w:p>
    <w:p w14:paraId="13485517" w14:textId="57854808" w:rsidR="001E7050" w:rsidRDefault="001E7050" w:rsidP="001E7050">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 xml:space="preserve">meeting of TDAG-WG-futureSGQ (document </w:t>
      </w:r>
      <w:hyperlink r:id="rId24" w:history="1">
        <w:r w:rsidRPr="00880939">
          <w:rPr>
            <w:rStyle w:val="Hyperlink"/>
            <w:rFonts w:cstheme="minorHAnsi"/>
            <w:szCs w:val="24"/>
          </w:rPr>
          <w:t>TDAG-WG-futureSGQ/</w:t>
        </w:r>
        <w:r>
          <w:rPr>
            <w:rStyle w:val="Hyperlink"/>
            <w:rFonts w:cstheme="minorHAnsi" w:hint="eastAsia"/>
            <w:szCs w:val="24"/>
            <w:lang w:eastAsia="ko-KR"/>
          </w:rPr>
          <w:t>41</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w:t>
      </w:r>
      <w:r>
        <w:rPr>
          <w:rFonts w:cstheme="minorHAnsi" w:hint="eastAsia"/>
          <w:szCs w:val="24"/>
          <w:lang w:eastAsia="ko-KR"/>
        </w:rPr>
        <w:t>67</w:t>
      </w:r>
      <w:r>
        <w:rPr>
          <w:rFonts w:cstheme="minorHAnsi"/>
          <w:szCs w:val="24"/>
        </w:rPr>
        <w:t xml:space="preserve"> participants</w:t>
      </w:r>
      <w:r>
        <w:rPr>
          <w:rFonts w:cstheme="minorHAnsi" w:hint="eastAsia"/>
          <w:szCs w:val="24"/>
          <w:lang w:eastAsia="ko-KR"/>
        </w:rPr>
        <w:t>.</w:t>
      </w:r>
    </w:p>
    <w:p w14:paraId="58F5209B" w14:textId="77777777" w:rsidR="001E7050" w:rsidRDefault="001E7050" w:rsidP="001E7050">
      <w:pPr>
        <w:spacing w:before="60" w:after="60"/>
        <w:rPr>
          <w:rFonts w:cstheme="minorHAnsi"/>
          <w:szCs w:val="24"/>
        </w:rPr>
      </w:pPr>
      <w:r>
        <w:rPr>
          <w:rFonts w:cstheme="minorHAnsi"/>
          <w:szCs w:val="24"/>
        </w:rPr>
        <w:t>Six contributions as listed below, were received, presented and extensively discussed:</w:t>
      </w:r>
    </w:p>
    <w:p w14:paraId="4EF0BE90" w14:textId="77777777" w:rsidR="001E7050" w:rsidRDefault="001E7050" w:rsidP="001E7050">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Updated views from </w:t>
      </w:r>
      <w:r w:rsidRPr="004C6F38">
        <w:rPr>
          <w:rFonts w:cstheme="minorHAnsi"/>
          <w:szCs w:val="24"/>
          <w:lang w:eastAsia="ko-KR"/>
        </w:rPr>
        <w:t xml:space="preserve">the </w:t>
      </w:r>
      <w:r>
        <w:rPr>
          <w:rFonts w:cstheme="minorHAnsi"/>
          <w:szCs w:val="24"/>
          <w:lang w:eastAsia="ko-KR"/>
        </w:rPr>
        <w:t xml:space="preserve">Asia-Pacific Telecommunity </w:t>
      </w:r>
      <w:r w:rsidRPr="004C6F38">
        <w:rPr>
          <w:rFonts w:cstheme="minorHAnsi"/>
          <w:szCs w:val="24"/>
          <w:lang w:eastAsia="ko-KR"/>
        </w:rPr>
        <w:t>(A</w:t>
      </w:r>
      <w:r>
        <w:rPr>
          <w:rFonts w:cstheme="minorHAnsi"/>
          <w:szCs w:val="24"/>
          <w:lang w:eastAsia="ko-KR"/>
        </w:rPr>
        <w:t>PT</w:t>
      </w:r>
      <w:r w:rsidRPr="004C6F38">
        <w:rPr>
          <w:rFonts w:cstheme="minorHAnsi"/>
          <w:szCs w:val="24"/>
          <w:lang w:eastAsia="ko-KR"/>
        </w:rPr>
        <w:t>)</w:t>
      </w:r>
      <w:r>
        <w:rPr>
          <w:rFonts w:cstheme="minorHAnsi" w:hint="eastAsia"/>
          <w:szCs w:val="24"/>
          <w:lang w:eastAsia="ko-KR"/>
        </w:rPr>
        <w:t xml:space="preserve">, which </w:t>
      </w:r>
      <w:r>
        <w:rPr>
          <w:rFonts w:cstheme="minorHAnsi"/>
          <w:szCs w:val="24"/>
        </w:rPr>
        <w:t>indicate</w:t>
      </w:r>
      <w:r>
        <w:rPr>
          <w:rFonts w:cstheme="minorHAnsi" w:hint="eastAsia"/>
          <w:szCs w:val="24"/>
          <w:lang w:eastAsia="ko-KR"/>
        </w:rPr>
        <w:t>d</w:t>
      </w:r>
      <w:r>
        <w:rPr>
          <w:rFonts w:cstheme="minorHAnsi"/>
          <w:szCs w:val="24"/>
        </w:rPr>
        <w:t xml:space="preserve"> tha</w:t>
      </w:r>
      <w:r>
        <w:rPr>
          <w:rFonts w:cstheme="minorHAnsi" w:hint="eastAsia"/>
          <w:szCs w:val="24"/>
          <w:lang w:eastAsia="ko-KR"/>
        </w:rPr>
        <w:t>t</w:t>
      </w:r>
      <w:r>
        <w:rPr>
          <w:rFonts w:cstheme="minorHAnsi"/>
          <w:szCs w:val="24"/>
        </w:rPr>
        <w:t xml:space="preserve"> at t</w:t>
      </w:r>
      <w:r w:rsidRPr="00630172">
        <w:rPr>
          <w:rFonts w:cstheme="minorHAnsi"/>
          <w:bCs/>
          <w:szCs w:val="24"/>
        </w:rPr>
        <w:t xml:space="preserve">he 3rd </w:t>
      </w:r>
      <w:r>
        <w:rPr>
          <w:rFonts w:cstheme="minorHAnsi"/>
          <w:bCs/>
          <w:szCs w:val="24"/>
        </w:rPr>
        <w:t>m</w:t>
      </w:r>
      <w:r w:rsidRPr="00630172">
        <w:rPr>
          <w:rFonts w:cstheme="minorHAnsi"/>
          <w:szCs w:val="24"/>
        </w:rPr>
        <w:t>eeting of the APT Preparatory Group for WTDC-25 held from 17 to 18 March 2025 in Bangkok, Thailand</w:t>
      </w:r>
      <w:r>
        <w:rPr>
          <w:rFonts w:cstheme="minorHAnsi"/>
          <w:szCs w:val="24"/>
        </w:rPr>
        <w:t xml:space="preserve">, the </w:t>
      </w:r>
      <w:r>
        <w:rPr>
          <w:rFonts w:cstheme="minorHAnsi" w:hint="eastAsia"/>
          <w:szCs w:val="24"/>
          <w:lang w:eastAsia="ko-KR"/>
        </w:rPr>
        <w:t>s</w:t>
      </w:r>
      <w:r w:rsidRPr="00630172">
        <w:rPr>
          <w:rFonts w:cstheme="minorHAnsi"/>
          <w:szCs w:val="24"/>
        </w:rPr>
        <w:t xml:space="preserve">tudy Questions for </w:t>
      </w:r>
      <w:r>
        <w:rPr>
          <w:rFonts w:cstheme="minorHAnsi" w:hint="eastAsia"/>
          <w:szCs w:val="24"/>
          <w:lang w:eastAsia="ko-KR"/>
        </w:rPr>
        <w:t xml:space="preserve">the </w:t>
      </w:r>
      <w:r w:rsidRPr="00630172">
        <w:rPr>
          <w:rFonts w:cstheme="minorHAnsi"/>
          <w:szCs w:val="24"/>
        </w:rPr>
        <w:t>2025-2029 study period</w:t>
      </w:r>
      <w:r>
        <w:rPr>
          <w:rFonts w:cstheme="minorHAnsi"/>
          <w:szCs w:val="24"/>
        </w:rPr>
        <w:t xml:space="preserve"> were discussed </w:t>
      </w:r>
      <w:r w:rsidRPr="00630172">
        <w:rPr>
          <w:rFonts w:cstheme="minorHAnsi"/>
          <w:szCs w:val="24"/>
        </w:rPr>
        <w:t xml:space="preserve">and </w:t>
      </w:r>
      <w:r>
        <w:rPr>
          <w:rFonts w:cstheme="minorHAnsi"/>
          <w:szCs w:val="24"/>
        </w:rPr>
        <w:t xml:space="preserve">consensus </w:t>
      </w:r>
      <w:r>
        <w:rPr>
          <w:rFonts w:cstheme="minorHAnsi" w:hint="eastAsia"/>
          <w:szCs w:val="24"/>
          <w:lang w:eastAsia="ko-KR"/>
        </w:rPr>
        <w:t xml:space="preserve">was </w:t>
      </w:r>
      <w:r w:rsidRPr="00630172">
        <w:rPr>
          <w:rFonts w:cstheme="minorHAnsi"/>
          <w:szCs w:val="24"/>
        </w:rPr>
        <w:t>reached</w:t>
      </w:r>
      <w:r>
        <w:rPr>
          <w:rFonts w:cstheme="minorHAnsi" w:hint="eastAsia"/>
          <w:szCs w:val="24"/>
          <w:lang w:eastAsia="ko-KR"/>
        </w:rPr>
        <w:t xml:space="preserve"> with two study groups and 5 proposed study Questions in each group.</w:t>
      </w:r>
    </w:p>
    <w:p w14:paraId="04CB7581" w14:textId="77777777" w:rsidR="001E7050" w:rsidRDefault="001E7050" w:rsidP="001E7050">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Views from </w:t>
      </w:r>
      <w:r w:rsidRPr="004C6F38">
        <w:rPr>
          <w:rFonts w:cstheme="minorHAnsi"/>
          <w:szCs w:val="24"/>
          <w:lang w:eastAsia="ko-KR"/>
        </w:rPr>
        <w:t xml:space="preserve">the </w:t>
      </w:r>
      <w:r w:rsidRPr="00BF2ABC">
        <w:rPr>
          <w:rFonts w:cstheme="minorHAnsi"/>
          <w:szCs w:val="24"/>
          <w:lang w:eastAsia="ko-KR"/>
        </w:rPr>
        <w:t xml:space="preserve">Regional Commonwealth in the field of </w:t>
      </w:r>
      <w:r>
        <w:rPr>
          <w:rFonts w:cstheme="minorHAnsi"/>
          <w:szCs w:val="24"/>
          <w:lang w:eastAsia="ko-KR"/>
        </w:rPr>
        <w:t>C</w:t>
      </w:r>
      <w:r w:rsidRPr="00BF2ABC">
        <w:rPr>
          <w:rFonts w:cstheme="minorHAnsi"/>
          <w:szCs w:val="24"/>
          <w:lang w:eastAsia="ko-KR"/>
        </w:rPr>
        <w:t>ommunications</w:t>
      </w:r>
      <w:r>
        <w:rPr>
          <w:rFonts w:cstheme="minorHAnsi"/>
          <w:szCs w:val="24"/>
          <w:lang w:eastAsia="ko-KR"/>
        </w:rPr>
        <w:t xml:space="preserve"> (RCC</w:t>
      </w:r>
      <w:r w:rsidRPr="004C6F38">
        <w:rPr>
          <w:rFonts w:cstheme="minorHAnsi"/>
          <w:szCs w:val="24"/>
          <w:lang w:eastAsia="ko-KR"/>
        </w:rPr>
        <w:t xml:space="preserve">) </w:t>
      </w:r>
      <w:r w:rsidRPr="004C6F38">
        <w:t>on</w:t>
      </w:r>
      <w:r w:rsidRPr="004C6F38">
        <w:rPr>
          <w:lang w:eastAsia="ko-KR"/>
        </w:rPr>
        <w:t xml:space="preserve"> </w:t>
      </w:r>
      <w:r>
        <w:rPr>
          <w:lang w:eastAsia="ko-KR"/>
        </w:rPr>
        <w:t>the structure</w:t>
      </w:r>
      <w:r>
        <w:rPr>
          <w:rFonts w:hint="eastAsia"/>
          <w:lang w:eastAsia="ko-KR"/>
        </w:rPr>
        <w:t>,</w:t>
      </w:r>
      <w:r>
        <w:rPr>
          <w:lang w:eastAsia="ko-KR"/>
        </w:rPr>
        <w:t xml:space="preserve"> that is the number of </w:t>
      </w:r>
      <w:r>
        <w:rPr>
          <w:rFonts w:hint="eastAsia"/>
          <w:lang w:eastAsia="ko-KR"/>
        </w:rPr>
        <w:t>s</w:t>
      </w:r>
      <w:r>
        <w:rPr>
          <w:lang w:eastAsia="ko-KR"/>
        </w:rPr>
        <w:t xml:space="preserve">tudy </w:t>
      </w:r>
      <w:r>
        <w:rPr>
          <w:rFonts w:hint="eastAsia"/>
          <w:lang w:eastAsia="ko-KR"/>
        </w:rPr>
        <w:t>g</w:t>
      </w:r>
      <w:r>
        <w:rPr>
          <w:lang w:eastAsia="ko-KR"/>
        </w:rPr>
        <w:t xml:space="preserve">roups and on </w:t>
      </w:r>
      <w:r>
        <w:rPr>
          <w:rFonts w:hint="eastAsia"/>
          <w:lang w:eastAsia="ko-KR"/>
        </w:rPr>
        <w:t>s</w:t>
      </w:r>
      <w:r>
        <w:rPr>
          <w:lang w:eastAsia="ko-KR"/>
        </w:rPr>
        <w:t xml:space="preserve">tudy </w:t>
      </w:r>
      <w:r>
        <w:rPr>
          <w:rFonts w:hint="eastAsia"/>
          <w:lang w:eastAsia="ko-KR"/>
        </w:rPr>
        <w:t>g</w:t>
      </w:r>
      <w:r>
        <w:rPr>
          <w:lang w:eastAsia="ko-KR"/>
        </w:rPr>
        <w:t xml:space="preserve">roup Questions for 2026-2029. The views </w:t>
      </w:r>
      <w:r>
        <w:rPr>
          <w:rFonts w:hint="eastAsia"/>
          <w:lang w:eastAsia="ko-KR"/>
        </w:rPr>
        <w:t>were</w:t>
      </w:r>
      <w:r>
        <w:rPr>
          <w:lang w:eastAsia="ko-KR"/>
        </w:rPr>
        <w:t xml:space="preserve"> backed by </w:t>
      </w:r>
      <w:r>
        <w:rPr>
          <w:lang w:val="en-US"/>
        </w:rPr>
        <w:t>the analysis of the current structure, including the mapping of Questions’ topics and mapping of received contributions.</w:t>
      </w:r>
    </w:p>
    <w:p w14:paraId="0C678B84" w14:textId="77777777" w:rsidR="001E7050" w:rsidRPr="00FF0A39" w:rsidRDefault="001E7050" w:rsidP="001E7050">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Document from the Russian Federation, which proposed </w:t>
      </w:r>
      <w:r w:rsidRPr="004C6F38">
        <w:rPr>
          <w:rFonts w:cstheme="minorHAnsi"/>
          <w:szCs w:val="24"/>
          <w:lang w:eastAsia="ko-KR"/>
        </w:rPr>
        <w:t xml:space="preserve">updates </w:t>
      </w:r>
      <w:r>
        <w:rPr>
          <w:rFonts w:cstheme="minorHAnsi"/>
          <w:szCs w:val="24"/>
          <w:lang w:eastAsia="ko-KR"/>
        </w:rPr>
        <w:t xml:space="preserve">to the terms of reference of Question 7/1 which was </w:t>
      </w:r>
      <w:r>
        <w:rPr>
          <w:rFonts w:cstheme="minorHAnsi" w:hint="eastAsia"/>
          <w:szCs w:val="24"/>
          <w:lang w:eastAsia="ko-KR"/>
        </w:rPr>
        <w:t xml:space="preserve">previously </w:t>
      </w:r>
      <w:r>
        <w:rPr>
          <w:rFonts w:cstheme="minorHAnsi"/>
          <w:szCs w:val="24"/>
          <w:lang w:eastAsia="ko-KR"/>
        </w:rPr>
        <w:t xml:space="preserve">submitted by </w:t>
      </w:r>
      <w:r>
        <w:rPr>
          <w:rFonts w:cstheme="minorHAnsi" w:hint="eastAsia"/>
          <w:szCs w:val="24"/>
          <w:lang w:eastAsia="ko-KR"/>
        </w:rPr>
        <w:t xml:space="preserve">the </w:t>
      </w:r>
      <w:r>
        <w:rPr>
          <w:rFonts w:cstheme="minorHAnsi"/>
          <w:szCs w:val="24"/>
          <w:lang w:eastAsia="ko-KR"/>
        </w:rPr>
        <w:t xml:space="preserve">SG1 Coordinator </w:t>
      </w:r>
      <w:r>
        <w:rPr>
          <w:rFonts w:cstheme="minorHAnsi" w:hint="eastAsia"/>
          <w:szCs w:val="24"/>
          <w:lang w:eastAsia="ko-KR"/>
        </w:rPr>
        <w:t xml:space="preserve">on future study Questions </w:t>
      </w:r>
      <w:r>
        <w:rPr>
          <w:rFonts w:cstheme="minorHAnsi"/>
          <w:szCs w:val="24"/>
          <w:lang w:eastAsia="ko-KR"/>
        </w:rPr>
        <w:t>and was prepare</w:t>
      </w:r>
      <w:r>
        <w:rPr>
          <w:rFonts w:cstheme="minorHAnsi" w:hint="eastAsia"/>
          <w:szCs w:val="24"/>
          <w:lang w:eastAsia="ko-KR"/>
        </w:rPr>
        <w:t>d</w:t>
      </w:r>
      <w:r>
        <w:rPr>
          <w:rFonts w:cstheme="minorHAnsi"/>
          <w:szCs w:val="24"/>
          <w:lang w:eastAsia="ko-KR"/>
        </w:rPr>
        <w:t xml:space="preserve"> by </w:t>
      </w:r>
      <w:r>
        <w:rPr>
          <w:rFonts w:cstheme="minorHAnsi" w:hint="eastAsia"/>
          <w:szCs w:val="24"/>
          <w:lang w:eastAsia="ko-KR"/>
        </w:rPr>
        <w:t>the C</w:t>
      </w:r>
      <w:r>
        <w:rPr>
          <w:rFonts w:cstheme="minorHAnsi"/>
          <w:szCs w:val="24"/>
          <w:lang w:eastAsia="ko-KR"/>
        </w:rPr>
        <w:t xml:space="preserve">o-Rapporteurs </w:t>
      </w:r>
      <w:r>
        <w:rPr>
          <w:rFonts w:cstheme="minorHAnsi" w:hint="eastAsia"/>
          <w:szCs w:val="24"/>
          <w:lang w:eastAsia="ko-KR"/>
        </w:rPr>
        <w:t>for</w:t>
      </w:r>
      <w:r>
        <w:rPr>
          <w:rFonts w:cstheme="minorHAnsi"/>
          <w:szCs w:val="24"/>
          <w:lang w:eastAsia="ko-KR"/>
        </w:rPr>
        <w:t xml:space="preserve"> Question 7/1.</w:t>
      </w:r>
    </w:p>
    <w:p w14:paraId="7B5FFC86" w14:textId="6F9797F7" w:rsidR="001E7050" w:rsidRDefault="001E7050" w:rsidP="001E7050">
      <w:pPr>
        <w:pStyle w:val="ListParagraph"/>
        <w:numPr>
          <w:ilvl w:val="0"/>
          <w:numId w:val="17"/>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25" w:history="1">
        <w:r w:rsidRPr="004C6F38">
          <w:rPr>
            <w:rStyle w:val="Hyperlink"/>
          </w:rPr>
          <w:t>TDAG-WG-futureSGQ/</w:t>
        </w:r>
        <w:r>
          <w:rPr>
            <w:rStyle w:val="Hyperlink"/>
          </w:rPr>
          <w:t>38</w:t>
        </w:r>
      </w:hyperlink>
      <w:r>
        <w:rPr>
          <w:rFonts w:cstheme="minorHAnsi"/>
          <w:szCs w:val="24"/>
        </w:rPr>
        <w:t xml:space="preserve"> which </w:t>
      </w:r>
      <w:r w:rsidR="001D3393">
        <w:rPr>
          <w:rFonts w:cstheme="minorHAnsi" w:hint="eastAsia"/>
          <w:szCs w:val="24"/>
          <w:lang w:eastAsia="ko-KR"/>
        </w:rPr>
        <w:t>provided</w:t>
      </w:r>
      <w:r>
        <w:rPr>
          <w:rFonts w:cstheme="minorHAnsi"/>
          <w:szCs w:val="24"/>
        </w:rPr>
        <w:t xml:space="preserve"> the</w:t>
      </w:r>
      <w:r w:rsidRPr="00FF0A39">
        <w:rPr>
          <w:rFonts w:cstheme="minorHAnsi"/>
          <w:szCs w:val="24"/>
        </w:rPr>
        <w:t xml:space="preserve"> </w:t>
      </w:r>
      <w:r>
        <w:rPr>
          <w:rFonts w:cstheme="minorHAnsi" w:hint="eastAsia"/>
          <w:szCs w:val="24"/>
          <w:lang w:eastAsia="ko-KR"/>
        </w:rPr>
        <w:t xml:space="preserve">third </w:t>
      </w:r>
      <w:r w:rsidRPr="00FF0A39">
        <w:rPr>
          <w:rFonts w:cstheme="minorHAnsi"/>
          <w:szCs w:val="24"/>
          <w:lang w:eastAsia="ko-KR"/>
        </w:rPr>
        <w:t>draft revision 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meetings</w:t>
      </w:r>
      <w:r w:rsidRPr="00FF0A39">
        <w:rPr>
          <w:rFonts w:cstheme="minorHAnsi"/>
          <w:szCs w:val="24"/>
          <w:lang w:eastAsia="ko-KR"/>
        </w:rPr>
        <w:t>.</w:t>
      </w:r>
    </w:p>
    <w:p w14:paraId="2C679C03" w14:textId="77777777" w:rsidR="001E7050" w:rsidRPr="007047F7" w:rsidRDefault="001E7050" w:rsidP="001E7050">
      <w:pPr>
        <w:keepNext/>
        <w:spacing w:after="120"/>
        <w:rPr>
          <w:rFonts w:cstheme="minorHAnsi"/>
          <w:szCs w:val="24"/>
          <w:lang w:eastAsia="ko-KR"/>
        </w:rPr>
      </w:pPr>
      <w:r w:rsidRPr="007047F7">
        <w:rPr>
          <w:rFonts w:cstheme="minorHAnsi"/>
          <w:szCs w:val="24"/>
          <w:lang w:eastAsia="ko-KR"/>
        </w:rPr>
        <w:t>The meeting agreed t</w:t>
      </w:r>
      <w:r>
        <w:rPr>
          <w:rFonts w:cstheme="minorHAnsi" w:hint="eastAsia"/>
          <w:szCs w:val="24"/>
          <w:lang w:eastAsia="ko-KR"/>
        </w:rPr>
        <w:t>o</w:t>
      </w:r>
      <w:r w:rsidRPr="007047F7">
        <w:rPr>
          <w:rFonts w:cstheme="minorHAnsi"/>
          <w:szCs w:val="24"/>
          <w:lang w:eastAsia="ko-KR"/>
        </w:rPr>
        <w:t>:</w:t>
      </w:r>
    </w:p>
    <w:p w14:paraId="1DD8F855" w14:textId="361B22F6" w:rsidR="001E7050" w:rsidRDefault="001E7050" w:rsidP="001E7050">
      <w:pPr>
        <w:pStyle w:val="ListParagraph"/>
        <w:numPr>
          <w:ilvl w:val="0"/>
          <w:numId w:val="20"/>
        </w:numPr>
        <w:spacing w:after="120"/>
        <w:rPr>
          <w:rFonts w:cstheme="minorHAnsi"/>
          <w:szCs w:val="24"/>
          <w:lang w:eastAsia="ko-KR"/>
        </w:rPr>
      </w:pPr>
      <w:r>
        <w:rPr>
          <w:rFonts w:cstheme="minorHAnsi" w:hint="eastAsia"/>
          <w:szCs w:val="24"/>
          <w:lang w:eastAsia="ko-KR"/>
        </w:rPr>
        <w:t>Update the title of Question A/1</w:t>
      </w:r>
      <w:r>
        <w:rPr>
          <w:rStyle w:val="FootnoteReference"/>
          <w:rFonts w:cstheme="minorHAnsi"/>
          <w:szCs w:val="24"/>
          <w:lang w:eastAsia="ko-KR"/>
        </w:rPr>
        <w:footnoteReference w:id="3"/>
      </w:r>
      <w:r>
        <w:rPr>
          <w:rFonts w:cstheme="minorHAnsi" w:hint="eastAsia"/>
          <w:szCs w:val="24"/>
          <w:lang w:eastAsia="ko-KR"/>
        </w:rPr>
        <w:t xml:space="preserve"> as follows: </w:t>
      </w:r>
      <w:r>
        <w:rPr>
          <w:rFonts w:cstheme="minorHAnsi"/>
          <w:szCs w:val="24"/>
          <w:lang w:eastAsia="ko-KR"/>
        </w:rPr>
        <w:t>“</w:t>
      </w:r>
      <w:r w:rsidRPr="008A219D">
        <w:rPr>
          <w:rFonts w:cstheme="minorHAnsi"/>
          <w:i/>
          <w:iCs/>
          <w:szCs w:val="24"/>
          <w:lang w:eastAsia="ko-KR"/>
        </w:rPr>
        <w:t xml:space="preserve">Enabling policies and regulations to extend connectivity </w:t>
      </w:r>
      <w:r w:rsidR="00FB0593">
        <w:rPr>
          <w:rFonts w:cstheme="minorHAnsi"/>
          <w:i/>
          <w:iCs/>
          <w:szCs w:val="24"/>
          <w:lang w:eastAsia="ko-KR"/>
        </w:rPr>
        <w:t>including</w:t>
      </w:r>
      <w:r w:rsidR="00FB0593">
        <w:rPr>
          <w:rFonts w:cstheme="minorHAnsi" w:hint="eastAsia"/>
          <w:i/>
          <w:iCs/>
          <w:szCs w:val="24"/>
          <w:lang w:eastAsia="ko-KR"/>
        </w:rPr>
        <w:t xml:space="preserve"> broadband </w:t>
      </w:r>
      <w:r w:rsidRPr="008A219D">
        <w:rPr>
          <w:rFonts w:cstheme="minorHAnsi"/>
          <w:i/>
          <w:iCs/>
          <w:szCs w:val="24"/>
          <w:lang w:eastAsia="ko-KR"/>
        </w:rPr>
        <w:t>everywhere with focus on rural and remote areas</w:t>
      </w:r>
      <w:r>
        <w:rPr>
          <w:rFonts w:cstheme="minorHAnsi"/>
          <w:szCs w:val="24"/>
          <w:lang w:eastAsia="ko-KR"/>
        </w:rPr>
        <w:t>”</w:t>
      </w:r>
      <w:r>
        <w:rPr>
          <w:rFonts w:cstheme="minorHAnsi" w:hint="eastAsia"/>
          <w:szCs w:val="24"/>
          <w:lang w:eastAsia="ko-KR"/>
        </w:rPr>
        <w:t>.</w:t>
      </w:r>
    </w:p>
    <w:p w14:paraId="27BB952B" w14:textId="77777777" w:rsidR="001E7050" w:rsidRDefault="001E7050" w:rsidP="001E7050">
      <w:pPr>
        <w:pStyle w:val="ListParagraph"/>
        <w:numPr>
          <w:ilvl w:val="0"/>
          <w:numId w:val="20"/>
        </w:numPr>
        <w:spacing w:after="120"/>
        <w:rPr>
          <w:szCs w:val="24"/>
          <w:lang w:eastAsia="ko-KR"/>
        </w:rPr>
      </w:pPr>
      <w:r>
        <w:rPr>
          <w:rFonts w:cstheme="minorHAnsi" w:hint="eastAsia"/>
          <w:szCs w:val="24"/>
          <w:lang w:eastAsia="ko-KR"/>
        </w:rPr>
        <w:t xml:space="preserve">Rename </w:t>
      </w:r>
      <w:r>
        <w:rPr>
          <w:rFonts w:hint="eastAsia"/>
          <w:szCs w:val="24"/>
          <w:lang w:eastAsia="ko-KR"/>
        </w:rPr>
        <w:t xml:space="preserve">from </w:t>
      </w:r>
      <w:r>
        <w:rPr>
          <w:szCs w:val="24"/>
          <w:lang w:eastAsia="ko-KR"/>
        </w:rPr>
        <w:t>“</w:t>
      </w:r>
      <w:r w:rsidRPr="00E82859">
        <w:rPr>
          <w:i/>
          <w:iCs/>
          <w:szCs w:val="24"/>
          <w:lang w:eastAsia="ko-KR"/>
        </w:rPr>
        <w:t>user</w:t>
      </w:r>
      <w:r w:rsidRPr="00E82859">
        <w:rPr>
          <w:rFonts w:hint="eastAsia"/>
          <w:i/>
          <w:iCs/>
          <w:szCs w:val="24"/>
          <w:lang w:eastAsia="ko-KR"/>
        </w:rPr>
        <w:t>s</w:t>
      </w:r>
      <w:r w:rsidRPr="00E82859">
        <w:rPr>
          <w:i/>
          <w:iCs/>
          <w:szCs w:val="24"/>
          <w:lang w:eastAsia="ko-KR"/>
        </w:rPr>
        <w:t>’ terminal</w:t>
      </w:r>
      <w:r w:rsidRPr="00E82859">
        <w:rPr>
          <w:rFonts w:hint="eastAsia"/>
          <w:i/>
          <w:iCs/>
          <w:szCs w:val="24"/>
          <w:lang w:eastAsia="ko-KR"/>
        </w:rPr>
        <w:t>s</w:t>
      </w:r>
      <w:r>
        <w:rPr>
          <w:szCs w:val="24"/>
          <w:lang w:eastAsia="ko-KR"/>
        </w:rPr>
        <w:t>” to “</w:t>
      </w:r>
      <w:r w:rsidRPr="00E82859">
        <w:rPr>
          <w:i/>
          <w:iCs/>
          <w:szCs w:val="24"/>
          <w:lang w:eastAsia="ko-KR"/>
        </w:rPr>
        <w:t>use</w:t>
      </w:r>
      <w:r w:rsidRPr="00E82859">
        <w:rPr>
          <w:rFonts w:hint="eastAsia"/>
          <w:i/>
          <w:iCs/>
          <w:szCs w:val="24"/>
          <w:lang w:eastAsia="ko-KR"/>
        </w:rPr>
        <w:t>rs</w:t>
      </w:r>
      <w:r w:rsidRPr="00E82859">
        <w:rPr>
          <w:i/>
          <w:iCs/>
          <w:szCs w:val="24"/>
          <w:lang w:eastAsia="ko-KR"/>
        </w:rPr>
        <w:t>’ terminal</w:t>
      </w:r>
      <w:r w:rsidRPr="00E82859">
        <w:rPr>
          <w:rFonts w:hint="eastAsia"/>
          <w:i/>
          <w:iCs/>
          <w:szCs w:val="24"/>
          <w:lang w:eastAsia="ko-KR"/>
        </w:rPr>
        <w:t>s/</w:t>
      </w:r>
      <w:r w:rsidRPr="00E82859">
        <w:rPr>
          <w:i/>
          <w:iCs/>
          <w:szCs w:val="24"/>
          <w:lang w:eastAsia="ko-KR"/>
        </w:rPr>
        <w:t>devices</w:t>
      </w:r>
      <w:r>
        <w:rPr>
          <w:szCs w:val="24"/>
          <w:lang w:eastAsia="ko-KR"/>
        </w:rPr>
        <w:t>”</w:t>
      </w:r>
      <w:r>
        <w:rPr>
          <w:rFonts w:hint="eastAsia"/>
          <w:szCs w:val="24"/>
          <w:lang w:eastAsia="ko-KR"/>
        </w:rPr>
        <w:t xml:space="preserve"> in the title and terms of reference (ToR) of Question C/2</w:t>
      </w:r>
      <w:r>
        <w:rPr>
          <w:rStyle w:val="FootnoteReference"/>
          <w:szCs w:val="24"/>
          <w:lang w:eastAsia="ko-KR"/>
        </w:rPr>
        <w:footnoteReference w:id="4"/>
      </w:r>
      <w:r>
        <w:rPr>
          <w:rFonts w:hint="eastAsia"/>
          <w:szCs w:val="24"/>
          <w:lang w:eastAsia="ko-KR"/>
        </w:rPr>
        <w:t>.</w:t>
      </w:r>
    </w:p>
    <w:p w14:paraId="6256669D" w14:textId="1A801F89" w:rsidR="001E7050" w:rsidRPr="008A219D" w:rsidRDefault="001E7050" w:rsidP="001E7050">
      <w:pPr>
        <w:pStyle w:val="ListParagraph"/>
        <w:numPr>
          <w:ilvl w:val="0"/>
          <w:numId w:val="20"/>
        </w:numPr>
        <w:spacing w:after="120"/>
        <w:rPr>
          <w:szCs w:val="24"/>
          <w:lang w:eastAsia="ko-KR"/>
        </w:rPr>
      </w:pPr>
      <w:r>
        <w:rPr>
          <w:rFonts w:hint="eastAsia"/>
          <w:szCs w:val="24"/>
          <w:lang w:eastAsia="ko-KR"/>
        </w:rPr>
        <w:t xml:space="preserve">Include </w:t>
      </w:r>
      <w:r>
        <w:rPr>
          <w:szCs w:val="24"/>
          <w:lang w:eastAsia="ko-KR"/>
        </w:rPr>
        <w:t xml:space="preserve">as far as possible </w:t>
      </w:r>
      <w:r>
        <w:rPr>
          <w:rFonts w:hint="eastAsia"/>
          <w:szCs w:val="24"/>
          <w:lang w:eastAsia="ko-KR"/>
        </w:rPr>
        <w:t>t</w:t>
      </w:r>
      <w:r>
        <w:rPr>
          <w:szCs w:val="24"/>
          <w:lang w:eastAsia="ko-KR"/>
        </w:rPr>
        <w:t xml:space="preserve">he </w:t>
      </w:r>
      <w:r>
        <w:rPr>
          <w:rFonts w:hint="eastAsia"/>
          <w:szCs w:val="24"/>
          <w:lang w:eastAsia="ko-KR"/>
        </w:rPr>
        <w:t xml:space="preserve">change </w:t>
      </w:r>
      <w:r>
        <w:rPr>
          <w:szCs w:val="24"/>
          <w:lang w:eastAsia="ko-KR"/>
        </w:rPr>
        <w:t>proposal</w:t>
      </w:r>
      <w:r w:rsidR="001D3393">
        <w:rPr>
          <w:rFonts w:hint="eastAsia"/>
          <w:szCs w:val="24"/>
          <w:lang w:eastAsia="ko-KR"/>
        </w:rPr>
        <w:t>s</w:t>
      </w:r>
      <w:r>
        <w:rPr>
          <w:szCs w:val="24"/>
          <w:lang w:eastAsia="ko-KR"/>
        </w:rPr>
        <w:t xml:space="preserve"> from </w:t>
      </w:r>
      <w:r>
        <w:rPr>
          <w:rFonts w:hint="eastAsia"/>
          <w:szCs w:val="24"/>
          <w:lang w:eastAsia="ko-KR"/>
        </w:rPr>
        <w:t xml:space="preserve">the </w:t>
      </w:r>
      <w:r>
        <w:rPr>
          <w:szCs w:val="24"/>
          <w:lang w:eastAsia="ko-KR"/>
        </w:rPr>
        <w:t xml:space="preserve">Russian Federation for </w:t>
      </w:r>
      <w:r>
        <w:rPr>
          <w:rFonts w:hint="eastAsia"/>
          <w:szCs w:val="24"/>
          <w:lang w:eastAsia="ko-KR"/>
        </w:rPr>
        <w:t xml:space="preserve">the </w:t>
      </w:r>
      <w:r>
        <w:rPr>
          <w:szCs w:val="24"/>
          <w:lang w:eastAsia="ko-KR"/>
        </w:rPr>
        <w:t xml:space="preserve">Q7/1 </w:t>
      </w:r>
      <w:r>
        <w:rPr>
          <w:rFonts w:hint="eastAsia"/>
          <w:szCs w:val="24"/>
          <w:lang w:eastAsia="ko-KR"/>
        </w:rPr>
        <w:t>ToR</w:t>
      </w:r>
      <w:r>
        <w:rPr>
          <w:szCs w:val="24"/>
          <w:lang w:eastAsia="ko-KR"/>
        </w:rPr>
        <w:t xml:space="preserve"> in the </w:t>
      </w:r>
      <w:r w:rsidRPr="004C3DAB">
        <w:rPr>
          <w:rFonts w:cstheme="minorHAnsi"/>
          <w:szCs w:val="24"/>
          <w:lang w:eastAsia="ko-KR"/>
        </w:rPr>
        <w:t xml:space="preserve">updated revision of document </w:t>
      </w:r>
      <w:hyperlink r:id="rId26" w:history="1">
        <w:r w:rsidRPr="004C3DAB">
          <w:rPr>
            <w:rStyle w:val="Hyperlink"/>
          </w:rPr>
          <w:t>TDAG-WG-futureSGQ/38</w:t>
        </w:r>
      </w:hyperlink>
      <w:r>
        <w:t xml:space="preserve"> under Question B/1</w:t>
      </w:r>
      <w:r>
        <w:rPr>
          <w:rStyle w:val="FootnoteReference"/>
        </w:rPr>
        <w:footnoteReference w:id="5"/>
      </w:r>
      <w:r>
        <w:t>.</w:t>
      </w:r>
    </w:p>
    <w:p w14:paraId="27AB86A1" w14:textId="77777777" w:rsidR="001E7050" w:rsidRDefault="001E7050" w:rsidP="001E7050">
      <w:pPr>
        <w:pStyle w:val="ListParagraph"/>
        <w:numPr>
          <w:ilvl w:val="0"/>
          <w:numId w:val="20"/>
        </w:numPr>
        <w:spacing w:after="120"/>
        <w:rPr>
          <w:szCs w:val="24"/>
          <w:lang w:eastAsia="ko-KR"/>
        </w:rPr>
      </w:pPr>
      <w:r w:rsidRPr="008A219D">
        <w:rPr>
          <w:rFonts w:hint="eastAsia"/>
          <w:szCs w:val="24"/>
          <w:lang w:eastAsia="ko-KR"/>
        </w:rPr>
        <w:t xml:space="preserve">Reference all contributions received in </w:t>
      </w:r>
      <w:r w:rsidRPr="008A219D">
        <w:rPr>
          <w:szCs w:val="24"/>
          <w:lang w:eastAsia="ko-KR"/>
        </w:rPr>
        <w:t xml:space="preserve">the final report of </w:t>
      </w:r>
      <w:r w:rsidRPr="008A219D">
        <w:rPr>
          <w:rFonts w:hint="eastAsia"/>
          <w:szCs w:val="24"/>
          <w:lang w:eastAsia="ko-KR"/>
        </w:rPr>
        <w:t xml:space="preserve">the </w:t>
      </w:r>
      <w:r w:rsidRPr="008A219D">
        <w:rPr>
          <w:szCs w:val="24"/>
          <w:lang w:eastAsia="ko-KR"/>
        </w:rPr>
        <w:t>TDAG-WG-futureSGQ Chair.</w:t>
      </w:r>
    </w:p>
    <w:p w14:paraId="7A58900C" w14:textId="77777777" w:rsidR="001E7050" w:rsidRDefault="001E7050" w:rsidP="001E7050">
      <w:pPr>
        <w:pStyle w:val="ListParagraph"/>
        <w:numPr>
          <w:ilvl w:val="0"/>
          <w:numId w:val="20"/>
        </w:numPr>
        <w:spacing w:after="120"/>
        <w:rPr>
          <w:szCs w:val="24"/>
          <w:lang w:eastAsia="ko-KR"/>
        </w:rPr>
      </w:pPr>
      <w:r>
        <w:rPr>
          <w:rFonts w:cstheme="minorHAnsi" w:hint="eastAsia"/>
          <w:szCs w:val="24"/>
          <w:lang w:eastAsia="ko-KR"/>
        </w:rPr>
        <w:t xml:space="preserve">Provide an </w:t>
      </w:r>
      <w:r w:rsidRPr="008A219D">
        <w:rPr>
          <w:rFonts w:cstheme="minorHAnsi"/>
          <w:szCs w:val="24"/>
          <w:lang w:eastAsia="ko-KR"/>
        </w:rPr>
        <w:t xml:space="preserve">updated revision of document </w:t>
      </w:r>
      <w:hyperlink r:id="rId27" w:history="1">
        <w:r w:rsidRPr="004C3DAB">
          <w:rPr>
            <w:rStyle w:val="Hyperlink"/>
          </w:rPr>
          <w:t>TDAG-WG-futureSGQ/38</w:t>
        </w:r>
      </w:hyperlink>
      <w:r w:rsidRPr="008A219D">
        <w:rPr>
          <w:rFonts w:cstheme="minorHAnsi"/>
          <w:szCs w:val="24"/>
          <w:lang w:eastAsia="ko-KR"/>
        </w:rPr>
        <w:t xml:space="preserve"> with tracked changes and without tracked changes</w:t>
      </w:r>
      <w:r>
        <w:rPr>
          <w:rFonts w:cstheme="minorHAnsi" w:hint="eastAsia"/>
          <w:szCs w:val="24"/>
          <w:lang w:eastAsia="ko-KR"/>
        </w:rPr>
        <w:t xml:space="preserve">. </w:t>
      </w:r>
      <w:r w:rsidRPr="008A219D">
        <w:rPr>
          <w:rFonts w:cstheme="minorHAnsi"/>
          <w:szCs w:val="24"/>
          <w:lang w:eastAsia="ko-KR"/>
        </w:rPr>
        <w:t xml:space="preserve">This document will </w:t>
      </w:r>
      <w:r w:rsidRPr="008A219D">
        <w:rPr>
          <w:rFonts w:hint="eastAsia"/>
          <w:szCs w:val="24"/>
          <w:lang w:eastAsia="ko-KR"/>
        </w:rPr>
        <w:t>tak</w:t>
      </w:r>
      <w:r w:rsidRPr="008A219D">
        <w:rPr>
          <w:szCs w:val="24"/>
          <w:lang w:eastAsia="ko-KR"/>
        </w:rPr>
        <w:t>e</w:t>
      </w:r>
      <w:r w:rsidRPr="008A219D">
        <w:rPr>
          <w:rFonts w:hint="eastAsia"/>
          <w:szCs w:val="24"/>
          <w:lang w:eastAsia="ko-KR"/>
        </w:rPr>
        <w:t xml:space="preserve"> into consideration all contributions and comments received</w:t>
      </w:r>
      <w:r w:rsidRPr="008A219D">
        <w:rPr>
          <w:szCs w:val="24"/>
          <w:lang w:eastAsia="ko-KR"/>
        </w:rPr>
        <w:t>.</w:t>
      </w:r>
    </w:p>
    <w:p w14:paraId="7759C759" w14:textId="0FE5B918" w:rsidR="00821996" w:rsidRDefault="001E7050" w:rsidP="00C27A6C">
      <w:pPr>
        <w:spacing w:after="120"/>
      </w:pPr>
      <w:r w:rsidRPr="00E82859">
        <w:rPr>
          <w:szCs w:val="24"/>
          <w:lang w:eastAsia="ko-KR"/>
        </w:rPr>
        <w:t xml:space="preserve">All participants </w:t>
      </w:r>
      <w:r w:rsidRPr="00E82859">
        <w:rPr>
          <w:rFonts w:hint="eastAsia"/>
          <w:szCs w:val="24"/>
          <w:lang w:eastAsia="ko-KR"/>
        </w:rPr>
        <w:t>were</w:t>
      </w:r>
      <w:r w:rsidRPr="00E82859">
        <w:rPr>
          <w:szCs w:val="24"/>
          <w:lang w:eastAsia="ko-KR"/>
        </w:rPr>
        <w:t xml:space="preserve"> requested to read the document without tracked changes and submit final contributions/proposals for the next meeting.</w:t>
      </w:r>
    </w:p>
    <w:sectPr w:rsidR="00821996" w:rsidSect="00473791">
      <w:headerReference w:type="default" r:id="rId28"/>
      <w:footerReference w:type="first" r:id="rId2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07F7" w14:textId="77777777" w:rsidR="00DD5B60" w:rsidRDefault="00DD5B60">
      <w:r>
        <w:separator/>
      </w:r>
    </w:p>
  </w:endnote>
  <w:endnote w:type="continuationSeparator" w:id="0">
    <w:p w14:paraId="49F91C64" w14:textId="77777777" w:rsidR="00DD5B60" w:rsidRDefault="00DD5B60">
      <w:r>
        <w:continuationSeparator/>
      </w:r>
    </w:p>
  </w:endnote>
  <w:endnote w:type="continuationNotice" w:id="1">
    <w:p w14:paraId="7A6D43D0" w14:textId="77777777" w:rsidR="00DD5B60" w:rsidRDefault="00DD5B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9" w:name="OrgName"/>
      <w:bookmarkEnd w:id="9"/>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0" w:name="PhoneNo"/>
      <w:bookmarkEnd w:id="10"/>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1" w:name="Email"/>
      <w:bookmarkEnd w:id="11"/>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4062" w14:textId="77777777" w:rsidR="00DD5B60" w:rsidRDefault="00DD5B60">
      <w:r>
        <w:t>____________________</w:t>
      </w:r>
    </w:p>
  </w:footnote>
  <w:footnote w:type="continuationSeparator" w:id="0">
    <w:p w14:paraId="0991F669" w14:textId="77777777" w:rsidR="00DD5B60" w:rsidRDefault="00DD5B60">
      <w:r>
        <w:continuationSeparator/>
      </w:r>
    </w:p>
  </w:footnote>
  <w:footnote w:type="continuationNotice" w:id="1">
    <w:p w14:paraId="7C4AE885" w14:textId="77777777" w:rsidR="00DD5B60" w:rsidRDefault="00DD5B60">
      <w:pPr>
        <w:spacing w:before="0"/>
      </w:pPr>
    </w:p>
  </w:footnote>
  <w:footnote w:id="2">
    <w:p w14:paraId="6726EA6F" w14:textId="4B16DBBA" w:rsidR="002132A5" w:rsidRPr="008D36FB" w:rsidRDefault="002132A5" w:rsidP="008D36FB">
      <w:pPr>
        <w:pStyle w:val="FootnoteText"/>
        <w:tabs>
          <w:tab w:val="clear" w:pos="255"/>
          <w:tab w:val="left" w:pos="266"/>
        </w:tabs>
        <w:spacing w:before="0"/>
        <w:rPr>
          <w:sz w:val="18"/>
          <w:szCs w:val="18"/>
          <w:lang w:eastAsia="ko-KR"/>
        </w:rPr>
      </w:pPr>
      <w:r>
        <w:rPr>
          <w:rStyle w:val="FootnoteReference"/>
        </w:rPr>
        <w:footnoteRef/>
      </w:r>
      <w:r w:rsidR="008D36FB">
        <w:rPr>
          <w:sz w:val="18"/>
          <w:szCs w:val="18"/>
          <w:lang w:eastAsia="ko-KR"/>
        </w:rPr>
        <w:tab/>
      </w:r>
      <w:r w:rsidRPr="008D36FB">
        <w:rPr>
          <w:rFonts w:hint="eastAsia"/>
          <w:sz w:val="18"/>
          <w:szCs w:val="18"/>
          <w:lang w:eastAsia="ko-KR"/>
        </w:rPr>
        <w:t xml:space="preserve">The Question numbers refer to the Questions of the 2022-2025 study period: </w:t>
      </w:r>
      <w:hyperlink r:id="rId1" w:history="1">
        <w:r w:rsidRPr="008D36FB">
          <w:rPr>
            <w:rStyle w:val="Hyperlink"/>
            <w:rFonts w:hint="eastAsia"/>
            <w:sz w:val="18"/>
            <w:szCs w:val="18"/>
            <w:lang w:eastAsia="ko-KR"/>
          </w:rPr>
          <w:t>link</w:t>
        </w:r>
      </w:hyperlink>
      <w:r w:rsidRPr="008D36FB">
        <w:rPr>
          <w:rFonts w:hint="eastAsia"/>
          <w:sz w:val="18"/>
          <w:szCs w:val="18"/>
          <w:lang w:eastAsia="ko-KR"/>
        </w:rPr>
        <w:t xml:space="preserve"> </w:t>
      </w:r>
    </w:p>
  </w:footnote>
  <w:footnote w:id="3">
    <w:p w14:paraId="0344B668" w14:textId="77777777" w:rsidR="001E7050" w:rsidRDefault="001E7050" w:rsidP="001E7050">
      <w:pPr>
        <w:pStyle w:val="FootnoteText"/>
        <w:tabs>
          <w:tab w:val="clear" w:pos="255"/>
          <w:tab w:val="left" w:pos="142"/>
        </w:tabs>
        <w:spacing w:before="0"/>
        <w:rPr>
          <w:lang w:eastAsia="ko-KR"/>
        </w:rPr>
      </w:pPr>
      <w:r w:rsidRPr="008D36FB">
        <w:rPr>
          <w:rStyle w:val="FootnoteReference"/>
          <w:szCs w:val="18"/>
        </w:rPr>
        <w:footnoteRef/>
      </w:r>
      <w:r w:rsidRPr="008D36FB">
        <w:rPr>
          <w:sz w:val="18"/>
          <w:szCs w:val="18"/>
        </w:rPr>
        <w:t xml:space="preserve"> </w:t>
      </w:r>
      <w:r>
        <w:rPr>
          <w:sz w:val="18"/>
          <w:szCs w:val="18"/>
        </w:rPr>
        <w:tab/>
      </w:r>
      <w:r w:rsidRPr="008D36FB">
        <w:rPr>
          <w:rFonts w:hint="eastAsia"/>
          <w:sz w:val="18"/>
          <w:szCs w:val="18"/>
          <w:lang w:eastAsia="ko-KR"/>
        </w:rPr>
        <w:t>This Question propose</w:t>
      </w:r>
      <w:r>
        <w:rPr>
          <w:rFonts w:hint="eastAsia"/>
          <w:sz w:val="18"/>
          <w:szCs w:val="18"/>
          <w:lang w:eastAsia="ko-KR"/>
        </w:rPr>
        <w:t>s</w:t>
      </w:r>
      <w:r w:rsidRPr="008D36FB">
        <w:rPr>
          <w:rFonts w:hint="eastAsia"/>
          <w:sz w:val="18"/>
          <w:szCs w:val="18"/>
          <w:lang w:eastAsia="ko-KR"/>
        </w:rPr>
        <w:t xml:space="preserve"> to </w:t>
      </w:r>
      <w:r w:rsidRPr="008D36FB">
        <w:rPr>
          <w:sz w:val="18"/>
          <w:szCs w:val="18"/>
        </w:rPr>
        <w:t>merge the previous Q1/1 on broadband and the previous Q5/1 on rural &amp; remote areas</w:t>
      </w:r>
      <w:r>
        <w:rPr>
          <w:rFonts w:hint="eastAsia"/>
          <w:sz w:val="18"/>
          <w:szCs w:val="18"/>
          <w:lang w:eastAsia="ko-KR"/>
        </w:rPr>
        <w:t>.</w:t>
      </w:r>
    </w:p>
  </w:footnote>
  <w:footnote w:id="4">
    <w:p w14:paraId="7E166348" w14:textId="77777777" w:rsidR="001E7050" w:rsidRPr="008D36FB" w:rsidRDefault="001E7050" w:rsidP="001E7050">
      <w:pPr>
        <w:pStyle w:val="FootnoteText"/>
        <w:tabs>
          <w:tab w:val="clear" w:pos="255"/>
          <w:tab w:val="left" w:pos="142"/>
        </w:tabs>
        <w:spacing w:before="0"/>
        <w:rPr>
          <w:sz w:val="18"/>
          <w:szCs w:val="18"/>
          <w:lang w:eastAsia="ko-KR"/>
        </w:rPr>
      </w:pPr>
      <w:r>
        <w:rPr>
          <w:rStyle w:val="FootnoteReference"/>
        </w:rPr>
        <w:footnoteRef/>
      </w:r>
      <w:r>
        <w:t xml:space="preserve"> </w:t>
      </w:r>
      <w:r>
        <w:tab/>
      </w:r>
      <w:r w:rsidRPr="008D36FB">
        <w:rPr>
          <w:rFonts w:hint="eastAsia"/>
          <w:sz w:val="18"/>
          <w:szCs w:val="18"/>
          <w:lang w:eastAsia="ko-KR"/>
        </w:rPr>
        <w:t>This Question propose</w:t>
      </w:r>
      <w:r>
        <w:rPr>
          <w:rFonts w:hint="eastAsia"/>
          <w:sz w:val="18"/>
          <w:szCs w:val="18"/>
          <w:lang w:eastAsia="ko-KR"/>
        </w:rPr>
        <w:t>s</w:t>
      </w:r>
      <w:r w:rsidRPr="008D36FB">
        <w:rPr>
          <w:rFonts w:hint="eastAsia"/>
          <w:sz w:val="18"/>
          <w:szCs w:val="18"/>
          <w:lang w:eastAsia="ko-KR"/>
        </w:rPr>
        <w:t xml:space="preserve"> to </w:t>
      </w:r>
      <w:r>
        <w:rPr>
          <w:rFonts w:hint="eastAsia"/>
          <w:sz w:val="18"/>
          <w:szCs w:val="18"/>
          <w:lang w:eastAsia="ko-KR"/>
        </w:rPr>
        <w:t xml:space="preserve">put </w:t>
      </w:r>
      <w:r w:rsidRPr="008D36FB">
        <w:rPr>
          <w:rFonts w:hint="eastAsia"/>
          <w:sz w:val="18"/>
          <w:szCs w:val="18"/>
          <w:lang w:eastAsia="ko-KR"/>
        </w:rPr>
        <w:t xml:space="preserve">together the new topic on device availability &amp; affordability </w:t>
      </w:r>
      <w:r w:rsidRPr="008D36FB">
        <w:rPr>
          <w:sz w:val="18"/>
          <w:szCs w:val="18"/>
          <w:lang w:eastAsia="ko-KR"/>
        </w:rPr>
        <w:t>with</w:t>
      </w:r>
      <w:r w:rsidRPr="008D36FB">
        <w:rPr>
          <w:rFonts w:hint="eastAsia"/>
          <w:sz w:val="18"/>
          <w:szCs w:val="18"/>
          <w:lang w:eastAsia="ko-KR"/>
        </w:rPr>
        <w:t xml:space="preserve"> the previous Q4/2 on C&amp;I, counterfeit </w:t>
      </w:r>
      <w:r>
        <w:rPr>
          <w:rFonts w:hint="eastAsia"/>
          <w:sz w:val="18"/>
          <w:szCs w:val="18"/>
          <w:lang w:eastAsia="ko-KR"/>
        </w:rPr>
        <w:t xml:space="preserve">of ICT equipment </w:t>
      </w:r>
      <w:r w:rsidRPr="008D36FB">
        <w:rPr>
          <w:rFonts w:hint="eastAsia"/>
          <w:sz w:val="18"/>
          <w:szCs w:val="18"/>
          <w:lang w:eastAsia="ko-KR"/>
        </w:rPr>
        <w:t>and theft of mobile devices</w:t>
      </w:r>
      <w:r>
        <w:rPr>
          <w:rFonts w:hint="eastAsia"/>
          <w:sz w:val="18"/>
          <w:szCs w:val="18"/>
          <w:lang w:eastAsia="ko-KR"/>
        </w:rPr>
        <w:t>.</w:t>
      </w:r>
    </w:p>
  </w:footnote>
  <w:footnote w:id="5">
    <w:p w14:paraId="3BEBC781" w14:textId="77777777" w:rsidR="001E7050" w:rsidRDefault="001E7050" w:rsidP="001E7050">
      <w:pPr>
        <w:pStyle w:val="FootnoteText"/>
        <w:spacing w:before="0"/>
        <w:rPr>
          <w:lang w:eastAsia="ko-KR"/>
        </w:rPr>
      </w:pPr>
      <w:r>
        <w:rPr>
          <w:rStyle w:val="FootnoteReference"/>
        </w:rPr>
        <w:footnoteRef/>
      </w:r>
      <w:r>
        <w:t xml:space="preserve"> </w:t>
      </w:r>
      <w:r w:rsidRPr="008D36FB">
        <w:rPr>
          <w:rFonts w:hint="eastAsia"/>
          <w:sz w:val="18"/>
          <w:szCs w:val="18"/>
          <w:lang w:eastAsia="ko-KR"/>
        </w:rPr>
        <w:t>This Question propose</w:t>
      </w:r>
      <w:r>
        <w:rPr>
          <w:rFonts w:hint="eastAsia"/>
          <w:sz w:val="18"/>
          <w:szCs w:val="18"/>
          <w:lang w:eastAsia="ko-KR"/>
        </w:rPr>
        <w:t>s</w:t>
      </w:r>
      <w:r w:rsidRPr="008D36FB">
        <w:rPr>
          <w:rFonts w:hint="eastAsia"/>
          <w:sz w:val="18"/>
          <w:szCs w:val="18"/>
          <w:lang w:eastAsia="ko-KR"/>
        </w:rPr>
        <w:t xml:space="preserve"> to </w:t>
      </w:r>
      <w:r w:rsidRPr="008D36FB">
        <w:rPr>
          <w:sz w:val="18"/>
          <w:szCs w:val="18"/>
        </w:rPr>
        <w:t>merge the previous Q</w:t>
      </w:r>
      <w:r>
        <w:rPr>
          <w:rFonts w:hint="eastAsia"/>
          <w:sz w:val="18"/>
          <w:szCs w:val="18"/>
          <w:lang w:eastAsia="ko-KR"/>
        </w:rPr>
        <w:t>6</w:t>
      </w:r>
      <w:r w:rsidRPr="008D36FB">
        <w:rPr>
          <w:sz w:val="18"/>
          <w:szCs w:val="18"/>
        </w:rPr>
        <w:t xml:space="preserve">/1 on </w:t>
      </w:r>
      <w:r>
        <w:rPr>
          <w:rFonts w:hint="eastAsia"/>
          <w:sz w:val="18"/>
          <w:szCs w:val="18"/>
          <w:lang w:eastAsia="ko-KR"/>
        </w:rPr>
        <w:t>consumer protection and</w:t>
      </w:r>
      <w:r w:rsidRPr="008D36FB">
        <w:rPr>
          <w:sz w:val="18"/>
          <w:szCs w:val="18"/>
        </w:rPr>
        <w:t xml:space="preserve"> the previous Q</w:t>
      </w:r>
      <w:r>
        <w:rPr>
          <w:rFonts w:hint="eastAsia"/>
          <w:sz w:val="18"/>
          <w:szCs w:val="18"/>
          <w:lang w:eastAsia="ko-KR"/>
        </w:rPr>
        <w:t>7</w:t>
      </w:r>
      <w:r w:rsidRPr="008D36FB">
        <w:rPr>
          <w:sz w:val="18"/>
          <w:szCs w:val="18"/>
        </w:rPr>
        <w:t xml:space="preserve">/1 on </w:t>
      </w:r>
      <w:r>
        <w:rPr>
          <w:rFonts w:hint="eastAsia"/>
          <w:sz w:val="18"/>
          <w:szCs w:val="18"/>
          <w:lang w:eastAsia="ko-KR"/>
        </w:rPr>
        <w:t>accessibility.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BDFA433"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7" w:name="DocRef2"/>
    <w:bookmarkEnd w:id="7"/>
    <w:r w:rsidRPr="00FF089C">
      <w:rPr>
        <w:sz w:val="22"/>
        <w:szCs w:val="22"/>
        <w:lang w:val="es-ES_tradnl"/>
      </w:rPr>
      <w:t>RPM-</w:t>
    </w:r>
    <w:r w:rsidR="007623CD">
      <w:rPr>
        <w:sz w:val="22"/>
        <w:szCs w:val="22"/>
        <w:lang w:val="es-ES_tradnl"/>
      </w:rPr>
      <w:t>CIS</w:t>
    </w:r>
    <w:r>
      <w:rPr>
        <w:sz w:val="22"/>
        <w:szCs w:val="22"/>
        <w:lang w:val="es-ES_tradnl"/>
      </w:rPr>
      <w:t>25</w:t>
    </w:r>
    <w:r w:rsidRPr="00FF089C">
      <w:rPr>
        <w:sz w:val="22"/>
        <w:szCs w:val="22"/>
        <w:lang w:val="es-ES_tradnl"/>
      </w:rPr>
      <w:t>/</w:t>
    </w:r>
    <w:bookmarkStart w:id="8" w:name="DocNo2"/>
    <w:bookmarkEnd w:id="8"/>
    <w:r>
      <w:rPr>
        <w:sz w:val="22"/>
        <w:szCs w:val="22"/>
        <w:lang w:val="es-ES_tradnl"/>
      </w:rPr>
      <w:t>5</w:t>
    </w:r>
    <w:r w:rsidR="00F716EF">
      <w:rPr>
        <w:sz w:val="22"/>
        <w:szCs w:val="22"/>
        <w:lang w:val="es-ES_tradnl"/>
      </w:rPr>
      <w:t>(Rev.</w:t>
    </w:r>
    <w:r w:rsidR="0033474A">
      <w:rPr>
        <w:rFonts w:hint="eastAsia"/>
        <w:sz w:val="22"/>
        <w:szCs w:val="22"/>
        <w:lang w:val="es-ES_tradnl" w:eastAsia="ko-KR"/>
      </w:rPr>
      <w:t>3</w:t>
    </w:r>
    <w:r w:rsidR="00F716EF">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BF4DFC"/>
    <w:multiLevelType w:val="hybridMultilevel"/>
    <w:tmpl w:val="DE12EF30"/>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245BBD"/>
    <w:multiLevelType w:val="hybridMultilevel"/>
    <w:tmpl w:val="F58E0B92"/>
    <w:lvl w:ilvl="0" w:tplc="81FE6A5A">
      <w:start w:val="1"/>
      <w:numFmt w:val="bullet"/>
      <w:lvlText w:val="-"/>
      <w:lvlJc w:val="left"/>
      <w:pPr>
        <w:ind w:left="360" w:hanging="360"/>
      </w:pPr>
      <w:rPr>
        <w:rFonts w:ascii="Calibri" w:eastAsia="Times New Roman"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6"/>
  </w:num>
  <w:num w:numId="2" w16cid:durableId="1423259638">
    <w:abstractNumId w:val="9"/>
  </w:num>
  <w:num w:numId="3" w16cid:durableId="36979227">
    <w:abstractNumId w:val="0"/>
  </w:num>
  <w:num w:numId="4" w16cid:durableId="24913510">
    <w:abstractNumId w:val="13"/>
  </w:num>
  <w:num w:numId="5" w16cid:durableId="1150486027">
    <w:abstractNumId w:val="4"/>
  </w:num>
  <w:num w:numId="6" w16cid:durableId="1382053068">
    <w:abstractNumId w:val="5"/>
  </w:num>
  <w:num w:numId="7" w16cid:durableId="1556818885">
    <w:abstractNumId w:val="19"/>
  </w:num>
  <w:num w:numId="8" w16cid:durableId="1962029091">
    <w:abstractNumId w:val="15"/>
  </w:num>
  <w:num w:numId="9" w16cid:durableId="2111268075">
    <w:abstractNumId w:val="11"/>
  </w:num>
  <w:num w:numId="10" w16cid:durableId="136993871">
    <w:abstractNumId w:val="17"/>
  </w:num>
  <w:num w:numId="11" w16cid:durableId="947810580">
    <w:abstractNumId w:val="18"/>
  </w:num>
  <w:num w:numId="12" w16cid:durableId="1361591812">
    <w:abstractNumId w:val="2"/>
  </w:num>
  <w:num w:numId="13" w16cid:durableId="451554289">
    <w:abstractNumId w:val="20"/>
  </w:num>
  <w:num w:numId="14" w16cid:durableId="991712058">
    <w:abstractNumId w:val="6"/>
  </w:num>
  <w:num w:numId="15" w16cid:durableId="74597831">
    <w:abstractNumId w:val="3"/>
  </w:num>
  <w:num w:numId="16" w16cid:durableId="423914179">
    <w:abstractNumId w:val="7"/>
  </w:num>
  <w:num w:numId="17" w16cid:durableId="1782339298">
    <w:abstractNumId w:val="14"/>
  </w:num>
  <w:num w:numId="18" w16cid:durableId="600458427">
    <w:abstractNumId w:val="12"/>
  </w:num>
  <w:num w:numId="19" w16cid:durableId="980041875">
    <w:abstractNumId w:val="1"/>
  </w:num>
  <w:num w:numId="20" w16cid:durableId="99568132">
    <w:abstractNumId w:val="8"/>
  </w:num>
  <w:num w:numId="21" w16cid:durableId="430512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503B3"/>
    <w:rsid w:val="000539F1"/>
    <w:rsid w:val="00054747"/>
    <w:rsid w:val="00055A2A"/>
    <w:rsid w:val="000615C1"/>
    <w:rsid w:val="00061675"/>
    <w:rsid w:val="000743AA"/>
    <w:rsid w:val="000840C1"/>
    <w:rsid w:val="00086EF8"/>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0EA"/>
    <w:rsid w:val="00191273"/>
    <w:rsid w:val="001942A7"/>
    <w:rsid w:val="0019587B"/>
    <w:rsid w:val="001A163D"/>
    <w:rsid w:val="001A441E"/>
    <w:rsid w:val="001A6733"/>
    <w:rsid w:val="001B357F"/>
    <w:rsid w:val="001C3444"/>
    <w:rsid w:val="001C3702"/>
    <w:rsid w:val="001C4656"/>
    <w:rsid w:val="001C46BC"/>
    <w:rsid w:val="001D1941"/>
    <w:rsid w:val="001D1E06"/>
    <w:rsid w:val="001D3393"/>
    <w:rsid w:val="001D4570"/>
    <w:rsid w:val="001E7050"/>
    <w:rsid w:val="001F23E6"/>
    <w:rsid w:val="001F4238"/>
    <w:rsid w:val="001F7794"/>
    <w:rsid w:val="00200A38"/>
    <w:rsid w:val="00200A46"/>
    <w:rsid w:val="00211B6F"/>
    <w:rsid w:val="002132A5"/>
    <w:rsid w:val="002176FB"/>
    <w:rsid w:val="00217CC3"/>
    <w:rsid w:val="00220AB6"/>
    <w:rsid w:val="0022120F"/>
    <w:rsid w:val="0022754A"/>
    <w:rsid w:val="00235CAB"/>
    <w:rsid w:val="00236560"/>
    <w:rsid w:val="0023662E"/>
    <w:rsid w:val="002414B0"/>
    <w:rsid w:val="00245D0F"/>
    <w:rsid w:val="002548C3"/>
    <w:rsid w:val="00257ACD"/>
    <w:rsid w:val="00262908"/>
    <w:rsid w:val="002650F4"/>
    <w:rsid w:val="00270E32"/>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3474A"/>
    <w:rsid w:val="00351C79"/>
    <w:rsid w:val="0035516C"/>
    <w:rsid w:val="00355A4C"/>
    <w:rsid w:val="003604FB"/>
    <w:rsid w:val="00360B73"/>
    <w:rsid w:val="00367497"/>
    <w:rsid w:val="00380B71"/>
    <w:rsid w:val="0038365A"/>
    <w:rsid w:val="003864E4"/>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E484C"/>
    <w:rsid w:val="003F001F"/>
    <w:rsid w:val="003F2DD8"/>
    <w:rsid w:val="003F3F2D"/>
    <w:rsid w:val="003F50B2"/>
    <w:rsid w:val="00400CCF"/>
    <w:rsid w:val="00401BFF"/>
    <w:rsid w:val="00402D67"/>
    <w:rsid w:val="00404424"/>
    <w:rsid w:val="00410E06"/>
    <w:rsid w:val="0041156B"/>
    <w:rsid w:val="004122C5"/>
    <w:rsid w:val="00413B78"/>
    <w:rsid w:val="004146FD"/>
    <w:rsid w:val="00416DDE"/>
    <w:rsid w:val="004216FE"/>
    <w:rsid w:val="0044411E"/>
    <w:rsid w:val="00453435"/>
    <w:rsid w:val="00460089"/>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168CF"/>
    <w:rsid w:val="00533CDD"/>
    <w:rsid w:val="0054420E"/>
    <w:rsid w:val="00544D1B"/>
    <w:rsid w:val="00545DC0"/>
    <w:rsid w:val="00545F6C"/>
    <w:rsid w:val="005477D9"/>
    <w:rsid w:val="0055720C"/>
    <w:rsid w:val="00561796"/>
    <w:rsid w:val="005632DD"/>
    <w:rsid w:val="00563F4A"/>
    <w:rsid w:val="0056423B"/>
    <w:rsid w:val="005659AA"/>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60716"/>
    <w:rsid w:val="00671EF6"/>
    <w:rsid w:val="0067205B"/>
    <w:rsid w:val="006748F8"/>
    <w:rsid w:val="00680489"/>
    <w:rsid w:val="0068082D"/>
    <w:rsid w:val="00683C32"/>
    <w:rsid w:val="00690BB2"/>
    <w:rsid w:val="0069181B"/>
    <w:rsid w:val="00693D09"/>
    <w:rsid w:val="00696D4C"/>
    <w:rsid w:val="006A0DDD"/>
    <w:rsid w:val="006A6549"/>
    <w:rsid w:val="006A7710"/>
    <w:rsid w:val="006A7A61"/>
    <w:rsid w:val="006B1E59"/>
    <w:rsid w:val="006B1EFA"/>
    <w:rsid w:val="006B2FFB"/>
    <w:rsid w:val="006C075B"/>
    <w:rsid w:val="006C10A2"/>
    <w:rsid w:val="006C1F18"/>
    <w:rsid w:val="006C5D3D"/>
    <w:rsid w:val="006D394A"/>
    <w:rsid w:val="006D40D5"/>
    <w:rsid w:val="006D4EA0"/>
    <w:rsid w:val="006E477C"/>
    <w:rsid w:val="006F009A"/>
    <w:rsid w:val="006F24AF"/>
    <w:rsid w:val="006F3D93"/>
    <w:rsid w:val="007019B1"/>
    <w:rsid w:val="007047F7"/>
    <w:rsid w:val="0071703D"/>
    <w:rsid w:val="00721657"/>
    <w:rsid w:val="007279A8"/>
    <w:rsid w:val="00727B1A"/>
    <w:rsid w:val="00741337"/>
    <w:rsid w:val="00741443"/>
    <w:rsid w:val="00752258"/>
    <w:rsid w:val="007529E1"/>
    <w:rsid w:val="007623CD"/>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13AC"/>
    <w:rsid w:val="007C27FC"/>
    <w:rsid w:val="007C51FF"/>
    <w:rsid w:val="007D50E4"/>
    <w:rsid w:val="007E2DC5"/>
    <w:rsid w:val="007E48F2"/>
    <w:rsid w:val="007F1CC7"/>
    <w:rsid w:val="007F37DF"/>
    <w:rsid w:val="008027AC"/>
    <w:rsid w:val="008028CE"/>
    <w:rsid w:val="0080332E"/>
    <w:rsid w:val="00807150"/>
    <w:rsid w:val="00807862"/>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67C39"/>
    <w:rsid w:val="00872B6E"/>
    <w:rsid w:val="00874DFD"/>
    <w:rsid w:val="00877288"/>
    <w:rsid w:val="008802F9"/>
    <w:rsid w:val="00883086"/>
    <w:rsid w:val="00886F1F"/>
    <w:rsid w:val="008879FD"/>
    <w:rsid w:val="00893C51"/>
    <w:rsid w:val="00894C37"/>
    <w:rsid w:val="008A00EA"/>
    <w:rsid w:val="008A219D"/>
    <w:rsid w:val="008A3F93"/>
    <w:rsid w:val="008A49EC"/>
    <w:rsid w:val="008A6236"/>
    <w:rsid w:val="008A6E1C"/>
    <w:rsid w:val="008A72FD"/>
    <w:rsid w:val="008B2EDF"/>
    <w:rsid w:val="008B47C7"/>
    <w:rsid w:val="008B5129"/>
    <w:rsid w:val="008B54CB"/>
    <w:rsid w:val="008B5A3D"/>
    <w:rsid w:val="008B5F7C"/>
    <w:rsid w:val="008C4010"/>
    <w:rsid w:val="008C4FDF"/>
    <w:rsid w:val="008C614C"/>
    <w:rsid w:val="008C6379"/>
    <w:rsid w:val="008C6B1F"/>
    <w:rsid w:val="008D36FB"/>
    <w:rsid w:val="008D5E4F"/>
    <w:rsid w:val="008E2D1A"/>
    <w:rsid w:val="008E34F0"/>
    <w:rsid w:val="008F14F5"/>
    <w:rsid w:val="008F4512"/>
    <w:rsid w:val="008F71C1"/>
    <w:rsid w:val="008F7976"/>
    <w:rsid w:val="00902D41"/>
    <w:rsid w:val="00902F49"/>
    <w:rsid w:val="00904230"/>
    <w:rsid w:val="00905B87"/>
    <w:rsid w:val="00914004"/>
    <w:rsid w:val="009148C7"/>
    <w:rsid w:val="00922EC1"/>
    <w:rsid w:val="00923CF1"/>
    <w:rsid w:val="009301F1"/>
    <w:rsid w:val="009307DF"/>
    <w:rsid w:val="00931371"/>
    <w:rsid w:val="009359B8"/>
    <w:rsid w:val="00935FF0"/>
    <w:rsid w:val="009373DB"/>
    <w:rsid w:val="009431F8"/>
    <w:rsid w:val="00943AEA"/>
    <w:rsid w:val="00947A35"/>
    <w:rsid w:val="00952667"/>
    <w:rsid w:val="0096201B"/>
    <w:rsid w:val="00962081"/>
    <w:rsid w:val="00964BFA"/>
    <w:rsid w:val="00966CB5"/>
    <w:rsid w:val="00974C40"/>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07EE"/>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23E45"/>
    <w:rsid w:val="00B310F9"/>
    <w:rsid w:val="00B37866"/>
    <w:rsid w:val="00B412FB"/>
    <w:rsid w:val="00B43A3C"/>
    <w:rsid w:val="00B4576B"/>
    <w:rsid w:val="00B46350"/>
    <w:rsid w:val="00B46DF3"/>
    <w:rsid w:val="00B543C8"/>
    <w:rsid w:val="00B5794F"/>
    <w:rsid w:val="00B648C7"/>
    <w:rsid w:val="00B66E8F"/>
    <w:rsid w:val="00B705DC"/>
    <w:rsid w:val="00B76837"/>
    <w:rsid w:val="00B80157"/>
    <w:rsid w:val="00B833F1"/>
    <w:rsid w:val="00B83D5E"/>
    <w:rsid w:val="00B8460A"/>
    <w:rsid w:val="00B8650D"/>
    <w:rsid w:val="00B879B4"/>
    <w:rsid w:val="00B90F07"/>
    <w:rsid w:val="00B94D1F"/>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27A6C"/>
    <w:rsid w:val="00C34EC3"/>
    <w:rsid w:val="00C4038C"/>
    <w:rsid w:val="00C42BA2"/>
    <w:rsid w:val="00C44066"/>
    <w:rsid w:val="00C44E13"/>
    <w:rsid w:val="00C4760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475FA"/>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27AB"/>
    <w:rsid w:val="00DF2AB3"/>
    <w:rsid w:val="00DF7250"/>
    <w:rsid w:val="00E00CAA"/>
    <w:rsid w:val="00E03EBF"/>
    <w:rsid w:val="00E05209"/>
    <w:rsid w:val="00E05AC1"/>
    <w:rsid w:val="00E11BCF"/>
    <w:rsid w:val="00E1562B"/>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2859"/>
    <w:rsid w:val="00E83810"/>
    <w:rsid w:val="00E86933"/>
    <w:rsid w:val="00E9605B"/>
    <w:rsid w:val="00E97298"/>
    <w:rsid w:val="00E97753"/>
    <w:rsid w:val="00EA0C51"/>
    <w:rsid w:val="00EA7DE7"/>
    <w:rsid w:val="00EB7A8A"/>
    <w:rsid w:val="00EC1770"/>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832B1"/>
    <w:rsid w:val="00F9211C"/>
    <w:rsid w:val="00F9287C"/>
    <w:rsid w:val="00FA095D"/>
    <w:rsid w:val="00FA6C8B"/>
    <w:rsid w:val="00FA6CDA"/>
    <w:rsid w:val="00FA7C89"/>
    <w:rsid w:val="00FB0593"/>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5/" TargetMode="External"/><Relationship Id="rId26" Type="http://schemas.openxmlformats.org/officeDocument/2006/relationships/hyperlink" Target="https://www.itu.int/md/D22-TDAG.WG.SGQ-C-0038" TargetMode="Externa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s://www.itu.int/md/D22-TDAG.WG.SGQ-C-0038" TargetMode="Externa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SGQ-C-0041/" TargetMode="Externa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yperlink" Target="https://www.itu.int/md/D22-TDAG.WG.SGQ-C-0029"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hyperlink" Target="https://www.itu.int/md/D22-TDAG.WG.SGQ-C-0038"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C033D9DE-34BB-405B-BA97-56AFC10E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5</cp:revision>
  <cp:lastPrinted>2014-11-04T09:22:00Z</cp:lastPrinted>
  <dcterms:created xsi:type="dcterms:W3CDTF">2025-04-22T13:09:00Z</dcterms:created>
  <dcterms:modified xsi:type="dcterms:W3CDTF">2025-04-23T17:16:00Z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