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492"/>
        <w:tblW w:w="9888"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1985"/>
        <w:gridCol w:w="4394"/>
        <w:gridCol w:w="1985"/>
        <w:gridCol w:w="1524"/>
      </w:tblGrid>
      <w:tr w:rsidR="00C44CA9" w:rsidRPr="002B64E2" w14:paraId="3F0E9EC4" w14:textId="77777777" w:rsidTr="004E7C4F">
        <w:trPr>
          <w:cantSplit/>
          <w:trHeight w:val="1134"/>
        </w:trPr>
        <w:tc>
          <w:tcPr>
            <w:tcW w:w="1985" w:type="dxa"/>
          </w:tcPr>
          <w:p w14:paraId="3C938C68" w14:textId="25C6C40B" w:rsidR="00C44CA9" w:rsidRPr="002B64E2" w:rsidRDefault="005C241B" w:rsidP="00F47DC1">
            <w:pPr>
              <w:tabs>
                <w:tab w:val="clear" w:pos="1191"/>
                <w:tab w:val="clear" w:pos="1588"/>
                <w:tab w:val="clear" w:pos="1985"/>
              </w:tabs>
              <w:spacing w:before="60" w:after="40"/>
              <w:rPr>
                <w:b/>
                <w:bCs/>
                <w:sz w:val="32"/>
                <w:szCs w:val="32"/>
              </w:rPr>
            </w:pPr>
            <w:r>
              <w:rPr>
                <w:noProof/>
                <w:sz w:val="32"/>
                <w:szCs w:val="32"/>
              </w:rPr>
              <w:drawing>
                <wp:inline distT="0" distB="0" distL="0" distR="0" wp14:anchorId="555BB03D" wp14:editId="02B48C4B">
                  <wp:extent cx="1080000" cy="946800"/>
                  <wp:effectExtent l="0" t="0" r="6350" b="0"/>
                  <wp:docPr id="11334094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712" t="10301" r="25343" b="16660"/>
                          <a:stretch/>
                        </pic:blipFill>
                        <pic:spPr bwMode="auto">
                          <a:xfrm>
                            <a:off x="0" y="0"/>
                            <a:ext cx="1080000" cy="946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9" w:type="dxa"/>
            <w:gridSpan w:val="2"/>
          </w:tcPr>
          <w:p w14:paraId="39509D9F" w14:textId="77777777" w:rsidR="004E7C4F" w:rsidRDefault="004E7C4F" w:rsidP="004E7C4F">
            <w:pPr>
              <w:tabs>
                <w:tab w:val="clear" w:pos="1191"/>
                <w:tab w:val="clear" w:pos="1588"/>
                <w:tab w:val="clear" w:pos="1985"/>
              </w:tabs>
              <w:spacing w:before="240" w:after="120"/>
              <w:ind w:left="34"/>
              <w:rPr>
                <w:b/>
                <w:bCs/>
                <w:sz w:val="32"/>
                <w:szCs w:val="32"/>
              </w:rPr>
            </w:pPr>
            <w:r w:rsidRPr="006B503E">
              <w:rPr>
                <w:b/>
                <w:bCs/>
                <w:sz w:val="32"/>
                <w:szCs w:val="32"/>
              </w:rPr>
              <w:t xml:space="preserve">Regional Preparatory Meeting </w:t>
            </w:r>
            <w:r>
              <w:rPr>
                <w:b/>
                <w:bCs/>
                <w:sz w:val="32"/>
                <w:szCs w:val="32"/>
              </w:rPr>
              <w:br/>
            </w:r>
            <w:r w:rsidRPr="006B503E">
              <w:rPr>
                <w:b/>
                <w:bCs/>
                <w:sz w:val="32"/>
                <w:szCs w:val="32"/>
              </w:rPr>
              <w:t>for</w:t>
            </w:r>
            <w:r w:rsidRPr="004B1E9D">
              <w:rPr>
                <w:b/>
                <w:bCs/>
                <w:sz w:val="32"/>
                <w:szCs w:val="32"/>
              </w:rPr>
              <w:t xml:space="preserve"> CIS Countrie</w:t>
            </w:r>
            <w:r>
              <w:rPr>
                <w:b/>
                <w:bCs/>
                <w:sz w:val="32"/>
                <w:szCs w:val="32"/>
              </w:rPr>
              <w:t xml:space="preserve">s </w:t>
            </w:r>
            <w:r w:rsidRPr="006B503E">
              <w:rPr>
                <w:b/>
                <w:bCs/>
                <w:sz w:val="32"/>
                <w:szCs w:val="32"/>
              </w:rPr>
              <w:t>for WTDC-25</w:t>
            </w:r>
            <w:r>
              <w:rPr>
                <w:b/>
                <w:bCs/>
                <w:sz w:val="32"/>
                <w:szCs w:val="32"/>
              </w:rPr>
              <w:t xml:space="preserve"> </w:t>
            </w:r>
            <w:r w:rsidRPr="00121846">
              <w:rPr>
                <w:b/>
                <w:bCs/>
                <w:sz w:val="32"/>
                <w:szCs w:val="32"/>
              </w:rPr>
              <w:t>(RPM-</w:t>
            </w:r>
            <w:r>
              <w:rPr>
                <w:b/>
                <w:bCs/>
                <w:sz w:val="32"/>
                <w:szCs w:val="32"/>
              </w:rPr>
              <w:t>CIS</w:t>
            </w:r>
            <w:r w:rsidRPr="00121846">
              <w:rPr>
                <w:b/>
                <w:bCs/>
                <w:sz w:val="32"/>
                <w:szCs w:val="32"/>
              </w:rPr>
              <w:t>)</w:t>
            </w:r>
          </w:p>
          <w:p w14:paraId="5F5F590A" w14:textId="64BBB301" w:rsidR="00C44CA9" w:rsidRPr="002B64E2" w:rsidRDefault="004E7C4F" w:rsidP="004E7C4F">
            <w:pPr>
              <w:tabs>
                <w:tab w:val="clear" w:pos="1191"/>
                <w:tab w:val="clear" w:pos="1588"/>
                <w:tab w:val="clear" w:pos="1985"/>
              </w:tabs>
              <w:spacing w:after="120"/>
              <w:ind w:left="34"/>
              <w:rPr>
                <w:rFonts w:ascii="Verdana" w:hAnsi="Verdana"/>
                <w:sz w:val="28"/>
                <w:szCs w:val="28"/>
              </w:rPr>
            </w:pPr>
            <w:r w:rsidRPr="007C7937">
              <w:rPr>
                <w:b/>
                <w:bCs/>
                <w:sz w:val="26"/>
                <w:szCs w:val="26"/>
              </w:rPr>
              <w:t>Bishkek</w:t>
            </w:r>
            <w:r>
              <w:rPr>
                <w:b/>
                <w:bCs/>
                <w:sz w:val="26"/>
                <w:szCs w:val="26"/>
              </w:rPr>
              <w:t>,</w:t>
            </w:r>
            <w:r w:rsidRPr="007C7937">
              <w:rPr>
                <w:b/>
                <w:bCs/>
                <w:sz w:val="26"/>
                <w:szCs w:val="26"/>
              </w:rPr>
              <w:t xml:space="preserve"> Kyrgyzstan</w:t>
            </w:r>
            <w:r>
              <w:rPr>
                <w:b/>
                <w:bCs/>
                <w:sz w:val="26"/>
                <w:szCs w:val="26"/>
              </w:rPr>
              <w:t xml:space="preserve">, 24-25 April </w:t>
            </w:r>
            <w:r w:rsidRPr="006D4EA0">
              <w:rPr>
                <w:b/>
                <w:bCs/>
                <w:sz w:val="26"/>
                <w:szCs w:val="26"/>
              </w:rPr>
              <w:t>202</w:t>
            </w:r>
            <w:r>
              <w:rPr>
                <w:b/>
                <w:bCs/>
                <w:sz w:val="26"/>
                <w:szCs w:val="26"/>
              </w:rPr>
              <w:t>5</w:t>
            </w:r>
          </w:p>
        </w:tc>
        <w:tc>
          <w:tcPr>
            <w:tcW w:w="1524" w:type="dxa"/>
          </w:tcPr>
          <w:p w14:paraId="67E7B4C4" w14:textId="0F52E4CC" w:rsidR="00C44CA9" w:rsidRPr="002B64E2" w:rsidRDefault="00C44CA9" w:rsidP="00952667">
            <w:pPr>
              <w:spacing w:after="120"/>
              <w:ind w:right="142"/>
              <w:jc w:val="right"/>
            </w:pPr>
            <w:r w:rsidRPr="002B64E2">
              <w:rPr>
                <w:noProof/>
                <w:lang w:eastAsia="fr-FR"/>
              </w:rPr>
              <w:drawing>
                <wp:inline distT="0" distB="0" distL="0" distR="0" wp14:anchorId="7A20172F" wp14:editId="3C26654E">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683C32" w:rsidRPr="002B64E2" w14:paraId="3C13197B" w14:textId="77777777" w:rsidTr="00D07E2B">
        <w:trPr>
          <w:cantSplit/>
        </w:trPr>
        <w:tc>
          <w:tcPr>
            <w:tcW w:w="6379" w:type="dxa"/>
            <w:gridSpan w:val="2"/>
            <w:tcBorders>
              <w:top w:val="single" w:sz="12" w:space="0" w:color="auto"/>
            </w:tcBorders>
          </w:tcPr>
          <w:p w14:paraId="2EED9DB2" w14:textId="77777777" w:rsidR="00683C32" w:rsidRPr="002B64E2" w:rsidRDefault="00683C32" w:rsidP="00107E85">
            <w:pPr>
              <w:spacing w:before="0"/>
              <w:rPr>
                <w:rFonts w:cs="Arial"/>
                <w:b/>
                <w:bCs/>
                <w:sz w:val="20"/>
              </w:rPr>
            </w:pPr>
          </w:p>
        </w:tc>
        <w:tc>
          <w:tcPr>
            <w:tcW w:w="3509" w:type="dxa"/>
            <w:gridSpan w:val="2"/>
            <w:tcBorders>
              <w:top w:val="single" w:sz="12" w:space="0" w:color="auto"/>
            </w:tcBorders>
          </w:tcPr>
          <w:p w14:paraId="6CC77CFE" w14:textId="77777777" w:rsidR="00683C32" w:rsidRPr="002B64E2" w:rsidRDefault="00683C32" w:rsidP="00107E85">
            <w:pPr>
              <w:spacing w:before="0"/>
              <w:rPr>
                <w:b/>
                <w:bCs/>
                <w:sz w:val="20"/>
              </w:rPr>
            </w:pPr>
          </w:p>
        </w:tc>
      </w:tr>
      <w:tr w:rsidR="00706440" w:rsidRPr="002B64E2" w14:paraId="0BB3FBC4" w14:textId="77777777" w:rsidTr="00D07E2B">
        <w:trPr>
          <w:cantSplit/>
        </w:trPr>
        <w:tc>
          <w:tcPr>
            <w:tcW w:w="6379" w:type="dxa"/>
            <w:gridSpan w:val="2"/>
          </w:tcPr>
          <w:p w14:paraId="43C54B3D" w14:textId="77777777" w:rsidR="00706440" w:rsidRPr="002B64E2" w:rsidRDefault="00706440" w:rsidP="00706440">
            <w:pPr>
              <w:pStyle w:val="Committee"/>
              <w:spacing w:before="0"/>
              <w:rPr>
                <w:b w:val="0"/>
                <w:szCs w:val="24"/>
              </w:rPr>
            </w:pPr>
          </w:p>
        </w:tc>
        <w:tc>
          <w:tcPr>
            <w:tcW w:w="3509" w:type="dxa"/>
            <w:gridSpan w:val="2"/>
          </w:tcPr>
          <w:p w14:paraId="02E44EE9" w14:textId="4AAE894C" w:rsidR="00706440" w:rsidRPr="002B64E2" w:rsidRDefault="00706440" w:rsidP="00706440">
            <w:pPr>
              <w:spacing w:before="0"/>
              <w:jc w:val="both"/>
              <w:rPr>
                <w:bCs/>
                <w:szCs w:val="24"/>
              </w:rPr>
            </w:pPr>
            <w:r w:rsidRPr="002B64E2">
              <w:rPr>
                <w:b/>
                <w:bCs/>
              </w:rPr>
              <w:t xml:space="preserve">Document </w:t>
            </w:r>
            <w:bookmarkStart w:id="0" w:name="DocRef1"/>
            <w:bookmarkEnd w:id="0"/>
            <w:r w:rsidR="00121846" w:rsidRPr="002B64E2">
              <w:rPr>
                <w:b/>
                <w:bCs/>
              </w:rPr>
              <w:t>RPM-</w:t>
            </w:r>
            <w:r w:rsidR="00220A01" w:rsidRPr="002B64E2">
              <w:rPr>
                <w:b/>
                <w:bCs/>
              </w:rPr>
              <w:t>CIS</w:t>
            </w:r>
            <w:r w:rsidR="00121846" w:rsidRPr="002B64E2">
              <w:rPr>
                <w:b/>
                <w:bCs/>
              </w:rPr>
              <w:t>25</w:t>
            </w:r>
            <w:r w:rsidRPr="002B64E2">
              <w:rPr>
                <w:b/>
                <w:bCs/>
              </w:rPr>
              <w:t>/</w:t>
            </w:r>
            <w:r w:rsidR="00362901" w:rsidRPr="002B64E2">
              <w:rPr>
                <w:b/>
                <w:bCs/>
              </w:rPr>
              <w:t>3</w:t>
            </w:r>
            <w:r w:rsidRPr="002B64E2">
              <w:rPr>
                <w:b/>
                <w:bCs/>
              </w:rPr>
              <w:t>-E</w:t>
            </w:r>
          </w:p>
        </w:tc>
      </w:tr>
      <w:tr w:rsidR="00706440" w:rsidRPr="002B64E2" w14:paraId="24D04936" w14:textId="77777777" w:rsidTr="00D07E2B">
        <w:trPr>
          <w:cantSplit/>
        </w:trPr>
        <w:tc>
          <w:tcPr>
            <w:tcW w:w="6379" w:type="dxa"/>
            <w:gridSpan w:val="2"/>
          </w:tcPr>
          <w:p w14:paraId="12CE4DBF" w14:textId="77777777" w:rsidR="00706440" w:rsidRPr="002B64E2" w:rsidRDefault="00706440" w:rsidP="00706440">
            <w:pPr>
              <w:spacing w:before="0"/>
              <w:rPr>
                <w:b/>
                <w:bCs/>
                <w:smallCaps/>
                <w:szCs w:val="24"/>
              </w:rPr>
            </w:pPr>
          </w:p>
        </w:tc>
        <w:tc>
          <w:tcPr>
            <w:tcW w:w="3509" w:type="dxa"/>
            <w:gridSpan w:val="2"/>
          </w:tcPr>
          <w:p w14:paraId="0F89640F" w14:textId="7F97A9B1" w:rsidR="00706440" w:rsidRPr="002B64E2" w:rsidRDefault="00E7395E" w:rsidP="00706440">
            <w:pPr>
              <w:spacing w:before="0"/>
              <w:rPr>
                <w:b/>
                <w:szCs w:val="24"/>
              </w:rPr>
            </w:pPr>
            <w:bookmarkStart w:id="1" w:name="CreationDate"/>
            <w:bookmarkEnd w:id="1"/>
            <w:r>
              <w:rPr>
                <w:b/>
                <w:bCs/>
                <w:szCs w:val="28"/>
              </w:rPr>
              <w:t>20 March</w:t>
            </w:r>
            <w:r w:rsidR="00706440" w:rsidRPr="002B64E2">
              <w:rPr>
                <w:b/>
                <w:bCs/>
                <w:szCs w:val="28"/>
              </w:rPr>
              <w:t xml:space="preserve"> 202</w:t>
            </w:r>
            <w:r w:rsidR="001E5D41" w:rsidRPr="002B64E2">
              <w:rPr>
                <w:b/>
                <w:bCs/>
                <w:szCs w:val="28"/>
              </w:rPr>
              <w:t>5</w:t>
            </w:r>
          </w:p>
        </w:tc>
      </w:tr>
      <w:tr w:rsidR="00706440" w:rsidRPr="002B64E2" w14:paraId="7B96545F" w14:textId="77777777" w:rsidTr="00D07E2B">
        <w:trPr>
          <w:cantSplit/>
        </w:trPr>
        <w:tc>
          <w:tcPr>
            <w:tcW w:w="6379" w:type="dxa"/>
            <w:gridSpan w:val="2"/>
          </w:tcPr>
          <w:p w14:paraId="65956FD3" w14:textId="77777777" w:rsidR="00706440" w:rsidRPr="002B64E2" w:rsidRDefault="00706440" w:rsidP="00706440">
            <w:pPr>
              <w:spacing w:before="0"/>
              <w:rPr>
                <w:b/>
                <w:bCs/>
                <w:smallCaps/>
                <w:szCs w:val="24"/>
              </w:rPr>
            </w:pPr>
          </w:p>
        </w:tc>
        <w:tc>
          <w:tcPr>
            <w:tcW w:w="3509" w:type="dxa"/>
            <w:gridSpan w:val="2"/>
          </w:tcPr>
          <w:p w14:paraId="30EFD39F" w14:textId="7F09BA89" w:rsidR="00706440" w:rsidRPr="002B64E2" w:rsidRDefault="00211AA5" w:rsidP="00706440">
            <w:pPr>
              <w:spacing w:before="0"/>
              <w:rPr>
                <w:szCs w:val="24"/>
              </w:rPr>
            </w:pPr>
            <w:bookmarkStart w:id="2" w:name="Original"/>
            <w:bookmarkEnd w:id="2"/>
            <w:r w:rsidRPr="002B64E2">
              <w:rPr>
                <w:b/>
              </w:rPr>
              <w:t xml:space="preserve">Original: </w:t>
            </w:r>
            <w:r w:rsidR="00706440" w:rsidRPr="002B64E2">
              <w:rPr>
                <w:b/>
              </w:rPr>
              <w:t>Englis</w:t>
            </w:r>
            <w:r w:rsidRPr="002B64E2">
              <w:rPr>
                <w:b/>
              </w:rPr>
              <w:t>h</w:t>
            </w:r>
          </w:p>
        </w:tc>
      </w:tr>
      <w:tr w:rsidR="00A13162" w:rsidRPr="002B64E2" w14:paraId="31656E31" w14:textId="77777777" w:rsidTr="00107E85">
        <w:trPr>
          <w:cantSplit/>
          <w:trHeight w:val="852"/>
        </w:trPr>
        <w:tc>
          <w:tcPr>
            <w:tcW w:w="9888" w:type="dxa"/>
            <w:gridSpan w:val="4"/>
          </w:tcPr>
          <w:p w14:paraId="512FCA01" w14:textId="2F8B68F3" w:rsidR="00A13162" w:rsidRPr="002B64E2" w:rsidRDefault="002D0346" w:rsidP="0030353C">
            <w:pPr>
              <w:pStyle w:val="Source"/>
            </w:pPr>
            <w:bookmarkStart w:id="3" w:name="Source"/>
            <w:bookmarkEnd w:id="3"/>
            <w:r w:rsidRPr="002B64E2">
              <w:t>Director, Telecommunication Development Bureau</w:t>
            </w:r>
          </w:p>
        </w:tc>
      </w:tr>
      <w:tr w:rsidR="00AC6F14" w:rsidRPr="002B64E2" w14:paraId="2CBD3A36" w14:textId="77777777" w:rsidTr="00107E85">
        <w:trPr>
          <w:cantSplit/>
        </w:trPr>
        <w:tc>
          <w:tcPr>
            <w:tcW w:w="9888" w:type="dxa"/>
            <w:gridSpan w:val="4"/>
          </w:tcPr>
          <w:p w14:paraId="1B4121DF" w14:textId="3F5D259A" w:rsidR="00AC6F14" w:rsidRPr="002B64E2" w:rsidRDefault="00511FF3" w:rsidP="00B12C58">
            <w:pPr>
              <w:pStyle w:val="Title1"/>
              <w:rPr>
                <w:rFonts w:cs="Times New Roman"/>
                <w:bCs/>
              </w:rPr>
            </w:pPr>
            <w:bookmarkStart w:id="4" w:name="Title"/>
            <w:bookmarkEnd w:id="4"/>
            <w:r w:rsidRPr="002B64E2">
              <w:rPr>
                <w:rFonts w:cs="Times New Roman"/>
                <w:bCs/>
              </w:rPr>
              <w:t xml:space="preserve">State of digital development and trends in </w:t>
            </w:r>
            <w:r w:rsidR="00060A76" w:rsidRPr="002B64E2">
              <w:rPr>
                <w:rFonts w:cs="Times New Roman"/>
                <w:bCs/>
              </w:rPr>
              <w:t xml:space="preserve">the </w:t>
            </w:r>
            <w:r w:rsidR="00220A01" w:rsidRPr="002B64E2">
              <w:rPr>
                <w:rFonts w:cs="Times New Roman"/>
                <w:bCs/>
              </w:rPr>
              <w:t>CIS region</w:t>
            </w:r>
            <w:r w:rsidRPr="002B64E2">
              <w:rPr>
                <w:rFonts w:cs="Times New Roman"/>
                <w:bCs/>
              </w:rPr>
              <w:t xml:space="preserve">: </w:t>
            </w:r>
            <w:r w:rsidR="00B12C58">
              <w:rPr>
                <w:rFonts w:cs="Times New Roman"/>
                <w:bCs/>
              </w:rPr>
              <w:br/>
            </w:r>
            <w:r w:rsidRPr="002B64E2">
              <w:rPr>
                <w:rFonts w:cs="Times New Roman"/>
                <w:bCs/>
              </w:rPr>
              <w:t>Challenges and opportunities</w:t>
            </w:r>
          </w:p>
        </w:tc>
      </w:tr>
      <w:tr w:rsidR="00A721F4" w:rsidRPr="002B64E2" w14:paraId="23A30231" w14:textId="77777777" w:rsidTr="00A721F4">
        <w:trPr>
          <w:cantSplit/>
        </w:trPr>
        <w:tc>
          <w:tcPr>
            <w:tcW w:w="9888" w:type="dxa"/>
            <w:gridSpan w:val="4"/>
            <w:tcBorders>
              <w:bottom w:val="single" w:sz="4" w:space="0" w:color="auto"/>
            </w:tcBorders>
          </w:tcPr>
          <w:p w14:paraId="726EE70E" w14:textId="77777777" w:rsidR="00A721F4" w:rsidRPr="002B64E2" w:rsidRDefault="00A721F4" w:rsidP="0030353C"/>
        </w:tc>
      </w:tr>
      <w:tr w:rsidR="00A721F4" w:rsidRPr="002B64E2" w14:paraId="590033C8" w14:textId="77777777" w:rsidTr="00A721F4">
        <w:trPr>
          <w:cantSplit/>
        </w:trPr>
        <w:tc>
          <w:tcPr>
            <w:tcW w:w="9888" w:type="dxa"/>
            <w:gridSpan w:val="4"/>
            <w:tcBorders>
              <w:top w:val="single" w:sz="4" w:space="0" w:color="auto"/>
              <w:left w:val="single" w:sz="4" w:space="0" w:color="auto"/>
              <w:bottom w:val="single" w:sz="4" w:space="0" w:color="auto"/>
              <w:right w:val="single" w:sz="4" w:space="0" w:color="auto"/>
            </w:tcBorders>
          </w:tcPr>
          <w:p w14:paraId="2E9C8590" w14:textId="77777777" w:rsidR="008D1CCB" w:rsidRPr="002B64E2" w:rsidRDefault="008D1CCB" w:rsidP="008D1CCB">
            <w:pPr>
              <w:pStyle w:val="Title1"/>
              <w:jc w:val="left"/>
              <w:rPr>
                <w:rFonts w:cstheme="minorHAnsi"/>
                <w:b/>
                <w:bCs/>
                <w:caps/>
                <w:sz w:val="24"/>
                <w:szCs w:val="24"/>
              </w:rPr>
            </w:pPr>
            <w:r w:rsidRPr="002B64E2">
              <w:rPr>
                <w:rFonts w:cstheme="minorHAnsi"/>
                <w:b/>
                <w:bCs/>
                <w:sz w:val="24"/>
                <w:szCs w:val="24"/>
              </w:rPr>
              <w:t>Agenda item:</w:t>
            </w:r>
          </w:p>
          <w:p w14:paraId="45BC9F9B" w14:textId="46C8165E" w:rsidR="008D1CCB" w:rsidRPr="002B64E2" w:rsidRDefault="00362901" w:rsidP="008D1CCB">
            <w:pPr>
              <w:pStyle w:val="Title1"/>
              <w:jc w:val="left"/>
              <w:rPr>
                <w:rFonts w:cstheme="minorHAnsi"/>
                <w:caps/>
                <w:sz w:val="24"/>
                <w:szCs w:val="24"/>
              </w:rPr>
            </w:pPr>
            <w:r w:rsidRPr="002B64E2">
              <w:rPr>
                <w:rFonts w:cstheme="minorHAnsi"/>
                <w:sz w:val="24"/>
                <w:szCs w:val="24"/>
              </w:rPr>
              <w:t>5</w:t>
            </w:r>
          </w:p>
          <w:p w14:paraId="7043E349" w14:textId="77777777" w:rsidR="008D1CCB" w:rsidRPr="002B64E2" w:rsidRDefault="008D1CCB" w:rsidP="008D1CCB">
            <w:pPr>
              <w:pStyle w:val="Title1"/>
              <w:jc w:val="left"/>
              <w:rPr>
                <w:rFonts w:cstheme="minorHAnsi"/>
                <w:b/>
                <w:bCs/>
                <w:caps/>
                <w:sz w:val="24"/>
                <w:szCs w:val="24"/>
              </w:rPr>
            </w:pPr>
            <w:r w:rsidRPr="002B64E2">
              <w:rPr>
                <w:rFonts w:cstheme="minorHAnsi"/>
                <w:b/>
                <w:bCs/>
                <w:sz w:val="24"/>
                <w:szCs w:val="24"/>
              </w:rPr>
              <w:t xml:space="preserve">Summary: </w:t>
            </w:r>
          </w:p>
          <w:p w14:paraId="19ACDF5B" w14:textId="3296DA35" w:rsidR="0072774E" w:rsidRPr="002B64E2" w:rsidRDefault="0072774E" w:rsidP="0072774E">
            <w:r w:rsidRPr="002B64E2">
              <w:t xml:space="preserve">This document, prepared for the RPM for </w:t>
            </w:r>
            <w:r w:rsidR="00060A76" w:rsidRPr="002B64E2">
              <w:t xml:space="preserve">the </w:t>
            </w:r>
            <w:r w:rsidR="00220A01" w:rsidRPr="002B64E2">
              <w:t>CIS region</w:t>
            </w:r>
            <w:r w:rsidRPr="002B64E2">
              <w:t xml:space="preserve">, aims to </w:t>
            </w:r>
            <w:r w:rsidR="00511FF3" w:rsidRPr="002B64E2">
              <w:t xml:space="preserve">inform </w:t>
            </w:r>
            <w:r w:rsidRPr="002B64E2">
              <w:t>participants and stakeholders in setting the region’s digital agenda.</w:t>
            </w:r>
            <w:r w:rsidRPr="002B64E2">
              <w:rPr>
                <w:rStyle w:val="CommentReference"/>
              </w:rPr>
              <w:t xml:space="preserve"> </w:t>
            </w:r>
            <w:r w:rsidRPr="002B64E2">
              <w:t xml:space="preserve"> It is structured into two parts: the first provides an overview of the state of digital connectivity in</w:t>
            </w:r>
            <w:r w:rsidR="0086265F" w:rsidRPr="002B64E2">
              <w:t xml:space="preserve"> </w:t>
            </w:r>
            <w:r w:rsidR="0004203B" w:rsidRPr="002B64E2">
              <w:t>t</w:t>
            </w:r>
            <w:r w:rsidR="00060A76" w:rsidRPr="002B64E2">
              <w:t xml:space="preserve">he </w:t>
            </w:r>
            <w:r w:rsidR="00220A01" w:rsidRPr="002B64E2">
              <w:t>CIS region</w:t>
            </w:r>
            <w:r w:rsidR="0086265F" w:rsidRPr="002B64E2">
              <w:t xml:space="preserve"> </w:t>
            </w:r>
            <w:r w:rsidRPr="002B64E2">
              <w:t>through key indicators, and the second highlights impactful case studies from the region.</w:t>
            </w:r>
          </w:p>
          <w:p w14:paraId="1CD88A00" w14:textId="77777777" w:rsidR="008D1CCB" w:rsidRPr="002B64E2" w:rsidRDefault="008D1CCB" w:rsidP="008D1CCB">
            <w:pPr>
              <w:pStyle w:val="Title1"/>
              <w:jc w:val="left"/>
              <w:rPr>
                <w:rFonts w:cstheme="minorHAnsi"/>
                <w:b/>
                <w:bCs/>
                <w:caps/>
                <w:sz w:val="24"/>
                <w:szCs w:val="24"/>
              </w:rPr>
            </w:pPr>
            <w:r w:rsidRPr="002B64E2">
              <w:rPr>
                <w:rFonts w:cstheme="minorHAnsi"/>
                <w:b/>
                <w:bCs/>
                <w:sz w:val="24"/>
                <w:szCs w:val="24"/>
              </w:rPr>
              <w:t>Expected results:</w:t>
            </w:r>
          </w:p>
          <w:p w14:paraId="5C751A3F" w14:textId="0ED7FA29" w:rsidR="002D0346" w:rsidRPr="002B64E2" w:rsidRDefault="007A0937" w:rsidP="008D1CCB">
            <w:pPr>
              <w:pStyle w:val="Title1"/>
              <w:jc w:val="left"/>
              <w:rPr>
                <w:rFonts w:cstheme="minorHAnsi"/>
                <w:sz w:val="24"/>
                <w:szCs w:val="24"/>
              </w:rPr>
            </w:pPr>
            <w:r w:rsidRPr="002B64E2">
              <w:rPr>
                <w:rFonts w:cstheme="minorHAnsi"/>
                <w:sz w:val="24"/>
                <w:szCs w:val="24"/>
              </w:rPr>
              <w:t>R</w:t>
            </w:r>
            <w:r w:rsidR="002D0346" w:rsidRPr="002B64E2">
              <w:rPr>
                <w:rFonts w:cstheme="minorHAnsi"/>
                <w:sz w:val="24"/>
                <w:szCs w:val="24"/>
              </w:rPr>
              <w:t>PM-</w:t>
            </w:r>
            <w:r w:rsidR="00DF07D0" w:rsidRPr="002B64E2">
              <w:rPr>
                <w:rFonts w:cstheme="minorHAnsi"/>
                <w:sz w:val="24"/>
                <w:szCs w:val="24"/>
              </w:rPr>
              <w:t>CI</w:t>
            </w:r>
            <w:r w:rsidR="0004203B" w:rsidRPr="002B64E2">
              <w:rPr>
                <w:rFonts w:cstheme="minorHAnsi"/>
                <w:sz w:val="24"/>
                <w:szCs w:val="24"/>
              </w:rPr>
              <w:t>S</w:t>
            </w:r>
            <w:r w:rsidR="002D0346" w:rsidRPr="002B64E2">
              <w:rPr>
                <w:rFonts w:cstheme="minorHAnsi"/>
                <w:sz w:val="24"/>
                <w:szCs w:val="24"/>
              </w:rPr>
              <w:t xml:space="preserve"> is invited to note this document</w:t>
            </w:r>
          </w:p>
          <w:p w14:paraId="4CD2685E" w14:textId="3B80EF9C" w:rsidR="008D1CCB" w:rsidRPr="002B64E2" w:rsidRDefault="008D1CCB" w:rsidP="008D1CCB">
            <w:pPr>
              <w:pStyle w:val="Title1"/>
              <w:jc w:val="left"/>
              <w:rPr>
                <w:rFonts w:cstheme="minorHAnsi"/>
                <w:b/>
                <w:bCs/>
                <w:caps/>
                <w:sz w:val="24"/>
                <w:szCs w:val="24"/>
              </w:rPr>
            </w:pPr>
            <w:r w:rsidRPr="002B64E2">
              <w:rPr>
                <w:rFonts w:cstheme="minorHAnsi"/>
                <w:b/>
                <w:bCs/>
                <w:sz w:val="24"/>
                <w:szCs w:val="24"/>
              </w:rPr>
              <w:t>References:</w:t>
            </w:r>
          </w:p>
          <w:p w14:paraId="1ECDD20E" w14:textId="55031060" w:rsidR="00A721F4" w:rsidRPr="002B64E2" w:rsidRDefault="002D0346" w:rsidP="008D1CCB">
            <w:pPr>
              <w:spacing w:after="120"/>
            </w:pPr>
            <w:r w:rsidRPr="002B64E2">
              <w:t>N/A</w:t>
            </w:r>
          </w:p>
        </w:tc>
      </w:tr>
    </w:tbl>
    <w:p w14:paraId="76DECBE4" w14:textId="77777777" w:rsidR="00EA2854" w:rsidRPr="002B64E2" w:rsidRDefault="00EA2854" w:rsidP="00EA2854"/>
    <w:p w14:paraId="66A31481" w14:textId="44E4163C" w:rsidR="006C41B5" w:rsidRPr="002B64E2" w:rsidRDefault="00923CF1" w:rsidP="006C41B5">
      <w:pPr>
        <w:pStyle w:val="Title"/>
        <w:rPr>
          <w:rFonts w:ascii="Aptos Display" w:eastAsia="Yu Gothic Light" w:hAnsi="Aptos Display"/>
          <w:sz w:val="48"/>
          <w14:ligatures w14:val="standardContextual"/>
        </w:rPr>
      </w:pPr>
      <w:r w:rsidRPr="002B64E2">
        <w:br w:type="page"/>
      </w:r>
      <w:r w:rsidR="006C41B5" w:rsidRPr="002B64E2">
        <w:rPr>
          <w:rFonts w:ascii="Aptos Display" w:eastAsia="Yu Gothic Light" w:hAnsi="Aptos Display"/>
          <w:sz w:val="48"/>
          <w14:ligatures w14:val="standardContextual"/>
        </w:rPr>
        <w:lastRenderedPageBreak/>
        <w:t xml:space="preserve">State of digital development and trends in </w:t>
      </w:r>
      <w:r w:rsidR="0004203B" w:rsidRPr="002B64E2">
        <w:rPr>
          <w:rFonts w:ascii="Aptos Display" w:eastAsia="Yu Gothic Light" w:hAnsi="Aptos Display"/>
          <w:sz w:val="48"/>
          <w14:ligatures w14:val="standardContextual"/>
        </w:rPr>
        <w:t>t</w:t>
      </w:r>
      <w:r w:rsidR="00060A76" w:rsidRPr="002B64E2">
        <w:rPr>
          <w:rFonts w:ascii="Aptos Display" w:eastAsia="Yu Gothic Light" w:hAnsi="Aptos Display"/>
          <w:sz w:val="48"/>
          <w14:ligatures w14:val="standardContextual"/>
        </w:rPr>
        <w:t xml:space="preserve">he </w:t>
      </w:r>
      <w:r w:rsidR="00220A01" w:rsidRPr="002B64E2">
        <w:rPr>
          <w:rFonts w:ascii="Aptos Display" w:eastAsia="Yu Gothic Light" w:hAnsi="Aptos Display"/>
          <w:sz w:val="48"/>
          <w14:ligatures w14:val="standardContextual"/>
        </w:rPr>
        <w:t>CIS region</w:t>
      </w:r>
      <w:r w:rsidR="006C41B5" w:rsidRPr="002B64E2">
        <w:rPr>
          <w:rFonts w:ascii="Aptos Display" w:eastAsia="Yu Gothic Light" w:hAnsi="Aptos Display"/>
          <w:sz w:val="48"/>
          <w14:ligatures w14:val="standardContextual"/>
        </w:rPr>
        <w:t xml:space="preserve">: Challenges and opportunities </w:t>
      </w:r>
    </w:p>
    <w:p w14:paraId="195698D8" w14:textId="15FE7487" w:rsidR="006C41B5" w:rsidRPr="002B64E2" w:rsidRDefault="00BB5F74"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Display" w:eastAsia="Aptos" w:hAnsi="Aptos Display" w:cs="Arial"/>
          <w:kern w:val="2"/>
          <w:sz w:val="28"/>
          <w:szCs w:val="28"/>
          <w14:ligatures w14:val="standardContextual"/>
        </w:rPr>
      </w:pPr>
      <w:r w:rsidRPr="002B64E2">
        <w:rPr>
          <w:rFonts w:ascii="Aptos Display" w:eastAsia="Aptos" w:hAnsi="Aptos Display" w:cs="Arial"/>
          <w:kern w:val="2"/>
          <w:sz w:val="28"/>
          <w:szCs w:val="28"/>
          <w14:ligatures w14:val="standardContextual"/>
        </w:rPr>
        <w:t>March</w:t>
      </w:r>
      <w:r w:rsidR="00670782" w:rsidRPr="002B64E2">
        <w:rPr>
          <w:rFonts w:ascii="Aptos Display" w:eastAsia="Aptos" w:hAnsi="Aptos Display" w:cs="Arial"/>
          <w:kern w:val="2"/>
          <w:sz w:val="28"/>
          <w:szCs w:val="28"/>
          <w14:ligatures w14:val="standardContextual"/>
        </w:rPr>
        <w:t xml:space="preserve"> </w:t>
      </w:r>
      <w:r w:rsidR="006C41B5" w:rsidRPr="002B64E2">
        <w:rPr>
          <w:rFonts w:ascii="Aptos Display" w:eastAsia="Aptos" w:hAnsi="Aptos Display" w:cs="Arial"/>
          <w:kern w:val="2"/>
          <w:sz w:val="28"/>
          <w:szCs w:val="28"/>
          <w14:ligatures w14:val="standardContextual"/>
        </w:rPr>
        <w:t>202</w:t>
      </w:r>
      <w:r w:rsidR="00CF6D86" w:rsidRPr="002B64E2">
        <w:rPr>
          <w:rFonts w:ascii="Aptos Display" w:eastAsia="Aptos" w:hAnsi="Aptos Display" w:cs="Arial"/>
          <w:kern w:val="2"/>
          <w:sz w:val="28"/>
          <w:szCs w:val="28"/>
          <w14:ligatures w14:val="standardContextual"/>
        </w:rPr>
        <w:t>5</w:t>
      </w:r>
    </w:p>
    <w:p w14:paraId="2A32533D" w14:textId="77777777" w:rsidR="006C41B5" w:rsidRPr="002B64E2" w:rsidRDefault="006C41B5" w:rsidP="006C41B5">
      <w:pPr>
        <w:keepNext/>
        <w:keepLines/>
        <w:tabs>
          <w:tab w:val="clear" w:pos="794"/>
          <w:tab w:val="clear" w:pos="1191"/>
          <w:tab w:val="clear" w:pos="1588"/>
          <w:tab w:val="clear" w:pos="1985"/>
        </w:tabs>
        <w:overflowPunct/>
        <w:autoSpaceDE/>
        <w:autoSpaceDN/>
        <w:adjustRightInd/>
        <w:spacing w:before="360" w:after="80" w:line="259" w:lineRule="auto"/>
        <w:textAlignment w:val="auto"/>
        <w:outlineLvl w:val="0"/>
        <w:rPr>
          <w:rFonts w:ascii="Aptos Display" w:eastAsia="Yu Gothic Light" w:hAnsi="Aptos Display"/>
          <w:color w:val="0F4761"/>
          <w:kern w:val="2"/>
          <w:sz w:val="40"/>
          <w:szCs w:val="40"/>
          <w14:ligatures w14:val="standardContextual"/>
        </w:rPr>
      </w:pPr>
      <w:bookmarkStart w:id="5" w:name="_Toc187749106"/>
      <w:r w:rsidRPr="002B64E2">
        <w:rPr>
          <w:rFonts w:ascii="Aptos Display" w:eastAsia="Yu Gothic Light" w:hAnsi="Aptos Display"/>
          <w:color w:val="0F4761"/>
          <w:kern w:val="2"/>
          <w:sz w:val="40"/>
          <w:szCs w:val="40"/>
          <w14:ligatures w14:val="standardContextual"/>
        </w:rPr>
        <w:t>Contents</w:t>
      </w:r>
      <w:bookmarkEnd w:id="5"/>
    </w:p>
    <w:p w14:paraId="0D2D90F6" w14:textId="48075EEA" w:rsidR="00824AD6" w:rsidRDefault="00970C56">
      <w:pPr>
        <w:pStyle w:val="TOC1"/>
        <w:tabs>
          <w:tab w:val="right" w:leader="dot" w:pos="9629"/>
        </w:tabs>
        <w:rPr>
          <w:rFonts w:eastAsiaTheme="minorEastAsia" w:cstheme="minorBidi"/>
          <w:b w:val="0"/>
          <w:bCs w:val="0"/>
          <w:noProof/>
          <w:kern w:val="2"/>
          <w:sz w:val="24"/>
          <w:szCs w:val="24"/>
          <w:lang w:eastAsia="en-GB"/>
          <w14:ligatures w14:val="standardContextual"/>
        </w:rPr>
      </w:pPr>
      <w:r>
        <w:rPr>
          <w:rFonts w:ascii="Aptos" w:eastAsia="Aptos" w:hAnsi="Aptos" w:cs="Arial"/>
          <w:b w:val="0"/>
          <w:bCs w:val="0"/>
          <w:kern w:val="2"/>
          <w:sz w:val="22"/>
          <w:szCs w:val="22"/>
          <w14:ligatures w14:val="standardContextual"/>
        </w:rPr>
        <w:fldChar w:fldCharType="begin"/>
      </w:r>
      <w:r>
        <w:rPr>
          <w:rFonts w:ascii="Aptos" w:eastAsia="Aptos" w:hAnsi="Aptos" w:cs="Arial"/>
          <w:b w:val="0"/>
          <w:bCs w:val="0"/>
          <w:kern w:val="2"/>
          <w:sz w:val="22"/>
          <w:szCs w:val="22"/>
          <w14:ligatures w14:val="standardContextual"/>
        </w:rPr>
        <w:instrText xml:space="preserve"> TOC </w:instrText>
      </w:r>
      <w:r>
        <w:rPr>
          <w:rFonts w:ascii="Aptos" w:eastAsia="Aptos" w:hAnsi="Aptos" w:cs="Arial"/>
          <w:b w:val="0"/>
          <w:bCs w:val="0"/>
          <w:kern w:val="2"/>
          <w:sz w:val="22"/>
          <w:szCs w:val="22"/>
          <w14:ligatures w14:val="standardContextual"/>
        </w:rPr>
        <w:fldChar w:fldCharType="separate"/>
      </w:r>
      <w:r w:rsidR="00824AD6">
        <w:rPr>
          <w:noProof/>
        </w:rPr>
        <w:t>Introduction</w:t>
      </w:r>
      <w:r w:rsidR="00824AD6">
        <w:rPr>
          <w:noProof/>
        </w:rPr>
        <w:tab/>
      </w:r>
      <w:r w:rsidR="00824AD6">
        <w:rPr>
          <w:noProof/>
        </w:rPr>
        <w:fldChar w:fldCharType="begin"/>
      </w:r>
      <w:r w:rsidR="00824AD6">
        <w:rPr>
          <w:noProof/>
        </w:rPr>
        <w:instrText xml:space="preserve"> PAGEREF _Toc192868593 \h </w:instrText>
      </w:r>
      <w:r w:rsidR="00824AD6">
        <w:rPr>
          <w:noProof/>
        </w:rPr>
      </w:r>
      <w:r w:rsidR="00824AD6">
        <w:rPr>
          <w:noProof/>
        </w:rPr>
        <w:fldChar w:fldCharType="separate"/>
      </w:r>
      <w:r w:rsidR="00824AD6">
        <w:rPr>
          <w:noProof/>
        </w:rPr>
        <w:t>3</w:t>
      </w:r>
      <w:r w:rsidR="00824AD6">
        <w:rPr>
          <w:noProof/>
        </w:rPr>
        <w:fldChar w:fldCharType="end"/>
      </w:r>
    </w:p>
    <w:p w14:paraId="281ED35C" w14:textId="0D422740" w:rsidR="00824AD6" w:rsidRDefault="00824AD6">
      <w:pPr>
        <w:pStyle w:val="TOC1"/>
        <w:tabs>
          <w:tab w:val="right" w:leader="dot" w:pos="9629"/>
        </w:tabs>
        <w:rPr>
          <w:rFonts w:eastAsiaTheme="minorEastAsia" w:cstheme="minorBidi"/>
          <w:b w:val="0"/>
          <w:bCs w:val="0"/>
          <w:noProof/>
          <w:kern w:val="2"/>
          <w:sz w:val="24"/>
          <w:szCs w:val="24"/>
          <w:lang w:eastAsia="en-GB"/>
          <w14:ligatures w14:val="standardContextual"/>
        </w:rPr>
      </w:pPr>
      <w:r>
        <w:rPr>
          <w:noProof/>
        </w:rPr>
        <w:t>Part 1. The state of digital connectivity in the CIS region and recent trends</w:t>
      </w:r>
      <w:r>
        <w:rPr>
          <w:noProof/>
        </w:rPr>
        <w:tab/>
      </w:r>
      <w:r>
        <w:rPr>
          <w:noProof/>
        </w:rPr>
        <w:fldChar w:fldCharType="begin"/>
      </w:r>
      <w:r>
        <w:rPr>
          <w:noProof/>
        </w:rPr>
        <w:instrText xml:space="preserve"> PAGEREF _Toc192868594 \h </w:instrText>
      </w:r>
      <w:r>
        <w:rPr>
          <w:noProof/>
        </w:rPr>
      </w:r>
      <w:r>
        <w:rPr>
          <w:noProof/>
        </w:rPr>
        <w:fldChar w:fldCharType="separate"/>
      </w:r>
      <w:r>
        <w:rPr>
          <w:noProof/>
        </w:rPr>
        <w:t>5</w:t>
      </w:r>
      <w:r>
        <w:rPr>
          <w:noProof/>
        </w:rPr>
        <w:fldChar w:fldCharType="end"/>
      </w:r>
    </w:p>
    <w:p w14:paraId="419F276B" w14:textId="277077CB" w:rsidR="00824AD6" w:rsidRDefault="00824AD6">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ICT regulation and digital policy frameworks</w:t>
      </w:r>
      <w:r>
        <w:rPr>
          <w:noProof/>
        </w:rPr>
        <w:tab/>
      </w:r>
      <w:r>
        <w:rPr>
          <w:noProof/>
        </w:rPr>
        <w:fldChar w:fldCharType="begin"/>
      </w:r>
      <w:r>
        <w:rPr>
          <w:noProof/>
        </w:rPr>
        <w:instrText xml:space="preserve"> PAGEREF _Toc192868595 \h </w:instrText>
      </w:r>
      <w:r>
        <w:rPr>
          <w:noProof/>
        </w:rPr>
      </w:r>
      <w:r>
        <w:rPr>
          <w:noProof/>
        </w:rPr>
        <w:fldChar w:fldCharType="separate"/>
      </w:r>
      <w:r>
        <w:rPr>
          <w:noProof/>
        </w:rPr>
        <w:t>5</w:t>
      </w:r>
      <w:r>
        <w:rPr>
          <w:noProof/>
        </w:rPr>
        <w:fldChar w:fldCharType="end"/>
      </w:r>
    </w:p>
    <w:p w14:paraId="11B81A27" w14:textId="78D02CF5" w:rsidR="00824AD6" w:rsidRDefault="00824AD6">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Internet use</w:t>
      </w:r>
      <w:r>
        <w:rPr>
          <w:noProof/>
        </w:rPr>
        <w:tab/>
      </w:r>
      <w:r>
        <w:rPr>
          <w:noProof/>
        </w:rPr>
        <w:fldChar w:fldCharType="begin"/>
      </w:r>
      <w:r>
        <w:rPr>
          <w:noProof/>
        </w:rPr>
        <w:instrText xml:space="preserve"> PAGEREF _Toc192868596 \h </w:instrText>
      </w:r>
      <w:r>
        <w:rPr>
          <w:noProof/>
        </w:rPr>
      </w:r>
      <w:r>
        <w:rPr>
          <w:noProof/>
        </w:rPr>
        <w:fldChar w:fldCharType="separate"/>
      </w:r>
      <w:r>
        <w:rPr>
          <w:noProof/>
        </w:rPr>
        <w:t>11</w:t>
      </w:r>
      <w:r>
        <w:rPr>
          <w:noProof/>
        </w:rPr>
        <w:fldChar w:fldCharType="end"/>
      </w:r>
    </w:p>
    <w:p w14:paraId="5ECFFB52" w14:textId="4890E2F3" w:rsidR="00824AD6" w:rsidRDefault="00824AD6">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Broadband subscriptions</w:t>
      </w:r>
      <w:r>
        <w:rPr>
          <w:noProof/>
        </w:rPr>
        <w:tab/>
      </w:r>
      <w:r>
        <w:rPr>
          <w:noProof/>
        </w:rPr>
        <w:fldChar w:fldCharType="begin"/>
      </w:r>
      <w:r>
        <w:rPr>
          <w:noProof/>
        </w:rPr>
        <w:instrText xml:space="preserve"> PAGEREF _Toc192868597 \h </w:instrText>
      </w:r>
      <w:r>
        <w:rPr>
          <w:noProof/>
        </w:rPr>
      </w:r>
      <w:r>
        <w:rPr>
          <w:noProof/>
        </w:rPr>
        <w:fldChar w:fldCharType="separate"/>
      </w:r>
      <w:r>
        <w:rPr>
          <w:noProof/>
        </w:rPr>
        <w:t>16</w:t>
      </w:r>
      <w:r>
        <w:rPr>
          <w:noProof/>
        </w:rPr>
        <w:fldChar w:fldCharType="end"/>
      </w:r>
    </w:p>
    <w:p w14:paraId="6BE9589F" w14:textId="79E1A684" w:rsidR="00824AD6" w:rsidRDefault="00824AD6">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Mobile network coverage</w:t>
      </w:r>
      <w:r>
        <w:rPr>
          <w:noProof/>
        </w:rPr>
        <w:tab/>
      </w:r>
      <w:r>
        <w:rPr>
          <w:noProof/>
        </w:rPr>
        <w:fldChar w:fldCharType="begin"/>
      </w:r>
      <w:r>
        <w:rPr>
          <w:noProof/>
        </w:rPr>
        <w:instrText xml:space="preserve"> PAGEREF _Toc192868598 \h </w:instrText>
      </w:r>
      <w:r>
        <w:rPr>
          <w:noProof/>
        </w:rPr>
      </w:r>
      <w:r>
        <w:rPr>
          <w:noProof/>
        </w:rPr>
        <w:fldChar w:fldCharType="separate"/>
      </w:r>
      <w:r>
        <w:rPr>
          <w:noProof/>
        </w:rPr>
        <w:t>18</w:t>
      </w:r>
      <w:r>
        <w:rPr>
          <w:noProof/>
        </w:rPr>
        <w:fldChar w:fldCharType="end"/>
      </w:r>
    </w:p>
    <w:p w14:paraId="71F9B1D0" w14:textId="65868A51" w:rsidR="00824AD6" w:rsidRDefault="00824AD6">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Availability of fixed-broadband infrastructure</w:t>
      </w:r>
      <w:r>
        <w:rPr>
          <w:noProof/>
        </w:rPr>
        <w:tab/>
      </w:r>
      <w:r>
        <w:rPr>
          <w:noProof/>
        </w:rPr>
        <w:fldChar w:fldCharType="begin"/>
      </w:r>
      <w:r>
        <w:rPr>
          <w:noProof/>
        </w:rPr>
        <w:instrText xml:space="preserve"> PAGEREF _Toc192868599 \h </w:instrText>
      </w:r>
      <w:r>
        <w:rPr>
          <w:noProof/>
        </w:rPr>
      </w:r>
      <w:r>
        <w:rPr>
          <w:noProof/>
        </w:rPr>
        <w:fldChar w:fldCharType="separate"/>
      </w:r>
      <w:r>
        <w:rPr>
          <w:noProof/>
        </w:rPr>
        <w:t>20</w:t>
      </w:r>
      <w:r>
        <w:rPr>
          <w:noProof/>
        </w:rPr>
        <w:fldChar w:fldCharType="end"/>
      </w:r>
    </w:p>
    <w:p w14:paraId="132761B1" w14:textId="3636DDAC" w:rsidR="00824AD6" w:rsidRDefault="00824AD6">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Internet traffic and international bandwidth</w:t>
      </w:r>
      <w:r>
        <w:rPr>
          <w:noProof/>
        </w:rPr>
        <w:tab/>
      </w:r>
      <w:r>
        <w:rPr>
          <w:noProof/>
        </w:rPr>
        <w:fldChar w:fldCharType="begin"/>
      </w:r>
      <w:r>
        <w:rPr>
          <w:noProof/>
        </w:rPr>
        <w:instrText xml:space="preserve"> PAGEREF _Toc192868600 \h </w:instrText>
      </w:r>
      <w:r>
        <w:rPr>
          <w:noProof/>
        </w:rPr>
      </w:r>
      <w:r>
        <w:rPr>
          <w:noProof/>
        </w:rPr>
        <w:fldChar w:fldCharType="separate"/>
      </w:r>
      <w:r>
        <w:rPr>
          <w:noProof/>
        </w:rPr>
        <w:t>22</w:t>
      </w:r>
      <w:r>
        <w:rPr>
          <w:noProof/>
        </w:rPr>
        <w:fldChar w:fldCharType="end"/>
      </w:r>
    </w:p>
    <w:p w14:paraId="68DB70C8" w14:textId="621619F7" w:rsidR="00824AD6" w:rsidRDefault="00824AD6">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Affordability of ICT services</w:t>
      </w:r>
      <w:r>
        <w:rPr>
          <w:noProof/>
        </w:rPr>
        <w:tab/>
      </w:r>
      <w:r>
        <w:rPr>
          <w:noProof/>
        </w:rPr>
        <w:fldChar w:fldCharType="begin"/>
      </w:r>
      <w:r>
        <w:rPr>
          <w:noProof/>
        </w:rPr>
        <w:instrText xml:space="preserve"> PAGEREF _Toc192868601 \h </w:instrText>
      </w:r>
      <w:r>
        <w:rPr>
          <w:noProof/>
        </w:rPr>
      </w:r>
      <w:r>
        <w:rPr>
          <w:noProof/>
        </w:rPr>
        <w:fldChar w:fldCharType="separate"/>
      </w:r>
      <w:r>
        <w:rPr>
          <w:noProof/>
        </w:rPr>
        <w:t>26</w:t>
      </w:r>
      <w:r>
        <w:rPr>
          <w:noProof/>
        </w:rPr>
        <w:fldChar w:fldCharType="end"/>
      </w:r>
    </w:p>
    <w:p w14:paraId="45828C50" w14:textId="676FE196" w:rsidR="00824AD6" w:rsidRDefault="00824AD6">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Mobile phone ownership and subscriptions</w:t>
      </w:r>
      <w:r>
        <w:rPr>
          <w:noProof/>
        </w:rPr>
        <w:tab/>
      </w:r>
      <w:r>
        <w:rPr>
          <w:noProof/>
        </w:rPr>
        <w:fldChar w:fldCharType="begin"/>
      </w:r>
      <w:r>
        <w:rPr>
          <w:noProof/>
        </w:rPr>
        <w:instrText xml:space="preserve"> PAGEREF _Toc192868602 \h </w:instrText>
      </w:r>
      <w:r>
        <w:rPr>
          <w:noProof/>
        </w:rPr>
      </w:r>
      <w:r>
        <w:rPr>
          <w:noProof/>
        </w:rPr>
        <w:fldChar w:fldCharType="separate"/>
      </w:r>
      <w:r>
        <w:rPr>
          <w:noProof/>
        </w:rPr>
        <w:t>28</w:t>
      </w:r>
      <w:r>
        <w:rPr>
          <w:noProof/>
        </w:rPr>
        <w:fldChar w:fldCharType="end"/>
      </w:r>
    </w:p>
    <w:p w14:paraId="3C4DA2DE" w14:textId="2D7C3AF9" w:rsidR="00824AD6" w:rsidRDefault="00824AD6">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ICT skills</w:t>
      </w:r>
      <w:r>
        <w:rPr>
          <w:noProof/>
        </w:rPr>
        <w:tab/>
      </w:r>
      <w:r>
        <w:rPr>
          <w:noProof/>
        </w:rPr>
        <w:fldChar w:fldCharType="begin"/>
      </w:r>
      <w:r>
        <w:rPr>
          <w:noProof/>
        </w:rPr>
        <w:instrText xml:space="preserve"> PAGEREF _Toc192868603 \h </w:instrText>
      </w:r>
      <w:r>
        <w:rPr>
          <w:noProof/>
        </w:rPr>
      </w:r>
      <w:r>
        <w:rPr>
          <w:noProof/>
        </w:rPr>
        <w:fldChar w:fldCharType="separate"/>
      </w:r>
      <w:r>
        <w:rPr>
          <w:noProof/>
        </w:rPr>
        <w:t>31</w:t>
      </w:r>
      <w:r>
        <w:rPr>
          <w:noProof/>
        </w:rPr>
        <w:fldChar w:fldCharType="end"/>
      </w:r>
    </w:p>
    <w:p w14:paraId="096DF545" w14:textId="074C5A36" w:rsidR="00824AD6" w:rsidRDefault="00824AD6">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Revenues and investment</w:t>
      </w:r>
      <w:r>
        <w:rPr>
          <w:noProof/>
        </w:rPr>
        <w:tab/>
      </w:r>
      <w:r>
        <w:rPr>
          <w:noProof/>
        </w:rPr>
        <w:fldChar w:fldCharType="begin"/>
      </w:r>
      <w:r>
        <w:rPr>
          <w:noProof/>
        </w:rPr>
        <w:instrText xml:space="preserve"> PAGEREF _Toc192868604 \h </w:instrText>
      </w:r>
      <w:r>
        <w:rPr>
          <w:noProof/>
        </w:rPr>
      </w:r>
      <w:r>
        <w:rPr>
          <w:noProof/>
        </w:rPr>
        <w:fldChar w:fldCharType="separate"/>
      </w:r>
      <w:r>
        <w:rPr>
          <w:noProof/>
        </w:rPr>
        <w:t>36</w:t>
      </w:r>
      <w:r>
        <w:rPr>
          <w:noProof/>
        </w:rPr>
        <w:fldChar w:fldCharType="end"/>
      </w:r>
    </w:p>
    <w:p w14:paraId="5A670AA4" w14:textId="62B67808" w:rsidR="00824AD6" w:rsidRDefault="00824AD6">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Cybersecurity</w:t>
      </w:r>
      <w:r>
        <w:rPr>
          <w:noProof/>
        </w:rPr>
        <w:tab/>
      </w:r>
      <w:r>
        <w:rPr>
          <w:noProof/>
        </w:rPr>
        <w:fldChar w:fldCharType="begin"/>
      </w:r>
      <w:r>
        <w:rPr>
          <w:noProof/>
        </w:rPr>
        <w:instrText xml:space="preserve"> PAGEREF _Toc192868605 \h </w:instrText>
      </w:r>
      <w:r>
        <w:rPr>
          <w:noProof/>
        </w:rPr>
      </w:r>
      <w:r>
        <w:rPr>
          <w:noProof/>
        </w:rPr>
        <w:fldChar w:fldCharType="separate"/>
      </w:r>
      <w:r>
        <w:rPr>
          <w:noProof/>
        </w:rPr>
        <w:t>38</w:t>
      </w:r>
      <w:r>
        <w:rPr>
          <w:noProof/>
        </w:rPr>
        <w:fldChar w:fldCharType="end"/>
      </w:r>
    </w:p>
    <w:p w14:paraId="3E1026B8" w14:textId="26FCB55F" w:rsidR="00824AD6" w:rsidRDefault="00824AD6">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E-waste management</w:t>
      </w:r>
      <w:r>
        <w:rPr>
          <w:noProof/>
        </w:rPr>
        <w:tab/>
      </w:r>
      <w:r>
        <w:rPr>
          <w:noProof/>
        </w:rPr>
        <w:fldChar w:fldCharType="begin"/>
      </w:r>
      <w:r>
        <w:rPr>
          <w:noProof/>
        </w:rPr>
        <w:instrText xml:space="preserve"> PAGEREF _Toc192868606 \h </w:instrText>
      </w:r>
      <w:r>
        <w:rPr>
          <w:noProof/>
        </w:rPr>
      </w:r>
      <w:r>
        <w:rPr>
          <w:noProof/>
        </w:rPr>
        <w:fldChar w:fldCharType="separate"/>
      </w:r>
      <w:r>
        <w:rPr>
          <w:noProof/>
        </w:rPr>
        <w:t>40</w:t>
      </w:r>
      <w:r>
        <w:rPr>
          <w:noProof/>
        </w:rPr>
        <w:fldChar w:fldCharType="end"/>
      </w:r>
    </w:p>
    <w:p w14:paraId="0CAA4553" w14:textId="52A2D111" w:rsidR="00824AD6" w:rsidRDefault="00824AD6">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Overview of data availability in the CIS region</w:t>
      </w:r>
      <w:r>
        <w:rPr>
          <w:noProof/>
        </w:rPr>
        <w:tab/>
      </w:r>
      <w:r>
        <w:rPr>
          <w:noProof/>
        </w:rPr>
        <w:fldChar w:fldCharType="begin"/>
      </w:r>
      <w:r>
        <w:rPr>
          <w:noProof/>
        </w:rPr>
        <w:instrText xml:space="preserve"> PAGEREF _Toc192868607 \h </w:instrText>
      </w:r>
      <w:r>
        <w:rPr>
          <w:noProof/>
        </w:rPr>
      </w:r>
      <w:r>
        <w:rPr>
          <w:noProof/>
        </w:rPr>
        <w:fldChar w:fldCharType="separate"/>
      </w:r>
      <w:r>
        <w:rPr>
          <w:noProof/>
        </w:rPr>
        <w:t>43</w:t>
      </w:r>
      <w:r>
        <w:rPr>
          <w:noProof/>
        </w:rPr>
        <w:fldChar w:fldCharType="end"/>
      </w:r>
    </w:p>
    <w:p w14:paraId="7B324AE1" w14:textId="009B08A0" w:rsidR="00824AD6" w:rsidRDefault="00824AD6">
      <w:pPr>
        <w:pStyle w:val="TOC1"/>
        <w:tabs>
          <w:tab w:val="right" w:leader="dot" w:pos="9629"/>
        </w:tabs>
        <w:rPr>
          <w:rFonts w:eastAsiaTheme="minorEastAsia" w:cstheme="minorBidi"/>
          <w:b w:val="0"/>
          <w:bCs w:val="0"/>
          <w:noProof/>
          <w:kern w:val="2"/>
          <w:sz w:val="24"/>
          <w:szCs w:val="24"/>
          <w:lang w:eastAsia="en-GB"/>
          <w14:ligatures w14:val="standardContextual"/>
        </w:rPr>
      </w:pPr>
      <w:r>
        <w:rPr>
          <w:noProof/>
        </w:rPr>
        <w:t>Part 2. BDT4Impact: Selected case studies from the CIS region</w:t>
      </w:r>
      <w:r>
        <w:rPr>
          <w:noProof/>
        </w:rPr>
        <w:tab/>
      </w:r>
      <w:r>
        <w:rPr>
          <w:noProof/>
        </w:rPr>
        <w:fldChar w:fldCharType="begin"/>
      </w:r>
      <w:r>
        <w:rPr>
          <w:noProof/>
        </w:rPr>
        <w:instrText xml:space="preserve"> PAGEREF _Toc192868608 \h </w:instrText>
      </w:r>
      <w:r>
        <w:rPr>
          <w:noProof/>
        </w:rPr>
      </w:r>
      <w:r>
        <w:rPr>
          <w:noProof/>
        </w:rPr>
        <w:fldChar w:fldCharType="separate"/>
      </w:r>
      <w:r>
        <w:rPr>
          <w:noProof/>
        </w:rPr>
        <w:t>45</w:t>
      </w:r>
      <w:r>
        <w:rPr>
          <w:noProof/>
        </w:rPr>
        <w:fldChar w:fldCharType="end"/>
      </w:r>
    </w:p>
    <w:p w14:paraId="536F8FC0" w14:textId="2FC82B43" w:rsidR="00824AD6" w:rsidRDefault="00824AD6">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Supporting connectivity in rural Armenia</w:t>
      </w:r>
      <w:r>
        <w:rPr>
          <w:noProof/>
        </w:rPr>
        <w:tab/>
      </w:r>
      <w:r>
        <w:rPr>
          <w:noProof/>
        </w:rPr>
        <w:fldChar w:fldCharType="begin"/>
      </w:r>
      <w:r>
        <w:rPr>
          <w:noProof/>
        </w:rPr>
        <w:instrText xml:space="preserve"> PAGEREF _Toc192868609 \h </w:instrText>
      </w:r>
      <w:r>
        <w:rPr>
          <w:noProof/>
        </w:rPr>
      </w:r>
      <w:r>
        <w:rPr>
          <w:noProof/>
        </w:rPr>
        <w:fldChar w:fldCharType="separate"/>
      </w:r>
      <w:r>
        <w:rPr>
          <w:noProof/>
        </w:rPr>
        <w:t>45</w:t>
      </w:r>
      <w:r>
        <w:rPr>
          <w:noProof/>
        </w:rPr>
        <w:fldChar w:fldCharType="end"/>
      </w:r>
    </w:p>
    <w:p w14:paraId="79EA95E2" w14:textId="796BA9A2" w:rsidR="00824AD6" w:rsidRDefault="00824AD6">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Promoting universal and meaningful connectivity in Uzbekistan</w:t>
      </w:r>
      <w:r>
        <w:rPr>
          <w:noProof/>
        </w:rPr>
        <w:tab/>
      </w:r>
      <w:r>
        <w:rPr>
          <w:noProof/>
        </w:rPr>
        <w:fldChar w:fldCharType="begin"/>
      </w:r>
      <w:r>
        <w:rPr>
          <w:noProof/>
        </w:rPr>
        <w:instrText xml:space="preserve"> PAGEREF _Toc192868610 \h </w:instrText>
      </w:r>
      <w:r>
        <w:rPr>
          <w:noProof/>
        </w:rPr>
      </w:r>
      <w:r>
        <w:rPr>
          <w:noProof/>
        </w:rPr>
        <w:fldChar w:fldCharType="separate"/>
      </w:r>
      <w:r>
        <w:rPr>
          <w:noProof/>
        </w:rPr>
        <w:t>45</w:t>
      </w:r>
      <w:r>
        <w:rPr>
          <w:noProof/>
        </w:rPr>
        <w:fldChar w:fldCharType="end"/>
      </w:r>
    </w:p>
    <w:p w14:paraId="3784F6D6" w14:textId="78ABBAD4" w:rsidR="00824AD6" w:rsidRDefault="00824AD6">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Young people in five CIS countries learn to create and pitch startups</w:t>
      </w:r>
      <w:r>
        <w:rPr>
          <w:noProof/>
        </w:rPr>
        <w:tab/>
      </w:r>
      <w:r>
        <w:rPr>
          <w:noProof/>
        </w:rPr>
        <w:fldChar w:fldCharType="begin"/>
      </w:r>
      <w:r>
        <w:rPr>
          <w:noProof/>
        </w:rPr>
        <w:instrText xml:space="preserve"> PAGEREF _Toc192868611 \h </w:instrText>
      </w:r>
      <w:r>
        <w:rPr>
          <w:noProof/>
        </w:rPr>
      </w:r>
      <w:r>
        <w:rPr>
          <w:noProof/>
        </w:rPr>
        <w:fldChar w:fldCharType="separate"/>
      </w:r>
      <w:r>
        <w:rPr>
          <w:noProof/>
        </w:rPr>
        <w:t>45</w:t>
      </w:r>
      <w:r>
        <w:rPr>
          <w:noProof/>
        </w:rPr>
        <w:fldChar w:fldCharType="end"/>
      </w:r>
    </w:p>
    <w:p w14:paraId="02FE53C7" w14:textId="7C3200F1" w:rsidR="00824AD6" w:rsidRDefault="00824AD6">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Enhancing Azerbaijan’s ICT data systems</w:t>
      </w:r>
      <w:r>
        <w:rPr>
          <w:noProof/>
        </w:rPr>
        <w:tab/>
      </w:r>
      <w:r>
        <w:rPr>
          <w:noProof/>
        </w:rPr>
        <w:fldChar w:fldCharType="begin"/>
      </w:r>
      <w:r>
        <w:rPr>
          <w:noProof/>
        </w:rPr>
        <w:instrText xml:space="preserve"> PAGEREF _Toc192868612 \h </w:instrText>
      </w:r>
      <w:r>
        <w:rPr>
          <w:noProof/>
        </w:rPr>
      </w:r>
      <w:r>
        <w:rPr>
          <w:noProof/>
        </w:rPr>
        <w:fldChar w:fldCharType="separate"/>
      </w:r>
      <w:r>
        <w:rPr>
          <w:noProof/>
        </w:rPr>
        <w:t>46</w:t>
      </w:r>
      <w:r>
        <w:rPr>
          <w:noProof/>
        </w:rPr>
        <w:fldChar w:fldCharType="end"/>
      </w:r>
    </w:p>
    <w:p w14:paraId="71E09936" w14:textId="6F3210BF" w:rsidR="00824AD6" w:rsidRDefault="00824AD6">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Regional forum in Kyrgyzstan highlights strategies for meaningful connectivity</w:t>
      </w:r>
      <w:r>
        <w:rPr>
          <w:noProof/>
        </w:rPr>
        <w:tab/>
      </w:r>
      <w:r>
        <w:rPr>
          <w:noProof/>
        </w:rPr>
        <w:fldChar w:fldCharType="begin"/>
      </w:r>
      <w:r>
        <w:rPr>
          <w:noProof/>
        </w:rPr>
        <w:instrText xml:space="preserve"> PAGEREF _Toc192868613 \h </w:instrText>
      </w:r>
      <w:r>
        <w:rPr>
          <w:noProof/>
        </w:rPr>
      </w:r>
      <w:r>
        <w:rPr>
          <w:noProof/>
        </w:rPr>
        <w:fldChar w:fldCharType="separate"/>
      </w:r>
      <w:r>
        <w:rPr>
          <w:noProof/>
        </w:rPr>
        <w:t>47</w:t>
      </w:r>
      <w:r>
        <w:rPr>
          <w:noProof/>
        </w:rPr>
        <w:fldChar w:fldCharType="end"/>
      </w:r>
    </w:p>
    <w:p w14:paraId="506294FE" w14:textId="12F99CB0" w:rsidR="00824AD6" w:rsidRDefault="00824AD6">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Cyberdrills boost cybersecurity readiness across CIS countries</w:t>
      </w:r>
      <w:r>
        <w:rPr>
          <w:noProof/>
        </w:rPr>
        <w:tab/>
      </w:r>
      <w:r>
        <w:rPr>
          <w:noProof/>
        </w:rPr>
        <w:fldChar w:fldCharType="begin"/>
      </w:r>
      <w:r>
        <w:rPr>
          <w:noProof/>
        </w:rPr>
        <w:instrText xml:space="preserve"> PAGEREF _Toc192868614 \h </w:instrText>
      </w:r>
      <w:r>
        <w:rPr>
          <w:noProof/>
        </w:rPr>
      </w:r>
      <w:r>
        <w:rPr>
          <w:noProof/>
        </w:rPr>
        <w:fldChar w:fldCharType="separate"/>
      </w:r>
      <w:r>
        <w:rPr>
          <w:noProof/>
        </w:rPr>
        <w:t>47</w:t>
      </w:r>
      <w:r>
        <w:rPr>
          <w:noProof/>
        </w:rPr>
        <w:fldChar w:fldCharType="end"/>
      </w:r>
    </w:p>
    <w:p w14:paraId="70FAC616" w14:textId="2E9DB878" w:rsidR="00824AD6" w:rsidRDefault="00824AD6">
      <w:pPr>
        <w:pStyle w:val="TOC1"/>
        <w:tabs>
          <w:tab w:val="right" w:leader="dot" w:pos="9629"/>
        </w:tabs>
        <w:rPr>
          <w:rFonts w:eastAsiaTheme="minorEastAsia" w:cstheme="minorBidi"/>
          <w:b w:val="0"/>
          <w:bCs w:val="0"/>
          <w:noProof/>
          <w:kern w:val="2"/>
          <w:sz w:val="24"/>
          <w:szCs w:val="24"/>
          <w:lang w:eastAsia="en-GB"/>
          <w14:ligatures w14:val="standardContextual"/>
        </w:rPr>
      </w:pPr>
      <w:r>
        <w:rPr>
          <w:noProof/>
        </w:rPr>
        <w:t>Annex: Data resources</w:t>
      </w:r>
      <w:r>
        <w:rPr>
          <w:noProof/>
        </w:rPr>
        <w:tab/>
      </w:r>
      <w:r>
        <w:rPr>
          <w:noProof/>
        </w:rPr>
        <w:fldChar w:fldCharType="begin"/>
      </w:r>
      <w:r>
        <w:rPr>
          <w:noProof/>
        </w:rPr>
        <w:instrText xml:space="preserve"> PAGEREF _Toc192868615 \h </w:instrText>
      </w:r>
      <w:r>
        <w:rPr>
          <w:noProof/>
        </w:rPr>
      </w:r>
      <w:r>
        <w:rPr>
          <w:noProof/>
        </w:rPr>
        <w:fldChar w:fldCharType="separate"/>
      </w:r>
      <w:r>
        <w:rPr>
          <w:noProof/>
        </w:rPr>
        <w:t>48</w:t>
      </w:r>
      <w:r>
        <w:rPr>
          <w:noProof/>
        </w:rPr>
        <w:fldChar w:fldCharType="end"/>
      </w:r>
    </w:p>
    <w:p w14:paraId="095B8632" w14:textId="5F8E36D2" w:rsidR="00394A30" w:rsidRPr="002B64E2" w:rsidRDefault="00970C56" w:rsidP="00E22751">
      <w:pPr>
        <w:rPr>
          <w:rFonts w:eastAsia="Yu Gothic Light"/>
        </w:rPr>
      </w:pPr>
      <w:r>
        <w:rPr>
          <w:rFonts w:ascii="Aptos" w:eastAsia="Aptos" w:hAnsi="Aptos" w:cs="Arial"/>
          <w:b/>
          <w:bCs/>
          <w:kern w:val="2"/>
          <w:sz w:val="22"/>
          <w:szCs w:val="22"/>
          <w14:ligatures w14:val="standardContextual"/>
        </w:rPr>
        <w:fldChar w:fldCharType="end"/>
      </w:r>
    </w:p>
    <w:p w14:paraId="55E4843D" w14:textId="77777777" w:rsidR="00394A30" w:rsidRPr="002B64E2" w:rsidRDefault="00394A30">
      <w:pPr>
        <w:tabs>
          <w:tab w:val="clear" w:pos="794"/>
          <w:tab w:val="clear" w:pos="1191"/>
          <w:tab w:val="clear" w:pos="1588"/>
          <w:tab w:val="clear" w:pos="1985"/>
        </w:tabs>
        <w:overflowPunct/>
        <w:autoSpaceDE/>
        <w:autoSpaceDN/>
        <w:adjustRightInd/>
        <w:spacing w:before="0"/>
        <w:textAlignment w:val="auto"/>
        <w:rPr>
          <w:rFonts w:eastAsia="Yu Gothic Light"/>
        </w:rPr>
      </w:pPr>
      <w:r w:rsidRPr="002B64E2">
        <w:rPr>
          <w:rFonts w:eastAsia="Yu Gothic Light"/>
        </w:rPr>
        <w:br w:type="page"/>
      </w:r>
    </w:p>
    <w:p w14:paraId="503B6FEE" w14:textId="55575C9E" w:rsidR="006C41B5" w:rsidRPr="002B64E2" w:rsidRDefault="006C41B5" w:rsidP="00554ABD">
      <w:pPr>
        <w:pStyle w:val="Parttitle0"/>
      </w:pPr>
      <w:bookmarkStart w:id="6" w:name="_Toc192868593"/>
      <w:r w:rsidRPr="002B64E2">
        <w:lastRenderedPageBreak/>
        <w:t>Introduction</w:t>
      </w:r>
      <w:bookmarkEnd w:id="6"/>
    </w:p>
    <w:p w14:paraId="1183AF85" w14:textId="0F46234D" w:rsidR="006C41B5" w:rsidRPr="002B64E2" w:rsidRDefault="00801E9E" w:rsidP="00A6778B">
      <w:pPr>
        <w:rPr>
          <w:rFonts w:ascii="Aptos" w:eastAsia="Yu Gothic Light" w:hAnsi="Aptos"/>
          <w:color w:val="0F4761"/>
          <w:kern w:val="2"/>
          <w:sz w:val="22"/>
          <w:szCs w:val="22"/>
          <w14:ligatures w14:val="standardContextual"/>
        </w:rPr>
      </w:pPr>
      <w:r w:rsidRPr="002B64E2">
        <w:rPr>
          <w:rFonts w:ascii="Aptos" w:eastAsia="Aptos" w:hAnsi="Aptos" w:cs="Arial"/>
          <w:kern w:val="2"/>
          <w:sz w:val="22"/>
          <w:szCs w:val="22"/>
          <w14:ligatures w14:val="standardContextual"/>
        </w:rPr>
        <w:t xml:space="preserve">The Regional Preparatory Meetings (RPMs) engage the ITU community in </w:t>
      </w:r>
      <w:r w:rsidR="005C6632" w:rsidRPr="002B64E2">
        <w:rPr>
          <w:rFonts w:ascii="Aptos" w:eastAsia="Aptos" w:hAnsi="Aptos" w:cs="Arial"/>
          <w:kern w:val="2"/>
          <w:sz w:val="22"/>
          <w:szCs w:val="22"/>
          <w14:ligatures w14:val="standardContextual"/>
        </w:rPr>
        <w:t>the preparations of the World Telecommunication Development Conference 2025 (WTDC-25)</w:t>
      </w:r>
      <w:r w:rsidR="00533CB0" w:rsidRPr="002B64E2">
        <w:rPr>
          <w:rFonts w:ascii="Aptos" w:eastAsia="Aptos" w:hAnsi="Aptos" w:cs="Arial"/>
          <w:kern w:val="2"/>
          <w:sz w:val="22"/>
          <w:szCs w:val="22"/>
          <w14:ligatures w14:val="standardContextual"/>
        </w:rPr>
        <w:t xml:space="preserve">. </w:t>
      </w:r>
      <w:r w:rsidR="007D71F9" w:rsidRPr="002B64E2">
        <w:rPr>
          <w:rFonts w:ascii="Aptos" w:eastAsia="Aptos" w:hAnsi="Aptos" w:cs="Arial"/>
          <w:kern w:val="2"/>
          <w:sz w:val="22"/>
          <w:szCs w:val="22"/>
          <w14:ligatures w14:val="standardContextual"/>
        </w:rPr>
        <w:t xml:space="preserve">Prepared for the </w:t>
      </w:r>
      <w:r w:rsidRPr="002B64E2">
        <w:rPr>
          <w:rFonts w:ascii="Aptos" w:eastAsia="Aptos" w:hAnsi="Aptos" w:cs="Arial"/>
          <w:kern w:val="2"/>
          <w:sz w:val="22"/>
          <w:szCs w:val="22"/>
          <w14:ligatures w14:val="standardContextual"/>
        </w:rPr>
        <w:t xml:space="preserve">RPM for the Commonwealth of Independent States (CIS), held on 24-25 April 2025, </w:t>
      </w:r>
      <w:r w:rsidR="007D71F9" w:rsidRPr="002B64E2">
        <w:rPr>
          <w:rFonts w:ascii="Aptos" w:eastAsia="Aptos" w:hAnsi="Aptos" w:cs="Arial"/>
          <w:kern w:val="2"/>
          <w:sz w:val="22"/>
          <w:szCs w:val="22"/>
          <w14:ligatures w14:val="standardContextual"/>
        </w:rPr>
        <w:t>this document seeks to inform participants and stakeholders as they discuss the region’s digital agenda.</w:t>
      </w:r>
      <w:r w:rsidR="006C41B5" w:rsidRPr="002B64E2">
        <w:rPr>
          <w:rFonts w:ascii="Aptos" w:eastAsia="Aptos" w:hAnsi="Aptos" w:cs="Arial"/>
          <w:kern w:val="2"/>
          <w:sz w:val="22"/>
          <w:szCs w:val="22"/>
          <w:vertAlign w:val="superscript"/>
          <w14:ligatures w14:val="standardContextual"/>
        </w:rPr>
        <w:footnoteReference w:id="2"/>
      </w:r>
      <w:r w:rsidR="006C41B5" w:rsidRPr="002B64E2">
        <w:rPr>
          <w:rFonts w:ascii="Aptos" w:eastAsia="Aptos" w:hAnsi="Aptos" w:cs="Arial"/>
          <w:kern w:val="2"/>
          <w:sz w:val="22"/>
          <w:szCs w:val="22"/>
          <w14:ligatures w14:val="standardContextual"/>
        </w:rPr>
        <w:t xml:space="preserve"> </w:t>
      </w:r>
      <w:r w:rsidR="00EB27A7" w:rsidRPr="002B64E2">
        <w:rPr>
          <w:rFonts w:ascii="Aptos" w:eastAsia="Aptos" w:hAnsi="Aptos" w:cs="Arial"/>
          <w:kern w:val="2"/>
          <w:sz w:val="22"/>
          <w:szCs w:val="22"/>
          <w14:ligatures w14:val="standardContextual"/>
        </w:rPr>
        <w:t xml:space="preserve">It </w:t>
      </w:r>
      <w:r w:rsidR="00722F24" w:rsidRPr="002B64E2">
        <w:rPr>
          <w:rFonts w:ascii="Aptos" w:eastAsia="Aptos" w:hAnsi="Aptos" w:cs="Arial"/>
          <w:kern w:val="2"/>
          <w:sz w:val="22"/>
          <w:szCs w:val="22"/>
          <w14:ligatures w14:val="standardContextual"/>
        </w:rPr>
        <w:t>consists of</w:t>
      </w:r>
      <w:r w:rsidR="006C41B5" w:rsidRPr="002B64E2">
        <w:rPr>
          <w:rFonts w:ascii="Aptos" w:eastAsia="Aptos" w:hAnsi="Aptos" w:cs="Arial"/>
          <w:kern w:val="2"/>
          <w:sz w:val="22"/>
          <w:szCs w:val="22"/>
          <w14:ligatures w14:val="standardContextual"/>
        </w:rPr>
        <w:t xml:space="preserve"> two parts: the first provides an overview of the state of digital connectivity in </w:t>
      </w:r>
      <w:r w:rsidR="00AB777E" w:rsidRPr="002B64E2">
        <w:rPr>
          <w:rFonts w:ascii="Aptos" w:eastAsia="Aptos" w:hAnsi="Aptos" w:cs="Arial"/>
          <w:kern w:val="2"/>
          <w:sz w:val="22"/>
          <w:szCs w:val="22"/>
          <w14:ligatures w14:val="standardContextual"/>
        </w:rPr>
        <w:t>t</w:t>
      </w:r>
      <w:r w:rsidR="00060A76" w:rsidRPr="002B64E2">
        <w:rPr>
          <w:rFonts w:ascii="Aptos" w:eastAsia="Aptos" w:hAnsi="Aptos" w:cs="Arial"/>
          <w:kern w:val="2"/>
          <w:sz w:val="22"/>
          <w:szCs w:val="22"/>
          <w14:ligatures w14:val="standardContextual"/>
        </w:rPr>
        <w:t xml:space="preserve">he </w:t>
      </w:r>
      <w:r w:rsidR="00220A01" w:rsidRPr="002B64E2">
        <w:rPr>
          <w:rFonts w:ascii="Aptos" w:eastAsia="Aptos" w:hAnsi="Aptos" w:cs="Arial"/>
          <w:kern w:val="2"/>
          <w:sz w:val="22"/>
          <w:szCs w:val="22"/>
          <w14:ligatures w14:val="standardContextual"/>
        </w:rPr>
        <w:t>CIS region</w:t>
      </w:r>
      <w:r w:rsidR="005C04DE" w:rsidRPr="002B64E2">
        <w:rPr>
          <w:rFonts w:ascii="Aptos" w:eastAsia="Aptos" w:hAnsi="Aptos" w:cs="Arial"/>
          <w:kern w:val="2"/>
          <w:sz w:val="22"/>
          <w:szCs w:val="22"/>
          <w14:ligatures w14:val="standardContextual"/>
        </w:rPr>
        <w:t xml:space="preserve"> </w:t>
      </w:r>
      <w:r w:rsidR="006C41B5" w:rsidRPr="002B64E2">
        <w:rPr>
          <w:rFonts w:ascii="Aptos" w:eastAsia="Aptos" w:hAnsi="Aptos" w:cs="Arial"/>
          <w:kern w:val="2"/>
          <w:sz w:val="22"/>
          <w:szCs w:val="22"/>
          <w14:ligatures w14:val="standardContextual"/>
        </w:rPr>
        <w:t xml:space="preserve">through key indicators, and the second </w:t>
      </w:r>
      <w:r w:rsidR="005867B4" w:rsidRPr="002B64E2">
        <w:rPr>
          <w:rFonts w:ascii="Aptos" w:eastAsia="Aptos" w:hAnsi="Aptos" w:cs="Arial"/>
          <w:kern w:val="2"/>
          <w:sz w:val="22"/>
          <w:szCs w:val="22"/>
          <w14:ligatures w14:val="standardContextual"/>
        </w:rPr>
        <w:t>showcases</w:t>
      </w:r>
      <w:r w:rsidR="006C41B5" w:rsidRPr="002B64E2">
        <w:rPr>
          <w:rFonts w:ascii="Aptos" w:eastAsia="Aptos" w:hAnsi="Aptos" w:cs="Arial"/>
          <w:kern w:val="2"/>
          <w:sz w:val="22"/>
          <w:szCs w:val="22"/>
          <w14:ligatures w14:val="standardContextual"/>
        </w:rPr>
        <w:t xml:space="preserve"> impactful case studies from the region.</w:t>
      </w:r>
    </w:p>
    <w:p w14:paraId="5F118E6A" w14:textId="77777777" w:rsidR="00DA31B2" w:rsidRPr="002B64E2" w:rsidRDefault="00C57355" w:rsidP="00DA31B2">
      <w:pPr>
        <w:rPr>
          <w:rFonts w:ascii="Aptos" w:hAnsi="Aptos"/>
          <w:sz w:val="22"/>
          <w:szCs w:val="22"/>
        </w:rPr>
      </w:pPr>
      <w:r w:rsidRPr="002B64E2">
        <w:rPr>
          <w:rFonts w:ascii="Aptos" w:hAnsi="Aptos"/>
          <w:b/>
          <w:bCs/>
          <w:sz w:val="22"/>
          <w:szCs w:val="22"/>
        </w:rPr>
        <w:t xml:space="preserve">Universal and meaningful connectivity </w:t>
      </w:r>
      <w:r w:rsidR="00F53880" w:rsidRPr="002B64E2">
        <w:rPr>
          <w:rFonts w:ascii="Aptos" w:hAnsi="Aptos"/>
          <w:b/>
          <w:bCs/>
          <w:sz w:val="22"/>
          <w:szCs w:val="22"/>
        </w:rPr>
        <w:t xml:space="preserve">is a policy imperative. </w:t>
      </w:r>
      <w:r w:rsidR="00AC53DD" w:rsidRPr="002B64E2">
        <w:rPr>
          <w:rFonts w:ascii="Aptos" w:hAnsi="Aptos"/>
          <w:sz w:val="22"/>
          <w:szCs w:val="22"/>
        </w:rPr>
        <w:t>The concept of universal and meaningful connectivity (UMC) has emerged as a vital policy objective. UMC is defined as enabling everyone to enjoy a safe, enriching, and productive online experience at an affordable cost. UMC does not mean everyone must be connected all the time but describes a situation where everyone can access the Internet optimally and affordably whenever and wherever needed</w:t>
      </w:r>
      <w:r w:rsidR="00DA31B2" w:rsidRPr="002B64E2">
        <w:rPr>
          <w:rFonts w:ascii="Aptos" w:hAnsi="Aptos"/>
          <w:sz w:val="22"/>
          <w:szCs w:val="22"/>
        </w:rPr>
        <w:t xml:space="preserve">. This objective must be at the core of any digital policy to ensure that everyone can contribute to and benefit from digital transformation. </w:t>
      </w:r>
    </w:p>
    <w:p w14:paraId="4AF5B134" w14:textId="7C51DB3F" w:rsidR="000129F6" w:rsidRPr="002B64E2" w:rsidRDefault="000129F6" w:rsidP="00DA31B2">
      <w:pPr>
        <w:rPr>
          <w:rFonts w:ascii="Aptos" w:hAnsi="Aptos"/>
          <w:sz w:val="22"/>
          <w:szCs w:val="22"/>
        </w:rPr>
      </w:pPr>
      <w:r w:rsidRPr="002B64E2">
        <w:rPr>
          <w:rFonts w:ascii="Aptos" w:hAnsi="Aptos"/>
          <w:b/>
          <w:bCs/>
          <w:sz w:val="22"/>
          <w:szCs w:val="22"/>
        </w:rPr>
        <w:t>The CIS region is advancing but faces structural challenges.</w:t>
      </w:r>
      <w:r w:rsidRPr="002B64E2">
        <w:rPr>
          <w:rFonts w:ascii="Aptos" w:hAnsi="Aptos"/>
          <w:sz w:val="22"/>
          <w:szCs w:val="22"/>
        </w:rPr>
        <w:t xml:space="preserve"> The region’s </w:t>
      </w:r>
      <w:r w:rsidR="0013178F" w:rsidRPr="002B64E2">
        <w:rPr>
          <w:rFonts w:ascii="Aptos" w:hAnsi="Aptos"/>
          <w:sz w:val="22"/>
          <w:szCs w:val="22"/>
        </w:rPr>
        <w:t xml:space="preserve">nine </w:t>
      </w:r>
      <w:r w:rsidRPr="002B64E2">
        <w:rPr>
          <w:rFonts w:ascii="Aptos" w:hAnsi="Aptos"/>
          <w:sz w:val="22"/>
          <w:szCs w:val="22"/>
        </w:rPr>
        <w:t xml:space="preserve">economies vary widely in their levels of digital development. Several countries have near-universal Internet access, while others lag due to </w:t>
      </w:r>
      <w:r w:rsidR="00400802" w:rsidRPr="002B64E2">
        <w:rPr>
          <w:rFonts w:ascii="Aptos" w:hAnsi="Aptos"/>
          <w:sz w:val="22"/>
          <w:szCs w:val="22"/>
        </w:rPr>
        <w:t xml:space="preserve">lack of </w:t>
      </w:r>
      <w:r w:rsidRPr="002B64E2">
        <w:rPr>
          <w:rFonts w:ascii="Aptos" w:hAnsi="Aptos"/>
          <w:sz w:val="22"/>
          <w:szCs w:val="22"/>
        </w:rPr>
        <w:t xml:space="preserve">infrastructure, </w:t>
      </w:r>
      <w:r w:rsidR="00400802" w:rsidRPr="002B64E2">
        <w:rPr>
          <w:rFonts w:ascii="Aptos" w:hAnsi="Aptos"/>
          <w:sz w:val="22"/>
          <w:szCs w:val="22"/>
        </w:rPr>
        <w:t xml:space="preserve">lack of </w:t>
      </w:r>
      <w:r w:rsidRPr="002B64E2">
        <w:rPr>
          <w:rFonts w:ascii="Aptos" w:hAnsi="Aptos"/>
          <w:sz w:val="22"/>
          <w:szCs w:val="22"/>
        </w:rPr>
        <w:t xml:space="preserve">affordability, and </w:t>
      </w:r>
      <w:r w:rsidR="00400802" w:rsidRPr="002B64E2">
        <w:rPr>
          <w:rFonts w:ascii="Aptos" w:hAnsi="Aptos"/>
          <w:sz w:val="22"/>
          <w:szCs w:val="22"/>
        </w:rPr>
        <w:t>inadequate regulations</w:t>
      </w:r>
      <w:r w:rsidRPr="002B64E2">
        <w:rPr>
          <w:rFonts w:ascii="Aptos" w:hAnsi="Aptos"/>
          <w:sz w:val="22"/>
          <w:szCs w:val="22"/>
        </w:rPr>
        <w:t xml:space="preserve">. Seven of the nine CIS countries are landlocked, </w:t>
      </w:r>
      <w:r w:rsidR="00400802" w:rsidRPr="002B64E2">
        <w:rPr>
          <w:rFonts w:ascii="Aptos" w:hAnsi="Aptos"/>
          <w:sz w:val="22"/>
          <w:szCs w:val="22"/>
        </w:rPr>
        <w:t xml:space="preserve">making them dependent </w:t>
      </w:r>
      <w:r w:rsidRPr="002B64E2">
        <w:rPr>
          <w:rFonts w:ascii="Aptos" w:hAnsi="Aptos"/>
          <w:sz w:val="22"/>
          <w:szCs w:val="22"/>
        </w:rPr>
        <w:t xml:space="preserve">on </w:t>
      </w:r>
      <w:r w:rsidR="006D2C74" w:rsidRPr="002B64E2">
        <w:rPr>
          <w:rFonts w:ascii="Aptos" w:hAnsi="Aptos"/>
          <w:sz w:val="22"/>
          <w:szCs w:val="22"/>
        </w:rPr>
        <w:t>neighbouring</w:t>
      </w:r>
      <w:r w:rsidRPr="002B64E2">
        <w:rPr>
          <w:rFonts w:ascii="Aptos" w:hAnsi="Aptos"/>
          <w:sz w:val="22"/>
          <w:szCs w:val="22"/>
        </w:rPr>
        <w:t xml:space="preserve"> states for connectivity and transit infrastructure. Despite progress in mobile broadband expansion and ICT service affordability, disparities remain between urban and rural areas, across income levels, and in access to high-speed Internet.</w:t>
      </w:r>
    </w:p>
    <w:p w14:paraId="1D1B8690" w14:textId="28D7BAC4" w:rsidR="009A3E28" w:rsidRDefault="009A3E28" w:rsidP="00DA31B2">
      <w:pPr>
        <w:rPr>
          <w:rFonts w:ascii="Aptos" w:hAnsi="Aptos"/>
          <w:sz w:val="22"/>
          <w:szCs w:val="22"/>
        </w:rPr>
      </w:pPr>
      <w:r w:rsidRPr="002B64E2">
        <w:rPr>
          <w:rFonts w:ascii="Aptos" w:hAnsi="Aptos"/>
          <w:b/>
          <w:bCs/>
          <w:sz w:val="22"/>
          <w:szCs w:val="22"/>
        </w:rPr>
        <w:t>Internet use is high, but gaps remain.</w:t>
      </w:r>
      <w:r w:rsidRPr="002B64E2">
        <w:rPr>
          <w:rFonts w:ascii="Aptos" w:hAnsi="Aptos"/>
          <w:sz w:val="22"/>
          <w:szCs w:val="22"/>
        </w:rPr>
        <w:t xml:space="preserve"> In 2024, 92 per cent of individuals in the CIS region </w:t>
      </w:r>
      <w:r w:rsidR="008B7E99">
        <w:rPr>
          <w:rFonts w:ascii="Aptos" w:hAnsi="Aptos"/>
          <w:sz w:val="22"/>
          <w:szCs w:val="22"/>
        </w:rPr>
        <w:t>were online</w:t>
      </w:r>
      <w:r w:rsidRPr="002B64E2">
        <w:rPr>
          <w:rFonts w:ascii="Aptos" w:hAnsi="Aptos"/>
          <w:sz w:val="22"/>
          <w:szCs w:val="22"/>
        </w:rPr>
        <w:t xml:space="preserve">, well above the global average of 68 per cent. However, </w:t>
      </w:r>
      <w:r w:rsidR="00906E83">
        <w:rPr>
          <w:rFonts w:ascii="Aptos" w:hAnsi="Aptos"/>
          <w:sz w:val="22"/>
          <w:szCs w:val="22"/>
        </w:rPr>
        <w:t xml:space="preserve">the </w:t>
      </w:r>
      <w:r w:rsidR="004E71A9">
        <w:rPr>
          <w:rFonts w:ascii="Aptos" w:hAnsi="Aptos"/>
          <w:sz w:val="22"/>
          <w:szCs w:val="22"/>
        </w:rPr>
        <w:t xml:space="preserve">urban-rural </w:t>
      </w:r>
      <w:r w:rsidR="00906E83">
        <w:rPr>
          <w:rFonts w:ascii="Aptos" w:hAnsi="Aptos"/>
          <w:sz w:val="22"/>
          <w:szCs w:val="22"/>
        </w:rPr>
        <w:t xml:space="preserve">divide </w:t>
      </w:r>
      <w:r w:rsidR="004E71A9">
        <w:rPr>
          <w:rFonts w:ascii="Aptos" w:hAnsi="Aptos"/>
          <w:sz w:val="22"/>
          <w:szCs w:val="22"/>
        </w:rPr>
        <w:t>persists</w:t>
      </w:r>
      <w:r w:rsidR="00906E83">
        <w:rPr>
          <w:rFonts w:ascii="Aptos" w:hAnsi="Aptos"/>
          <w:sz w:val="22"/>
          <w:szCs w:val="22"/>
        </w:rPr>
        <w:t xml:space="preserve">, with </w:t>
      </w:r>
      <w:r w:rsidR="004E71A9">
        <w:rPr>
          <w:rFonts w:ascii="Aptos" w:hAnsi="Aptos"/>
          <w:sz w:val="22"/>
          <w:szCs w:val="22"/>
        </w:rPr>
        <w:t>95</w:t>
      </w:r>
      <w:r w:rsidR="00906E83">
        <w:rPr>
          <w:rFonts w:ascii="Aptos" w:hAnsi="Aptos"/>
          <w:sz w:val="22"/>
          <w:szCs w:val="22"/>
        </w:rPr>
        <w:t xml:space="preserve"> </w:t>
      </w:r>
      <w:r w:rsidR="004E71A9">
        <w:rPr>
          <w:rFonts w:ascii="Aptos" w:hAnsi="Aptos"/>
          <w:sz w:val="22"/>
          <w:szCs w:val="22"/>
        </w:rPr>
        <w:t xml:space="preserve">per cent of </w:t>
      </w:r>
      <w:r w:rsidRPr="002B64E2">
        <w:rPr>
          <w:rFonts w:ascii="Aptos" w:hAnsi="Aptos"/>
          <w:sz w:val="22"/>
          <w:szCs w:val="22"/>
        </w:rPr>
        <w:t xml:space="preserve">rural residents </w:t>
      </w:r>
      <w:r w:rsidR="00906E83">
        <w:rPr>
          <w:rFonts w:ascii="Aptos" w:hAnsi="Aptos"/>
          <w:sz w:val="22"/>
          <w:szCs w:val="22"/>
        </w:rPr>
        <w:t xml:space="preserve">online, compared with </w:t>
      </w:r>
      <w:r w:rsidRPr="002B64E2">
        <w:rPr>
          <w:rFonts w:ascii="Aptos" w:hAnsi="Aptos"/>
          <w:sz w:val="22"/>
          <w:szCs w:val="22"/>
        </w:rPr>
        <w:t>85 per cent</w:t>
      </w:r>
      <w:r w:rsidR="00906E83">
        <w:rPr>
          <w:rFonts w:ascii="Aptos" w:hAnsi="Aptos"/>
          <w:sz w:val="22"/>
          <w:szCs w:val="22"/>
        </w:rPr>
        <w:t xml:space="preserve"> in rural areas, where 7 per cent </w:t>
      </w:r>
      <w:r w:rsidR="00492592">
        <w:rPr>
          <w:rFonts w:ascii="Aptos" w:hAnsi="Aptos"/>
          <w:sz w:val="22"/>
          <w:szCs w:val="22"/>
        </w:rPr>
        <w:t>of the population remain off the grid without the possibility of accessing the Internet</w:t>
      </w:r>
      <w:r w:rsidRPr="002B64E2">
        <w:rPr>
          <w:rFonts w:ascii="Aptos" w:hAnsi="Aptos"/>
          <w:sz w:val="22"/>
          <w:szCs w:val="22"/>
        </w:rPr>
        <w:t xml:space="preserve">. </w:t>
      </w:r>
      <w:r w:rsidR="009A6110">
        <w:rPr>
          <w:rFonts w:ascii="Aptos" w:hAnsi="Aptos"/>
          <w:sz w:val="22"/>
          <w:szCs w:val="22"/>
        </w:rPr>
        <w:t>Moreover, o</w:t>
      </w:r>
      <w:r w:rsidRPr="002B64E2">
        <w:rPr>
          <w:rFonts w:ascii="Aptos" w:hAnsi="Aptos"/>
          <w:sz w:val="22"/>
          <w:szCs w:val="22"/>
        </w:rPr>
        <w:t>lder adults are also less likely to be online, limiting the region’s full digital inclusion</w:t>
      </w:r>
      <w:r w:rsidR="009A6110">
        <w:rPr>
          <w:rFonts w:ascii="Aptos" w:hAnsi="Aptos"/>
          <w:sz w:val="22"/>
          <w:szCs w:val="22"/>
        </w:rPr>
        <w:t xml:space="preserve"> and participation in digital inclusion.</w:t>
      </w:r>
    </w:p>
    <w:p w14:paraId="652FD54F" w14:textId="44158368" w:rsidR="00D864A1" w:rsidRPr="002B64E2" w:rsidRDefault="00D864A1" w:rsidP="00DA31B2">
      <w:pPr>
        <w:rPr>
          <w:rFonts w:ascii="Aptos" w:hAnsi="Aptos"/>
          <w:sz w:val="22"/>
          <w:szCs w:val="22"/>
        </w:rPr>
      </w:pPr>
      <w:r w:rsidRPr="002B64E2">
        <w:rPr>
          <w:rFonts w:ascii="Aptos" w:hAnsi="Aptos"/>
          <w:b/>
          <w:bCs/>
          <w:sz w:val="22"/>
          <w:szCs w:val="22"/>
        </w:rPr>
        <w:t>Gender parity in Internet use has been achieved.</w:t>
      </w:r>
      <w:r w:rsidRPr="002B64E2">
        <w:rPr>
          <w:rFonts w:ascii="Aptos" w:hAnsi="Aptos"/>
          <w:sz w:val="22"/>
          <w:szCs w:val="22"/>
        </w:rPr>
        <w:t xml:space="preserve"> In 2024, 93 per cent of men and 91 per cent of women were online, </w:t>
      </w:r>
      <w:r w:rsidR="00AA30BE" w:rsidRPr="002B64E2">
        <w:rPr>
          <w:rFonts w:ascii="Aptos" w:hAnsi="Aptos"/>
          <w:sz w:val="22"/>
          <w:szCs w:val="22"/>
        </w:rPr>
        <w:t xml:space="preserve">yielding </w:t>
      </w:r>
      <w:r w:rsidRPr="002B64E2">
        <w:rPr>
          <w:rFonts w:ascii="Aptos" w:hAnsi="Aptos"/>
          <w:sz w:val="22"/>
          <w:szCs w:val="22"/>
        </w:rPr>
        <w:t>a gender parity score of 0.98, above the global average. While some national disparities persist, the CIS region stands out</w:t>
      </w:r>
      <w:r w:rsidR="00BE0B7E" w:rsidRPr="002B64E2">
        <w:rPr>
          <w:rFonts w:ascii="Aptos" w:hAnsi="Aptos"/>
          <w:sz w:val="22"/>
          <w:szCs w:val="22"/>
        </w:rPr>
        <w:t xml:space="preserve"> in this area</w:t>
      </w:r>
      <w:r w:rsidRPr="002B64E2">
        <w:rPr>
          <w:rFonts w:ascii="Aptos" w:hAnsi="Aptos"/>
          <w:sz w:val="22"/>
          <w:szCs w:val="22"/>
        </w:rPr>
        <w:t>.</w:t>
      </w:r>
    </w:p>
    <w:p w14:paraId="59CA5E96" w14:textId="77777777" w:rsidR="00D108E6" w:rsidRPr="002B64E2" w:rsidRDefault="00D108E6" w:rsidP="00D108E6">
      <w:pPr>
        <w:rPr>
          <w:rFonts w:ascii="Aptos" w:hAnsi="Aptos"/>
          <w:sz w:val="22"/>
          <w:szCs w:val="22"/>
        </w:rPr>
      </w:pPr>
      <w:r w:rsidRPr="002B64E2">
        <w:rPr>
          <w:rFonts w:ascii="Aptos" w:hAnsi="Aptos"/>
          <w:b/>
          <w:bCs/>
          <w:sz w:val="22"/>
          <w:szCs w:val="22"/>
        </w:rPr>
        <w:t>Fixed broadband expansion is uneven.</w:t>
      </w:r>
      <w:r w:rsidRPr="002B64E2">
        <w:rPr>
          <w:rFonts w:ascii="Aptos" w:hAnsi="Aptos"/>
          <w:sz w:val="22"/>
          <w:szCs w:val="22"/>
        </w:rPr>
        <w:t xml:space="preserve"> One-third of the CIS population lives within 10 km of a fibre-optic node, and 93 per cent are within 100 km. Some countries have robust broadband networks, while others rely heavily on mobile connectivity, restricting the growth of high-speed, high-capacity services.</w:t>
      </w:r>
    </w:p>
    <w:p w14:paraId="40CD1097" w14:textId="305F6FA9" w:rsidR="00BE0B7E" w:rsidRPr="002B64E2" w:rsidRDefault="001B1855" w:rsidP="00DA31B2">
      <w:pPr>
        <w:rPr>
          <w:rFonts w:ascii="Aptos" w:hAnsi="Aptos"/>
          <w:sz w:val="22"/>
          <w:szCs w:val="22"/>
        </w:rPr>
      </w:pPr>
      <w:r w:rsidRPr="002B64E2">
        <w:rPr>
          <w:rFonts w:ascii="Aptos" w:hAnsi="Aptos"/>
          <w:b/>
          <w:bCs/>
          <w:sz w:val="22"/>
          <w:szCs w:val="22"/>
        </w:rPr>
        <w:t>Mobile broadband is highly affordable.</w:t>
      </w:r>
      <w:r w:rsidRPr="002B64E2">
        <w:rPr>
          <w:rFonts w:ascii="Aptos" w:hAnsi="Aptos"/>
          <w:sz w:val="22"/>
          <w:szCs w:val="22"/>
        </w:rPr>
        <w:t xml:space="preserve"> The median price of a 2GB mobile broadband plan was 0.7 per cent of GNI per capita in 2024, well below the UN Broadband Commission 2 per cent affordability target.</w:t>
      </w:r>
      <w:r w:rsidR="007E282A" w:rsidRPr="002B64E2">
        <w:rPr>
          <w:rFonts w:ascii="Aptos" w:hAnsi="Aptos"/>
          <w:sz w:val="22"/>
          <w:szCs w:val="22"/>
        </w:rPr>
        <w:t xml:space="preserve"> </w:t>
      </w:r>
      <w:r w:rsidR="00811EE2" w:rsidRPr="002B64E2">
        <w:rPr>
          <w:rFonts w:ascii="Aptos" w:hAnsi="Aptos"/>
          <w:sz w:val="22"/>
          <w:szCs w:val="22"/>
        </w:rPr>
        <w:t>The cost is below 2 per cent in a</w:t>
      </w:r>
      <w:r w:rsidR="007E282A" w:rsidRPr="002B64E2">
        <w:rPr>
          <w:rFonts w:ascii="Aptos" w:hAnsi="Aptos"/>
          <w:sz w:val="22"/>
          <w:szCs w:val="22"/>
        </w:rPr>
        <w:t xml:space="preserve">ll but one country </w:t>
      </w:r>
      <w:r w:rsidR="00811EE2" w:rsidRPr="002B64E2">
        <w:rPr>
          <w:rFonts w:ascii="Aptos" w:hAnsi="Aptos"/>
          <w:sz w:val="22"/>
          <w:szCs w:val="22"/>
        </w:rPr>
        <w:t xml:space="preserve">of the region. </w:t>
      </w:r>
      <w:r w:rsidRPr="002B64E2">
        <w:rPr>
          <w:rFonts w:ascii="Aptos" w:hAnsi="Aptos"/>
          <w:sz w:val="22"/>
          <w:szCs w:val="22"/>
        </w:rPr>
        <w:t>However, fixed broadband remains expensive in several countries.</w:t>
      </w:r>
    </w:p>
    <w:p w14:paraId="78FC866B" w14:textId="73BE32BA" w:rsidR="00D8016F" w:rsidRPr="002B64E2" w:rsidRDefault="00032C3C" w:rsidP="00395DD9">
      <w:pPr>
        <w:rPr>
          <w:rFonts w:ascii="Aptos" w:hAnsi="Aptos"/>
          <w:sz w:val="22"/>
          <w:szCs w:val="22"/>
        </w:rPr>
      </w:pPr>
      <w:r w:rsidRPr="002B64E2">
        <w:rPr>
          <w:rFonts w:ascii="Aptos" w:hAnsi="Aptos"/>
          <w:b/>
          <w:bCs/>
          <w:sz w:val="22"/>
          <w:szCs w:val="22"/>
        </w:rPr>
        <w:t>Digital r</w:t>
      </w:r>
      <w:r w:rsidR="005078E1" w:rsidRPr="002B64E2">
        <w:rPr>
          <w:rFonts w:ascii="Aptos" w:hAnsi="Aptos"/>
          <w:b/>
          <w:bCs/>
          <w:sz w:val="22"/>
          <w:szCs w:val="22"/>
        </w:rPr>
        <w:t xml:space="preserve">egulation </w:t>
      </w:r>
      <w:r w:rsidRPr="002B64E2">
        <w:rPr>
          <w:rFonts w:ascii="Aptos" w:hAnsi="Aptos"/>
          <w:b/>
          <w:bCs/>
          <w:sz w:val="22"/>
          <w:szCs w:val="22"/>
        </w:rPr>
        <w:t>is lacking</w:t>
      </w:r>
      <w:r w:rsidR="00803B8A" w:rsidRPr="002B64E2">
        <w:rPr>
          <w:rFonts w:ascii="Aptos" w:hAnsi="Aptos"/>
          <w:b/>
          <w:bCs/>
          <w:sz w:val="22"/>
          <w:szCs w:val="22"/>
        </w:rPr>
        <w:t>.</w:t>
      </w:r>
      <w:r w:rsidR="00803B8A" w:rsidRPr="002B64E2">
        <w:rPr>
          <w:rFonts w:ascii="Aptos" w:hAnsi="Aptos"/>
          <w:sz w:val="22"/>
          <w:szCs w:val="22"/>
        </w:rPr>
        <w:t xml:space="preserve"> </w:t>
      </w:r>
      <w:r w:rsidR="00DA0157" w:rsidRPr="002B64E2">
        <w:rPr>
          <w:rFonts w:ascii="Aptos" w:hAnsi="Aptos"/>
          <w:sz w:val="22"/>
          <w:szCs w:val="22"/>
        </w:rPr>
        <w:t xml:space="preserve">Among the nine </w:t>
      </w:r>
      <w:r w:rsidRPr="002B64E2">
        <w:rPr>
          <w:rFonts w:ascii="Aptos" w:hAnsi="Aptos"/>
          <w:sz w:val="22"/>
          <w:szCs w:val="22"/>
        </w:rPr>
        <w:t xml:space="preserve">CIS </w:t>
      </w:r>
      <w:r w:rsidR="00DA0157" w:rsidRPr="002B64E2">
        <w:rPr>
          <w:rFonts w:ascii="Aptos" w:hAnsi="Aptos"/>
          <w:sz w:val="22"/>
          <w:szCs w:val="22"/>
        </w:rPr>
        <w:t>countries</w:t>
      </w:r>
      <w:r w:rsidRPr="002B64E2">
        <w:rPr>
          <w:rFonts w:ascii="Aptos" w:hAnsi="Aptos"/>
          <w:sz w:val="22"/>
          <w:szCs w:val="22"/>
        </w:rPr>
        <w:t>, o</w:t>
      </w:r>
      <w:r w:rsidR="00803B8A" w:rsidRPr="002B64E2">
        <w:rPr>
          <w:rFonts w:ascii="Aptos" w:hAnsi="Aptos"/>
          <w:sz w:val="22"/>
          <w:szCs w:val="22"/>
        </w:rPr>
        <w:t>nly Armenia has reached the most mature stage of ICT regulation (Generation 4 or G4)</w:t>
      </w:r>
      <w:r w:rsidR="00577D9F" w:rsidRPr="002B64E2">
        <w:rPr>
          <w:rFonts w:ascii="Aptos" w:hAnsi="Aptos"/>
          <w:sz w:val="22"/>
          <w:szCs w:val="22"/>
        </w:rPr>
        <w:t xml:space="preserve">, </w:t>
      </w:r>
      <w:r w:rsidR="00DA0157" w:rsidRPr="002B64E2">
        <w:rPr>
          <w:rFonts w:ascii="Aptos" w:hAnsi="Aptos"/>
          <w:sz w:val="22"/>
          <w:szCs w:val="22"/>
        </w:rPr>
        <w:t xml:space="preserve">while </w:t>
      </w:r>
      <w:r w:rsidR="00577D9F" w:rsidRPr="002B64E2">
        <w:rPr>
          <w:rFonts w:ascii="Aptos" w:hAnsi="Aptos"/>
          <w:sz w:val="22"/>
          <w:szCs w:val="22"/>
        </w:rPr>
        <w:t xml:space="preserve">globally 38 per cent of countries have already reached this stage. </w:t>
      </w:r>
      <w:r w:rsidR="00A83B0D" w:rsidRPr="002B64E2">
        <w:rPr>
          <w:rFonts w:ascii="Aptos" w:hAnsi="Aptos"/>
          <w:sz w:val="22"/>
          <w:szCs w:val="22"/>
        </w:rPr>
        <w:t xml:space="preserve">Kyrgyzstan is </w:t>
      </w:r>
      <w:r w:rsidR="00DA0157" w:rsidRPr="002B64E2">
        <w:rPr>
          <w:rFonts w:ascii="Aptos" w:hAnsi="Aptos"/>
          <w:sz w:val="22"/>
          <w:szCs w:val="22"/>
        </w:rPr>
        <w:t xml:space="preserve">in Generation </w:t>
      </w:r>
      <w:r w:rsidR="00A83B0D" w:rsidRPr="002B64E2">
        <w:rPr>
          <w:rFonts w:ascii="Aptos" w:hAnsi="Aptos"/>
          <w:sz w:val="22"/>
          <w:szCs w:val="22"/>
        </w:rPr>
        <w:t xml:space="preserve">3, and the </w:t>
      </w:r>
      <w:r w:rsidR="00F56706" w:rsidRPr="002B64E2">
        <w:rPr>
          <w:rFonts w:ascii="Aptos" w:hAnsi="Aptos"/>
          <w:sz w:val="22"/>
          <w:szCs w:val="22"/>
        </w:rPr>
        <w:t xml:space="preserve">remaining seven CIS </w:t>
      </w:r>
      <w:r w:rsidR="00A83B0D" w:rsidRPr="002B64E2">
        <w:rPr>
          <w:rFonts w:ascii="Aptos" w:hAnsi="Aptos"/>
          <w:sz w:val="22"/>
          <w:szCs w:val="22"/>
        </w:rPr>
        <w:t xml:space="preserve">countries </w:t>
      </w:r>
      <w:r w:rsidR="00F56706" w:rsidRPr="002B64E2">
        <w:rPr>
          <w:rFonts w:ascii="Aptos" w:hAnsi="Aptos"/>
          <w:sz w:val="22"/>
          <w:szCs w:val="22"/>
        </w:rPr>
        <w:t xml:space="preserve">are in </w:t>
      </w:r>
      <w:r w:rsidR="00803B8A" w:rsidRPr="002B64E2">
        <w:rPr>
          <w:rFonts w:ascii="Aptos" w:hAnsi="Aptos"/>
          <w:sz w:val="22"/>
          <w:szCs w:val="22"/>
        </w:rPr>
        <w:t xml:space="preserve">Generation </w:t>
      </w:r>
      <w:r w:rsidR="00F56706" w:rsidRPr="002B64E2">
        <w:rPr>
          <w:rFonts w:ascii="Aptos" w:hAnsi="Aptos"/>
          <w:sz w:val="22"/>
          <w:szCs w:val="22"/>
        </w:rPr>
        <w:t xml:space="preserve">1 </w:t>
      </w:r>
      <w:r w:rsidR="00803B8A" w:rsidRPr="002B64E2">
        <w:rPr>
          <w:rFonts w:ascii="Aptos" w:hAnsi="Aptos"/>
          <w:sz w:val="22"/>
          <w:szCs w:val="22"/>
        </w:rPr>
        <w:t xml:space="preserve">or </w:t>
      </w:r>
      <w:r w:rsidR="00F56706" w:rsidRPr="002B64E2">
        <w:rPr>
          <w:rFonts w:ascii="Aptos" w:hAnsi="Aptos"/>
          <w:sz w:val="22"/>
          <w:szCs w:val="22"/>
        </w:rPr>
        <w:t xml:space="preserve">2. </w:t>
      </w:r>
      <w:r w:rsidR="00803B8A" w:rsidRPr="002B64E2">
        <w:rPr>
          <w:rFonts w:ascii="Aptos" w:hAnsi="Aptos"/>
          <w:sz w:val="22"/>
          <w:szCs w:val="22"/>
        </w:rPr>
        <w:t xml:space="preserve">The lack of regulatory maturity impacts market competition, investment, and the expansion of digital services. </w:t>
      </w:r>
      <w:r w:rsidR="0039378D" w:rsidRPr="002B64E2">
        <w:rPr>
          <w:rFonts w:ascii="Aptos" w:hAnsi="Aptos"/>
          <w:sz w:val="22"/>
          <w:szCs w:val="22"/>
        </w:rPr>
        <w:t>Strengthening ICT regulation will be essential to fostering a competitive market, improving digital infrastructure, and enabling innovation across the region.</w:t>
      </w:r>
    </w:p>
    <w:p w14:paraId="5FF8880C" w14:textId="2C2B8C8A" w:rsidR="0001073D" w:rsidRPr="007837C4" w:rsidRDefault="0001073D" w:rsidP="00395039">
      <w:pPr>
        <w:rPr>
          <w:rFonts w:ascii="Aptos" w:hAnsi="Aptos"/>
          <w:sz w:val="22"/>
          <w:szCs w:val="22"/>
          <w:highlight w:val="yellow"/>
        </w:rPr>
      </w:pPr>
      <w:r w:rsidRPr="002B64E2">
        <w:rPr>
          <w:rFonts w:ascii="Aptos" w:hAnsi="Aptos"/>
          <w:b/>
          <w:bCs/>
          <w:sz w:val="22"/>
          <w:szCs w:val="22"/>
        </w:rPr>
        <w:lastRenderedPageBreak/>
        <w:t>Regional cooperation could strengthen digital development.</w:t>
      </w:r>
      <w:r w:rsidRPr="002B64E2">
        <w:rPr>
          <w:rFonts w:ascii="Aptos" w:hAnsi="Aptos"/>
          <w:sz w:val="22"/>
          <w:szCs w:val="22"/>
        </w:rPr>
        <w:t xml:space="preserve"> While CIS countries have made individual progress, greater collaboration in policy alignment, infrastructure sharing, and regulatory harmonization could accelerate progress. Coordinating cross-border initiatives and improving spectrum management may help create a more integrated and competitive digital market. Expanding regional dialogue on ICT policies could also address shared challenges such as infrastructure costs and cybersecurity risks.</w:t>
      </w:r>
    </w:p>
    <w:p w14:paraId="2FC017EE" w14:textId="42F363F5" w:rsidR="00585701" w:rsidRPr="002B64E2" w:rsidRDefault="00E3165C" w:rsidP="00E3165C">
      <w:pPr>
        <w:rPr>
          <w:rFonts w:ascii="Aptos" w:eastAsia="Aptos" w:hAnsi="Aptos" w:cs="Arial"/>
          <w:kern w:val="2"/>
          <w:sz w:val="22"/>
          <w:szCs w:val="22"/>
          <w14:ligatures w14:val="standardContextual"/>
        </w:rPr>
      </w:pPr>
      <w:r w:rsidRPr="00E3165C">
        <w:rPr>
          <w:rFonts w:ascii="Aptos" w:hAnsi="Aptos"/>
          <w:b/>
          <w:bCs/>
          <w:sz w:val="22"/>
          <w:szCs w:val="22"/>
        </w:rPr>
        <w:t>Cybersecurity require</w:t>
      </w:r>
      <w:r w:rsidRPr="002B64E2">
        <w:rPr>
          <w:rFonts w:ascii="Aptos" w:hAnsi="Aptos"/>
          <w:b/>
          <w:bCs/>
          <w:sz w:val="22"/>
          <w:szCs w:val="22"/>
        </w:rPr>
        <w:t>s</w:t>
      </w:r>
      <w:r w:rsidRPr="00E3165C">
        <w:rPr>
          <w:rFonts w:ascii="Aptos" w:hAnsi="Aptos"/>
          <w:b/>
          <w:bCs/>
          <w:sz w:val="22"/>
          <w:szCs w:val="22"/>
        </w:rPr>
        <w:t xml:space="preserve"> attention. </w:t>
      </w:r>
      <w:r w:rsidRPr="00E3165C">
        <w:rPr>
          <w:rFonts w:ascii="Aptos" w:hAnsi="Aptos"/>
          <w:sz w:val="22"/>
          <w:szCs w:val="22"/>
        </w:rPr>
        <w:t xml:space="preserve">The CIS region </w:t>
      </w:r>
      <w:r w:rsidRPr="002B64E2">
        <w:rPr>
          <w:rFonts w:ascii="Aptos" w:hAnsi="Aptos"/>
          <w:sz w:val="22"/>
          <w:szCs w:val="22"/>
        </w:rPr>
        <w:t xml:space="preserve">achieved </w:t>
      </w:r>
      <w:r w:rsidRPr="00E3165C">
        <w:rPr>
          <w:rFonts w:ascii="Aptos" w:hAnsi="Aptos"/>
          <w:sz w:val="22"/>
          <w:szCs w:val="22"/>
        </w:rPr>
        <w:t>an average score of 67 out of 100</w:t>
      </w:r>
      <w:r w:rsidRPr="002B64E2">
        <w:rPr>
          <w:rFonts w:ascii="Aptos" w:hAnsi="Aptos"/>
          <w:sz w:val="22"/>
          <w:szCs w:val="22"/>
        </w:rPr>
        <w:t xml:space="preserve"> in the ITU </w:t>
      </w:r>
      <w:r w:rsidRPr="00E3165C">
        <w:rPr>
          <w:rFonts w:ascii="Aptos" w:hAnsi="Aptos"/>
          <w:sz w:val="22"/>
          <w:szCs w:val="22"/>
        </w:rPr>
        <w:t>Global Cybersecurity Index</w:t>
      </w:r>
      <w:r w:rsidRPr="002B64E2">
        <w:rPr>
          <w:rFonts w:ascii="Aptos" w:hAnsi="Aptos"/>
          <w:sz w:val="22"/>
          <w:szCs w:val="22"/>
        </w:rPr>
        <w:t xml:space="preserve"> 2024</w:t>
      </w:r>
      <w:r w:rsidRPr="00E3165C">
        <w:rPr>
          <w:rFonts w:ascii="Aptos" w:hAnsi="Aptos"/>
          <w:sz w:val="22"/>
          <w:szCs w:val="22"/>
        </w:rPr>
        <w:t xml:space="preserve">, slightly above the global average of 66. However, cybersecurity readiness varies widely, </w:t>
      </w:r>
      <w:r w:rsidR="00892A70" w:rsidRPr="002B64E2">
        <w:rPr>
          <w:rFonts w:ascii="Aptos" w:eastAsia="Aptos" w:hAnsi="Aptos" w:cs="Arial"/>
          <w:kern w:val="2"/>
          <w:sz w:val="22"/>
          <w:szCs w:val="22"/>
          <w14:ligatures w14:val="standardContextual"/>
        </w:rPr>
        <w:t xml:space="preserve">with a nearly 70-point GCI score gap between the region’s best and worst performers. </w:t>
      </w:r>
    </w:p>
    <w:p w14:paraId="4074DC05" w14:textId="62727059" w:rsidR="007837C4" w:rsidRPr="007837C4" w:rsidRDefault="007837C4" w:rsidP="007837C4">
      <w:pPr>
        <w:rPr>
          <w:rFonts w:ascii="Aptos" w:hAnsi="Aptos"/>
          <w:sz w:val="22"/>
          <w:szCs w:val="22"/>
        </w:rPr>
      </w:pPr>
      <w:r w:rsidRPr="002B64E2">
        <w:rPr>
          <w:rFonts w:ascii="Aptos" w:hAnsi="Aptos"/>
          <w:b/>
          <w:bCs/>
          <w:sz w:val="22"/>
          <w:szCs w:val="22"/>
        </w:rPr>
        <w:t>E-waste management is a growing concern.</w:t>
      </w:r>
      <w:r w:rsidRPr="002B64E2">
        <w:rPr>
          <w:rFonts w:ascii="Aptos" w:hAnsi="Aptos"/>
          <w:sz w:val="22"/>
          <w:szCs w:val="22"/>
        </w:rPr>
        <w:t xml:space="preserve"> The CIS region generated 2.5 billion kilograms of electronic waste in 2022, but only 6.5 per cent was formally collected and recycled</w:t>
      </w:r>
      <w:r w:rsidR="00032076" w:rsidRPr="002B64E2">
        <w:rPr>
          <w:rFonts w:ascii="Aptos" w:hAnsi="Aptos"/>
          <w:sz w:val="22"/>
          <w:szCs w:val="22"/>
        </w:rPr>
        <w:t xml:space="preserve">, </w:t>
      </w:r>
      <w:r w:rsidR="00007DEF" w:rsidRPr="002B64E2">
        <w:rPr>
          <w:rFonts w:ascii="Aptos" w:hAnsi="Aptos"/>
          <w:sz w:val="22"/>
          <w:szCs w:val="22"/>
        </w:rPr>
        <w:t xml:space="preserve">less than a third of </w:t>
      </w:r>
      <w:r w:rsidR="00032076" w:rsidRPr="002B64E2">
        <w:rPr>
          <w:rFonts w:ascii="Aptos" w:hAnsi="Aptos"/>
          <w:sz w:val="22"/>
          <w:szCs w:val="22"/>
        </w:rPr>
        <w:t xml:space="preserve">the global </w:t>
      </w:r>
      <w:r w:rsidR="00007DEF" w:rsidRPr="002B64E2">
        <w:rPr>
          <w:rFonts w:ascii="Aptos" w:hAnsi="Aptos"/>
          <w:sz w:val="22"/>
          <w:szCs w:val="22"/>
        </w:rPr>
        <w:t xml:space="preserve">recycling </w:t>
      </w:r>
      <w:r w:rsidR="00032076" w:rsidRPr="002B64E2">
        <w:rPr>
          <w:rFonts w:ascii="Aptos" w:hAnsi="Aptos"/>
          <w:sz w:val="22"/>
          <w:szCs w:val="22"/>
        </w:rPr>
        <w:t xml:space="preserve">rate </w:t>
      </w:r>
      <w:r w:rsidR="00007DEF" w:rsidRPr="002B64E2">
        <w:rPr>
          <w:rFonts w:ascii="Aptos" w:hAnsi="Aptos"/>
          <w:sz w:val="22"/>
          <w:szCs w:val="22"/>
        </w:rPr>
        <w:t>(</w:t>
      </w:r>
      <w:r w:rsidR="00032076" w:rsidRPr="002B64E2">
        <w:rPr>
          <w:rFonts w:ascii="Aptos" w:hAnsi="Aptos"/>
          <w:sz w:val="22"/>
          <w:szCs w:val="22"/>
        </w:rPr>
        <w:t>22</w:t>
      </w:r>
      <w:r w:rsidR="00007DEF" w:rsidRPr="002B64E2">
        <w:rPr>
          <w:rFonts w:ascii="Aptos" w:hAnsi="Aptos"/>
          <w:sz w:val="22"/>
          <w:szCs w:val="22"/>
        </w:rPr>
        <w:t>.3</w:t>
      </w:r>
      <w:r w:rsidR="00032076" w:rsidRPr="002B64E2">
        <w:rPr>
          <w:rFonts w:ascii="Aptos" w:hAnsi="Aptos"/>
          <w:sz w:val="22"/>
          <w:szCs w:val="22"/>
        </w:rPr>
        <w:t>per cent</w:t>
      </w:r>
      <w:r w:rsidR="00007DEF" w:rsidRPr="002B64E2">
        <w:rPr>
          <w:rFonts w:ascii="Aptos" w:hAnsi="Aptos"/>
          <w:sz w:val="22"/>
          <w:szCs w:val="22"/>
        </w:rPr>
        <w:t>)</w:t>
      </w:r>
      <w:r w:rsidRPr="002B64E2">
        <w:rPr>
          <w:rFonts w:ascii="Aptos" w:hAnsi="Aptos"/>
          <w:sz w:val="22"/>
          <w:szCs w:val="22"/>
        </w:rPr>
        <w:t xml:space="preserve">. </w:t>
      </w:r>
      <w:r w:rsidR="00032076" w:rsidRPr="002B64E2">
        <w:rPr>
          <w:rFonts w:ascii="Aptos" w:hAnsi="Aptos"/>
          <w:sz w:val="22"/>
          <w:szCs w:val="22"/>
        </w:rPr>
        <w:t xml:space="preserve">Only </w:t>
      </w:r>
      <w:r w:rsidRPr="002B64E2">
        <w:rPr>
          <w:rFonts w:ascii="Aptos" w:hAnsi="Aptos"/>
          <w:sz w:val="22"/>
          <w:szCs w:val="22"/>
        </w:rPr>
        <w:t>three countries</w:t>
      </w:r>
      <w:r w:rsidR="006E00D6" w:rsidRPr="002B64E2">
        <w:rPr>
          <w:rFonts w:ascii="Aptos" w:hAnsi="Aptos"/>
          <w:sz w:val="22"/>
          <w:szCs w:val="22"/>
        </w:rPr>
        <w:t xml:space="preserve"> </w:t>
      </w:r>
      <w:r w:rsidRPr="002B64E2">
        <w:rPr>
          <w:rFonts w:ascii="Aptos" w:hAnsi="Aptos"/>
          <w:sz w:val="22"/>
          <w:szCs w:val="22"/>
        </w:rPr>
        <w:t>have e-waste regulations, highlighting the need for stronger sustainability policies.</w:t>
      </w:r>
    </w:p>
    <w:p w14:paraId="5E299371" w14:textId="1E789704" w:rsidR="007837C4" w:rsidRPr="002B64E2" w:rsidRDefault="00521816" w:rsidP="007837C4">
      <w:pPr>
        <w:rPr>
          <w:rFonts w:ascii="Aptos" w:hAnsi="Aptos"/>
          <w:sz w:val="22"/>
          <w:szCs w:val="22"/>
        </w:rPr>
      </w:pPr>
      <w:r w:rsidRPr="002B64E2">
        <w:rPr>
          <w:rFonts w:ascii="Aptos" w:hAnsi="Aptos"/>
          <w:b/>
          <w:bCs/>
          <w:sz w:val="22"/>
          <w:szCs w:val="22"/>
        </w:rPr>
        <w:t>ICT skills levels vary across skill areas.</w:t>
      </w:r>
      <w:r w:rsidRPr="002B64E2" w:rsidDel="00521816">
        <w:rPr>
          <w:rFonts w:ascii="Aptos" w:hAnsi="Aptos"/>
          <w:b/>
          <w:bCs/>
          <w:sz w:val="22"/>
          <w:szCs w:val="22"/>
        </w:rPr>
        <w:t xml:space="preserve"> </w:t>
      </w:r>
      <w:r w:rsidR="00051E6F" w:rsidRPr="002B64E2">
        <w:rPr>
          <w:rFonts w:ascii="Aptos" w:eastAsia="Aptos" w:hAnsi="Aptos"/>
          <w:sz w:val="22"/>
          <w:szCs w:val="22"/>
        </w:rPr>
        <w:t>D</w:t>
      </w:r>
      <w:r w:rsidR="00051E6F" w:rsidRPr="002B64E2">
        <w:rPr>
          <w:rFonts w:ascii="Aptos" w:hAnsi="Aptos"/>
          <w:sz w:val="22"/>
          <w:szCs w:val="22"/>
        </w:rPr>
        <w:t>igital literacy is a key enabler of meaningful connectivity</w:t>
      </w:r>
      <w:r w:rsidR="00A01816" w:rsidRPr="002B64E2">
        <w:rPr>
          <w:rFonts w:ascii="Aptos" w:hAnsi="Aptos"/>
          <w:sz w:val="22"/>
          <w:szCs w:val="22"/>
        </w:rPr>
        <w:t xml:space="preserve">, but data on the topic remain extremely scant, with only three CIS countries having some data available. </w:t>
      </w:r>
      <w:r w:rsidRPr="002B64E2">
        <w:rPr>
          <w:rFonts w:ascii="Aptos" w:hAnsi="Aptos"/>
          <w:sz w:val="22"/>
          <w:szCs w:val="22"/>
        </w:rPr>
        <w:t>C</w:t>
      </w:r>
      <w:r w:rsidR="006C3D36" w:rsidRPr="002B64E2">
        <w:rPr>
          <w:rFonts w:ascii="Aptos" w:hAnsi="Aptos"/>
          <w:sz w:val="22"/>
          <w:szCs w:val="22"/>
        </w:rPr>
        <w:t xml:space="preserve">ommunication and collaboration skills </w:t>
      </w:r>
      <w:r w:rsidR="00A01816" w:rsidRPr="002B64E2">
        <w:rPr>
          <w:rFonts w:ascii="Aptos" w:hAnsi="Aptos"/>
          <w:sz w:val="22"/>
          <w:szCs w:val="22"/>
        </w:rPr>
        <w:t xml:space="preserve">are </w:t>
      </w:r>
      <w:r w:rsidR="006C3D36" w:rsidRPr="002B64E2">
        <w:rPr>
          <w:rFonts w:ascii="Aptos" w:hAnsi="Aptos"/>
          <w:sz w:val="22"/>
          <w:szCs w:val="22"/>
        </w:rPr>
        <w:t>nearly universal</w:t>
      </w:r>
      <w:r w:rsidR="000C0657" w:rsidRPr="002B64E2">
        <w:rPr>
          <w:rFonts w:ascii="Aptos" w:hAnsi="Aptos"/>
          <w:sz w:val="22"/>
          <w:szCs w:val="22"/>
        </w:rPr>
        <w:t xml:space="preserve"> </w:t>
      </w:r>
      <w:r w:rsidR="006C3D36" w:rsidRPr="002B64E2">
        <w:rPr>
          <w:rFonts w:ascii="Aptos" w:hAnsi="Aptos"/>
          <w:sz w:val="22"/>
          <w:szCs w:val="22"/>
        </w:rPr>
        <w:t xml:space="preserve">among Internet users in </w:t>
      </w:r>
      <w:r w:rsidR="00A01816" w:rsidRPr="002B64E2">
        <w:rPr>
          <w:rFonts w:ascii="Aptos" w:hAnsi="Aptos"/>
          <w:sz w:val="22"/>
          <w:szCs w:val="22"/>
        </w:rPr>
        <w:t xml:space="preserve">these </w:t>
      </w:r>
      <w:r w:rsidR="006C3D36" w:rsidRPr="002B64E2">
        <w:rPr>
          <w:rFonts w:ascii="Aptos" w:hAnsi="Aptos"/>
          <w:sz w:val="22"/>
          <w:szCs w:val="22"/>
        </w:rPr>
        <w:t xml:space="preserve">countries. </w:t>
      </w:r>
      <w:r w:rsidR="00FC71C9">
        <w:rPr>
          <w:rFonts w:ascii="Aptos" w:hAnsi="Aptos"/>
          <w:sz w:val="22"/>
          <w:szCs w:val="22"/>
        </w:rPr>
        <w:t>I</w:t>
      </w:r>
      <w:r w:rsidR="00FC71C9" w:rsidRPr="00FC71C9">
        <w:rPr>
          <w:rFonts w:ascii="Aptos" w:hAnsi="Aptos"/>
          <w:sz w:val="22"/>
          <w:szCs w:val="22"/>
        </w:rPr>
        <w:t>n other areas these countries report lower levels of digital competency among Internet users</w:t>
      </w:r>
      <w:r w:rsidR="00FC71C9">
        <w:rPr>
          <w:rFonts w:ascii="Aptos" w:hAnsi="Aptos"/>
          <w:sz w:val="22"/>
          <w:szCs w:val="22"/>
        </w:rPr>
        <w:t xml:space="preserve">, </w:t>
      </w:r>
      <w:r w:rsidR="00FC71C9" w:rsidRPr="00FC71C9">
        <w:rPr>
          <w:rFonts w:ascii="Aptos" w:hAnsi="Aptos"/>
          <w:sz w:val="22"/>
          <w:szCs w:val="22"/>
        </w:rPr>
        <w:t>particularly in the critical areas of digital content creation and safety</w:t>
      </w:r>
      <w:r w:rsidR="00C853AA" w:rsidRPr="002B64E2">
        <w:rPr>
          <w:rFonts w:ascii="Aptos" w:hAnsi="Aptos"/>
          <w:sz w:val="22"/>
          <w:szCs w:val="22"/>
        </w:rPr>
        <w:t>.</w:t>
      </w:r>
    </w:p>
    <w:p w14:paraId="05B9BD45" w14:textId="63644535" w:rsidR="007837C4" w:rsidRPr="002B64E2" w:rsidRDefault="007837C4" w:rsidP="007837C4">
      <w:pPr>
        <w:rPr>
          <w:rFonts w:ascii="Aptos" w:hAnsi="Aptos"/>
          <w:sz w:val="22"/>
          <w:szCs w:val="22"/>
        </w:rPr>
      </w:pPr>
      <w:r w:rsidRPr="002B64E2">
        <w:rPr>
          <w:rFonts w:ascii="Aptos" w:hAnsi="Aptos"/>
          <w:b/>
          <w:bCs/>
          <w:sz w:val="22"/>
          <w:szCs w:val="22"/>
        </w:rPr>
        <w:t>A lack of reliable data hinders progress toward UMC.</w:t>
      </w:r>
      <w:r w:rsidRPr="002B64E2">
        <w:rPr>
          <w:rFonts w:ascii="Aptos" w:hAnsi="Aptos"/>
          <w:sz w:val="22"/>
          <w:szCs w:val="22"/>
        </w:rPr>
        <w:t xml:space="preserve"> Data gaps remain a major challenge, limiting evidence-based policymaking. While some CIS countries collect and report ICT statistics regularly, others lack comprehensive household survey data on </w:t>
      </w:r>
      <w:r w:rsidR="00E80F9F" w:rsidRPr="002B64E2">
        <w:rPr>
          <w:rFonts w:ascii="Aptos" w:hAnsi="Aptos"/>
          <w:sz w:val="22"/>
          <w:szCs w:val="22"/>
        </w:rPr>
        <w:t xml:space="preserve">ICT use </w:t>
      </w:r>
      <w:r w:rsidRPr="002B64E2">
        <w:rPr>
          <w:rFonts w:ascii="Aptos" w:hAnsi="Aptos"/>
          <w:sz w:val="22"/>
          <w:szCs w:val="22"/>
        </w:rPr>
        <w:t xml:space="preserve">and </w:t>
      </w:r>
      <w:r w:rsidR="00E80F9F" w:rsidRPr="002B64E2">
        <w:rPr>
          <w:rFonts w:ascii="Aptos" w:hAnsi="Aptos"/>
          <w:sz w:val="22"/>
          <w:szCs w:val="22"/>
        </w:rPr>
        <w:t xml:space="preserve">on ICT </w:t>
      </w:r>
      <w:r w:rsidRPr="002B64E2">
        <w:rPr>
          <w:rFonts w:ascii="Aptos" w:hAnsi="Aptos"/>
          <w:sz w:val="22"/>
          <w:szCs w:val="22"/>
        </w:rPr>
        <w:t>skills. Without detailed, disaggregated data, governments struggle to design effective interventions, allocate resources efficiently, and track progress. Addressing this issue requires investments in national statistical systems and regional data-sharing mechanisms.</w:t>
      </w:r>
    </w:p>
    <w:p w14:paraId="419EB09F" w14:textId="77777777" w:rsidR="007837C4" w:rsidRPr="002B64E2" w:rsidRDefault="007837C4" w:rsidP="007837C4">
      <w:pPr>
        <w:rPr>
          <w:rFonts w:ascii="Aptos" w:hAnsi="Aptos"/>
          <w:sz w:val="22"/>
          <w:szCs w:val="22"/>
        </w:rPr>
      </w:pPr>
      <w:r w:rsidRPr="002B64E2">
        <w:rPr>
          <w:rFonts w:ascii="Aptos" w:hAnsi="Aptos"/>
          <w:b/>
          <w:bCs/>
          <w:sz w:val="22"/>
          <w:szCs w:val="22"/>
        </w:rPr>
        <w:t>Impactful initiatives demonstrate the power of digital connectivity.</w:t>
      </w:r>
      <w:r w:rsidRPr="002B64E2">
        <w:rPr>
          <w:rFonts w:ascii="Aptos" w:hAnsi="Aptos"/>
          <w:sz w:val="22"/>
          <w:szCs w:val="22"/>
        </w:rPr>
        <w:t xml:space="preserve"> The second part of this document highlights transformative projects across the CIS region, showcasing how digital technologies are driving social and economic development. These examples illustrate how targeted interventions can bridge digital divides, enhance digital literacy, and foster innovation. By scaling successful models, the region can accelerate its progress toward UMC.</w:t>
      </w:r>
    </w:p>
    <w:p w14:paraId="7FEA9235" w14:textId="77777777" w:rsidR="007837C4" w:rsidRPr="007837C4" w:rsidRDefault="007837C4" w:rsidP="007837C4">
      <w:pPr>
        <w:rPr>
          <w:rFonts w:ascii="Aptos" w:hAnsi="Aptos"/>
          <w:sz w:val="22"/>
          <w:szCs w:val="22"/>
        </w:rPr>
      </w:pPr>
      <w:r w:rsidRPr="002B64E2">
        <w:rPr>
          <w:rFonts w:ascii="Aptos" w:hAnsi="Aptos"/>
          <w:b/>
          <w:bCs/>
          <w:sz w:val="22"/>
          <w:szCs w:val="22"/>
        </w:rPr>
        <w:t>The path forward requires a holistic approach.</w:t>
      </w:r>
      <w:r w:rsidRPr="002B64E2">
        <w:rPr>
          <w:rFonts w:ascii="Aptos" w:hAnsi="Aptos"/>
          <w:sz w:val="22"/>
          <w:szCs w:val="22"/>
        </w:rPr>
        <w:t xml:space="preserve"> Achieving universal and meaningful connectivity in the CIS region will require coordinated efforts across governments, industry, and international organizations. Priorities include expanding infrastructure, improving affordability, strengthening regulation, enhancing cybersecurity, and closing digital skill gaps. A collaborative and evidence-based approach will ensure that digital transformation is inclusive, sustainable, and aligned with national and regional development goals.</w:t>
      </w:r>
    </w:p>
    <w:p w14:paraId="46531215" w14:textId="77777777" w:rsidR="00D8016F" w:rsidRPr="002B64E2" w:rsidRDefault="00D8016F"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46FC0294" w14:textId="24C6F6F8" w:rsidR="006C41B5" w:rsidRPr="002B64E2" w:rsidRDefault="006C41B5" w:rsidP="001269E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br w:type="page"/>
      </w:r>
    </w:p>
    <w:p w14:paraId="4CFBC4AD" w14:textId="6128C883" w:rsidR="006C41B5" w:rsidRPr="002B64E2" w:rsidRDefault="006C41B5" w:rsidP="00AF1DE3">
      <w:pPr>
        <w:pStyle w:val="Parttitle0"/>
      </w:pPr>
      <w:bookmarkStart w:id="7" w:name="_Toc192868594"/>
      <w:r w:rsidRPr="002B64E2">
        <w:lastRenderedPageBreak/>
        <w:t>Part 1</w:t>
      </w:r>
      <w:r w:rsidR="006731EB" w:rsidRPr="002B64E2">
        <w:t>.</w:t>
      </w:r>
      <w:r w:rsidRPr="002B64E2">
        <w:t xml:space="preserve"> The state of digital connectivity in </w:t>
      </w:r>
      <w:r w:rsidR="005A322E" w:rsidRPr="002B64E2">
        <w:t>t</w:t>
      </w:r>
      <w:r w:rsidR="00060A76" w:rsidRPr="002B64E2">
        <w:t xml:space="preserve">he </w:t>
      </w:r>
      <w:r w:rsidR="00220A01" w:rsidRPr="002B64E2">
        <w:t>CIS region</w:t>
      </w:r>
      <w:r w:rsidRPr="002B64E2">
        <w:t xml:space="preserve"> and recent trends</w:t>
      </w:r>
      <w:bookmarkEnd w:id="7"/>
    </w:p>
    <w:p w14:paraId="71B503AD" w14:textId="77777777" w:rsidR="006C41B5" w:rsidRPr="002B64E2" w:rsidRDefault="006C41B5" w:rsidP="00A217F8">
      <w:pPr>
        <w:pStyle w:val="Section"/>
      </w:pPr>
      <w:bookmarkStart w:id="8" w:name="_Toc192868595"/>
      <w:r w:rsidRPr="002B64E2">
        <w:t>ICT regulation and digital policy frameworks</w:t>
      </w:r>
      <w:bookmarkEnd w:id="8"/>
    </w:p>
    <w:p w14:paraId="38E6DC6B" w14:textId="77777777" w:rsidR="00B13294" w:rsidRPr="002B64E2" w:rsidRDefault="00B13294" w:rsidP="00B1329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The evolving landscape of ICT regulation and digital policy frameworks plays a critical role in driving an inclusive and sustainable digital transformation as well as fostering thriving digital economies. To ensure national frameworks remain effective and adaptive, it is crucial to assess progress, identify best practices and address existing gaps.</w:t>
      </w:r>
    </w:p>
    <w:p w14:paraId="0BA2BC5B" w14:textId="2D27FAA5" w:rsidR="00B13294" w:rsidRPr="002B64E2" w:rsidRDefault="00B13294" w:rsidP="00B1329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B64E2">
        <w:rPr>
          <w:rFonts w:ascii="Aptos" w:eastAsia="Aptos" w:hAnsi="Aptos" w:cs="Arial"/>
          <w:b/>
          <w:bCs/>
          <w:i/>
          <w:iCs/>
          <w:kern w:val="2"/>
          <w:sz w:val="22"/>
          <w:szCs w:val="22"/>
          <w14:ligatures w14:val="standardContextual"/>
        </w:rPr>
        <w:t>ICT regulation in CIS takes a distinct path from global trends</w:t>
      </w:r>
    </w:p>
    <w:p w14:paraId="7D20AD78" w14:textId="77777777" w:rsidR="00B13294" w:rsidRPr="002B64E2" w:rsidRDefault="00B13294" w:rsidP="00B1329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Over the past 15 years, ICT regulation in the Commonwealth of Independent States (CIS) region has evolved toward greater market liberalization and regulatory frameworks have been introduced in key areas such as universal access, infrastructure sharing and spectrum management. However, progress remains uneven across countries and challenges persist, including limited competition in certain market segments, the absence of converged licensing frameworks and varying degrees of alignment with global best practices.</w:t>
      </w:r>
    </w:p>
    <w:p w14:paraId="69ABE08F" w14:textId="7790E239" w:rsidR="00B13294" w:rsidRPr="002B64E2" w:rsidRDefault="00B13294" w:rsidP="00B1329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While seven CIS countries were in Generation 1 (G1) and two in Generation 2 (G2) – the least advanced levels of ICT regulation – in 2007, two countries </w:t>
      </w:r>
      <w:r w:rsidR="00B177E3" w:rsidRPr="002B64E2">
        <w:rPr>
          <w:rFonts w:ascii="Aptos" w:eastAsia="Aptos" w:hAnsi="Aptos" w:cs="Arial"/>
          <w:kern w:val="2"/>
          <w:sz w:val="22"/>
          <w:szCs w:val="22"/>
          <w14:ligatures w14:val="standardContextual"/>
        </w:rPr>
        <w:t xml:space="preserve">remain </w:t>
      </w:r>
      <w:r w:rsidRPr="002B64E2">
        <w:rPr>
          <w:rFonts w:ascii="Aptos" w:eastAsia="Aptos" w:hAnsi="Aptos" w:cs="Arial"/>
          <w:kern w:val="2"/>
          <w:sz w:val="22"/>
          <w:szCs w:val="22"/>
          <w14:ligatures w14:val="standardContextual"/>
        </w:rPr>
        <w:t>in G1 today. Yet today, only two countries have graduated to the most advanced levels. The region was the last to see its first and only G4 country – Armenia, in 2018 – joining 73 other countries worldwide at that level, while Kyrgyzstan advanced to G3 in 2020.</w:t>
      </w:r>
    </w:p>
    <w:p w14:paraId="6BE39072" w14:textId="6B88E9D6"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Evolution of the generations of ICT regulation in</w:t>
      </w:r>
      <w:r w:rsidR="007D5F22" w:rsidRPr="002B64E2">
        <w:rPr>
          <w:rFonts w:ascii="AvenirNext LT Pro Light" w:eastAsia="Yu Gothic Light" w:hAnsi="AvenirNext LT Pro Light" w:cs="Calibri"/>
          <w:color w:val="0070C0"/>
          <w:spacing w:val="-10"/>
          <w:kern w:val="28"/>
          <w:szCs w:val="24"/>
        </w:rPr>
        <w:t xml:space="preserve"> </w:t>
      </w:r>
      <w:r w:rsidR="005A322E" w:rsidRPr="002B64E2">
        <w:rPr>
          <w:rFonts w:ascii="AvenirNext LT Pro Light" w:eastAsia="Yu Gothic Light" w:hAnsi="AvenirNext LT Pro Light" w:cs="Calibri"/>
          <w:color w:val="0070C0"/>
          <w:spacing w:val="-10"/>
          <w:kern w:val="28"/>
          <w:szCs w:val="24"/>
        </w:rPr>
        <w:t>t</w:t>
      </w:r>
      <w:r w:rsidR="00060A76" w:rsidRPr="002B64E2">
        <w:rPr>
          <w:rFonts w:ascii="AvenirNext LT Pro Light" w:eastAsia="Yu Gothic Light" w:hAnsi="AvenirNext LT Pro Light" w:cs="Calibri"/>
          <w:color w:val="0070C0"/>
          <w:spacing w:val="-10"/>
          <w:kern w:val="28"/>
          <w:szCs w:val="24"/>
        </w:rPr>
        <w:t xml:space="preserve">he </w:t>
      </w:r>
      <w:r w:rsidR="00220A01" w:rsidRPr="002B64E2">
        <w:rPr>
          <w:rFonts w:ascii="AvenirNext LT Pro Light" w:eastAsia="Yu Gothic Light" w:hAnsi="AvenirNext LT Pro Light" w:cs="Calibri"/>
          <w:color w:val="0070C0"/>
          <w:spacing w:val="-10"/>
          <w:kern w:val="28"/>
          <w:szCs w:val="24"/>
        </w:rPr>
        <w:t>CIS region</w:t>
      </w:r>
    </w:p>
    <w:p w14:paraId="14294720" w14:textId="0097E696" w:rsidR="006C41B5" w:rsidRPr="002B64E2" w:rsidRDefault="000B4BBC"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B64E2">
        <w:rPr>
          <w:noProof/>
        </w:rPr>
        <w:drawing>
          <wp:inline distT="0" distB="0" distL="0" distR="0" wp14:anchorId="5E75BDC4" wp14:editId="18BB1669">
            <wp:extent cx="5667375" cy="2859264"/>
            <wp:effectExtent l="0" t="0" r="0" b="0"/>
            <wp:docPr id="184255039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550397"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679583" cy="2865423"/>
                    </a:xfrm>
                    <a:prstGeom prst="rect">
                      <a:avLst/>
                    </a:prstGeom>
                  </pic:spPr>
                </pic:pic>
              </a:graphicData>
            </a:graphic>
          </wp:inline>
        </w:drawing>
      </w:r>
    </w:p>
    <w:p w14:paraId="66B64067" w14:textId="4AF8BB99" w:rsidR="00F77576" w:rsidRPr="002B64E2" w:rsidRDefault="00F77576" w:rsidP="00EB15E6">
      <w:pPr>
        <w:pStyle w:val="notetext"/>
      </w:pPr>
      <w:r w:rsidRPr="002B64E2">
        <w:t xml:space="preserve">Note: The ‘Generations of ICT regulation’ provides a high-level conceptual framework for assessing the overall development of national legal instruments, policies and governance for the ICT and digital sectors. Generations 1 through 4 are based on </w:t>
      </w:r>
      <w:hyperlink r:id="rId15" w:history="1">
        <w:r w:rsidRPr="002B64E2">
          <w:t>ICT Regulatory Tracker</w:t>
        </w:r>
      </w:hyperlink>
      <w:r w:rsidR="002D3677" w:rsidRPr="002B64E2">
        <w:t xml:space="preserve"> s</w:t>
      </w:r>
      <w:r w:rsidRPr="002B64E2">
        <w:t>cores:</w:t>
      </w:r>
    </w:p>
    <w:p w14:paraId="78D1ADE5" w14:textId="77777777" w:rsidR="00F77576" w:rsidRPr="002B64E2" w:rsidRDefault="00F77576" w:rsidP="00EB15E6">
      <w:pPr>
        <w:pStyle w:val="notetext"/>
      </w:pPr>
      <w:r w:rsidRPr="002B64E2">
        <w:t xml:space="preserve">G1 – Command and control approach: score between 0 and 40 </w:t>
      </w:r>
      <w:r w:rsidRPr="002B64E2">
        <w:br/>
        <w:t xml:space="preserve">G2 – Early open markets: score between 40 and 70 </w:t>
      </w:r>
      <w:r w:rsidRPr="002B64E2">
        <w:br/>
        <w:t xml:space="preserve">G3 – Enabling investment and access: score between 70 and 85 </w:t>
      </w:r>
      <w:r w:rsidRPr="002B64E2">
        <w:br/>
        <w:t>G4 – Integrated telecommunication regulation: score between 85 and 100</w:t>
      </w:r>
    </w:p>
    <w:p w14:paraId="1F091B69" w14:textId="77777777" w:rsidR="00F77576" w:rsidRPr="002B64E2" w:rsidRDefault="00F77576" w:rsidP="00EB15E6">
      <w:pPr>
        <w:pStyle w:val="notetext"/>
      </w:pPr>
      <w:r w:rsidRPr="002B64E2">
        <w:t>Data for 2021 is unavailable; 2020 data is used as a proxy for 2021.</w:t>
      </w:r>
    </w:p>
    <w:p w14:paraId="3B6D504E" w14:textId="77777777" w:rsidR="00F77576" w:rsidRPr="002B64E2" w:rsidRDefault="00F77576" w:rsidP="00EB15E6">
      <w:pPr>
        <w:pStyle w:val="Sourcetext"/>
      </w:pPr>
      <w:r w:rsidRPr="002B64E2">
        <w:t>Source: ITU</w:t>
      </w:r>
    </w:p>
    <w:p w14:paraId="2A9F5526" w14:textId="77777777" w:rsidR="00D2077A" w:rsidRPr="002B64E2" w:rsidRDefault="00D2077A" w:rsidP="00D2077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lastRenderedPageBreak/>
        <w:t>Seven of the nine CIS countries are landlocked developing countries (LLDCs), facing structural barriers such as dependence on transit countries for international connectivity (submarine cables or fibre) and higher infrastructure costs. However, LLDCs in the region are represented across all regulatory generations, demonstrating that effective ICT regulation can help address market constraints and drive ICT development in all contexts.</w:t>
      </w:r>
    </w:p>
    <w:p w14:paraId="3D924B4D" w14:textId="77777777" w:rsidR="00D2077A" w:rsidRPr="002B64E2" w:rsidRDefault="00D2077A" w:rsidP="00D2077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Building on past reforms, most CIS countries could benefit from further regulatory initiatives to enhance the level playing field across all ICT market segments, particularly in fixed-line connectivity, promote private sector participation and increase opportunities for foreign investment.</w:t>
      </w:r>
    </w:p>
    <w:p w14:paraId="305FA12A" w14:textId="4EE33E2D" w:rsidR="00D2077A" w:rsidRPr="002B64E2" w:rsidRDefault="00D2077A" w:rsidP="009A6FB7">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B64E2">
        <w:rPr>
          <w:rFonts w:ascii="Aptos" w:eastAsia="Aptos" w:hAnsi="Aptos" w:cs="Arial"/>
          <w:b/>
          <w:bCs/>
          <w:i/>
          <w:iCs/>
          <w:kern w:val="2"/>
          <w:sz w:val="22"/>
          <w:szCs w:val="22"/>
          <w14:ligatures w14:val="standardContextual"/>
        </w:rPr>
        <w:t xml:space="preserve">Digital </w:t>
      </w:r>
      <w:r w:rsidR="009A6FB7" w:rsidRPr="002B64E2">
        <w:rPr>
          <w:rFonts w:ascii="Aptos" w:eastAsia="Aptos" w:hAnsi="Aptos" w:cs="Arial"/>
          <w:b/>
          <w:bCs/>
          <w:i/>
          <w:iCs/>
          <w:kern w:val="2"/>
          <w:sz w:val="22"/>
          <w:szCs w:val="22"/>
          <w14:ligatures w14:val="standardContextual"/>
        </w:rPr>
        <w:t>g</w:t>
      </w:r>
      <w:r w:rsidRPr="002B64E2">
        <w:rPr>
          <w:rFonts w:ascii="Aptos" w:eastAsia="Aptos" w:hAnsi="Aptos" w:cs="Arial"/>
          <w:b/>
          <w:bCs/>
          <w:i/>
          <w:iCs/>
          <w:kern w:val="2"/>
          <w:sz w:val="22"/>
          <w:szCs w:val="22"/>
          <w14:ligatures w14:val="standardContextual"/>
        </w:rPr>
        <w:t xml:space="preserve">overnance in CIS: </w:t>
      </w:r>
      <w:r w:rsidR="009A6FB7" w:rsidRPr="002B64E2">
        <w:rPr>
          <w:rFonts w:ascii="Aptos" w:eastAsia="Aptos" w:hAnsi="Aptos" w:cs="Arial"/>
          <w:b/>
          <w:bCs/>
          <w:i/>
          <w:iCs/>
          <w:kern w:val="2"/>
          <w:sz w:val="22"/>
          <w:szCs w:val="22"/>
          <w14:ligatures w14:val="standardContextual"/>
        </w:rPr>
        <w:t>l</w:t>
      </w:r>
      <w:r w:rsidRPr="002B64E2">
        <w:rPr>
          <w:rFonts w:ascii="Aptos" w:eastAsia="Aptos" w:hAnsi="Aptos" w:cs="Arial"/>
          <w:b/>
          <w:bCs/>
          <w:i/>
          <w:iCs/>
          <w:kern w:val="2"/>
          <w:sz w:val="22"/>
          <w:szCs w:val="22"/>
          <w14:ligatures w14:val="standardContextual"/>
        </w:rPr>
        <w:t xml:space="preserve">aying the </w:t>
      </w:r>
      <w:r w:rsidR="009A6FB7" w:rsidRPr="002B64E2">
        <w:rPr>
          <w:rFonts w:ascii="Aptos" w:eastAsia="Aptos" w:hAnsi="Aptos" w:cs="Arial"/>
          <w:b/>
          <w:bCs/>
          <w:i/>
          <w:iCs/>
          <w:kern w:val="2"/>
          <w:sz w:val="22"/>
          <w:szCs w:val="22"/>
          <w14:ligatures w14:val="standardContextual"/>
        </w:rPr>
        <w:t>g</w:t>
      </w:r>
      <w:r w:rsidRPr="002B64E2">
        <w:rPr>
          <w:rFonts w:ascii="Aptos" w:eastAsia="Aptos" w:hAnsi="Aptos" w:cs="Arial"/>
          <w:b/>
          <w:bCs/>
          <w:i/>
          <w:iCs/>
          <w:kern w:val="2"/>
          <w:sz w:val="22"/>
          <w:szCs w:val="22"/>
          <w14:ligatures w14:val="standardContextual"/>
        </w:rPr>
        <w:t xml:space="preserve">roundwork </w:t>
      </w:r>
    </w:p>
    <w:p w14:paraId="5FB69A14" w14:textId="2C44EC41" w:rsidR="00D2077A" w:rsidRPr="002B64E2" w:rsidRDefault="00D2077A" w:rsidP="00D2077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Digital governance in the CIS region remains in its early stages, with no country yet reaching the G5 Benchmark Leading category</w:t>
      </w:r>
      <w:r w:rsidR="00892F76" w:rsidRPr="002B64E2">
        <w:rPr>
          <w:rFonts w:ascii="Aptos" w:eastAsia="Aptos" w:hAnsi="Aptos" w:cs="Arial"/>
          <w:kern w:val="2"/>
          <w:sz w:val="22"/>
          <w:szCs w:val="22"/>
          <w14:ligatures w14:val="standardContextual"/>
        </w:rPr>
        <w:t>,</w:t>
      </w:r>
      <w:r w:rsidRPr="002B64E2">
        <w:rPr>
          <w:rFonts w:ascii="Aptos" w:eastAsia="Aptos" w:hAnsi="Aptos" w:cs="Arial"/>
          <w:kern w:val="2"/>
          <w:sz w:val="22"/>
          <w:szCs w:val="22"/>
          <w14:ligatures w14:val="standardContextual"/>
        </w:rPr>
        <w:t xml:space="preserve"> the highest tier for digital governance frameworks.</w:t>
      </w:r>
      <w:r w:rsidR="00892F76" w:rsidRPr="002B64E2">
        <w:rPr>
          <w:rFonts w:eastAsia="Aptos"/>
          <w:sz w:val="22"/>
          <w:vertAlign w:val="superscript"/>
        </w:rPr>
        <w:footnoteReference w:id="3"/>
      </w:r>
      <w:r w:rsidRPr="002B64E2">
        <w:rPr>
          <w:rFonts w:ascii="Aptos" w:eastAsia="Aptos" w:hAnsi="Aptos" w:cs="Arial"/>
          <w:kern w:val="2"/>
          <w:sz w:val="22"/>
          <w:szCs w:val="22"/>
          <w14:ligatures w14:val="standardContextual"/>
        </w:rPr>
        <w:t xml:space="preserve"> As of 2023, only Armenia and the Russian Federation have attained the Advanced level, both making significant progress since 2021. The rest of the region falls within the Transitioning category, except for one country classified as Limited. The 42-percentage-point gap between the region’s most and least advanced country in digital governance highlights significant disparities within the region. </w:t>
      </w:r>
    </w:p>
    <w:p w14:paraId="7B41D897" w14:textId="77777777" w:rsidR="00D2077A" w:rsidRPr="002B64E2" w:rsidRDefault="00D2077A" w:rsidP="00D2077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The region's overall digital governance score stands at 44 per cent, eight percentage points below the global average. Its strongest relative performance is in the Digital Economy Policy Agenda, where the gap with the world average is six per cent. While CIS countries generally lag slightly behind world averages across all areas of digital governance, the most significant shortfall is in National Collaborative Governance, where the gap reaches 42 per cent. However, this is also where the region has seen the most substantial improvement since 2021, with a 23-per-cent increase, alongside a 17-per-cent gain in Digital Development Toolbox.</w:t>
      </w:r>
    </w:p>
    <w:p w14:paraId="281F0534" w14:textId="77777777" w:rsidR="00D2077A" w:rsidRPr="002B64E2" w:rsidRDefault="00D2077A" w:rsidP="00D2077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Addressing persistent gaps in digital governance requires accelerating institutional and policy reforms to strengthen the foundations for digital development in the region.</w:t>
      </w:r>
    </w:p>
    <w:p w14:paraId="4917688B" w14:textId="30ACA73E" w:rsidR="00D2077A" w:rsidRPr="002B64E2" w:rsidRDefault="00D2077A" w:rsidP="009A6FB7">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B64E2">
        <w:rPr>
          <w:rFonts w:ascii="Aptos" w:eastAsia="Aptos" w:hAnsi="Aptos" w:cs="Arial"/>
          <w:b/>
          <w:bCs/>
          <w:i/>
          <w:iCs/>
          <w:kern w:val="2"/>
          <w:sz w:val="22"/>
          <w:szCs w:val="22"/>
          <w14:ligatures w14:val="standardContextual"/>
        </w:rPr>
        <w:t xml:space="preserve">Readiness of </w:t>
      </w:r>
      <w:r w:rsidR="009A6FB7" w:rsidRPr="002B64E2">
        <w:rPr>
          <w:rFonts w:ascii="Aptos" w:eastAsia="Aptos" w:hAnsi="Aptos" w:cs="Arial"/>
          <w:b/>
          <w:bCs/>
          <w:i/>
          <w:iCs/>
          <w:kern w:val="2"/>
          <w:sz w:val="22"/>
          <w:szCs w:val="22"/>
          <w14:ligatures w14:val="standardContextual"/>
        </w:rPr>
        <w:t>n</w:t>
      </w:r>
      <w:r w:rsidRPr="002B64E2">
        <w:rPr>
          <w:rFonts w:ascii="Aptos" w:eastAsia="Aptos" w:hAnsi="Aptos" w:cs="Arial"/>
          <w:b/>
          <w:bCs/>
          <w:i/>
          <w:iCs/>
          <w:kern w:val="2"/>
          <w:sz w:val="22"/>
          <w:szCs w:val="22"/>
          <w14:ligatures w14:val="standardContextual"/>
        </w:rPr>
        <w:t xml:space="preserve">ational </w:t>
      </w:r>
      <w:r w:rsidR="009A6FB7" w:rsidRPr="002B64E2">
        <w:rPr>
          <w:rFonts w:ascii="Aptos" w:eastAsia="Aptos" w:hAnsi="Aptos" w:cs="Arial"/>
          <w:b/>
          <w:bCs/>
          <w:i/>
          <w:iCs/>
          <w:kern w:val="2"/>
          <w:sz w:val="22"/>
          <w:szCs w:val="22"/>
          <w14:ligatures w14:val="standardContextual"/>
        </w:rPr>
        <w:t>f</w:t>
      </w:r>
      <w:r w:rsidRPr="002B64E2">
        <w:rPr>
          <w:rFonts w:ascii="Aptos" w:eastAsia="Aptos" w:hAnsi="Aptos" w:cs="Arial"/>
          <w:b/>
          <w:bCs/>
          <w:i/>
          <w:iCs/>
          <w:kern w:val="2"/>
          <w:sz w:val="22"/>
          <w:szCs w:val="22"/>
          <w14:ligatures w14:val="standardContextual"/>
        </w:rPr>
        <w:t xml:space="preserve">rameworks in CIS </w:t>
      </w:r>
      <w:r w:rsidR="009A6FB7" w:rsidRPr="002B64E2">
        <w:rPr>
          <w:rFonts w:ascii="Aptos" w:eastAsia="Aptos" w:hAnsi="Aptos" w:cs="Arial"/>
          <w:b/>
          <w:bCs/>
          <w:i/>
          <w:iCs/>
          <w:kern w:val="2"/>
          <w:sz w:val="22"/>
          <w:szCs w:val="22"/>
          <w14:ligatures w14:val="standardContextual"/>
        </w:rPr>
        <w:t>r</w:t>
      </w:r>
      <w:r w:rsidRPr="002B64E2">
        <w:rPr>
          <w:rFonts w:ascii="Aptos" w:eastAsia="Aptos" w:hAnsi="Aptos" w:cs="Arial"/>
          <w:b/>
          <w:bCs/>
          <w:i/>
          <w:iCs/>
          <w:kern w:val="2"/>
          <w:sz w:val="22"/>
          <w:szCs w:val="22"/>
          <w14:ligatures w14:val="standardContextual"/>
        </w:rPr>
        <w:t xml:space="preserve">equires </w:t>
      </w:r>
      <w:r w:rsidR="009A6FB7" w:rsidRPr="002B64E2">
        <w:rPr>
          <w:rFonts w:ascii="Aptos" w:eastAsia="Aptos" w:hAnsi="Aptos" w:cs="Arial"/>
          <w:b/>
          <w:bCs/>
          <w:i/>
          <w:iCs/>
          <w:kern w:val="2"/>
          <w:sz w:val="22"/>
          <w:szCs w:val="22"/>
          <w14:ligatures w14:val="standardContextual"/>
        </w:rPr>
        <w:t>f</w:t>
      </w:r>
      <w:r w:rsidRPr="002B64E2">
        <w:rPr>
          <w:rFonts w:ascii="Aptos" w:eastAsia="Aptos" w:hAnsi="Aptos" w:cs="Arial"/>
          <w:b/>
          <w:bCs/>
          <w:i/>
          <w:iCs/>
          <w:kern w:val="2"/>
          <w:sz w:val="22"/>
          <w:szCs w:val="22"/>
          <w14:ligatures w14:val="standardContextual"/>
        </w:rPr>
        <w:t xml:space="preserve">urther </w:t>
      </w:r>
      <w:r w:rsidR="009A6FB7" w:rsidRPr="002B64E2">
        <w:rPr>
          <w:rFonts w:ascii="Aptos" w:eastAsia="Aptos" w:hAnsi="Aptos" w:cs="Arial"/>
          <w:b/>
          <w:bCs/>
          <w:i/>
          <w:iCs/>
          <w:kern w:val="2"/>
          <w:sz w:val="22"/>
          <w:szCs w:val="22"/>
          <w14:ligatures w14:val="standardContextual"/>
        </w:rPr>
        <w:t>s</w:t>
      </w:r>
      <w:r w:rsidRPr="002B64E2">
        <w:rPr>
          <w:rFonts w:ascii="Aptos" w:eastAsia="Aptos" w:hAnsi="Aptos" w:cs="Arial"/>
          <w:b/>
          <w:bCs/>
          <w:i/>
          <w:iCs/>
          <w:kern w:val="2"/>
          <w:sz w:val="22"/>
          <w:szCs w:val="22"/>
          <w14:ligatures w14:val="standardContextual"/>
        </w:rPr>
        <w:t xml:space="preserve">trengthening </w:t>
      </w:r>
    </w:p>
    <w:p w14:paraId="22126F5E" w14:textId="77777777" w:rsidR="00D2077A" w:rsidRPr="002B64E2" w:rsidRDefault="00D2077A" w:rsidP="00D2077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Effective ICT regulation and sound digital governance are pivotal to achieving universal and meaningful connectivity and driving inclusive and sustainable digital transformation. Holistic and coherent policy and regulatory frameworks foster competitive ICT and digital markets, attract investment and generate positive spillover effects across economies, governments and societies.</w:t>
      </w:r>
    </w:p>
    <w:p w14:paraId="38473EF1" w14:textId="77777777" w:rsidR="00D2077A" w:rsidRPr="002B64E2" w:rsidRDefault="00D2077A" w:rsidP="00D2077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In 2023, the CIS region demonstrates the lowest overall readiness of national policy, legal and governance frameworks for digital transformation – 34 per cent, compared to the world average of 51 per cent. The region </w:t>
      </w:r>
      <w:proofErr w:type="gramStart"/>
      <w:r w:rsidRPr="002B64E2">
        <w:rPr>
          <w:rFonts w:ascii="Aptos" w:eastAsia="Aptos" w:hAnsi="Aptos" w:cs="Arial"/>
          <w:kern w:val="2"/>
          <w:sz w:val="22"/>
          <w:szCs w:val="22"/>
          <w14:ligatures w14:val="standardContextual"/>
        </w:rPr>
        <w:t>lags behind</w:t>
      </w:r>
      <w:proofErr w:type="gramEnd"/>
      <w:r w:rsidRPr="002B64E2">
        <w:rPr>
          <w:rFonts w:ascii="Aptos" w:eastAsia="Aptos" w:hAnsi="Aptos" w:cs="Arial"/>
          <w:kern w:val="2"/>
          <w:sz w:val="22"/>
          <w:szCs w:val="22"/>
          <w14:ligatures w14:val="standardContextual"/>
        </w:rPr>
        <w:t xml:space="preserve"> global benchmarks in all nine areas, with the gaps ranging from 1 to 47 percentage points. LLDCs perform in line with regional averages across all benchmarks.</w:t>
      </w:r>
    </w:p>
    <w:p w14:paraId="20467C91" w14:textId="77777777" w:rsidR="00D2077A" w:rsidRPr="002B64E2" w:rsidRDefault="00D2077A" w:rsidP="00D2077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National digital transformation agendas are a critical foundation for bridging digital divides and expanding access to digital opportunities. These agendas rely on a mix of instruments, including holistic and sectoral digital policies and targeted strategies aimed at connecting all citizens, businesses and government institutions. In the CIS region, only one-third of the targets in the National Digital Agenda Benchmark were met in 2023. Six countries have adopted national digital strategies </w:t>
      </w:r>
      <w:r w:rsidRPr="002B64E2">
        <w:rPr>
          <w:rFonts w:ascii="Aptos" w:eastAsia="Aptos" w:hAnsi="Aptos" w:cs="Arial"/>
          <w:kern w:val="2"/>
          <w:sz w:val="22"/>
          <w:szCs w:val="22"/>
          <w14:ligatures w14:val="standardContextual"/>
        </w:rPr>
        <w:lastRenderedPageBreak/>
        <w:t xml:space="preserve">covering multiple sectors – supporting economic diversification, and six have implemented ICT accessibility policies for persons with disabilities, promoting broad digital inclusion. However, only the Russian Federation and Uzbekistan have adopted national employment strategies for youth and Kazakhstan is the only country with a dedicated digital skills policy. </w:t>
      </w:r>
    </w:p>
    <w:p w14:paraId="3D2D602A" w14:textId="77777777" w:rsidR="00965DC3" w:rsidRPr="002B64E2" w:rsidRDefault="00965DC3" w:rsidP="00965DC3">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Legal, policy and governance frameworks for digital transformation, 2022-2023</w:t>
      </w:r>
    </w:p>
    <w:p w14:paraId="7234140B" w14:textId="51844C25" w:rsidR="00965DC3" w:rsidRPr="002B64E2" w:rsidRDefault="00C973F4" w:rsidP="00965DC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240" w:after="60"/>
        <w:textAlignment w:val="center"/>
        <w:rPr>
          <w:rFonts w:ascii="Aptos" w:eastAsia="Aptos" w:hAnsi="Aptos" w:cs="Arial"/>
          <w:kern w:val="2"/>
          <w:sz w:val="16"/>
          <w:szCs w:val="28"/>
          <w14:ligatures w14:val="standardContextual"/>
        </w:rPr>
      </w:pPr>
      <w:r w:rsidRPr="002B64E2">
        <w:rPr>
          <w:noProof/>
        </w:rPr>
        <w:drawing>
          <wp:inline distT="0" distB="0" distL="0" distR="0" wp14:anchorId="5B6A1A3B" wp14:editId="299D4688">
            <wp:extent cx="6120765" cy="2966720"/>
            <wp:effectExtent l="0" t="0" r="0" b="5080"/>
            <wp:docPr id="6299285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928546"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120765" cy="2966720"/>
                    </a:xfrm>
                    <a:prstGeom prst="rect">
                      <a:avLst/>
                    </a:prstGeom>
                  </pic:spPr>
                </pic:pic>
              </a:graphicData>
            </a:graphic>
          </wp:inline>
        </w:drawing>
      </w:r>
      <w:r w:rsidR="00965DC3" w:rsidRPr="002B64E2">
        <w:rPr>
          <w:rFonts w:ascii="Aptos" w:eastAsia="Aptos" w:hAnsi="Aptos"/>
          <w:kern w:val="2"/>
          <w:sz w:val="16"/>
          <w14:ligatures w14:val="standardContextual"/>
        </w:rPr>
        <w:t xml:space="preserve">Note: </w:t>
      </w:r>
      <w:r w:rsidR="00965DC3" w:rsidRPr="002B64E2">
        <w:rPr>
          <w:rFonts w:ascii="Aptos" w:eastAsia="Aptos" w:hAnsi="Aptos" w:cs="Arial"/>
          <w:kern w:val="2"/>
          <w:sz w:val="16"/>
          <w:szCs w:val="28"/>
          <w14:ligatures w14:val="standardContextual"/>
        </w:rPr>
        <w:t xml:space="preserve">The nine thematic benchmarks (as in the chart above) each comprise a subset of indicators, as part of the </w:t>
      </w:r>
      <w:hyperlink r:id="rId18" w:history="1">
        <w:r w:rsidR="00965DC3" w:rsidRPr="002B64E2">
          <w:rPr>
            <w:rFonts w:ascii="Aptos" w:eastAsia="Aptos" w:hAnsi="Aptos" w:cs="Arial"/>
            <w:color w:val="467886"/>
            <w:kern w:val="2"/>
            <w:sz w:val="16"/>
            <w:szCs w:val="16"/>
            <w:u w:val="single"/>
            <w14:ligatures w14:val="standardContextual"/>
          </w:rPr>
          <w:t>ITU Unified Framework for the readiness of national policy, legal and governance frameworks for digital transformation</w:t>
        </w:r>
      </w:hyperlink>
      <w:r w:rsidR="00965DC3" w:rsidRPr="002B64E2">
        <w:rPr>
          <w:rFonts w:ascii="Aptos" w:eastAsia="Aptos" w:hAnsi="Aptos" w:cs="Arial"/>
          <w:kern w:val="2"/>
          <w:sz w:val="16"/>
          <w:szCs w:val="28"/>
          <w14:ligatures w14:val="standardContextual"/>
        </w:rPr>
        <w:t xml:space="preserve">. </w:t>
      </w:r>
    </w:p>
    <w:p w14:paraId="52F1DAEA" w14:textId="77777777" w:rsidR="00965DC3" w:rsidRPr="002B64E2" w:rsidRDefault="00965DC3" w:rsidP="00965DC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B64E2">
        <w:rPr>
          <w:rFonts w:ascii="Aptos" w:eastAsia="Aptos" w:hAnsi="Aptos"/>
          <w:kern w:val="2"/>
          <w:sz w:val="16"/>
          <w14:ligatures w14:val="standardContextual"/>
        </w:rPr>
        <w:t>The chart shows progress on the nine benchmarks for the CIS region (average for the group) compared to the world average and the average for LLDCs (7 countries) in the region.</w:t>
      </w:r>
      <w:r w:rsidRPr="002B64E2">
        <w:rPr>
          <w:rFonts w:ascii="Aptos" w:eastAsia="Aptos" w:hAnsi="Aptos" w:cs="Arial"/>
          <w:kern w:val="2"/>
          <w:sz w:val="16"/>
          <w:szCs w:val="28"/>
          <w14:ligatures w14:val="standardContextual"/>
        </w:rPr>
        <w:t xml:space="preserve"> The percentage of achievement on each benchmark indicates the proportion of met versus unmet targets on indicators in each benchmark.</w:t>
      </w:r>
    </w:p>
    <w:p w14:paraId="236812A9" w14:textId="77777777" w:rsidR="00965DC3" w:rsidRPr="002B64E2" w:rsidRDefault="00965DC3" w:rsidP="00965DC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kern w:val="2"/>
          <w:sz w:val="16"/>
          <w14:ligatures w14:val="standardContextual"/>
        </w:rPr>
      </w:pPr>
      <w:r w:rsidRPr="002B64E2">
        <w:rPr>
          <w:rFonts w:ascii="Aptos" w:eastAsia="Aptos" w:hAnsi="Aptos"/>
          <w:kern w:val="2"/>
          <w:sz w:val="16"/>
          <w14:ligatures w14:val="standardContextual"/>
        </w:rPr>
        <w:t>Source: ITU</w:t>
      </w:r>
    </w:p>
    <w:p w14:paraId="2B5B3D4A" w14:textId="77777777" w:rsidR="00BB224F" w:rsidRPr="002B64E2" w:rsidRDefault="00555F05" w:rsidP="00BB224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Unlike other regions, CIS exhibits a similar level of development in regulatory frameworks for ICT and digital markets. The Legal Instruments for ICT Markets benchmark stands at 35 per cent, while the Legal Instruments for Digital Markets benchmark is slightly higher at 38 per cent. However, mixed trends emerge across both areas, revealing significant disparities within the region.</w:t>
      </w:r>
    </w:p>
    <w:p w14:paraId="7B1E5E2B" w14:textId="61B65802" w:rsidR="00555F05" w:rsidRPr="002B64E2" w:rsidRDefault="00555F05" w:rsidP="00BB224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While six countries permit infrastructure sharing for mobile operators, only three mandate the sharing of essential facilities and co-location – a practice that enhances infrastructure competition. Cross-sector infrastructure sharing, which reduces connectivity costs and enhances network redundancy, is practiced in only two countries.</w:t>
      </w:r>
    </w:p>
    <w:p w14:paraId="570F87F0" w14:textId="77777777" w:rsidR="00555F05" w:rsidRPr="002B64E2" w:rsidRDefault="00555F05" w:rsidP="00BB224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Spectrum policies are relatively well developed, with six countries implementing spectrum refarming to optimize frequency use and meet rising demand for spectrum for new services. Yet no country has introduced a secondary spectrum market, which would improve efficiency and expand access to underutilized frequencies.</w:t>
      </w:r>
    </w:p>
    <w:p w14:paraId="09DEE6D2" w14:textId="77777777" w:rsidR="00555F05" w:rsidRPr="002B64E2" w:rsidRDefault="00555F05" w:rsidP="00BB224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Sectoral digital policies for education and health are present in three countries, multiplying opportunities for meaningful digital inclusion in these countries. However, only one country has smart city regulations aimed at technology-driven urban development and reducing cities environmental footprint.</w:t>
      </w:r>
    </w:p>
    <w:p w14:paraId="4749B797" w14:textId="77777777" w:rsidR="00555F05" w:rsidRPr="002B64E2" w:rsidRDefault="00555F05" w:rsidP="00BB224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Market competition across ICT and digital markets remains limited across the region. The Market Rules Benchmark, which assesses competition dynamics, stands at 45 per cent – well below the </w:t>
      </w:r>
      <w:r w:rsidRPr="002B64E2">
        <w:rPr>
          <w:rFonts w:ascii="Aptos" w:eastAsia="Aptos" w:hAnsi="Aptos" w:cs="Arial"/>
          <w:kern w:val="2"/>
          <w:sz w:val="22"/>
          <w:szCs w:val="22"/>
          <w14:ligatures w14:val="standardContextual"/>
        </w:rPr>
        <w:lastRenderedPageBreak/>
        <w:t>global average of 59 per cent. While full competition in mobile cellular services is allowed in six countries, only two extend this to fixed-line markets. Foreign ownership in facility-based operators is permitted in five countries, increasing market participation, yet only one country has a framework for assessing market dominance.</w:t>
      </w:r>
    </w:p>
    <w:p w14:paraId="7215099F" w14:textId="77777777" w:rsidR="00555F05" w:rsidRPr="002B64E2" w:rsidRDefault="00555F05" w:rsidP="00BB224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Regional and international cooperation, a key lever of ICT regulation and digital governance, remains largely underutilized in the CIS region. The regional benchmark for this area is just 20 per cent, 16 percentage points below the world average and the lowest of all regions. This deficit, however, presents a strategic opportunity: strengthening regional collaboration could accelerate national policy reforms, foster regionally integrated digital markets and scale digital and emerging technologies across the region.</w:t>
      </w:r>
    </w:p>
    <w:p w14:paraId="2C1F1CF0" w14:textId="6300B4E0" w:rsidR="00555F05" w:rsidRPr="002B64E2" w:rsidRDefault="00BB224F" w:rsidP="00BB224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B64E2">
        <w:rPr>
          <w:rFonts w:ascii="Aptos" w:eastAsia="Aptos" w:hAnsi="Aptos" w:cs="Arial"/>
          <w:b/>
          <w:bCs/>
          <w:i/>
          <w:iCs/>
          <w:kern w:val="2"/>
          <w:sz w:val="22"/>
          <w:szCs w:val="22"/>
          <w14:ligatures w14:val="standardContextual"/>
        </w:rPr>
        <w:t>Governance reforms advance unevenly</w:t>
      </w:r>
    </w:p>
    <w:p w14:paraId="40A5E68C" w14:textId="77777777" w:rsidR="00555F05" w:rsidRPr="002B64E2" w:rsidRDefault="00555F05" w:rsidP="00BB224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Institutional arrangements and governance are critical to successful policy implementation and regulatory enforcement. </w:t>
      </w:r>
    </w:p>
    <w:p w14:paraId="378A6E03" w14:textId="77777777" w:rsidR="00555F05" w:rsidRPr="002B64E2" w:rsidRDefault="00555F05" w:rsidP="00BB224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The CIS region ranks the lowest globally in the Regulatory Capacity benchmark, 16 per cent, with a 47-percentage-point gap from the world average. In contrast to global trends, only four countries – Armenia, Azerbaijan, Kyrgyzstan, and, since 2024, Tajikistan – have separate ICT regulatory authorities, strengthening oversight and policy implementation. However, only one of these regulators has financial and decision-making autonomy. Uzbekistan is set to establish a regulatory authority in the near term following the adoption of a new law in 2024. Today, 168 ICT regulators are in place worldwide, specializing in technical standards, infrastructure and market regulation, ensuring regulatory consistency and fostering a stable, predictable environment for investment and competition. The limited presence of separate regulators in the CIS region highlights the need for further institutional reforms.</w:t>
      </w:r>
    </w:p>
    <w:p w14:paraId="54AB4B2C" w14:textId="034CEBC5" w:rsidR="00555F05" w:rsidRPr="002B64E2" w:rsidRDefault="00555F05" w:rsidP="00BB224F">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Regulatory capacity and good governance in the CIS region, 202</w:t>
      </w:r>
      <w:r w:rsidR="009F3E30" w:rsidRPr="002B64E2">
        <w:rPr>
          <w:rFonts w:ascii="AvenirNext LT Pro Light" w:eastAsia="Yu Gothic Light" w:hAnsi="AvenirNext LT Pro Light" w:cs="Calibri"/>
          <w:color w:val="0070C0"/>
          <w:spacing w:val="-10"/>
          <w:kern w:val="28"/>
          <w:szCs w:val="24"/>
        </w:rPr>
        <w:t>2-2023</w:t>
      </w:r>
    </w:p>
    <w:p w14:paraId="5198FABB" w14:textId="10DF9780" w:rsidR="00E16108" w:rsidRPr="002B64E2" w:rsidRDefault="00FF78CD" w:rsidP="00555F05">
      <w:pPr>
        <w:pStyle w:val="paragraph"/>
        <w:spacing w:before="0" w:beforeAutospacing="0" w:after="120" w:afterAutospacing="0"/>
        <w:textAlignment w:val="baseline"/>
        <w:rPr>
          <w:rFonts w:ascii="Aptos" w:eastAsia="Aptos" w:hAnsi="Aptos"/>
          <w:kern w:val="2"/>
          <w:sz w:val="16"/>
          <w14:ligatures w14:val="standardContextual"/>
        </w:rPr>
      </w:pPr>
      <w:r w:rsidRPr="002B64E2">
        <w:rPr>
          <w:noProof/>
        </w:rPr>
        <w:drawing>
          <wp:inline distT="0" distB="0" distL="0" distR="0" wp14:anchorId="6CC3B4BB" wp14:editId="6F859809">
            <wp:extent cx="6120765" cy="2932430"/>
            <wp:effectExtent l="0" t="0" r="0" b="1270"/>
            <wp:docPr id="94197955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79554"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6120765" cy="2932430"/>
                    </a:xfrm>
                    <a:prstGeom prst="rect">
                      <a:avLst/>
                    </a:prstGeom>
                  </pic:spPr>
                </pic:pic>
              </a:graphicData>
            </a:graphic>
          </wp:inline>
        </w:drawing>
      </w:r>
    </w:p>
    <w:p w14:paraId="4A6FA7E8" w14:textId="226D2E61" w:rsidR="00555F05" w:rsidRPr="002B64E2" w:rsidRDefault="00555F05" w:rsidP="00555F05">
      <w:pPr>
        <w:pStyle w:val="paragraph"/>
        <w:spacing w:before="0" w:beforeAutospacing="0" w:after="120" w:afterAutospacing="0"/>
        <w:textAlignment w:val="baseline"/>
        <w:rPr>
          <w:rStyle w:val="eop"/>
          <w:rFonts w:ascii="Aptos" w:eastAsia="Aptos" w:hAnsi="Aptos"/>
          <w:noProof/>
          <w:kern w:val="2"/>
          <w:sz w:val="16"/>
          <w14:ligatures w14:val="standardContextual"/>
        </w:rPr>
      </w:pPr>
      <w:r w:rsidRPr="002B64E2">
        <w:rPr>
          <w:rFonts w:ascii="Aptos" w:eastAsia="Aptos" w:hAnsi="Aptos"/>
          <w:kern w:val="2"/>
          <w:sz w:val="16"/>
          <w14:ligatures w14:val="standardContextual"/>
        </w:rPr>
        <w:t xml:space="preserve">Note: The </w:t>
      </w:r>
      <w:r w:rsidRPr="002B64E2">
        <w:rPr>
          <w:rFonts w:ascii="Aptos" w:eastAsia="Aptos" w:hAnsi="Aptos" w:cs="Arial"/>
          <w:kern w:val="2"/>
          <w:sz w:val="16"/>
          <w:szCs w:val="28"/>
          <w14:ligatures w14:val="standardContextual"/>
        </w:rPr>
        <w:t xml:space="preserve">region’s average scores for </w:t>
      </w:r>
      <w:r w:rsidRPr="002B64E2">
        <w:rPr>
          <w:rFonts w:ascii="Aptos" w:eastAsia="Aptos" w:hAnsi="Aptos"/>
          <w:kern w:val="2"/>
          <w:sz w:val="16"/>
          <w14:ligatures w14:val="standardContextual"/>
        </w:rPr>
        <w:t>key related indicators</w:t>
      </w:r>
      <w:r w:rsidRPr="002B64E2">
        <w:rPr>
          <w:rFonts w:ascii="Aptos" w:eastAsia="Aptos" w:hAnsi="Aptos" w:cs="Arial"/>
          <w:kern w:val="2"/>
          <w:sz w:val="16"/>
          <w:szCs w:val="28"/>
          <w14:ligatures w14:val="standardContextual"/>
        </w:rPr>
        <w:t xml:space="preserve"> in the</w:t>
      </w:r>
      <w:r w:rsidRPr="002B64E2">
        <w:rPr>
          <w:rFonts w:ascii="Aptos" w:eastAsia="Aptos" w:hAnsi="Aptos"/>
          <w:kern w:val="2"/>
          <w:sz w:val="16"/>
          <w14:ligatures w14:val="standardContextual"/>
        </w:rPr>
        <w:t xml:space="preserve"> Regulatory Capacity</w:t>
      </w:r>
      <w:r w:rsidRPr="002B64E2">
        <w:rPr>
          <w:rFonts w:ascii="Aptos" w:eastAsia="Aptos" w:hAnsi="Aptos" w:cs="Arial"/>
          <w:kern w:val="2"/>
          <w:sz w:val="16"/>
          <w:szCs w:val="28"/>
          <w14:ligatures w14:val="standardContextual"/>
        </w:rPr>
        <w:t>, Good Governance and Stakeholder Engagement benchmarks under</w:t>
      </w:r>
      <w:r w:rsidRPr="002B64E2">
        <w:rPr>
          <w:rFonts w:ascii="Aptos" w:eastAsia="Aptos" w:hAnsi="Aptos"/>
          <w:kern w:val="2"/>
          <w:sz w:val="16"/>
          <w14:ligatures w14:val="standardContextual"/>
        </w:rPr>
        <w:t xml:space="preserve"> the ITU Unified Framework for </w:t>
      </w:r>
      <w:r w:rsidRPr="002B64E2">
        <w:rPr>
          <w:rFonts w:ascii="Aptos" w:eastAsia="Aptos" w:hAnsi="Aptos" w:cs="Arial"/>
          <w:kern w:val="2"/>
          <w:sz w:val="16"/>
          <w:szCs w:val="28"/>
          <w14:ligatures w14:val="standardContextual"/>
        </w:rPr>
        <w:t xml:space="preserve">the </w:t>
      </w:r>
      <w:r w:rsidRPr="002B64E2">
        <w:rPr>
          <w:rFonts w:ascii="Aptos" w:eastAsia="Aptos" w:hAnsi="Aptos"/>
          <w:kern w:val="2"/>
          <w:sz w:val="16"/>
          <w14:ligatures w14:val="standardContextual"/>
        </w:rPr>
        <w:t>CIS region compared to the world average.</w:t>
      </w:r>
    </w:p>
    <w:p w14:paraId="38894FB7" w14:textId="77777777" w:rsidR="00555F05" w:rsidRPr="002B64E2" w:rsidRDefault="00555F05" w:rsidP="00555F0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kern w:val="2"/>
          <w:sz w:val="16"/>
          <w14:ligatures w14:val="standardContextual"/>
        </w:rPr>
      </w:pPr>
      <w:r w:rsidRPr="002B64E2">
        <w:rPr>
          <w:rFonts w:ascii="Aptos" w:eastAsia="Aptos" w:hAnsi="Aptos"/>
          <w:kern w:val="2"/>
          <w:sz w:val="16"/>
          <w14:ligatures w14:val="standardContextual"/>
        </w:rPr>
        <w:t xml:space="preserve">Source: ITU, based on data from ITU and SDG Indicators </w:t>
      </w:r>
    </w:p>
    <w:p w14:paraId="1586D8DA" w14:textId="77777777" w:rsidR="00D35BE9" w:rsidRPr="002B64E2" w:rsidRDefault="00D35BE9" w:rsidP="00D35BE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lastRenderedPageBreak/>
        <w:t>Governance benchmarks in the CIS region vary. The strongest relative performance is in Good Governance, at 47 per cent. Six countries have established dispute resolution and appeals mechanisms for regulatory decisions, enhancing predictability and investor confidence. Public consultations on regulatory matters take place in five countries, aligning with the global average. However, critical tools for evidence-based policymaking such as regulatory impact assessments and ex-post policy reviews are less common, conducted in four and three countries, respectively.</w:t>
      </w:r>
    </w:p>
    <w:p w14:paraId="7139E4C1" w14:textId="771516CF" w:rsidR="00D35BE9" w:rsidRPr="002B64E2" w:rsidRDefault="00D35BE9" w:rsidP="00D35BE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Collaborative governance, or the capacity of government entities to engage in coordinated policymaking and whole-of-government policy implementation, remains underdeveloped with a regional benchmark of 26 per cent – well below the global average of 42 per cent. Most collaboration occurs in traditional areas such as postal and broadcasting regulation, practiced in five and four countries, respectively. In contrast, cooperation on key cross-sectoral issues</w:t>
      </w:r>
      <w:r w:rsidR="00621A35">
        <w:rPr>
          <w:rFonts w:ascii="Aptos" w:eastAsia="Aptos" w:hAnsi="Aptos" w:cs="Arial"/>
          <w:kern w:val="2"/>
          <w:sz w:val="22"/>
          <w:szCs w:val="22"/>
          <w14:ligatures w14:val="standardContextual"/>
        </w:rPr>
        <w:t>,</w:t>
      </w:r>
      <w:r w:rsidRPr="002B64E2">
        <w:rPr>
          <w:rFonts w:ascii="Aptos" w:eastAsia="Aptos" w:hAnsi="Aptos" w:cs="Arial"/>
          <w:kern w:val="2"/>
          <w:sz w:val="22"/>
          <w:szCs w:val="22"/>
          <w14:ligatures w14:val="standardContextual"/>
        </w:rPr>
        <w:t xml:space="preserve"> such as energy and transport</w:t>
      </w:r>
      <w:r w:rsidR="00621A35">
        <w:rPr>
          <w:rFonts w:ascii="Aptos" w:eastAsia="Aptos" w:hAnsi="Aptos" w:cs="Arial"/>
          <w:kern w:val="2"/>
          <w:sz w:val="22"/>
          <w:szCs w:val="22"/>
          <w14:ligatures w14:val="standardContextual"/>
        </w:rPr>
        <w:t xml:space="preserve">, </w:t>
      </w:r>
      <w:r w:rsidRPr="002B64E2">
        <w:rPr>
          <w:rFonts w:ascii="Aptos" w:eastAsia="Aptos" w:hAnsi="Aptos" w:cs="Arial"/>
          <w:kern w:val="2"/>
          <w:sz w:val="22"/>
          <w:szCs w:val="22"/>
          <w14:ligatures w14:val="standardContextual"/>
        </w:rPr>
        <w:t>is almost absent, with only one country engaging in such practices.</w:t>
      </w:r>
    </w:p>
    <w:p w14:paraId="5509BDD8" w14:textId="77777777" w:rsidR="00D35BE9" w:rsidRPr="002B64E2" w:rsidRDefault="00D35BE9" w:rsidP="00D35BE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Strengthening governance and institutional capacity stands as a priority for accelerating digital transformation in the CIS region and achieving national digital policy objectives. Institutions with the requisite autonomy and capability supported by cross-sector collaboration are critical to effectively addressing emerging challenges and developing digital policies that align with global standards while responding to regional needs.</w:t>
      </w:r>
    </w:p>
    <w:p w14:paraId="71C4D983" w14:textId="6B4C8F23" w:rsidR="00D35BE9" w:rsidRPr="002B64E2" w:rsidRDefault="00D35BE9" w:rsidP="00D35BE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B64E2">
        <w:rPr>
          <w:rFonts w:ascii="Aptos" w:eastAsia="Aptos" w:hAnsi="Aptos" w:cs="Arial"/>
          <w:b/>
          <w:bCs/>
          <w:i/>
          <w:iCs/>
          <w:kern w:val="2"/>
          <w:sz w:val="22"/>
          <w:szCs w:val="22"/>
          <w14:ligatures w14:val="standardContextual"/>
        </w:rPr>
        <w:t>CIS policy landscape for emerging technologies shows progress, not yet fully realized</w:t>
      </w:r>
    </w:p>
    <w:p w14:paraId="27D972D3" w14:textId="77777777" w:rsidR="00D35BE9" w:rsidRPr="002B64E2" w:rsidRDefault="00D35BE9" w:rsidP="00D35BE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The widespread adoption of emerging technologies can help drive private capital into new markets, fuel digital economy growth and enhance public service delivery. A range of policy instruments is available to maintain a level playing field in rapidly evolving digital markets, tailored to accommodate the diverse sizes and types of market players. Beyond market dynamics, emerging technology policies shape outcomes for consumers, businesses and governments, strengthening digital resilience and fostering economic and social progress.</w:t>
      </w:r>
    </w:p>
    <w:p w14:paraId="5C16C26C" w14:textId="77777777" w:rsidR="00D35BE9" w:rsidRPr="002B64E2" w:rsidRDefault="00D35BE9" w:rsidP="00D35BE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In the CIS region, the regulatory landscape for emerging technologies presents a mixed picture. While some areas align with global trends, significant gaps remain. </w:t>
      </w:r>
    </w:p>
    <w:p w14:paraId="702D84CB" w14:textId="77777777" w:rsidR="00D35BE9" w:rsidRPr="002B64E2" w:rsidRDefault="00D35BE9" w:rsidP="00D35BE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A strong foundation for emerging technology development lies in the adoption of comprehensive national digital strategies. With six CIS countries implementing such strategies, the region has a broad policy framework to support emerging technology deployment across sectors and market segments. However, industrial policies for digitization of key sectors – critical for enhancing national competitiveness in the global digital economy – remain largely untapped. Only two CIS countries have adopted such policies, compared to the global average of 46 per cent, signalling an opportunity for further policy development in this area to accelerate the region’s digital transformation.</w:t>
      </w:r>
    </w:p>
    <w:p w14:paraId="1D4C5E9A" w14:textId="77777777" w:rsidR="00D35BE9" w:rsidRPr="002B64E2" w:rsidRDefault="00D35BE9" w:rsidP="00D35BE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Creating an environment that fosters innovation is a key policy objective in digital economies, ensuring that emerging technologies can take root and scale. The CIS region stands out with relatively strong adoption of national innovation policies – more widespread here than in any region except Europe, and above the world average. As of 2023, five countries have implemented innovation policies. However, mechanisms for regulatory experimentation such as sandboxes or innovation clusters exist in only three countries, limiting opportunities for testing and scaling new technologies across the region.</w:t>
      </w:r>
    </w:p>
    <w:p w14:paraId="15D6015B" w14:textId="77777777" w:rsidR="00D35BE9" w:rsidRPr="002B64E2" w:rsidRDefault="00D35BE9" w:rsidP="00D35BE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Turning the potential of emerging technologies into long-term economic and social value also requires targeted policies. Strategies for transformative technologies are gradually taking shape in the region. Three countries have adopted policies for advanced spectrum technologies, while two have introduced regulations or standards for the Internet of Things (IoT). However, the region faces a </w:t>
      </w:r>
      <w:r w:rsidRPr="002B64E2">
        <w:rPr>
          <w:rFonts w:ascii="Aptos" w:eastAsia="Aptos" w:hAnsi="Aptos" w:cs="Arial"/>
          <w:kern w:val="2"/>
          <w:sz w:val="22"/>
          <w:szCs w:val="22"/>
          <w14:ligatures w14:val="standardContextual"/>
        </w:rPr>
        <w:lastRenderedPageBreak/>
        <w:t>significant policy gap in the critical area of Artificial Intelligence (AI), with the Russian Federation being the only country to have adopted a national AI policy.</w:t>
      </w:r>
    </w:p>
    <w:p w14:paraId="4DFEB781" w14:textId="77777777" w:rsidR="00D35BE9" w:rsidRPr="002B64E2" w:rsidRDefault="00D35BE9" w:rsidP="00D35BE9">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Enabling environment for emerging technologies in the CIS region, 2023</w:t>
      </w:r>
    </w:p>
    <w:p w14:paraId="122694A6" w14:textId="25DD738A" w:rsidR="00D35BE9" w:rsidRPr="002B64E2" w:rsidRDefault="008619EB" w:rsidP="00D35BE9">
      <w:pPr>
        <w:pStyle w:val="paragraph"/>
        <w:spacing w:before="0" w:beforeAutospacing="0" w:after="60" w:afterAutospacing="0"/>
        <w:textAlignment w:val="baseline"/>
        <w:rPr>
          <w:rFonts w:ascii="Aptos" w:eastAsia="Aptos" w:hAnsi="Aptos"/>
          <w:kern w:val="2"/>
          <w:sz w:val="16"/>
          <w14:ligatures w14:val="standardContextual"/>
        </w:rPr>
      </w:pPr>
      <w:r w:rsidRPr="002B64E2">
        <w:rPr>
          <w:noProof/>
        </w:rPr>
        <w:drawing>
          <wp:inline distT="0" distB="0" distL="0" distR="0" wp14:anchorId="3BA647B4" wp14:editId="51E29A00">
            <wp:extent cx="6120765" cy="3836035"/>
            <wp:effectExtent l="0" t="0" r="0" b="0"/>
            <wp:docPr id="410629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2910"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6120765" cy="3836035"/>
                    </a:xfrm>
                    <a:prstGeom prst="rect">
                      <a:avLst/>
                    </a:prstGeom>
                  </pic:spPr>
                </pic:pic>
              </a:graphicData>
            </a:graphic>
          </wp:inline>
        </w:drawing>
      </w:r>
      <w:r w:rsidR="00D35BE9" w:rsidRPr="002B64E2">
        <w:rPr>
          <w:rFonts w:ascii="Aptos" w:eastAsia="Aptos" w:hAnsi="Aptos"/>
          <w:kern w:val="2"/>
          <w:sz w:val="16"/>
          <w14:ligatures w14:val="standardContextual"/>
        </w:rPr>
        <w:t xml:space="preserve">Note: The region’s average scores for key indicators in the National Digital Agenda and Legal Instruments for Digital Markets under the ITU Unified Framework are compared to the world average.  </w:t>
      </w:r>
    </w:p>
    <w:p w14:paraId="6D216005" w14:textId="77777777" w:rsidR="00D35BE9" w:rsidRPr="002B64E2" w:rsidRDefault="00D35BE9" w:rsidP="00D35BE9">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kern w:val="2"/>
          <w:sz w:val="16"/>
          <w14:ligatures w14:val="standardContextual"/>
        </w:rPr>
      </w:pPr>
      <w:r w:rsidRPr="002B64E2">
        <w:rPr>
          <w:rFonts w:ascii="Aptos" w:eastAsia="Aptos" w:hAnsi="Aptos"/>
          <w:kern w:val="2"/>
          <w:sz w:val="16"/>
          <w14:ligatures w14:val="standardContextual"/>
        </w:rPr>
        <w:t>Source: ITU</w:t>
      </w:r>
    </w:p>
    <w:p w14:paraId="346D971A" w14:textId="77777777" w:rsidR="00D35BE9" w:rsidRPr="002B64E2" w:rsidRDefault="00D35BE9" w:rsidP="00D35BE9">
      <w:pPr>
        <w:spacing w:before="240"/>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Ensuring fair competition is critical for scaling innovation and fostering sustainable growth of digital markets. While 22 per cent of countries worldwide have adopted competition policies specifically tailored to digital markets, no CIS country has introduced such a framework. This gap is significant, as competition policies are essential for promoting market dynamism and preventing anti-competitive behaviours in fast-moving digital sectors.</w:t>
      </w:r>
    </w:p>
    <w:p w14:paraId="6B4AA0E0" w14:textId="77777777" w:rsidR="00D35BE9" w:rsidRPr="002B64E2" w:rsidRDefault="00D35BE9" w:rsidP="00D35BE9">
      <w:pPr>
        <w:spacing w:before="240"/>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The CIS region has an opportunity to build on recent progress in fostering an enabling environment for emerging technologies, maximizing their benefits while mitigating risks. By accelerating digital policy reforms and adopting diverse, agile regulatory frameworks aligned with global good practices, CIS countries can strengthen their position in both regional and international digital ecosystems.</w:t>
      </w:r>
    </w:p>
    <w:p w14:paraId="290AA8D0" w14:textId="77777777" w:rsidR="00D35BE9" w:rsidRPr="002B64E2" w:rsidRDefault="00D35BE9" w:rsidP="00D35BE9">
      <w:pPr>
        <w:spacing w:before="240"/>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The United Nations Programme of Action for LLDCs</w:t>
      </w:r>
      <w:r w:rsidRPr="002B64E2">
        <w:rPr>
          <w:rFonts w:eastAsia="Aptos" w:cs="Arial"/>
          <w:kern w:val="2"/>
          <w:sz w:val="22"/>
          <w:szCs w:val="22"/>
          <w14:ligatures w14:val="standardContextual"/>
        </w:rPr>
        <w:footnoteReference w:id="4"/>
      </w:r>
      <w:r w:rsidRPr="002B64E2">
        <w:rPr>
          <w:rFonts w:ascii="Aptos" w:eastAsia="Aptos" w:hAnsi="Aptos" w:cs="Arial"/>
          <w:kern w:val="2"/>
          <w:sz w:val="22"/>
          <w:szCs w:val="22"/>
          <w14:ligatures w14:val="standardContextual"/>
        </w:rPr>
        <w:t xml:space="preserve"> adopted in December 2024 underscores the urgency of bridging digital divides, enhancing digital skills and leveraging digital transformation for sustainable development. Supporting LLDCs in advancing responsible digital innovation and ensuring the ethical use of emerging technologies will be essential to unlocking the potential of digital entrepreneurship and value creation. This, in turn, can drive the growth of interconnected digital economies within the region and beyond.</w:t>
      </w:r>
    </w:p>
    <w:p w14:paraId="15C94479" w14:textId="77265B3B" w:rsidR="006C41B5" w:rsidRPr="002B64E2" w:rsidRDefault="006C41B5" w:rsidP="003B7B0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br w:type="page"/>
      </w:r>
    </w:p>
    <w:p w14:paraId="65548862" w14:textId="77777777" w:rsidR="006C41B5" w:rsidRPr="002B64E2" w:rsidRDefault="006C41B5" w:rsidP="00302CE1">
      <w:pPr>
        <w:pStyle w:val="Section"/>
      </w:pPr>
      <w:bookmarkStart w:id="9" w:name="_Toc192868596"/>
      <w:r w:rsidRPr="002B64E2">
        <w:lastRenderedPageBreak/>
        <w:t>Internet use</w:t>
      </w:r>
      <w:bookmarkEnd w:id="9"/>
    </w:p>
    <w:p w14:paraId="7700FACE" w14:textId="12C32AD9" w:rsidR="006C41B5" w:rsidRPr="002B64E2" w:rsidRDefault="00C9373A"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B64E2">
        <w:rPr>
          <w:rFonts w:ascii="Aptos" w:eastAsia="Aptos" w:hAnsi="Aptos" w:cs="Arial"/>
          <w:b/>
          <w:bCs/>
          <w:i/>
          <w:iCs/>
          <w:kern w:val="2"/>
          <w:sz w:val="22"/>
          <w:szCs w:val="22"/>
          <w14:ligatures w14:val="standardContextual"/>
        </w:rPr>
        <w:t>Internet adoption in CIS is nearing universal levels</w:t>
      </w:r>
    </w:p>
    <w:p w14:paraId="7BA29D8E" w14:textId="77777777"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Percentage of individuals using the Internet</w:t>
      </w:r>
    </w:p>
    <w:p w14:paraId="4E3B4419" w14:textId="05E029A9" w:rsidR="006C41B5" w:rsidRPr="002B64E2" w:rsidRDefault="001D69E3" w:rsidP="00EB15E6">
      <w:pPr>
        <w:pStyle w:val="Sourcetext"/>
      </w:pPr>
      <w:r w:rsidRPr="002B64E2">
        <w:rPr>
          <w:noProof/>
        </w:rPr>
        <w:drawing>
          <wp:inline distT="0" distB="0" distL="0" distR="0" wp14:anchorId="03AADC37" wp14:editId="7C1C4F99">
            <wp:extent cx="6120765" cy="2423795"/>
            <wp:effectExtent l="0" t="0" r="0" b="0"/>
            <wp:docPr id="5641666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66638"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120765" cy="2423795"/>
                    </a:xfrm>
                    <a:prstGeom prst="rect">
                      <a:avLst/>
                    </a:prstGeom>
                  </pic:spPr>
                </pic:pic>
              </a:graphicData>
            </a:graphic>
          </wp:inline>
        </w:drawing>
      </w:r>
      <w:r w:rsidR="006C41B5" w:rsidRPr="002B64E2">
        <w:t>Source: ITU</w:t>
      </w:r>
    </w:p>
    <w:p w14:paraId="0108EAB9" w14:textId="08F95679" w:rsidR="00850EDE" w:rsidRPr="002B64E2" w:rsidRDefault="00A473F1" w:rsidP="008F7F1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The proportion of people online in the CIS region stood at </w:t>
      </w:r>
      <w:r w:rsidR="00922C73" w:rsidRPr="002B64E2">
        <w:rPr>
          <w:rFonts w:ascii="Aptos" w:eastAsia="Aptos" w:hAnsi="Aptos" w:cs="Arial"/>
          <w:kern w:val="2"/>
          <w:sz w:val="22"/>
          <w:szCs w:val="22"/>
          <w14:ligatures w14:val="standardContextual"/>
        </w:rPr>
        <w:t>92</w:t>
      </w:r>
      <w:r w:rsidRPr="002B64E2">
        <w:rPr>
          <w:rFonts w:ascii="Aptos" w:eastAsia="Aptos" w:hAnsi="Aptos" w:cs="Arial"/>
          <w:kern w:val="2"/>
          <w:sz w:val="22"/>
          <w:szCs w:val="22"/>
          <w14:ligatures w14:val="standardContextual"/>
        </w:rPr>
        <w:t xml:space="preserve"> per cent in 2024, </w:t>
      </w:r>
      <w:r w:rsidR="00922C73" w:rsidRPr="002B64E2">
        <w:rPr>
          <w:rFonts w:ascii="Aptos" w:eastAsia="Aptos" w:hAnsi="Aptos" w:cs="Arial"/>
          <w:kern w:val="2"/>
          <w:sz w:val="22"/>
          <w:szCs w:val="22"/>
          <w14:ligatures w14:val="standardContextual"/>
        </w:rPr>
        <w:t xml:space="preserve">well above </w:t>
      </w:r>
      <w:r w:rsidRPr="002B64E2">
        <w:rPr>
          <w:rFonts w:ascii="Aptos" w:eastAsia="Aptos" w:hAnsi="Aptos" w:cs="Arial"/>
          <w:kern w:val="2"/>
          <w:sz w:val="22"/>
          <w:szCs w:val="22"/>
          <w14:ligatures w14:val="standardContextual"/>
        </w:rPr>
        <w:t>the global average</w:t>
      </w:r>
      <w:r w:rsidR="00922C73" w:rsidRPr="002B64E2">
        <w:rPr>
          <w:rFonts w:ascii="Aptos" w:eastAsia="Aptos" w:hAnsi="Aptos" w:cs="Arial"/>
          <w:kern w:val="2"/>
          <w:sz w:val="22"/>
          <w:szCs w:val="22"/>
          <w14:ligatures w14:val="standardContextual"/>
        </w:rPr>
        <w:t xml:space="preserve"> of </w:t>
      </w:r>
      <w:r w:rsidR="008141B7" w:rsidRPr="002B64E2">
        <w:rPr>
          <w:rFonts w:ascii="Aptos" w:eastAsia="Aptos" w:hAnsi="Aptos" w:cs="Arial"/>
          <w:kern w:val="2"/>
          <w:sz w:val="22"/>
          <w:szCs w:val="22"/>
          <w14:ligatures w14:val="standardContextual"/>
        </w:rPr>
        <w:t>68 per cent, and close to universal use</w:t>
      </w:r>
      <w:r w:rsidRPr="002B64E2">
        <w:rPr>
          <w:rFonts w:ascii="Aptos" w:eastAsia="Aptos" w:hAnsi="Aptos" w:cs="Arial"/>
          <w:kern w:val="2"/>
          <w:sz w:val="22"/>
          <w:szCs w:val="22"/>
          <w14:ligatures w14:val="standardContextual"/>
        </w:rPr>
        <w:t>.</w:t>
      </w:r>
      <w:r w:rsidR="00D5529A" w:rsidRPr="002B64E2">
        <w:rPr>
          <w:rStyle w:val="FootnoteReference"/>
          <w:rFonts w:eastAsia="Aptos" w:cs="Arial"/>
          <w:kern w:val="2"/>
          <w14:ligatures w14:val="standardContextual"/>
        </w:rPr>
        <w:footnoteReference w:id="5"/>
      </w:r>
      <w:r w:rsidRPr="002B64E2">
        <w:rPr>
          <w:rFonts w:ascii="Aptos" w:eastAsia="Aptos" w:hAnsi="Aptos" w:cs="Arial"/>
          <w:kern w:val="2"/>
          <w:sz w:val="22"/>
          <w:szCs w:val="22"/>
          <w14:ligatures w14:val="standardContextual"/>
        </w:rPr>
        <w:t xml:space="preserve"> Since 2005, the average annual growth rate of Internet penetration in the region has been 1</w:t>
      </w:r>
      <w:r w:rsidR="00495129" w:rsidRPr="002B64E2">
        <w:rPr>
          <w:rFonts w:ascii="Aptos" w:eastAsia="Aptos" w:hAnsi="Aptos" w:cs="Arial"/>
          <w:kern w:val="2"/>
          <w:sz w:val="22"/>
          <w:szCs w:val="22"/>
          <w14:ligatures w14:val="standardContextual"/>
        </w:rPr>
        <w:t>1</w:t>
      </w:r>
      <w:r w:rsidRPr="002B64E2">
        <w:rPr>
          <w:rFonts w:ascii="Aptos" w:eastAsia="Aptos" w:hAnsi="Aptos" w:cs="Arial"/>
          <w:kern w:val="2"/>
          <w:sz w:val="22"/>
          <w:szCs w:val="22"/>
          <w14:ligatures w14:val="standardContextual"/>
        </w:rPr>
        <w:t>.</w:t>
      </w:r>
      <w:r w:rsidR="00495129" w:rsidRPr="002B64E2">
        <w:rPr>
          <w:rFonts w:ascii="Aptos" w:eastAsia="Aptos" w:hAnsi="Aptos" w:cs="Arial"/>
          <w:kern w:val="2"/>
          <w:sz w:val="22"/>
          <w:szCs w:val="22"/>
          <w14:ligatures w14:val="standardContextual"/>
        </w:rPr>
        <w:t>8</w:t>
      </w:r>
      <w:r w:rsidRPr="002B64E2">
        <w:rPr>
          <w:rFonts w:ascii="Aptos" w:eastAsia="Aptos" w:hAnsi="Aptos" w:cs="Arial"/>
          <w:kern w:val="2"/>
          <w:sz w:val="22"/>
          <w:szCs w:val="22"/>
          <w14:ligatures w14:val="standardContextual"/>
        </w:rPr>
        <w:t xml:space="preserve"> per cent, against 8 per cent globally. Over the last ten years, growth has tapered </w:t>
      </w:r>
      <w:r w:rsidR="004F0A38" w:rsidRPr="002B64E2">
        <w:rPr>
          <w:rFonts w:ascii="Aptos" w:eastAsia="Aptos" w:hAnsi="Aptos" w:cs="Arial"/>
          <w:kern w:val="2"/>
          <w:sz w:val="22"/>
          <w:szCs w:val="22"/>
          <w14:ligatures w14:val="standardContextual"/>
        </w:rPr>
        <w:t>off and</w:t>
      </w:r>
      <w:r w:rsidRPr="002B64E2">
        <w:rPr>
          <w:rFonts w:ascii="Aptos" w:eastAsia="Aptos" w:hAnsi="Aptos" w:cs="Arial"/>
          <w:kern w:val="2"/>
          <w:sz w:val="22"/>
          <w:szCs w:val="22"/>
          <w14:ligatures w14:val="standardContextual"/>
        </w:rPr>
        <w:t xml:space="preserve"> now stands at </w:t>
      </w:r>
      <w:r w:rsidR="006E04CC" w:rsidRPr="002B64E2">
        <w:rPr>
          <w:rFonts w:ascii="Aptos" w:eastAsia="Aptos" w:hAnsi="Aptos" w:cs="Arial"/>
          <w:kern w:val="2"/>
          <w:sz w:val="22"/>
          <w:szCs w:val="22"/>
          <w14:ligatures w14:val="standardContextual"/>
        </w:rPr>
        <w:t>4.2</w:t>
      </w:r>
      <w:r w:rsidRPr="002B64E2">
        <w:rPr>
          <w:rFonts w:ascii="Aptos" w:eastAsia="Aptos" w:hAnsi="Aptos" w:cs="Arial"/>
          <w:kern w:val="2"/>
          <w:sz w:val="22"/>
          <w:szCs w:val="22"/>
          <w14:ligatures w14:val="standardContextual"/>
        </w:rPr>
        <w:t xml:space="preserve"> and 6.1 per cent respectively.</w:t>
      </w:r>
    </w:p>
    <w:p w14:paraId="2DDA6729" w14:textId="2587FA50"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lastRenderedPageBreak/>
        <w:t xml:space="preserve">Percentage of individuals using the Internet in </w:t>
      </w:r>
      <w:r w:rsidR="00C91518" w:rsidRPr="002B64E2">
        <w:rPr>
          <w:rFonts w:ascii="AvenirNext LT Pro Light" w:eastAsia="Yu Gothic Light" w:hAnsi="AvenirNext LT Pro Light" w:cs="Calibri"/>
          <w:color w:val="0070C0"/>
          <w:spacing w:val="-10"/>
          <w:kern w:val="28"/>
          <w:szCs w:val="24"/>
        </w:rPr>
        <w:t>t</w:t>
      </w:r>
      <w:r w:rsidR="00060A76" w:rsidRPr="002B64E2">
        <w:rPr>
          <w:rFonts w:ascii="AvenirNext LT Pro Light" w:eastAsia="Yu Gothic Light" w:hAnsi="AvenirNext LT Pro Light" w:cs="Calibri"/>
          <w:color w:val="0070C0"/>
          <w:spacing w:val="-10"/>
          <w:kern w:val="28"/>
          <w:szCs w:val="24"/>
        </w:rPr>
        <w:t xml:space="preserve">he </w:t>
      </w:r>
      <w:r w:rsidR="00220A01" w:rsidRPr="002B64E2">
        <w:rPr>
          <w:rFonts w:ascii="AvenirNext LT Pro Light" w:eastAsia="Yu Gothic Light" w:hAnsi="AvenirNext LT Pro Light" w:cs="Calibri"/>
          <w:color w:val="0070C0"/>
          <w:spacing w:val="-10"/>
          <w:kern w:val="28"/>
          <w:szCs w:val="24"/>
        </w:rPr>
        <w:t>CIS region</w:t>
      </w:r>
      <w:r w:rsidRPr="002B64E2">
        <w:rPr>
          <w:rFonts w:ascii="AvenirNext LT Pro Light" w:eastAsia="Yu Gothic Light" w:hAnsi="AvenirNext LT Pro Light" w:cs="Calibri"/>
          <w:color w:val="0070C0"/>
          <w:spacing w:val="-10"/>
          <w:kern w:val="28"/>
          <w:szCs w:val="24"/>
        </w:rPr>
        <w:t xml:space="preserve">, </w:t>
      </w:r>
      <w:r w:rsidR="00851F73" w:rsidRPr="002B64E2">
        <w:rPr>
          <w:rFonts w:ascii="AvenirNext LT Pro Light" w:eastAsia="Yu Gothic Light" w:hAnsi="AvenirNext LT Pro Light" w:cs="Calibri"/>
          <w:color w:val="0070C0"/>
          <w:spacing w:val="-10"/>
          <w:kern w:val="28"/>
          <w:szCs w:val="24"/>
        </w:rPr>
        <w:t>2023</w:t>
      </w:r>
      <w:r w:rsidRPr="002B64E2">
        <w:rPr>
          <w:rFonts w:ascii="AvenirNext LT Pro Light" w:eastAsia="Yu Gothic Light" w:hAnsi="AvenirNext LT Pro Light" w:cs="Calibri"/>
          <w:color w:val="0070C0"/>
          <w:spacing w:val="-10"/>
          <w:kern w:val="28"/>
          <w:szCs w:val="24"/>
          <w:vertAlign w:val="superscript"/>
        </w:rPr>
        <w:footnoteReference w:id="6"/>
      </w:r>
    </w:p>
    <w:p w14:paraId="03D11FAD" w14:textId="3A00E14A" w:rsidR="003A3140" w:rsidRPr="002B64E2" w:rsidRDefault="001F4268" w:rsidP="003A3140">
      <w:pPr>
        <w:pStyle w:val="Sourcetext"/>
        <w:rPr>
          <w:rFonts w:eastAsia="Aptos" w:cs="Arial"/>
        </w:rPr>
      </w:pPr>
      <w:r w:rsidRPr="002B64E2">
        <w:rPr>
          <w:noProof/>
        </w:rPr>
        <w:drawing>
          <wp:inline distT="0" distB="0" distL="0" distR="0" wp14:anchorId="6705D499" wp14:editId="131BA73F">
            <wp:extent cx="6120765" cy="3060700"/>
            <wp:effectExtent l="0" t="0" r="0" b="6350"/>
            <wp:docPr id="141072356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23560"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6120765" cy="3060700"/>
                    </a:xfrm>
                    <a:prstGeom prst="rect">
                      <a:avLst/>
                    </a:prstGeom>
                  </pic:spPr>
                </pic:pic>
              </a:graphicData>
            </a:graphic>
          </wp:inline>
        </w:drawing>
      </w:r>
      <w:r w:rsidR="003A3140" w:rsidRPr="002B64E2">
        <w:rPr>
          <w:rFonts w:eastAsia="Aptos" w:cs="Arial"/>
        </w:rPr>
        <w:t xml:space="preserve"> Note: Figures based on official national statistics are shaded dark to distinguish them from figures based on non-official data.</w:t>
      </w:r>
    </w:p>
    <w:p w14:paraId="3F01955B" w14:textId="08B8F0F7" w:rsidR="006C41B5" w:rsidRPr="002B64E2" w:rsidRDefault="006C41B5" w:rsidP="003A3140">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B64E2">
        <w:rPr>
          <w:rFonts w:ascii="Aptos" w:eastAsia="Aptos" w:hAnsi="Aptos" w:cs="Arial"/>
          <w:kern w:val="2"/>
          <w:sz w:val="16"/>
          <w:szCs w:val="28"/>
          <w14:ligatures w14:val="standardContextual"/>
        </w:rPr>
        <w:t>Source: ITU</w:t>
      </w:r>
    </w:p>
    <w:p w14:paraId="7573306E" w14:textId="3F046013" w:rsidR="0054499A" w:rsidRPr="002B64E2" w:rsidRDefault="0054499A">
      <w:pPr>
        <w:tabs>
          <w:tab w:val="clear" w:pos="794"/>
          <w:tab w:val="clear" w:pos="1191"/>
          <w:tab w:val="clear" w:pos="1588"/>
          <w:tab w:val="clear" w:pos="1985"/>
        </w:tabs>
        <w:overflowPunct/>
        <w:autoSpaceDE/>
        <w:autoSpaceDN/>
        <w:adjustRightInd/>
        <w:spacing w:before="0"/>
        <w:textAlignment w:val="auto"/>
        <w:rPr>
          <w:rFonts w:ascii="Aptos" w:eastAsia="Aptos" w:hAnsi="Aptos" w:cs="Arial"/>
          <w:kern w:val="2"/>
          <w:sz w:val="22"/>
          <w:szCs w:val="22"/>
          <w14:ligatures w14:val="standardContextual"/>
        </w:rPr>
      </w:pPr>
    </w:p>
    <w:p w14:paraId="6ADF07B2" w14:textId="25E2D971" w:rsidR="00302E81" w:rsidRPr="002B64E2" w:rsidRDefault="00302E81" w:rsidP="00302E81">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In terms of the number of countries, the CIS region is small, composed of only nine countries. Internet use ranged from 57 to 93 per cent.</w:t>
      </w:r>
      <w:r w:rsidR="007120D8" w:rsidRPr="002B64E2">
        <w:rPr>
          <w:rFonts w:ascii="Aptos" w:eastAsia="Aptos" w:hAnsi="Aptos" w:cs="Arial"/>
          <w:kern w:val="2"/>
          <w:sz w:val="22"/>
          <w:szCs w:val="22"/>
          <w14:ligatures w14:val="standardContextual"/>
        </w:rPr>
        <w:t xml:space="preserve"> </w:t>
      </w:r>
    </w:p>
    <w:p w14:paraId="3ACB9DAC" w14:textId="0F5FF4E6" w:rsidR="006C41B5" w:rsidRPr="002B64E2" w:rsidRDefault="007F51C7"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B64E2">
        <w:rPr>
          <w:rFonts w:ascii="Aptos" w:eastAsia="Aptos" w:hAnsi="Aptos" w:cs="Arial"/>
          <w:b/>
          <w:i/>
          <w:kern w:val="2"/>
          <w:sz w:val="22"/>
          <w:szCs w:val="22"/>
          <w14:ligatures w14:val="standardContextual"/>
        </w:rPr>
        <w:t>Gender parity in Internet use has been achieved</w:t>
      </w:r>
      <w:r w:rsidR="006C41B5" w:rsidRPr="002B64E2">
        <w:rPr>
          <w:rFonts w:ascii="Aptos" w:eastAsia="Aptos" w:hAnsi="Aptos" w:cs="Arial"/>
          <w:b/>
          <w:bCs/>
          <w:i/>
          <w:iCs/>
          <w:kern w:val="2"/>
          <w:sz w:val="22"/>
          <w:szCs w:val="22"/>
          <w14:ligatures w14:val="standardContextual"/>
        </w:rPr>
        <w:t xml:space="preserve"> </w:t>
      </w:r>
    </w:p>
    <w:p w14:paraId="306CB29E" w14:textId="77777777"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Percentage of individuals using the Internet, by gender, 2024</w:t>
      </w:r>
    </w:p>
    <w:p w14:paraId="7230107B" w14:textId="5E83A80A" w:rsidR="006C41B5" w:rsidRPr="002B64E2" w:rsidRDefault="00371FBA" w:rsidP="00EB15E6">
      <w:pPr>
        <w:pStyle w:val="Sourcetext"/>
      </w:pPr>
      <w:r w:rsidRPr="002B64E2">
        <w:rPr>
          <w:noProof/>
        </w:rPr>
        <w:drawing>
          <wp:inline distT="0" distB="0" distL="0" distR="0" wp14:anchorId="5FF1F411" wp14:editId="6E2D6DA2">
            <wp:extent cx="6120765" cy="2243455"/>
            <wp:effectExtent l="0" t="0" r="0" b="4445"/>
            <wp:docPr id="143537233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72334"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6120765" cy="2243455"/>
                    </a:xfrm>
                    <a:prstGeom prst="rect">
                      <a:avLst/>
                    </a:prstGeom>
                  </pic:spPr>
                </pic:pic>
              </a:graphicData>
            </a:graphic>
          </wp:inline>
        </w:drawing>
      </w:r>
      <w:r w:rsidR="006C41B5" w:rsidRPr="002B64E2">
        <w:t>Source: ITU</w:t>
      </w:r>
    </w:p>
    <w:p w14:paraId="6E575EA1" w14:textId="7FE8F877" w:rsidR="0099432F" w:rsidRPr="002B64E2" w:rsidRDefault="00DA69C7" w:rsidP="006567D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lastRenderedPageBreak/>
        <w:t xml:space="preserve">In 2024, </w:t>
      </w:r>
      <w:r w:rsidR="00BE5EA7" w:rsidRPr="002B64E2">
        <w:rPr>
          <w:rFonts w:ascii="Aptos" w:eastAsia="Aptos" w:hAnsi="Aptos" w:cs="Arial"/>
          <w:kern w:val="2"/>
          <w:sz w:val="22"/>
          <w:szCs w:val="22"/>
          <w14:ligatures w14:val="standardContextual"/>
        </w:rPr>
        <w:t>93</w:t>
      </w:r>
      <w:r w:rsidRPr="002B64E2">
        <w:rPr>
          <w:rFonts w:ascii="Aptos" w:eastAsia="Aptos" w:hAnsi="Aptos" w:cs="Arial"/>
          <w:kern w:val="2"/>
          <w:sz w:val="22"/>
          <w:szCs w:val="22"/>
          <w14:ligatures w14:val="standardContextual"/>
        </w:rPr>
        <w:t xml:space="preserve"> per cent of men in </w:t>
      </w:r>
      <w:r w:rsidR="00BE5EA7" w:rsidRPr="002B64E2">
        <w:rPr>
          <w:rFonts w:ascii="Aptos" w:eastAsia="Aptos" w:hAnsi="Aptos" w:cs="Arial"/>
          <w:kern w:val="2"/>
          <w:sz w:val="22"/>
          <w:szCs w:val="22"/>
          <w14:ligatures w14:val="standardContextual"/>
        </w:rPr>
        <w:t>the CIS</w:t>
      </w:r>
      <w:r w:rsidRPr="002B64E2">
        <w:rPr>
          <w:rFonts w:ascii="Aptos" w:eastAsia="Aptos" w:hAnsi="Aptos" w:cs="Arial"/>
          <w:kern w:val="2"/>
          <w:sz w:val="22"/>
          <w:szCs w:val="22"/>
          <w14:ligatures w14:val="standardContextual"/>
        </w:rPr>
        <w:t xml:space="preserve"> were online, against </w:t>
      </w:r>
      <w:r w:rsidR="00BE5EA7" w:rsidRPr="002B64E2">
        <w:rPr>
          <w:rFonts w:ascii="Aptos" w:eastAsia="Aptos" w:hAnsi="Aptos" w:cs="Arial"/>
          <w:kern w:val="2"/>
          <w:sz w:val="22"/>
          <w:szCs w:val="22"/>
          <w14:ligatures w14:val="standardContextual"/>
        </w:rPr>
        <w:t>91</w:t>
      </w:r>
      <w:r w:rsidRPr="002B64E2">
        <w:rPr>
          <w:rFonts w:ascii="Aptos" w:eastAsia="Aptos" w:hAnsi="Aptos" w:cs="Arial"/>
          <w:kern w:val="2"/>
          <w:sz w:val="22"/>
          <w:szCs w:val="22"/>
          <w14:ligatures w14:val="standardContextual"/>
        </w:rPr>
        <w:t> per cent of women. This converts into a gender parity score (GPS)</w:t>
      </w:r>
      <w:r w:rsidRPr="002B64E2">
        <w:rPr>
          <w:rFonts w:ascii="Aptos" w:eastAsia="Aptos" w:hAnsi="Aptos" w:cs="Arial"/>
          <w:kern w:val="2"/>
          <w:sz w:val="22"/>
          <w:szCs w:val="22"/>
          <w:vertAlign w:val="superscript"/>
          <w14:ligatures w14:val="standardContextual"/>
        </w:rPr>
        <w:footnoteReference w:id="7"/>
      </w:r>
      <w:r w:rsidRPr="002B64E2">
        <w:rPr>
          <w:rFonts w:ascii="Aptos" w:eastAsia="Aptos" w:hAnsi="Aptos" w:cs="Arial"/>
          <w:kern w:val="2"/>
          <w:sz w:val="22"/>
          <w:szCs w:val="22"/>
          <w14:ligatures w14:val="standardContextual"/>
        </w:rPr>
        <w:t xml:space="preserve"> of 0.9</w:t>
      </w:r>
      <w:r w:rsidR="00F54028" w:rsidRPr="002B64E2">
        <w:rPr>
          <w:rFonts w:ascii="Aptos" w:eastAsia="Aptos" w:hAnsi="Aptos" w:cs="Arial"/>
          <w:kern w:val="2"/>
          <w:sz w:val="22"/>
          <w:szCs w:val="22"/>
          <w14:ligatures w14:val="standardContextual"/>
        </w:rPr>
        <w:t>8</w:t>
      </w:r>
      <w:r w:rsidRPr="002B64E2">
        <w:rPr>
          <w:rFonts w:ascii="Aptos" w:eastAsia="Aptos" w:hAnsi="Aptos" w:cs="Arial"/>
          <w:kern w:val="2"/>
          <w:sz w:val="22"/>
          <w:szCs w:val="22"/>
          <w14:ligatures w14:val="standardContextual"/>
        </w:rPr>
        <w:t xml:space="preserve">, </w:t>
      </w:r>
      <w:r w:rsidR="00F54028" w:rsidRPr="002B64E2">
        <w:rPr>
          <w:rFonts w:ascii="Aptos" w:eastAsia="Aptos" w:hAnsi="Aptos" w:cs="Arial"/>
          <w:kern w:val="2"/>
          <w:sz w:val="22"/>
          <w:szCs w:val="22"/>
          <w14:ligatures w14:val="standardContextual"/>
        </w:rPr>
        <w:t xml:space="preserve">well </w:t>
      </w:r>
      <w:r w:rsidRPr="002B64E2">
        <w:rPr>
          <w:rFonts w:ascii="Aptos" w:eastAsia="Aptos" w:hAnsi="Aptos" w:cs="Arial"/>
          <w:kern w:val="2"/>
          <w:sz w:val="22"/>
          <w:szCs w:val="22"/>
          <w14:ligatures w14:val="standardContextual"/>
        </w:rPr>
        <w:t xml:space="preserve">ahead of the global GPS of 0.94. </w:t>
      </w:r>
      <w:r w:rsidR="00974190" w:rsidRPr="002B64E2">
        <w:rPr>
          <w:rFonts w:ascii="Aptos" w:eastAsia="Aptos" w:hAnsi="Aptos" w:cs="Arial"/>
          <w:kern w:val="2"/>
          <w:sz w:val="22"/>
          <w:szCs w:val="22"/>
          <w14:ligatures w14:val="standardContextual"/>
        </w:rPr>
        <w:t>Despite the</w:t>
      </w:r>
      <w:r w:rsidR="006E1710" w:rsidRPr="002B64E2">
        <w:rPr>
          <w:rFonts w:ascii="Aptos" w:eastAsia="Aptos" w:hAnsi="Aptos" w:cs="Arial"/>
          <w:kern w:val="2"/>
          <w:sz w:val="22"/>
          <w:szCs w:val="22"/>
          <w14:ligatures w14:val="standardContextual"/>
        </w:rPr>
        <w:t xml:space="preserve"> small bias against women, </w:t>
      </w:r>
      <w:r w:rsidR="006B2871" w:rsidRPr="002B64E2">
        <w:rPr>
          <w:rFonts w:ascii="Aptos" w:eastAsia="Aptos" w:hAnsi="Aptos" w:cs="Arial"/>
          <w:kern w:val="2"/>
          <w:sz w:val="22"/>
          <w:szCs w:val="22"/>
          <w14:ligatures w14:val="standardContextual"/>
        </w:rPr>
        <w:t xml:space="preserve">gender </w:t>
      </w:r>
      <w:r w:rsidR="00781433" w:rsidRPr="002B64E2">
        <w:rPr>
          <w:rFonts w:ascii="Aptos" w:eastAsia="Aptos" w:hAnsi="Aptos" w:cs="Arial"/>
          <w:kern w:val="2"/>
          <w:sz w:val="22"/>
          <w:szCs w:val="22"/>
          <w14:ligatures w14:val="standardContextual"/>
        </w:rPr>
        <w:t xml:space="preserve">parity </w:t>
      </w:r>
      <w:proofErr w:type="gramStart"/>
      <w:r w:rsidR="00974190" w:rsidRPr="002B64E2">
        <w:rPr>
          <w:rFonts w:ascii="Aptos" w:eastAsia="Aptos" w:hAnsi="Aptos" w:cs="Arial"/>
          <w:kern w:val="2"/>
          <w:sz w:val="22"/>
          <w:szCs w:val="22"/>
          <w14:ligatures w14:val="standardContextual"/>
        </w:rPr>
        <w:t>is considered to be</w:t>
      </w:r>
      <w:proofErr w:type="gramEnd"/>
      <w:r w:rsidR="00974190" w:rsidRPr="002B64E2">
        <w:rPr>
          <w:rFonts w:ascii="Aptos" w:eastAsia="Aptos" w:hAnsi="Aptos" w:cs="Arial"/>
          <w:kern w:val="2"/>
          <w:sz w:val="22"/>
          <w:szCs w:val="22"/>
          <w14:ligatures w14:val="standardContextual"/>
        </w:rPr>
        <w:t xml:space="preserve"> </w:t>
      </w:r>
      <w:r w:rsidR="00781433" w:rsidRPr="002B64E2">
        <w:rPr>
          <w:rFonts w:ascii="Aptos" w:eastAsia="Aptos" w:hAnsi="Aptos" w:cs="Arial"/>
          <w:kern w:val="2"/>
          <w:sz w:val="22"/>
          <w:szCs w:val="22"/>
          <w14:ligatures w14:val="standardContextual"/>
        </w:rPr>
        <w:t>achieved</w:t>
      </w:r>
      <w:r w:rsidR="005B1965" w:rsidRPr="002B64E2">
        <w:rPr>
          <w:rFonts w:ascii="Aptos" w:eastAsia="Aptos" w:hAnsi="Aptos" w:cs="Arial"/>
          <w:kern w:val="2"/>
          <w:sz w:val="22"/>
          <w:szCs w:val="22"/>
          <w14:ligatures w14:val="standardContextual"/>
        </w:rPr>
        <w:t>.</w:t>
      </w:r>
    </w:p>
    <w:p w14:paraId="7C2E1C3B" w14:textId="00AF80D6" w:rsidR="00E46909" w:rsidRPr="002B64E2" w:rsidRDefault="008970CC" w:rsidP="006567D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In three </w:t>
      </w:r>
      <w:r w:rsidR="009A6274" w:rsidRPr="002B64E2">
        <w:rPr>
          <w:rFonts w:ascii="Aptos" w:eastAsia="Aptos" w:hAnsi="Aptos" w:cs="Arial"/>
          <w:kern w:val="2"/>
          <w:sz w:val="22"/>
          <w:szCs w:val="22"/>
          <w14:ligatures w14:val="standardContextual"/>
        </w:rPr>
        <w:t xml:space="preserve">of the seven </w:t>
      </w:r>
      <w:r w:rsidRPr="002B64E2">
        <w:rPr>
          <w:rFonts w:ascii="Aptos" w:eastAsia="Aptos" w:hAnsi="Aptos" w:cs="Arial"/>
          <w:kern w:val="2"/>
          <w:sz w:val="22"/>
          <w:szCs w:val="22"/>
          <w14:ligatures w14:val="standardContextual"/>
        </w:rPr>
        <w:t>countries</w:t>
      </w:r>
      <w:r w:rsidR="009A6274" w:rsidRPr="002B64E2">
        <w:rPr>
          <w:rFonts w:ascii="Aptos" w:eastAsia="Aptos" w:hAnsi="Aptos" w:cs="Arial"/>
          <w:kern w:val="2"/>
          <w:sz w:val="22"/>
          <w:szCs w:val="22"/>
          <w14:ligatures w14:val="standardContextual"/>
        </w:rPr>
        <w:t xml:space="preserve"> with data available</w:t>
      </w:r>
      <w:r w:rsidRPr="002B64E2">
        <w:rPr>
          <w:rFonts w:ascii="Aptos" w:eastAsia="Aptos" w:hAnsi="Aptos" w:cs="Arial"/>
          <w:kern w:val="2"/>
          <w:sz w:val="22"/>
          <w:szCs w:val="22"/>
          <w14:ligatures w14:val="standardContextual"/>
        </w:rPr>
        <w:t>, gender pa</w:t>
      </w:r>
      <w:r w:rsidR="00B436A4" w:rsidRPr="002B64E2">
        <w:rPr>
          <w:rFonts w:ascii="Aptos" w:eastAsia="Aptos" w:hAnsi="Aptos" w:cs="Arial"/>
          <w:kern w:val="2"/>
          <w:sz w:val="22"/>
          <w:szCs w:val="22"/>
          <w14:ligatures w14:val="standardContextual"/>
        </w:rPr>
        <w:t xml:space="preserve">rity has been achieved. </w:t>
      </w:r>
      <w:r w:rsidR="00785BA2" w:rsidRPr="002B64E2">
        <w:rPr>
          <w:rFonts w:ascii="Aptos" w:eastAsia="Aptos" w:hAnsi="Aptos" w:cs="Arial"/>
          <w:kern w:val="2"/>
          <w:sz w:val="22"/>
          <w:szCs w:val="22"/>
          <w14:ligatures w14:val="standardContextual"/>
        </w:rPr>
        <w:t xml:space="preserve">In </w:t>
      </w:r>
      <w:r w:rsidR="00D313B0" w:rsidRPr="002B64E2">
        <w:rPr>
          <w:rFonts w:ascii="Aptos" w:eastAsia="Aptos" w:hAnsi="Aptos" w:cs="Arial"/>
          <w:kern w:val="2"/>
          <w:sz w:val="22"/>
          <w:szCs w:val="22"/>
          <w14:ligatures w14:val="standardContextual"/>
        </w:rPr>
        <w:t>the remaining four countries, in three countries there is a bias in favour of men, while in Armenia women are more likely to use the Internet.</w:t>
      </w:r>
    </w:p>
    <w:p w14:paraId="32F34237" w14:textId="18401AF8" w:rsidR="006C41B5" w:rsidRPr="002B64E2" w:rsidRDefault="006C41B5" w:rsidP="006567DF">
      <w:pPr>
        <w:tabs>
          <w:tab w:val="clear" w:pos="794"/>
          <w:tab w:val="clear" w:pos="1191"/>
          <w:tab w:val="clear" w:pos="1588"/>
          <w:tab w:val="clear" w:pos="1985"/>
        </w:tabs>
        <w:overflowPunct/>
        <w:autoSpaceDE/>
        <w:autoSpaceDN/>
        <w:adjustRightInd/>
        <w:spacing w:before="0" w:after="160" w:line="259" w:lineRule="auto"/>
        <w:textAlignment w:val="auto"/>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 xml:space="preserve">Percentage of individuals using the Internet, by gender, </w:t>
      </w:r>
      <w:r w:rsidR="00BC2EFF" w:rsidRPr="002B64E2">
        <w:rPr>
          <w:rFonts w:ascii="AvenirNext LT Pro Light" w:eastAsia="Yu Gothic Light" w:hAnsi="AvenirNext LT Pro Light" w:cs="Calibri"/>
          <w:color w:val="0070C0"/>
          <w:spacing w:val="-10"/>
          <w:kern w:val="28"/>
          <w:szCs w:val="24"/>
        </w:rPr>
        <w:t xml:space="preserve">2023 or </w:t>
      </w:r>
      <w:r w:rsidRPr="002B64E2">
        <w:rPr>
          <w:rFonts w:ascii="AvenirNext LT Pro Light" w:eastAsia="Yu Gothic Light" w:hAnsi="AvenirNext LT Pro Light" w:cs="Calibri"/>
          <w:color w:val="0070C0"/>
          <w:spacing w:val="-10"/>
          <w:kern w:val="28"/>
          <w:szCs w:val="24"/>
        </w:rPr>
        <w:t>latest year available</w:t>
      </w:r>
    </w:p>
    <w:p w14:paraId="3940133E" w14:textId="5F1F85D9" w:rsidR="006C41B5" w:rsidRPr="002B64E2" w:rsidRDefault="00720321"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B64E2">
        <w:rPr>
          <w:noProof/>
        </w:rPr>
        <w:drawing>
          <wp:inline distT="0" distB="0" distL="0" distR="0" wp14:anchorId="575EB85D" wp14:editId="6692514F">
            <wp:extent cx="6120765" cy="2689225"/>
            <wp:effectExtent l="0" t="0" r="0" b="0"/>
            <wp:docPr id="14073920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92000"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6120765" cy="2689225"/>
                    </a:xfrm>
                    <a:prstGeom prst="rect">
                      <a:avLst/>
                    </a:prstGeom>
                  </pic:spPr>
                </pic:pic>
              </a:graphicData>
            </a:graphic>
          </wp:inline>
        </w:drawing>
      </w:r>
    </w:p>
    <w:p w14:paraId="2B3270AE" w14:textId="77777777" w:rsidR="006C41B5" w:rsidRPr="002B64E2" w:rsidRDefault="006C41B5" w:rsidP="00EB15E6">
      <w:pPr>
        <w:pStyle w:val="Sourcetext"/>
      </w:pPr>
      <w:r w:rsidRPr="002B64E2">
        <w:t>Source: ITU</w:t>
      </w:r>
    </w:p>
    <w:p w14:paraId="5195F699" w14:textId="77777777" w:rsidR="007F51C7" w:rsidRPr="002B64E2" w:rsidRDefault="007F51C7"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ptos" w:eastAsia="Aptos" w:hAnsi="Aptos" w:cs="Arial"/>
          <w:b/>
          <w:bCs/>
          <w:i/>
          <w:iCs/>
          <w:kern w:val="2"/>
          <w:sz w:val="22"/>
          <w:szCs w:val="22"/>
          <w14:ligatures w14:val="standardContextual"/>
        </w:rPr>
      </w:pPr>
      <w:r w:rsidRPr="002B64E2">
        <w:rPr>
          <w:rFonts w:ascii="Aptos" w:eastAsia="Aptos" w:hAnsi="Aptos" w:cs="Arial"/>
          <w:b/>
          <w:bCs/>
          <w:i/>
          <w:iCs/>
          <w:kern w:val="2"/>
          <w:sz w:val="22"/>
          <w:szCs w:val="22"/>
          <w14:ligatures w14:val="standardContextual"/>
        </w:rPr>
        <w:t>Almost all young people in the region are online</w:t>
      </w:r>
    </w:p>
    <w:p w14:paraId="3915A3A4" w14:textId="3C8B9312"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Percentage of individuals aged between 15 and 24 years using the Internet, 2024</w:t>
      </w:r>
    </w:p>
    <w:p w14:paraId="5A76D399" w14:textId="287D7712" w:rsidR="000018FC" w:rsidRPr="002B64E2" w:rsidRDefault="003634AB"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2B64E2">
        <w:rPr>
          <w:noProof/>
        </w:rPr>
        <w:drawing>
          <wp:inline distT="0" distB="0" distL="0" distR="0" wp14:anchorId="704DC4AE" wp14:editId="379866DF">
            <wp:extent cx="5927834" cy="2463012"/>
            <wp:effectExtent l="0" t="0" r="0" b="0"/>
            <wp:docPr id="7478525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52504"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5929702" cy="2463788"/>
                    </a:xfrm>
                    <a:prstGeom prst="rect">
                      <a:avLst/>
                    </a:prstGeom>
                  </pic:spPr>
                </pic:pic>
              </a:graphicData>
            </a:graphic>
          </wp:inline>
        </w:drawing>
      </w:r>
    </w:p>
    <w:p w14:paraId="0E33A8C4" w14:textId="731A7E93" w:rsidR="006C41B5" w:rsidRPr="002B64E2" w:rsidRDefault="006C41B5" w:rsidP="00EB15E6">
      <w:pPr>
        <w:pStyle w:val="Sourcetext"/>
        <w:rPr>
          <w:rFonts w:eastAsia="Aptos" w:cs="Arial"/>
        </w:rPr>
      </w:pPr>
      <w:r w:rsidRPr="002B64E2">
        <w:t>Source: ITU</w:t>
      </w:r>
    </w:p>
    <w:p w14:paraId="40F8F8F3" w14:textId="1DBD9E70" w:rsidR="00D43E98" w:rsidRPr="002B64E2" w:rsidRDefault="00D43E98" w:rsidP="00D43E9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lastRenderedPageBreak/>
        <w:t xml:space="preserve">In 2024 among young people aged 15 to 24 Internet users made up </w:t>
      </w:r>
      <w:r w:rsidR="009019A6" w:rsidRPr="002B64E2">
        <w:rPr>
          <w:rFonts w:ascii="Aptos" w:eastAsia="Aptos" w:hAnsi="Aptos" w:cs="Arial"/>
          <w:kern w:val="2"/>
          <w:sz w:val="22"/>
          <w:szCs w:val="22"/>
          <w14:ligatures w14:val="standardContextual"/>
        </w:rPr>
        <w:t>97</w:t>
      </w:r>
      <w:r w:rsidRPr="002B64E2">
        <w:rPr>
          <w:rFonts w:ascii="Aptos" w:eastAsia="Aptos" w:hAnsi="Aptos" w:cs="Arial"/>
          <w:kern w:val="2"/>
          <w:sz w:val="22"/>
          <w:szCs w:val="22"/>
          <w14:ligatures w14:val="standardContextual"/>
        </w:rPr>
        <w:t xml:space="preserve"> per cent, compared to </w:t>
      </w:r>
      <w:r w:rsidR="009019A6" w:rsidRPr="002B64E2">
        <w:rPr>
          <w:rFonts w:ascii="Aptos" w:eastAsia="Aptos" w:hAnsi="Aptos" w:cs="Arial"/>
          <w:kern w:val="2"/>
          <w:sz w:val="22"/>
          <w:szCs w:val="22"/>
          <w14:ligatures w14:val="standardContextual"/>
        </w:rPr>
        <w:t>91</w:t>
      </w:r>
      <w:r w:rsidRPr="002B64E2">
        <w:rPr>
          <w:rFonts w:ascii="Aptos" w:eastAsia="Aptos" w:hAnsi="Aptos" w:cs="Arial"/>
          <w:kern w:val="2"/>
          <w:sz w:val="22"/>
          <w:szCs w:val="22"/>
          <w14:ligatures w14:val="standardContextual"/>
        </w:rPr>
        <w:t xml:space="preserve"> per cent for the rest of the population. The generational gap in this region—measured as the ratio of Internet users between these two groups—is </w:t>
      </w:r>
      <w:r w:rsidR="00555FDE" w:rsidRPr="002B64E2">
        <w:rPr>
          <w:rFonts w:ascii="Aptos" w:eastAsia="Aptos" w:hAnsi="Aptos" w:cs="Arial"/>
          <w:kern w:val="2"/>
          <w:sz w:val="22"/>
          <w:szCs w:val="22"/>
          <w14:ligatures w14:val="standardContextual"/>
        </w:rPr>
        <w:t>smaller</w:t>
      </w:r>
      <w:r w:rsidRPr="002B64E2">
        <w:rPr>
          <w:rFonts w:ascii="Aptos" w:eastAsia="Aptos" w:hAnsi="Aptos" w:cs="Arial"/>
          <w:kern w:val="2"/>
          <w:sz w:val="22"/>
          <w:szCs w:val="22"/>
          <w14:ligatures w14:val="standardContextual"/>
        </w:rPr>
        <w:t xml:space="preserve"> than the global average. The gap has been shrinking in the region over the last four years, in line with a global trend. </w:t>
      </w:r>
    </w:p>
    <w:p w14:paraId="2A7355AD" w14:textId="7DAA6701" w:rsidR="00D43E98" w:rsidRPr="002B64E2" w:rsidRDefault="00D43E98" w:rsidP="00D43E9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In most countries for which data are available, the percentage of young people online is very high. This stands in sharp contrast with the proportion of the elderly (those 75 years and older) using the Internet, which is low or very low in all economies in the region</w:t>
      </w:r>
      <w:r w:rsidR="002C0C1E" w:rsidRPr="002B64E2">
        <w:rPr>
          <w:rFonts w:ascii="Aptos" w:eastAsia="Aptos" w:hAnsi="Aptos" w:cs="Arial"/>
          <w:kern w:val="2"/>
          <w:sz w:val="22"/>
          <w:szCs w:val="22"/>
          <w14:ligatures w14:val="standardContextual"/>
        </w:rPr>
        <w:t xml:space="preserve"> fo</w:t>
      </w:r>
      <w:r w:rsidR="00FC79D1" w:rsidRPr="002B64E2">
        <w:rPr>
          <w:rFonts w:ascii="Aptos" w:eastAsia="Aptos" w:hAnsi="Aptos" w:cs="Arial"/>
          <w:kern w:val="2"/>
          <w:sz w:val="22"/>
          <w:szCs w:val="22"/>
          <w14:ligatures w14:val="standardContextual"/>
        </w:rPr>
        <w:t>r</w:t>
      </w:r>
      <w:r w:rsidR="002C0C1E" w:rsidRPr="002B64E2">
        <w:rPr>
          <w:rFonts w:ascii="Aptos" w:eastAsia="Aptos" w:hAnsi="Aptos" w:cs="Arial"/>
          <w:kern w:val="2"/>
          <w:sz w:val="22"/>
          <w:szCs w:val="22"/>
          <w14:ligatures w14:val="standardContextual"/>
        </w:rPr>
        <w:t xml:space="preserve"> which there are data for this age group</w:t>
      </w:r>
      <w:r w:rsidRPr="002B64E2">
        <w:rPr>
          <w:rFonts w:ascii="Aptos" w:eastAsia="Aptos" w:hAnsi="Aptos" w:cs="Arial"/>
          <w:kern w:val="2"/>
          <w:sz w:val="22"/>
          <w:szCs w:val="22"/>
          <w14:ligatures w14:val="standardContextual"/>
        </w:rPr>
        <w:t>.</w:t>
      </w:r>
    </w:p>
    <w:p w14:paraId="5B8CA18B" w14:textId="5D2098E9"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Percentage of individuals using the Internet by age group,</w:t>
      </w:r>
      <w:r w:rsidR="00402773" w:rsidRPr="002B64E2">
        <w:rPr>
          <w:rFonts w:ascii="AvenirNext LT Pro Light" w:eastAsia="Yu Gothic Light" w:hAnsi="AvenirNext LT Pro Light" w:cs="Calibri"/>
          <w:color w:val="0070C0"/>
          <w:spacing w:val="-10"/>
          <w:kern w:val="28"/>
          <w:szCs w:val="24"/>
        </w:rPr>
        <w:t xml:space="preserve"> 2023 or </w:t>
      </w:r>
      <w:r w:rsidRPr="002B64E2">
        <w:rPr>
          <w:rFonts w:ascii="AvenirNext LT Pro Light" w:eastAsia="Yu Gothic Light" w:hAnsi="AvenirNext LT Pro Light" w:cs="Calibri"/>
          <w:color w:val="0070C0"/>
          <w:spacing w:val="-10"/>
          <w:kern w:val="28"/>
          <w:szCs w:val="24"/>
        </w:rPr>
        <w:t>latest year available</w:t>
      </w:r>
    </w:p>
    <w:p w14:paraId="3D1E3587" w14:textId="300D5C7F" w:rsidR="006C41B5" w:rsidRDefault="00D46C3B"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B64E2">
        <w:rPr>
          <w:noProof/>
        </w:rPr>
        <w:drawing>
          <wp:inline distT="0" distB="0" distL="0" distR="0" wp14:anchorId="0BA24D01" wp14:editId="29F9AFA2">
            <wp:extent cx="6120765" cy="4658360"/>
            <wp:effectExtent l="0" t="0" r="0" b="8890"/>
            <wp:docPr id="106467213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72134"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6120765" cy="4658360"/>
                    </a:xfrm>
                    <a:prstGeom prst="rect">
                      <a:avLst/>
                    </a:prstGeom>
                  </pic:spPr>
                </pic:pic>
              </a:graphicData>
            </a:graphic>
          </wp:inline>
        </w:drawing>
      </w:r>
    </w:p>
    <w:p w14:paraId="4C79EE3C" w14:textId="77777777" w:rsidR="009A634C" w:rsidRDefault="009A634C" w:rsidP="00EB15E6">
      <w:pPr>
        <w:pStyle w:val="Sourcetext"/>
        <w:rPr>
          <w:rFonts w:eastAsia="Aptos" w:cs="Arial"/>
        </w:rPr>
      </w:pPr>
      <w:r w:rsidRPr="009A634C">
        <w:rPr>
          <w:rFonts w:eastAsia="Aptos" w:cs="Arial"/>
        </w:rPr>
        <w:t>Note: Missing bars for certain age groups indicate that no data is available for those groups.</w:t>
      </w:r>
    </w:p>
    <w:p w14:paraId="31155287" w14:textId="170596E1" w:rsidR="006C41B5" w:rsidRPr="002B64E2" w:rsidRDefault="006C41B5" w:rsidP="00EB15E6">
      <w:pPr>
        <w:pStyle w:val="Sourcetext"/>
        <w:rPr>
          <w:rFonts w:eastAsia="Aptos" w:cs="Arial"/>
        </w:rPr>
      </w:pPr>
      <w:r w:rsidRPr="002B64E2">
        <w:t>Source: ITU</w:t>
      </w:r>
    </w:p>
    <w:p w14:paraId="51D99826" w14:textId="77777777" w:rsidR="00A43CB7" w:rsidRPr="002B64E2" w:rsidRDefault="00A43CB7">
      <w:pPr>
        <w:tabs>
          <w:tab w:val="clear" w:pos="794"/>
          <w:tab w:val="clear" w:pos="1191"/>
          <w:tab w:val="clear" w:pos="1588"/>
          <w:tab w:val="clear" w:pos="1985"/>
        </w:tabs>
        <w:overflowPunct/>
        <w:autoSpaceDE/>
        <w:autoSpaceDN/>
        <w:adjustRightInd/>
        <w:spacing w:before="0"/>
        <w:textAlignment w:val="auto"/>
        <w:rPr>
          <w:rFonts w:ascii="Aptos" w:eastAsia="Aptos" w:hAnsi="Aptos" w:cs="Arial"/>
          <w:b/>
          <w:bCs/>
          <w:i/>
          <w:iCs/>
          <w:kern w:val="2"/>
          <w:sz w:val="22"/>
          <w:szCs w:val="22"/>
          <w14:ligatures w14:val="standardContextual"/>
        </w:rPr>
      </w:pPr>
      <w:r w:rsidRPr="002B64E2">
        <w:rPr>
          <w:rFonts w:ascii="Aptos" w:eastAsia="Aptos" w:hAnsi="Aptos" w:cs="Arial"/>
          <w:b/>
          <w:bCs/>
          <w:i/>
          <w:iCs/>
          <w:kern w:val="2"/>
          <w:sz w:val="22"/>
          <w:szCs w:val="22"/>
          <w14:ligatures w14:val="standardContextual"/>
        </w:rPr>
        <w:br w:type="page"/>
      </w:r>
    </w:p>
    <w:p w14:paraId="38A943BF" w14:textId="77777777" w:rsidR="007F51C7" w:rsidRPr="002B64E2" w:rsidRDefault="007F51C7"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ptos" w:eastAsia="Aptos" w:hAnsi="Aptos" w:cs="Arial"/>
          <w:b/>
          <w:i/>
          <w:kern w:val="2"/>
          <w:sz w:val="22"/>
          <w:szCs w:val="22"/>
          <w14:ligatures w14:val="standardContextual"/>
        </w:rPr>
      </w:pPr>
      <w:r w:rsidRPr="002B64E2">
        <w:rPr>
          <w:rFonts w:ascii="Aptos" w:eastAsia="Aptos" w:hAnsi="Aptos" w:cs="Arial"/>
          <w:b/>
          <w:i/>
          <w:kern w:val="2"/>
          <w:sz w:val="22"/>
          <w:szCs w:val="22"/>
          <w14:ligatures w14:val="standardContextual"/>
        </w:rPr>
        <w:lastRenderedPageBreak/>
        <w:t>Rural-urban Internet use gaps persist but are narrowing</w:t>
      </w:r>
    </w:p>
    <w:p w14:paraId="5AE4C6E5" w14:textId="649B661D"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Percentage of individuals using the Internet, by location, 2024</w:t>
      </w:r>
    </w:p>
    <w:p w14:paraId="702FC160" w14:textId="1994745B" w:rsidR="000018FC" w:rsidRPr="002B64E2" w:rsidRDefault="00076479"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2B64E2">
        <w:rPr>
          <w:noProof/>
        </w:rPr>
        <w:drawing>
          <wp:inline distT="0" distB="0" distL="0" distR="0" wp14:anchorId="6F407789" wp14:editId="46836F39">
            <wp:extent cx="6120765" cy="2450465"/>
            <wp:effectExtent l="0" t="0" r="0" b="6985"/>
            <wp:docPr id="18501543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54306"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6120765" cy="2450465"/>
                    </a:xfrm>
                    <a:prstGeom prst="rect">
                      <a:avLst/>
                    </a:prstGeom>
                  </pic:spPr>
                </pic:pic>
              </a:graphicData>
            </a:graphic>
          </wp:inline>
        </w:drawing>
      </w:r>
    </w:p>
    <w:p w14:paraId="15AF38A7" w14:textId="70FE8B37" w:rsidR="006C41B5" w:rsidRPr="002B64E2" w:rsidRDefault="006C41B5" w:rsidP="00EB15E6">
      <w:pPr>
        <w:pStyle w:val="Sourcetext"/>
        <w:rPr>
          <w:rFonts w:eastAsia="Aptos" w:cs="Arial"/>
        </w:rPr>
      </w:pPr>
      <w:r w:rsidRPr="002B64E2">
        <w:t>Source: ITU</w:t>
      </w:r>
    </w:p>
    <w:p w14:paraId="2D276D0C" w14:textId="4013EB86" w:rsidR="005E507D" w:rsidRPr="002B64E2" w:rsidRDefault="005E507D" w:rsidP="005E507D">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In urban areas in the </w:t>
      </w:r>
      <w:r w:rsidR="005F61C0" w:rsidRPr="002B64E2">
        <w:rPr>
          <w:rFonts w:ascii="Aptos" w:eastAsia="Aptos" w:hAnsi="Aptos" w:cs="Arial"/>
          <w:kern w:val="2"/>
          <w:sz w:val="22"/>
          <w:szCs w:val="22"/>
          <w14:ligatures w14:val="standardContextual"/>
        </w:rPr>
        <w:t>CIS region</w:t>
      </w:r>
      <w:r w:rsidRPr="002B64E2">
        <w:rPr>
          <w:rFonts w:ascii="Aptos" w:eastAsia="Aptos" w:hAnsi="Aptos" w:cs="Arial"/>
          <w:kern w:val="2"/>
          <w:sz w:val="22"/>
          <w:szCs w:val="22"/>
          <w14:ligatures w14:val="standardContextual"/>
        </w:rPr>
        <w:t>, 9</w:t>
      </w:r>
      <w:r w:rsidR="005F61C0" w:rsidRPr="002B64E2">
        <w:rPr>
          <w:rFonts w:ascii="Aptos" w:eastAsia="Aptos" w:hAnsi="Aptos" w:cs="Arial"/>
          <w:kern w:val="2"/>
          <w:sz w:val="22"/>
          <w:szCs w:val="22"/>
          <w14:ligatures w14:val="standardContextual"/>
        </w:rPr>
        <w:t>5</w:t>
      </w:r>
      <w:r w:rsidRPr="002B64E2">
        <w:rPr>
          <w:rFonts w:ascii="Aptos" w:eastAsia="Aptos" w:hAnsi="Aptos" w:cs="Arial"/>
          <w:kern w:val="2"/>
          <w:sz w:val="22"/>
          <w:szCs w:val="22"/>
          <w14:ligatures w14:val="standardContextual"/>
        </w:rPr>
        <w:t xml:space="preserve"> per cent of the population was online in 2024, compared with </w:t>
      </w:r>
      <w:r w:rsidR="005F61C0" w:rsidRPr="002B64E2">
        <w:rPr>
          <w:rFonts w:ascii="Aptos" w:eastAsia="Aptos" w:hAnsi="Aptos" w:cs="Arial"/>
          <w:kern w:val="2"/>
          <w:sz w:val="22"/>
          <w:szCs w:val="22"/>
          <w14:ligatures w14:val="standardContextual"/>
        </w:rPr>
        <w:t>85</w:t>
      </w:r>
      <w:r w:rsidRPr="002B64E2">
        <w:rPr>
          <w:rFonts w:ascii="Aptos" w:eastAsia="Aptos" w:hAnsi="Aptos" w:cs="Arial"/>
          <w:kern w:val="2"/>
          <w:sz w:val="22"/>
          <w:szCs w:val="22"/>
          <w14:ligatures w14:val="standardContextual"/>
        </w:rPr>
        <w:t xml:space="preserve"> per cent in rural areas. This gap is much smaller than it is globally, with 83 per cent online in urban areas, against only 48 per cent in rural areas. </w:t>
      </w:r>
      <w:r w:rsidR="004B3908" w:rsidRPr="002B64E2">
        <w:rPr>
          <w:rFonts w:ascii="Aptos" w:eastAsia="Aptos" w:hAnsi="Aptos" w:cs="Arial"/>
          <w:kern w:val="2"/>
          <w:sz w:val="22"/>
          <w:szCs w:val="22"/>
          <w14:ligatures w14:val="standardContextual"/>
        </w:rPr>
        <w:t>I</w:t>
      </w:r>
      <w:r w:rsidRPr="002B64E2">
        <w:rPr>
          <w:rFonts w:ascii="Aptos" w:eastAsia="Aptos" w:hAnsi="Aptos" w:cs="Arial"/>
          <w:kern w:val="2"/>
          <w:sz w:val="22"/>
          <w:szCs w:val="22"/>
          <w14:ligatures w14:val="standardContextual"/>
        </w:rPr>
        <w:t xml:space="preserve">n </w:t>
      </w:r>
      <w:r w:rsidR="004B3908" w:rsidRPr="002B64E2">
        <w:rPr>
          <w:rFonts w:ascii="Aptos" w:eastAsia="Aptos" w:hAnsi="Aptos" w:cs="Arial"/>
          <w:kern w:val="2"/>
          <w:sz w:val="22"/>
          <w:szCs w:val="22"/>
          <w14:ligatures w14:val="standardContextual"/>
        </w:rPr>
        <w:t xml:space="preserve">all the </w:t>
      </w:r>
      <w:r w:rsidRPr="002B64E2">
        <w:rPr>
          <w:rFonts w:ascii="Aptos" w:eastAsia="Aptos" w:hAnsi="Aptos" w:cs="Arial"/>
          <w:kern w:val="2"/>
          <w:sz w:val="22"/>
          <w:szCs w:val="22"/>
          <w14:ligatures w14:val="standardContextual"/>
        </w:rPr>
        <w:t xml:space="preserve">countries </w:t>
      </w:r>
      <w:r w:rsidR="004B3908" w:rsidRPr="002B64E2">
        <w:rPr>
          <w:rFonts w:ascii="Aptos" w:eastAsia="Aptos" w:hAnsi="Aptos" w:cs="Arial"/>
          <w:kern w:val="2"/>
          <w:sz w:val="22"/>
          <w:szCs w:val="22"/>
          <w14:ligatures w14:val="standardContextual"/>
        </w:rPr>
        <w:t>in the region the urban-rural gap was quite small</w:t>
      </w:r>
      <w:r w:rsidRPr="002B64E2">
        <w:rPr>
          <w:rFonts w:ascii="Aptos" w:eastAsia="Aptos" w:hAnsi="Aptos" w:cs="Arial"/>
          <w:kern w:val="2"/>
          <w:sz w:val="22"/>
          <w:szCs w:val="22"/>
          <w14:ligatures w14:val="standardContextual"/>
        </w:rPr>
        <w:t>.</w:t>
      </w:r>
    </w:p>
    <w:p w14:paraId="33D51D0A" w14:textId="0D9C510D" w:rsidR="00495D95" w:rsidRPr="002B64E2" w:rsidRDefault="00495D95" w:rsidP="00495D9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Percentage of individuals using the Internet by location, 2023 or latest year available</w:t>
      </w:r>
    </w:p>
    <w:p w14:paraId="3557F1C1" w14:textId="41A66AB0" w:rsidR="00495D95" w:rsidRPr="002B64E2" w:rsidRDefault="00C06E83" w:rsidP="00EB15E6">
      <w:pPr>
        <w:pStyle w:val="Sourcetext"/>
      </w:pPr>
      <w:r w:rsidRPr="002B64E2">
        <w:rPr>
          <w:noProof/>
        </w:rPr>
        <w:drawing>
          <wp:inline distT="0" distB="0" distL="0" distR="0" wp14:anchorId="2857A85F" wp14:editId="449A5545">
            <wp:extent cx="6120765" cy="2746375"/>
            <wp:effectExtent l="0" t="0" r="0" b="0"/>
            <wp:docPr id="112003878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038787"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6120765" cy="2746375"/>
                    </a:xfrm>
                    <a:prstGeom prst="rect">
                      <a:avLst/>
                    </a:prstGeom>
                  </pic:spPr>
                </pic:pic>
              </a:graphicData>
            </a:graphic>
          </wp:inline>
        </w:drawing>
      </w:r>
      <w:r w:rsidR="00495D95" w:rsidRPr="002B64E2">
        <w:t>Source: ITU</w:t>
      </w:r>
    </w:p>
    <w:p w14:paraId="5B76EF6A" w14:textId="77777777" w:rsidR="00965D6C" w:rsidRPr="002B64E2" w:rsidRDefault="00965D6C">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14:ligatures w14:val="standardContextual"/>
        </w:rPr>
      </w:pPr>
      <w:r w:rsidRPr="002B64E2">
        <w:rPr>
          <w:rFonts w:ascii="Aptos Display" w:eastAsia="Yu Gothic Light" w:hAnsi="Aptos Display"/>
          <w:color w:val="0F4761"/>
          <w:kern w:val="2"/>
          <w:sz w:val="32"/>
          <w:szCs w:val="32"/>
          <w14:ligatures w14:val="standardContextual"/>
        </w:rPr>
        <w:br w:type="page"/>
      </w:r>
    </w:p>
    <w:p w14:paraId="3ED4AA04" w14:textId="12EE4FC5" w:rsidR="006C41B5" w:rsidRPr="002B64E2" w:rsidRDefault="006C41B5" w:rsidP="00172FE0">
      <w:pPr>
        <w:pStyle w:val="Section"/>
      </w:pPr>
      <w:bookmarkStart w:id="10" w:name="_Toc192868597"/>
      <w:r w:rsidRPr="002B64E2">
        <w:lastRenderedPageBreak/>
        <w:t>Broadband subscriptions</w:t>
      </w:r>
      <w:bookmarkEnd w:id="10"/>
    </w:p>
    <w:p w14:paraId="7F8B2E65" w14:textId="5939AFCF" w:rsidR="006C41B5" w:rsidRPr="002B64E2" w:rsidRDefault="00405AC7"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B64E2">
        <w:rPr>
          <w:rFonts w:ascii="Aptos" w:eastAsia="Aptos" w:hAnsi="Aptos" w:cs="Arial"/>
          <w:b/>
          <w:bCs/>
          <w:i/>
          <w:iCs/>
          <w:kern w:val="2"/>
          <w:sz w:val="22"/>
          <w:szCs w:val="22"/>
          <w14:ligatures w14:val="standardContextual"/>
        </w:rPr>
        <w:t>CIS maintains high broadband subscription rates</w:t>
      </w:r>
      <w:r w:rsidR="006C41B5" w:rsidRPr="002B64E2">
        <w:rPr>
          <w:rFonts w:ascii="Aptos" w:eastAsia="Aptos" w:hAnsi="Aptos" w:cs="Arial"/>
          <w:b/>
          <w:i/>
          <w:kern w:val="2"/>
          <w:sz w:val="22"/>
          <w:szCs w:val="22"/>
          <w14:ligatures w14:val="standardContextual"/>
        </w:rPr>
        <w:t xml:space="preserve"> </w:t>
      </w:r>
    </w:p>
    <w:p w14:paraId="197FDBD2" w14:textId="77777777" w:rsidR="006C41B5" w:rsidRPr="002B64E2"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color w:val="0070C0"/>
          <w:kern w:val="2"/>
          <w:sz w:val="22"/>
          <w:szCs w:val="22"/>
          <w14:ligatures w14:val="standardContextual"/>
        </w:rPr>
        <w:t>Broadband subscriptions per 100 inhabitants</w:t>
      </w:r>
    </w:p>
    <w:tbl>
      <w:tblPr>
        <w:tblStyle w:val="TableGrid1"/>
        <w:tblW w:w="0" w:type="auto"/>
        <w:tblInd w:w="5" w:type="dxa"/>
        <w:tblLook w:val="04A0" w:firstRow="1" w:lastRow="0" w:firstColumn="1" w:lastColumn="0" w:noHBand="0" w:noVBand="1"/>
      </w:tblPr>
      <w:tblGrid>
        <w:gridCol w:w="4440"/>
        <w:gridCol w:w="4576"/>
      </w:tblGrid>
      <w:tr w:rsidR="006C41B5" w:rsidRPr="002B64E2" w14:paraId="017BCD1A" w14:textId="77777777" w:rsidTr="00E8076F">
        <w:tc>
          <w:tcPr>
            <w:tcW w:w="4440" w:type="dxa"/>
            <w:tcBorders>
              <w:top w:val="nil"/>
              <w:left w:val="nil"/>
              <w:bottom w:val="nil"/>
              <w:right w:val="nil"/>
            </w:tcBorders>
          </w:tcPr>
          <w:p w14:paraId="5920B5F8" w14:textId="18EC92A5" w:rsidR="006C41B5" w:rsidRPr="002B64E2" w:rsidRDefault="006C41B5" w:rsidP="009A2146">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2B64E2">
              <w:rPr>
                <w:rFonts w:ascii="Aptos" w:hAnsi="Aptos"/>
                <w:b/>
                <w:sz w:val="22"/>
              </w:rPr>
              <w:t>Mobile</w:t>
            </w:r>
            <w:r w:rsidR="00776EC0" w:rsidRPr="002B64E2">
              <w:rPr>
                <w:noProof/>
              </w:rPr>
              <w:t xml:space="preserve"> </w:t>
            </w:r>
            <w:r w:rsidR="00776EC0" w:rsidRPr="002B64E2">
              <w:rPr>
                <w:noProof/>
              </w:rPr>
              <w:drawing>
                <wp:inline distT="0" distB="0" distL="0" distR="0" wp14:anchorId="45757109" wp14:editId="457E4A13">
                  <wp:extent cx="2647950" cy="2505075"/>
                  <wp:effectExtent l="0" t="0" r="0" b="9525"/>
                  <wp:docPr id="1168935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350"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2647950" cy="2505075"/>
                          </a:xfrm>
                          <a:prstGeom prst="rect">
                            <a:avLst/>
                          </a:prstGeom>
                        </pic:spPr>
                      </pic:pic>
                    </a:graphicData>
                  </a:graphic>
                </wp:inline>
              </w:drawing>
            </w:r>
          </w:p>
          <w:p w14:paraId="56F1CB27" w14:textId="6D9486B6" w:rsidR="006C41B5" w:rsidRPr="002B64E2"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p>
        </w:tc>
        <w:tc>
          <w:tcPr>
            <w:tcW w:w="4576" w:type="dxa"/>
            <w:tcBorders>
              <w:top w:val="nil"/>
              <w:left w:val="nil"/>
              <w:bottom w:val="nil"/>
              <w:right w:val="nil"/>
            </w:tcBorders>
          </w:tcPr>
          <w:p w14:paraId="150B6BC4" w14:textId="6B57A10F" w:rsidR="006C41B5" w:rsidRPr="002B64E2" w:rsidRDefault="006C41B5" w:rsidP="009A2146">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2B64E2">
              <w:rPr>
                <w:rFonts w:ascii="Aptos" w:hAnsi="Aptos"/>
                <w:b/>
                <w:sz w:val="22"/>
              </w:rPr>
              <w:t>Fixed</w:t>
            </w:r>
            <w:r w:rsidR="00E8076F" w:rsidRPr="002B64E2">
              <w:rPr>
                <w:noProof/>
              </w:rPr>
              <w:t xml:space="preserve"> </w:t>
            </w:r>
            <w:r w:rsidR="00E8076F" w:rsidRPr="002B64E2">
              <w:rPr>
                <w:noProof/>
              </w:rPr>
              <w:drawing>
                <wp:inline distT="0" distB="0" distL="0" distR="0" wp14:anchorId="261C02C8" wp14:editId="1BA385FB">
                  <wp:extent cx="2647950" cy="2514600"/>
                  <wp:effectExtent l="0" t="0" r="0" b="0"/>
                  <wp:docPr id="81118313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83137"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2647950" cy="2514600"/>
                          </a:xfrm>
                          <a:prstGeom prst="rect">
                            <a:avLst/>
                          </a:prstGeom>
                        </pic:spPr>
                      </pic:pic>
                    </a:graphicData>
                  </a:graphic>
                </wp:inline>
              </w:drawing>
            </w:r>
          </w:p>
          <w:p w14:paraId="7231F473" w14:textId="7600DB5E" w:rsidR="006C41B5" w:rsidRPr="002B64E2"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textAlignment w:val="center"/>
              <w:rPr>
                <w:rFonts w:ascii="Aptos" w:hAnsi="Aptos"/>
                <w:sz w:val="16"/>
                <w:szCs w:val="28"/>
              </w:rPr>
            </w:pPr>
          </w:p>
        </w:tc>
      </w:tr>
    </w:tbl>
    <w:p w14:paraId="05781286" w14:textId="77777777" w:rsidR="006C41B5" w:rsidRPr="002B64E2" w:rsidRDefault="006C41B5" w:rsidP="00B1004A">
      <w:pPr>
        <w:pStyle w:val="Sourcetext"/>
      </w:pPr>
      <w:r w:rsidRPr="002B64E2">
        <w:t>Source: ITU</w:t>
      </w:r>
    </w:p>
    <w:p w14:paraId="75B4406D" w14:textId="598CF4E7" w:rsidR="00004EF5" w:rsidRPr="002B64E2" w:rsidRDefault="00004EF5" w:rsidP="00004EF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In 2024, there were </w:t>
      </w:r>
      <w:r w:rsidR="005F79E2" w:rsidRPr="002B64E2">
        <w:rPr>
          <w:rFonts w:ascii="Aptos" w:eastAsia="Aptos" w:hAnsi="Aptos" w:cs="Arial"/>
          <w:kern w:val="2"/>
          <w:sz w:val="22"/>
          <w:szCs w:val="22"/>
          <w14:ligatures w14:val="standardContextual"/>
        </w:rPr>
        <w:t>108</w:t>
      </w:r>
      <w:r w:rsidRPr="002B64E2">
        <w:rPr>
          <w:rFonts w:ascii="Aptos" w:eastAsia="Aptos" w:hAnsi="Aptos" w:cs="Arial"/>
          <w:kern w:val="2"/>
          <w:sz w:val="22"/>
          <w:szCs w:val="22"/>
          <w14:ligatures w14:val="standardContextual"/>
        </w:rPr>
        <w:t xml:space="preserve"> mobile broadband subscriptions per 100 inhabitants in </w:t>
      </w:r>
      <w:r w:rsidR="005F79E2" w:rsidRPr="002B64E2">
        <w:rPr>
          <w:rFonts w:ascii="Aptos" w:eastAsia="Aptos" w:hAnsi="Aptos" w:cs="Arial"/>
          <w:kern w:val="2"/>
          <w:sz w:val="22"/>
          <w:szCs w:val="22"/>
          <w14:ligatures w14:val="standardContextual"/>
        </w:rPr>
        <w:t>the CIS region</w:t>
      </w:r>
      <w:r w:rsidR="00426191" w:rsidRPr="002B64E2">
        <w:rPr>
          <w:rFonts w:ascii="Aptos" w:eastAsia="Aptos" w:hAnsi="Aptos" w:cs="Arial"/>
          <w:kern w:val="2"/>
          <w:sz w:val="22"/>
          <w:szCs w:val="22"/>
          <w14:ligatures w14:val="standardContextual"/>
        </w:rPr>
        <w:t>, well ahead of the global average of</w:t>
      </w:r>
      <w:r w:rsidR="0001297D" w:rsidRPr="002B64E2">
        <w:rPr>
          <w:rFonts w:ascii="Aptos" w:eastAsia="Aptos" w:hAnsi="Aptos" w:cs="Arial"/>
          <w:kern w:val="2"/>
          <w:sz w:val="22"/>
          <w:szCs w:val="22"/>
          <w14:ligatures w14:val="standardContextual"/>
        </w:rPr>
        <w:t xml:space="preserve"> </w:t>
      </w:r>
      <w:r w:rsidR="008710EC" w:rsidRPr="002B64E2">
        <w:rPr>
          <w:rFonts w:ascii="Aptos" w:eastAsia="Aptos" w:hAnsi="Aptos" w:cs="Arial"/>
          <w:kern w:val="2"/>
          <w:sz w:val="22"/>
          <w:szCs w:val="22"/>
          <w14:ligatures w14:val="standardContextual"/>
        </w:rPr>
        <w:t>95</w:t>
      </w:r>
      <w:r w:rsidRPr="002B64E2">
        <w:rPr>
          <w:rFonts w:ascii="Aptos" w:eastAsia="Aptos" w:hAnsi="Aptos" w:cs="Arial"/>
          <w:kern w:val="2"/>
          <w:sz w:val="22"/>
          <w:szCs w:val="22"/>
          <w14:ligatures w14:val="standardContextual"/>
        </w:rPr>
        <w:t xml:space="preserve">. </w:t>
      </w:r>
      <w:r w:rsidR="00B634EC" w:rsidRPr="002B64E2">
        <w:rPr>
          <w:rFonts w:ascii="Aptos" w:eastAsia="Aptos" w:hAnsi="Aptos" w:cs="Arial"/>
          <w:kern w:val="2"/>
          <w:sz w:val="22"/>
          <w:szCs w:val="22"/>
          <w14:ligatures w14:val="standardContextual"/>
        </w:rPr>
        <w:t>F</w:t>
      </w:r>
      <w:r w:rsidRPr="002B64E2">
        <w:rPr>
          <w:rFonts w:ascii="Aptos" w:eastAsia="Aptos" w:hAnsi="Aptos" w:cs="Arial"/>
          <w:kern w:val="2"/>
          <w:sz w:val="22"/>
          <w:szCs w:val="22"/>
          <w14:ligatures w14:val="standardContextual"/>
        </w:rPr>
        <w:t>or fixed broadband subscriptions the region overtook the world average in 20</w:t>
      </w:r>
      <w:r w:rsidR="00DE558B" w:rsidRPr="002B64E2">
        <w:rPr>
          <w:rFonts w:ascii="Aptos" w:eastAsia="Aptos" w:hAnsi="Aptos" w:cs="Arial"/>
          <w:kern w:val="2"/>
          <w:sz w:val="22"/>
          <w:szCs w:val="22"/>
          <w14:ligatures w14:val="standardContextual"/>
        </w:rPr>
        <w:t>10</w:t>
      </w:r>
      <w:r w:rsidRPr="002B64E2">
        <w:rPr>
          <w:rFonts w:ascii="Aptos" w:eastAsia="Aptos" w:hAnsi="Aptos" w:cs="Arial"/>
          <w:kern w:val="2"/>
          <w:sz w:val="22"/>
          <w:szCs w:val="22"/>
          <w14:ligatures w14:val="standardContextual"/>
        </w:rPr>
        <w:t>, reaching 2</w:t>
      </w:r>
      <w:r w:rsidR="00186FDC" w:rsidRPr="002B64E2">
        <w:rPr>
          <w:rFonts w:ascii="Aptos" w:eastAsia="Aptos" w:hAnsi="Aptos" w:cs="Arial"/>
          <w:kern w:val="2"/>
          <w:sz w:val="22"/>
          <w:szCs w:val="22"/>
          <w14:ligatures w14:val="standardContextual"/>
        </w:rPr>
        <w:t xml:space="preserve">5 </w:t>
      </w:r>
      <w:r w:rsidRPr="002B64E2">
        <w:rPr>
          <w:rFonts w:ascii="Aptos" w:eastAsia="Aptos" w:hAnsi="Aptos" w:cs="Arial"/>
          <w:kern w:val="2"/>
          <w:sz w:val="22"/>
          <w:szCs w:val="22"/>
          <w14:ligatures w14:val="standardContextual"/>
        </w:rPr>
        <w:t xml:space="preserve">subscriptions per 100 inhabitants in 2024, </w:t>
      </w:r>
      <w:r w:rsidR="005E4EE5" w:rsidRPr="002B64E2">
        <w:rPr>
          <w:rFonts w:ascii="Aptos" w:eastAsia="Aptos" w:hAnsi="Aptos" w:cs="Arial"/>
          <w:kern w:val="2"/>
          <w:sz w:val="22"/>
          <w:szCs w:val="22"/>
          <w14:ligatures w14:val="standardContextual"/>
        </w:rPr>
        <w:t xml:space="preserve">also well ahead of </w:t>
      </w:r>
      <w:r w:rsidRPr="002B64E2">
        <w:rPr>
          <w:rFonts w:ascii="Aptos" w:eastAsia="Aptos" w:hAnsi="Aptos" w:cs="Arial"/>
          <w:kern w:val="2"/>
          <w:sz w:val="22"/>
          <w:szCs w:val="22"/>
          <w14:ligatures w14:val="standardContextual"/>
        </w:rPr>
        <w:t xml:space="preserve">the global average. </w:t>
      </w:r>
    </w:p>
    <w:p w14:paraId="4026EE70" w14:textId="77777777" w:rsidR="009F7671" w:rsidRPr="002B64E2" w:rsidRDefault="009F7671">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br w:type="page"/>
      </w:r>
    </w:p>
    <w:p w14:paraId="31258503" w14:textId="27534265" w:rsidR="006C41B5" w:rsidRPr="002B64E2" w:rsidRDefault="006C41B5" w:rsidP="003D3634">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lastRenderedPageBreak/>
        <w:t xml:space="preserve">Active mobile-broadband subscriptions per 100 inhabitants, </w:t>
      </w:r>
      <w:r w:rsidR="00AB18FB" w:rsidRPr="002B64E2">
        <w:rPr>
          <w:rFonts w:ascii="AvenirNext LT Pro Light" w:eastAsia="Yu Gothic Light" w:hAnsi="AvenirNext LT Pro Light" w:cs="Calibri"/>
          <w:color w:val="0070C0"/>
          <w:spacing w:val="-10"/>
          <w:kern w:val="28"/>
          <w:szCs w:val="24"/>
        </w:rPr>
        <w:t>2023</w:t>
      </w:r>
    </w:p>
    <w:p w14:paraId="7E26B294" w14:textId="20F505F9" w:rsidR="0085635B" w:rsidRPr="002B64E2" w:rsidRDefault="00C14954"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B64E2">
        <w:rPr>
          <w:noProof/>
        </w:rPr>
        <w:drawing>
          <wp:inline distT="0" distB="0" distL="0" distR="0" wp14:anchorId="72F2DCF3" wp14:editId="34EED70A">
            <wp:extent cx="6120765" cy="3187065"/>
            <wp:effectExtent l="0" t="0" r="0" b="0"/>
            <wp:docPr id="183990198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01984"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6120765" cy="3187065"/>
                    </a:xfrm>
                    <a:prstGeom prst="rect">
                      <a:avLst/>
                    </a:prstGeom>
                  </pic:spPr>
                </pic:pic>
              </a:graphicData>
            </a:graphic>
          </wp:inline>
        </w:drawing>
      </w:r>
    </w:p>
    <w:p w14:paraId="308A3A6C" w14:textId="01AAC3F6" w:rsidR="00B92E17" w:rsidRPr="002B64E2" w:rsidRDefault="00F152E2" w:rsidP="00B1004A">
      <w:pPr>
        <w:pStyle w:val="Sourcetext"/>
        <w:rPr>
          <w:rFonts w:eastAsia="Aptos" w:cs="Arial"/>
        </w:rPr>
      </w:pPr>
      <w:r w:rsidRPr="002B64E2">
        <w:rPr>
          <w:rFonts w:eastAsia="Aptos" w:cs="Arial"/>
        </w:rPr>
        <w:t xml:space="preserve">Note: </w:t>
      </w:r>
      <w:r w:rsidR="00B92E17" w:rsidRPr="002B64E2">
        <w:rPr>
          <w:rFonts w:eastAsia="Aptos" w:cs="Arial"/>
        </w:rPr>
        <w:t>Figures based on official national statistics are shaded dark to distinguish them from figures based on non-official data.</w:t>
      </w:r>
    </w:p>
    <w:p w14:paraId="6CCB46F1" w14:textId="2F6AD56B" w:rsidR="006C41B5" w:rsidRPr="002B64E2" w:rsidRDefault="006C41B5" w:rsidP="00B1004A">
      <w:pPr>
        <w:pStyle w:val="Sourcetext"/>
      </w:pPr>
      <w:r w:rsidRPr="002B64E2">
        <w:t>Source: ITU</w:t>
      </w:r>
    </w:p>
    <w:p w14:paraId="26EDA848" w14:textId="5D740553" w:rsidR="003D3634" w:rsidRPr="002B64E2" w:rsidRDefault="00C777E5" w:rsidP="003D363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The number of mobile broadband subscriptions raged from </w:t>
      </w:r>
      <w:r w:rsidR="003203EA" w:rsidRPr="002B64E2">
        <w:rPr>
          <w:rFonts w:ascii="Aptos" w:eastAsia="Aptos" w:hAnsi="Aptos" w:cs="Arial"/>
          <w:kern w:val="2"/>
          <w:sz w:val="22"/>
          <w:szCs w:val="22"/>
          <w14:ligatures w14:val="standardContextual"/>
        </w:rPr>
        <w:t>4</w:t>
      </w:r>
      <w:r w:rsidR="00840981" w:rsidRPr="002B64E2">
        <w:rPr>
          <w:rFonts w:ascii="Aptos" w:eastAsia="Aptos" w:hAnsi="Aptos" w:cs="Arial"/>
          <w:kern w:val="2"/>
          <w:sz w:val="22"/>
          <w:szCs w:val="22"/>
          <w14:ligatures w14:val="standardContextual"/>
        </w:rPr>
        <w:t>1</w:t>
      </w:r>
      <w:r w:rsidR="003203EA" w:rsidRPr="002B64E2">
        <w:rPr>
          <w:rFonts w:ascii="Aptos" w:eastAsia="Aptos" w:hAnsi="Aptos" w:cs="Arial"/>
          <w:kern w:val="2"/>
          <w:sz w:val="22"/>
          <w:szCs w:val="22"/>
          <w14:ligatures w14:val="standardContextual"/>
        </w:rPr>
        <w:t xml:space="preserve"> subscriptions per 100 inhabitants in Tajikistan to </w:t>
      </w:r>
      <w:r w:rsidR="00565386" w:rsidRPr="002B64E2">
        <w:rPr>
          <w:rFonts w:ascii="Aptos" w:eastAsia="Aptos" w:hAnsi="Aptos" w:cs="Arial"/>
          <w:kern w:val="2"/>
          <w:sz w:val="22"/>
          <w:szCs w:val="22"/>
          <w14:ligatures w14:val="standardContextual"/>
        </w:rPr>
        <w:t>119 in the Russian F</w:t>
      </w:r>
      <w:r w:rsidR="0013504E" w:rsidRPr="002B64E2">
        <w:rPr>
          <w:rFonts w:ascii="Aptos" w:eastAsia="Aptos" w:hAnsi="Aptos" w:cs="Arial"/>
          <w:kern w:val="2"/>
          <w:sz w:val="22"/>
          <w:szCs w:val="22"/>
          <w14:ligatures w14:val="standardContextual"/>
        </w:rPr>
        <w:t>e</w:t>
      </w:r>
      <w:r w:rsidR="00565386" w:rsidRPr="002B64E2">
        <w:rPr>
          <w:rFonts w:ascii="Aptos" w:eastAsia="Aptos" w:hAnsi="Aptos" w:cs="Arial"/>
          <w:kern w:val="2"/>
          <w:sz w:val="22"/>
          <w:szCs w:val="22"/>
          <w14:ligatures w14:val="standardContextual"/>
        </w:rPr>
        <w:t xml:space="preserve">deration. </w:t>
      </w:r>
      <w:r w:rsidR="0013504E" w:rsidRPr="002B64E2">
        <w:rPr>
          <w:rFonts w:ascii="Aptos" w:eastAsia="Aptos" w:hAnsi="Aptos" w:cs="Arial"/>
          <w:kern w:val="2"/>
          <w:sz w:val="22"/>
          <w:szCs w:val="22"/>
          <w14:ligatures w14:val="standardContextual"/>
        </w:rPr>
        <w:t xml:space="preserve">The relative spread </w:t>
      </w:r>
      <w:r w:rsidR="009B42A2" w:rsidRPr="002B64E2">
        <w:rPr>
          <w:rFonts w:ascii="Aptos" w:eastAsia="Aptos" w:hAnsi="Aptos" w:cs="Arial"/>
          <w:kern w:val="2"/>
          <w:sz w:val="22"/>
          <w:szCs w:val="22"/>
          <w14:ligatures w14:val="standardContextual"/>
        </w:rPr>
        <w:t>was larger for fixed broadband, ranging from</w:t>
      </w:r>
      <w:r w:rsidR="00840981" w:rsidRPr="002B64E2">
        <w:rPr>
          <w:rFonts w:ascii="Aptos" w:eastAsia="Aptos" w:hAnsi="Aptos" w:cs="Arial"/>
          <w:kern w:val="2"/>
          <w:sz w:val="22"/>
          <w:szCs w:val="22"/>
          <w14:ligatures w14:val="standardContextual"/>
        </w:rPr>
        <w:t xml:space="preserve"> 1</w:t>
      </w:r>
      <w:r w:rsidR="00020A11" w:rsidRPr="002B64E2">
        <w:rPr>
          <w:rFonts w:ascii="Aptos" w:eastAsia="Aptos" w:hAnsi="Aptos" w:cs="Arial"/>
          <w:kern w:val="2"/>
          <w:sz w:val="22"/>
          <w:szCs w:val="22"/>
          <w14:ligatures w14:val="standardContextual"/>
        </w:rPr>
        <w:t xml:space="preserve"> </w:t>
      </w:r>
      <w:r w:rsidR="009B42A2" w:rsidRPr="002B64E2">
        <w:rPr>
          <w:rFonts w:ascii="Aptos" w:eastAsia="Aptos" w:hAnsi="Aptos" w:cs="Arial"/>
          <w:kern w:val="2"/>
          <w:sz w:val="22"/>
          <w:szCs w:val="22"/>
          <w14:ligatures w14:val="standardContextual"/>
        </w:rPr>
        <w:t>subscription per 100 inhabitants</w:t>
      </w:r>
      <w:r w:rsidR="00800860" w:rsidRPr="002B64E2">
        <w:rPr>
          <w:rFonts w:ascii="Aptos" w:eastAsia="Aptos" w:hAnsi="Aptos" w:cs="Arial"/>
          <w:kern w:val="2"/>
          <w:sz w:val="22"/>
          <w:szCs w:val="22"/>
          <w14:ligatures w14:val="standardContextual"/>
        </w:rPr>
        <w:t xml:space="preserve"> </w:t>
      </w:r>
      <w:r w:rsidR="009B42A2" w:rsidRPr="002B64E2">
        <w:rPr>
          <w:rFonts w:ascii="Aptos" w:eastAsia="Aptos" w:hAnsi="Aptos" w:cs="Arial"/>
          <w:kern w:val="2"/>
          <w:sz w:val="22"/>
          <w:szCs w:val="22"/>
          <w14:ligatures w14:val="standardContextual"/>
        </w:rPr>
        <w:t xml:space="preserve">in Tajikistan to </w:t>
      </w:r>
      <w:r w:rsidR="003736FB" w:rsidRPr="002B64E2">
        <w:rPr>
          <w:rFonts w:ascii="Aptos" w:eastAsia="Aptos" w:hAnsi="Aptos" w:cs="Arial"/>
          <w:kern w:val="2"/>
          <w:sz w:val="22"/>
          <w:szCs w:val="22"/>
          <w14:ligatures w14:val="standardContextual"/>
        </w:rPr>
        <w:t>34</w:t>
      </w:r>
      <w:r w:rsidR="009B42A2" w:rsidRPr="002B64E2">
        <w:rPr>
          <w:rFonts w:ascii="Aptos" w:eastAsia="Aptos" w:hAnsi="Aptos" w:cs="Arial"/>
          <w:kern w:val="2"/>
          <w:sz w:val="22"/>
          <w:szCs w:val="22"/>
          <w14:ligatures w14:val="standardContextual"/>
        </w:rPr>
        <w:t xml:space="preserve"> in Belarus.</w:t>
      </w:r>
      <w:r w:rsidR="003736FB" w:rsidRPr="002B64E2">
        <w:rPr>
          <w:rFonts w:ascii="Aptos" w:eastAsia="Aptos" w:hAnsi="Aptos" w:cs="Arial"/>
          <w:kern w:val="2"/>
          <w:sz w:val="22"/>
          <w:szCs w:val="22"/>
          <w14:ligatures w14:val="standardContextual"/>
        </w:rPr>
        <w:t xml:space="preserve"> In all countries</w:t>
      </w:r>
      <w:r w:rsidR="001E55B8" w:rsidRPr="002B64E2">
        <w:rPr>
          <w:rFonts w:ascii="Aptos" w:eastAsia="Aptos" w:hAnsi="Aptos" w:cs="Arial"/>
          <w:kern w:val="2"/>
          <w:sz w:val="22"/>
          <w:szCs w:val="22"/>
          <w14:ligatures w14:val="standardContextual"/>
        </w:rPr>
        <w:t xml:space="preserve"> with data</w:t>
      </w:r>
      <w:r w:rsidR="003736FB" w:rsidRPr="002B64E2">
        <w:rPr>
          <w:rFonts w:ascii="Aptos" w:eastAsia="Aptos" w:hAnsi="Aptos" w:cs="Arial"/>
          <w:kern w:val="2"/>
          <w:sz w:val="22"/>
          <w:szCs w:val="22"/>
          <w14:ligatures w14:val="standardContextual"/>
        </w:rPr>
        <w:t xml:space="preserve">, between </w:t>
      </w:r>
      <w:r w:rsidR="009C1C10" w:rsidRPr="002B64E2">
        <w:rPr>
          <w:rFonts w:ascii="Aptos" w:eastAsia="Aptos" w:hAnsi="Aptos" w:cs="Arial"/>
          <w:kern w:val="2"/>
          <w:sz w:val="22"/>
          <w:szCs w:val="22"/>
          <w14:ligatures w14:val="standardContextual"/>
        </w:rPr>
        <w:t>70</w:t>
      </w:r>
      <w:r w:rsidR="00D049CC" w:rsidRPr="002B64E2">
        <w:rPr>
          <w:rFonts w:ascii="Aptos" w:eastAsia="Aptos" w:hAnsi="Aptos" w:cs="Arial"/>
          <w:kern w:val="2"/>
          <w:sz w:val="22"/>
          <w:szCs w:val="22"/>
          <w14:ligatures w14:val="standardContextual"/>
        </w:rPr>
        <w:t xml:space="preserve"> </w:t>
      </w:r>
      <w:r w:rsidR="003736FB" w:rsidRPr="002B64E2">
        <w:rPr>
          <w:rFonts w:ascii="Aptos" w:eastAsia="Aptos" w:hAnsi="Aptos" w:cs="Arial"/>
          <w:kern w:val="2"/>
          <w:sz w:val="22"/>
          <w:szCs w:val="22"/>
          <w14:ligatures w14:val="standardContextual"/>
        </w:rPr>
        <w:t xml:space="preserve">and </w:t>
      </w:r>
      <w:r w:rsidR="009C1C10" w:rsidRPr="002B64E2">
        <w:rPr>
          <w:rFonts w:ascii="Aptos" w:eastAsia="Aptos" w:hAnsi="Aptos" w:cs="Arial"/>
          <w:kern w:val="2"/>
          <w:sz w:val="22"/>
          <w:szCs w:val="22"/>
          <w14:ligatures w14:val="standardContextual"/>
        </w:rPr>
        <w:t>93</w:t>
      </w:r>
      <w:r w:rsidR="003736FB" w:rsidRPr="002B64E2">
        <w:rPr>
          <w:rFonts w:ascii="Aptos" w:eastAsia="Aptos" w:hAnsi="Aptos" w:cs="Arial"/>
          <w:kern w:val="2"/>
          <w:sz w:val="22"/>
          <w:szCs w:val="22"/>
          <w14:ligatures w14:val="standardContextual"/>
        </w:rPr>
        <w:t xml:space="preserve"> per cent of the subscriptions had an advertised speed of at least 10 Mbit/s.</w:t>
      </w:r>
    </w:p>
    <w:p w14:paraId="7BABDE7B" w14:textId="39115641"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156082"/>
          <w:spacing w:val="-10"/>
          <w:kern w:val="28"/>
          <w:szCs w:val="24"/>
        </w:rPr>
      </w:pPr>
      <w:r w:rsidRPr="002B64E2">
        <w:rPr>
          <w:rFonts w:ascii="AvenirNext LT Pro Light" w:eastAsia="Yu Gothic Light" w:hAnsi="AvenirNext LT Pro Light" w:cs="Calibri"/>
          <w:color w:val="0070C0"/>
          <w:spacing w:val="-10"/>
          <w:kern w:val="28"/>
          <w:szCs w:val="24"/>
        </w:rPr>
        <w:t xml:space="preserve">Fixed-broadband subscriptions per 100 inhabitants, </w:t>
      </w:r>
      <w:r w:rsidR="00CB6B39" w:rsidRPr="002B64E2">
        <w:rPr>
          <w:rFonts w:ascii="AvenirNext LT Pro Light" w:eastAsia="Yu Gothic Light" w:hAnsi="AvenirNext LT Pro Light" w:cs="Calibri"/>
          <w:color w:val="0070C0"/>
          <w:spacing w:val="-10"/>
          <w:kern w:val="28"/>
          <w:szCs w:val="24"/>
        </w:rPr>
        <w:t xml:space="preserve">2023 or </w:t>
      </w:r>
      <w:r w:rsidRPr="002B64E2">
        <w:rPr>
          <w:rFonts w:ascii="AvenirNext LT Pro Light" w:eastAsia="Yu Gothic Light" w:hAnsi="AvenirNext LT Pro Light" w:cs="Calibri"/>
          <w:color w:val="0070C0"/>
          <w:spacing w:val="-10"/>
          <w:kern w:val="28"/>
          <w:szCs w:val="24"/>
        </w:rPr>
        <w:t>latest year available</w:t>
      </w:r>
    </w:p>
    <w:p w14:paraId="3F57B3B1" w14:textId="483A976B" w:rsidR="006C41B5" w:rsidRPr="002B64E2" w:rsidRDefault="00273A6E" w:rsidP="00B1004A">
      <w:pPr>
        <w:pStyle w:val="Sourcetext"/>
      </w:pPr>
      <w:r w:rsidRPr="002B64E2">
        <w:rPr>
          <w:noProof/>
        </w:rPr>
        <w:drawing>
          <wp:inline distT="0" distB="0" distL="0" distR="0" wp14:anchorId="0ACFAD14" wp14:editId="549378C5">
            <wp:extent cx="6120765" cy="3201670"/>
            <wp:effectExtent l="0" t="0" r="0" b="0"/>
            <wp:docPr id="117713540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35402"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6120765" cy="3201670"/>
                    </a:xfrm>
                    <a:prstGeom prst="rect">
                      <a:avLst/>
                    </a:prstGeom>
                  </pic:spPr>
                </pic:pic>
              </a:graphicData>
            </a:graphic>
          </wp:inline>
        </w:drawing>
      </w:r>
      <w:r w:rsidR="006C41B5" w:rsidRPr="002B64E2">
        <w:t>Source: ITU</w:t>
      </w:r>
    </w:p>
    <w:p w14:paraId="57E7CA28" w14:textId="77777777" w:rsidR="006C41B5" w:rsidRPr="002B64E2"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br w:type="page"/>
      </w:r>
    </w:p>
    <w:p w14:paraId="7243393E" w14:textId="77777777" w:rsidR="006C41B5" w:rsidRPr="002B64E2" w:rsidRDefault="006C41B5" w:rsidP="00172FE0">
      <w:pPr>
        <w:pStyle w:val="Section"/>
      </w:pPr>
      <w:bookmarkStart w:id="11" w:name="_Toc192868598"/>
      <w:r w:rsidRPr="002B64E2">
        <w:lastRenderedPageBreak/>
        <w:t>Mobile network coverage</w:t>
      </w:r>
      <w:bookmarkEnd w:id="11"/>
    </w:p>
    <w:p w14:paraId="66F0E1E0" w14:textId="67237E3A" w:rsidR="00405AC7" w:rsidRPr="002B64E2" w:rsidRDefault="00405AC7"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ptos" w:eastAsia="Aptos" w:hAnsi="Aptos" w:cs="Arial"/>
          <w:b/>
          <w:i/>
          <w:kern w:val="2"/>
          <w:sz w:val="22"/>
          <w:szCs w:val="22"/>
          <w14:ligatures w14:val="standardContextual"/>
        </w:rPr>
      </w:pPr>
      <w:r w:rsidRPr="002B64E2">
        <w:rPr>
          <w:rFonts w:ascii="Aptos" w:eastAsia="Aptos" w:hAnsi="Aptos" w:cs="Arial"/>
          <w:b/>
          <w:i/>
          <w:kern w:val="2"/>
          <w:sz w:val="22"/>
          <w:szCs w:val="22"/>
          <w14:ligatures w14:val="standardContextual"/>
        </w:rPr>
        <w:t>5G roll-out is slow across the region</w:t>
      </w:r>
    </w:p>
    <w:p w14:paraId="2076502E" w14:textId="6445DB09"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Percentage of population covered by type of mobile network</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566"/>
      </w:tblGrid>
      <w:tr w:rsidR="006C41B5" w:rsidRPr="002B64E2" w14:paraId="2FB8D327" w14:textId="77777777" w:rsidTr="003F5F40">
        <w:tc>
          <w:tcPr>
            <w:tcW w:w="4656" w:type="dxa"/>
          </w:tcPr>
          <w:p w14:paraId="63ECFA9C" w14:textId="168F4012" w:rsidR="006C41B5" w:rsidRPr="002B64E2" w:rsidRDefault="00220A01" w:rsidP="005D7CD3">
            <w:pPr>
              <w:jc w:val="center"/>
              <w:rPr>
                <w:rFonts w:ascii="Aptos" w:hAnsi="Aptos"/>
                <w:sz w:val="22"/>
              </w:rPr>
            </w:pPr>
            <w:r w:rsidRPr="002B64E2">
              <w:rPr>
                <w:rFonts w:ascii="Aptos" w:hAnsi="Aptos"/>
                <w:b/>
                <w:sz w:val="22"/>
              </w:rPr>
              <w:t>CIS</w:t>
            </w:r>
            <w:r w:rsidR="00782F86" w:rsidRPr="002B64E2">
              <w:rPr>
                <w:noProof/>
              </w:rPr>
              <w:t xml:space="preserve"> </w:t>
            </w:r>
            <w:r w:rsidR="00782F86" w:rsidRPr="002B64E2">
              <w:rPr>
                <w:noProof/>
              </w:rPr>
              <w:drawing>
                <wp:inline distT="0" distB="0" distL="0" distR="0" wp14:anchorId="2BA22CB0" wp14:editId="0799138A">
                  <wp:extent cx="2809875" cy="2714625"/>
                  <wp:effectExtent l="0" t="0" r="9525" b="9525"/>
                  <wp:docPr id="198244762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47624"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2809875" cy="2714625"/>
                          </a:xfrm>
                          <a:prstGeom prst="rect">
                            <a:avLst/>
                          </a:prstGeom>
                        </pic:spPr>
                      </pic:pic>
                    </a:graphicData>
                  </a:graphic>
                </wp:inline>
              </w:drawing>
            </w:r>
          </w:p>
        </w:tc>
        <w:tc>
          <w:tcPr>
            <w:tcW w:w="4566" w:type="dxa"/>
          </w:tcPr>
          <w:p w14:paraId="4B986072" w14:textId="1D6EB2C8" w:rsidR="006C41B5" w:rsidRPr="002B64E2" w:rsidRDefault="006C41B5" w:rsidP="005D7CD3">
            <w:pPr>
              <w:jc w:val="center"/>
              <w:rPr>
                <w:rFonts w:ascii="Aptos" w:hAnsi="Aptos"/>
                <w:sz w:val="22"/>
              </w:rPr>
            </w:pPr>
            <w:r w:rsidRPr="002B64E2">
              <w:rPr>
                <w:rFonts w:ascii="Aptos" w:hAnsi="Aptos"/>
                <w:b/>
                <w:sz w:val="22"/>
              </w:rPr>
              <w:t>World</w:t>
            </w:r>
            <w:r w:rsidR="003F5F40" w:rsidRPr="002B64E2">
              <w:rPr>
                <w:noProof/>
              </w:rPr>
              <w:t xml:space="preserve"> </w:t>
            </w:r>
            <w:r w:rsidR="003F5F40" w:rsidRPr="002B64E2">
              <w:rPr>
                <w:noProof/>
              </w:rPr>
              <w:drawing>
                <wp:inline distT="0" distB="0" distL="0" distR="0" wp14:anchorId="396D4223" wp14:editId="2F8F0990">
                  <wp:extent cx="2743200" cy="2714625"/>
                  <wp:effectExtent l="0" t="0" r="0" b="9525"/>
                  <wp:docPr id="143623784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37844"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2743200" cy="2714625"/>
                          </a:xfrm>
                          <a:prstGeom prst="rect">
                            <a:avLst/>
                          </a:prstGeom>
                        </pic:spPr>
                      </pic:pic>
                    </a:graphicData>
                  </a:graphic>
                </wp:inline>
              </w:drawing>
            </w:r>
          </w:p>
        </w:tc>
      </w:tr>
    </w:tbl>
    <w:p w14:paraId="60893B8F" w14:textId="77777777" w:rsidR="006C41B5" w:rsidRPr="002B64E2" w:rsidRDefault="006C41B5" w:rsidP="00B1004A">
      <w:pPr>
        <w:pStyle w:val="notetext"/>
      </w:pPr>
      <w:r w:rsidRPr="002B64E2">
        <w:t>Note: The values for 2G, 3G and 4G networks show the incremental percentage of the population that is not covered by a more advanced technology network (e.g. in 2024, 96 per cent of the world population is covered by at least a 3G or above network, that is 4 per cent + 41 per cent + 51 per cent). There are insufficient data to produce estimates for 5G coverage prior to 2020.</w:t>
      </w:r>
    </w:p>
    <w:p w14:paraId="0BBEC63A" w14:textId="77777777" w:rsidR="006C41B5" w:rsidRPr="002B64E2" w:rsidRDefault="006C41B5" w:rsidP="00B1004A">
      <w:pPr>
        <w:pStyle w:val="Sourcetext"/>
      </w:pPr>
      <w:r w:rsidRPr="002B64E2">
        <w:t>Source: ITU</w:t>
      </w:r>
    </w:p>
    <w:p w14:paraId="69679DC0" w14:textId="43B2F1F9" w:rsidR="006110F6" w:rsidRPr="002B64E2" w:rsidRDefault="006110F6" w:rsidP="006110F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Between 2020 and 2024, 5G mobile network coverage in the </w:t>
      </w:r>
      <w:r w:rsidR="00E81B5B" w:rsidRPr="002B64E2">
        <w:rPr>
          <w:rFonts w:ascii="Aptos" w:eastAsia="Aptos" w:hAnsi="Aptos" w:cs="Arial"/>
          <w:kern w:val="2"/>
          <w:sz w:val="22"/>
          <w:szCs w:val="22"/>
          <w14:ligatures w14:val="standardContextual"/>
        </w:rPr>
        <w:t xml:space="preserve">CIS region </w:t>
      </w:r>
      <w:r w:rsidRPr="002B64E2">
        <w:rPr>
          <w:rFonts w:ascii="Aptos" w:eastAsia="Aptos" w:hAnsi="Aptos" w:cs="Arial"/>
          <w:kern w:val="2"/>
          <w:sz w:val="22"/>
          <w:szCs w:val="22"/>
          <w14:ligatures w14:val="standardContextual"/>
        </w:rPr>
        <w:t xml:space="preserve">increased from </w:t>
      </w:r>
      <w:r w:rsidR="00E81B5B" w:rsidRPr="002B64E2">
        <w:rPr>
          <w:rFonts w:ascii="Aptos" w:eastAsia="Aptos" w:hAnsi="Aptos" w:cs="Arial"/>
          <w:kern w:val="2"/>
          <w:sz w:val="22"/>
          <w:szCs w:val="22"/>
          <w14:ligatures w14:val="standardContextual"/>
        </w:rPr>
        <w:t xml:space="preserve">0.4 </w:t>
      </w:r>
      <w:r w:rsidRPr="002B64E2">
        <w:rPr>
          <w:rFonts w:ascii="Aptos" w:eastAsia="Aptos" w:hAnsi="Aptos" w:cs="Arial"/>
          <w:kern w:val="2"/>
          <w:sz w:val="22"/>
          <w:szCs w:val="22"/>
          <w14:ligatures w14:val="standardContextual"/>
        </w:rPr>
        <w:t xml:space="preserve">to </w:t>
      </w:r>
      <w:r w:rsidR="00E81B5B" w:rsidRPr="002B64E2">
        <w:rPr>
          <w:rFonts w:ascii="Aptos" w:eastAsia="Aptos" w:hAnsi="Aptos" w:cs="Arial"/>
          <w:kern w:val="2"/>
          <w:sz w:val="22"/>
          <w:szCs w:val="22"/>
          <w14:ligatures w14:val="standardContextual"/>
        </w:rPr>
        <w:t xml:space="preserve">12 </w:t>
      </w:r>
      <w:r w:rsidRPr="002B64E2">
        <w:rPr>
          <w:rFonts w:ascii="Aptos" w:eastAsia="Aptos" w:hAnsi="Aptos" w:cs="Arial"/>
          <w:kern w:val="2"/>
          <w:sz w:val="22"/>
          <w:szCs w:val="22"/>
          <w14:ligatures w14:val="standardContextual"/>
        </w:rPr>
        <w:t>per cent of the population</w:t>
      </w:r>
      <w:r w:rsidR="00B32432" w:rsidRPr="002B64E2">
        <w:rPr>
          <w:rFonts w:ascii="Aptos" w:eastAsia="Aptos" w:hAnsi="Aptos" w:cs="Arial"/>
          <w:kern w:val="2"/>
          <w:sz w:val="22"/>
          <w:szCs w:val="22"/>
          <w14:ligatures w14:val="standardContextual"/>
        </w:rPr>
        <w:t xml:space="preserve"> only</w:t>
      </w:r>
      <w:r w:rsidRPr="002B64E2">
        <w:rPr>
          <w:rFonts w:ascii="Aptos" w:eastAsia="Aptos" w:hAnsi="Aptos" w:cs="Arial"/>
          <w:kern w:val="2"/>
          <w:sz w:val="22"/>
          <w:szCs w:val="22"/>
          <w14:ligatures w14:val="standardContextual"/>
        </w:rPr>
        <w:t>. Over the same period, global coverage increased from 9 to 51 per cent. In the region, 4G mobile networks covered 94 per cent of the population in 2024, above the global average of 92 per cent. Furthermore, 9</w:t>
      </w:r>
      <w:r w:rsidR="00EA24DE" w:rsidRPr="002B64E2">
        <w:rPr>
          <w:rFonts w:ascii="Aptos" w:eastAsia="Aptos" w:hAnsi="Aptos" w:cs="Arial"/>
          <w:kern w:val="2"/>
          <w:sz w:val="22"/>
          <w:szCs w:val="22"/>
          <w14:ligatures w14:val="standardContextual"/>
        </w:rPr>
        <w:t>8</w:t>
      </w:r>
      <w:r w:rsidRPr="002B64E2">
        <w:rPr>
          <w:rFonts w:ascii="Aptos" w:eastAsia="Aptos" w:hAnsi="Aptos" w:cs="Arial"/>
          <w:kern w:val="2"/>
          <w:sz w:val="22"/>
          <w:szCs w:val="22"/>
          <w14:ligatures w14:val="standardContextual"/>
        </w:rPr>
        <w:t xml:space="preserve"> per cent of the population in the </w:t>
      </w:r>
      <w:r w:rsidR="00EA24DE" w:rsidRPr="002B64E2">
        <w:rPr>
          <w:rFonts w:ascii="Aptos" w:eastAsia="Aptos" w:hAnsi="Aptos" w:cs="Arial"/>
          <w:kern w:val="2"/>
          <w:sz w:val="22"/>
          <w:szCs w:val="22"/>
          <w14:ligatures w14:val="standardContextual"/>
        </w:rPr>
        <w:t>region</w:t>
      </w:r>
      <w:r w:rsidRPr="002B64E2">
        <w:rPr>
          <w:rFonts w:ascii="Aptos" w:eastAsia="Aptos" w:hAnsi="Aptos" w:cs="Arial"/>
          <w:kern w:val="2"/>
          <w:sz w:val="22"/>
          <w:szCs w:val="22"/>
          <w14:ligatures w14:val="standardContextual"/>
        </w:rPr>
        <w:t xml:space="preserve"> had access to at least a 3G mobile broadband network, leaving </w:t>
      </w:r>
      <w:r w:rsidR="004A6C13" w:rsidRPr="002B64E2">
        <w:rPr>
          <w:rFonts w:ascii="Aptos" w:eastAsia="Aptos" w:hAnsi="Aptos" w:cs="Arial"/>
          <w:kern w:val="2"/>
          <w:sz w:val="22"/>
          <w:szCs w:val="22"/>
          <w14:ligatures w14:val="standardContextual"/>
        </w:rPr>
        <w:t>2</w:t>
      </w:r>
      <w:r w:rsidRPr="002B64E2">
        <w:rPr>
          <w:rFonts w:ascii="Aptos" w:eastAsia="Aptos" w:hAnsi="Aptos" w:cs="Arial"/>
          <w:kern w:val="2"/>
          <w:sz w:val="22"/>
          <w:szCs w:val="22"/>
          <w14:ligatures w14:val="standardContextual"/>
        </w:rPr>
        <w:t xml:space="preserve"> per cent without access to a mobile broadband network and therefore without any possibility of accessing the Internet. This coverage gap was </w:t>
      </w:r>
      <w:r w:rsidR="007B3A1A" w:rsidRPr="002B64E2">
        <w:rPr>
          <w:rFonts w:ascii="Aptos" w:eastAsia="Aptos" w:hAnsi="Aptos" w:cs="Arial"/>
          <w:kern w:val="2"/>
          <w:sz w:val="22"/>
          <w:szCs w:val="22"/>
          <w14:ligatures w14:val="standardContextual"/>
        </w:rPr>
        <w:t xml:space="preserve">2 percentage points smaller than </w:t>
      </w:r>
      <w:r w:rsidRPr="002B64E2">
        <w:rPr>
          <w:rFonts w:ascii="Aptos" w:eastAsia="Aptos" w:hAnsi="Aptos" w:cs="Arial"/>
          <w:kern w:val="2"/>
          <w:sz w:val="22"/>
          <w:szCs w:val="22"/>
          <w14:ligatures w14:val="standardContextual"/>
        </w:rPr>
        <w:t>the global average.</w:t>
      </w:r>
      <w:r w:rsidR="00D9121B" w:rsidRPr="002B64E2">
        <w:rPr>
          <w:rFonts w:ascii="Aptos" w:eastAsia="Aptos" w:hAnsi="Aptos" w:cs="Arial"/>
          <w:kern w:val="2"/>
          <w:sz w:val="22"/>
          <w:szCs w:val="22"/>
          <w14:ligatures w14:val="standardContextual"/>
        </w:rPr>
        <w:t xml:space="preserve"> In only three countries in the region 5G roll-out has started, covering less than 40 per cent of the population in all cases.</w:t>
      </w:r>
    </w:p>
    <w:p w14:paraId="5BC7AB78" w14:textId="596D1FA0" w:rsidR="00D9121B" w:rsidRPr="002B64E2" w:rsidRDefault="00D9121B" w:rsidP="00D9121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There is a gap in network availability between rural and urban areas. In 2024, 5G covered 18 per cent of the urban population the region, while no rural areas were covered yet. The disparity also existed for 4G networks, with </w:t>
      </w:r>
      <w:proofErr w:type="gramStart"/>
      <w:r w:rsidRPr="002B64E2">
        <w:rPr>
          <w:rFonts w:ascii="Aptos" w:eastAsia="Aptos" w:hAnsi="Aptos" w:cs="Arial"/>
          <w:kern w:val="2"/>
          <w:sz w:val="22"/>
          <w:szCs w:val="22"/>
          <w14:ligatures w14:val="standardContextual"/>
        </w:rPr>
        <w:t>all of</w:t>
      </w:r>
      <w:proofErr w:type="gramEnd"/>
      <w:r w:rsidRPr="002B64E2">
        <w:rPr>
          <w:rFonts w:ascii="Aptos" w:eastAsia="Aptos" w:hAnsi="Aptos" w:cs="Arial"/>
          <w:kern w:val="2"/>
          <w:sz w:val="22"/>
          <w:szCs w:val="22"/>
          <w14:ligatures w14:val="standardContextual"/>
        </w:rPr>
        <w:t xml:space="preserve"> the urban population covered compared with 83 per cent in rural areas. When including 3G networks, coverage reached 93 per cent in rural regions. This means that while every urban resident had access to a mobile broadband network, 7 per cent of the rural population in the CIS region remained off the grid.</w:t>
      </w:r>
    </w:p>
    <w:p w14:paraId="122C8A96" w14:textId="77777777" w:rsidR="00D9121B" w:rsidRPr="002B64E2" w:rsidRDefault="00D9121B" w:rsidP="006110F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6AE468F3" w14:textId="458A6990"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lastRenderedPageBreak/>
        <w:t xml:space="preserve">Percentage of population covered by type of mobile network, </w:t>
      </w:r>
      <w:r w:rsidR="008D4391" w:rsidRPr="002B64E2">
        <w:rPr>
          <w:rFonts w:ascii="AvenirNext LT Pro Light" w:eastAsia="Yu Gothic Light" w:hAnsi="AvenirNext LT Pro Light" w:cs="Calibri"/>
          <w:color w:val="0070C0"/>
          <w:spacing w:val="-10"/>
          <w:kern w:val="28"/>
          <w:szCs w:val="24"/>
        </w:rPr>
        <w:t>2023</w:t>
      </w:r>
    </w:p>
    <w:p w14:paraId="579B2750" w14:textId="11B6645C" w:rsidR="006C41B5" w:rsidRPr="002B64E2" w:rsidRDefault="00EB0CC0" w:rsidP="006C41B5">
      <w:pPr>
        <w:rPr>
          <w:rFonts w:ascii="Aptos" w:eastAsia="Aptos" w:hAnsi="Aptos" w:cs="Arial"/>
          <w:kern w:val="2"/>
          <w:sz w:val="22"/>
          <w:szCs w:val="22"/>
          <w14:ligatures w14:val="standardContextual"/>
        </w:rPr>
      </w:pPr>
      <w:r w:rsidRPr="002B64E2">
        <w:rPr>
          <w:noProof/>
        </w:rPr>
        <w:drawing>
          <wp:inline distT="0" distB="0" distL="0" distR="0" wp14:anchorId="1D34DACA" wp14:editId="455FAB09">
            <wp:extent cx="6120765" cy="3375660"/>
            <wp:effectExtent l="0" t="0" r="8255" b="0"/>
            <wp:docPr id="135966687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66878"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6120765" cy="3375660"/>
                    </a:xfrm>
                    <a:prstGeom prst="rect">
                      <a:avLst/>
                    </a:prstGeom>
                  </pic:spPr>
                </pic:pic>
              </a:graphicData>
            </a:graphic>
          </wp:inline>
        </w:drawing>
      </w:r>
    </w:p>
    <w:p w14:paraId="2E340BCE" w14:textId="77777777" w:rsidR="006C2DEA" w:rsidRPr="002B64E2" w:rsidRDefault="006C2DEA" w:rsidP="006C2DEA">
      <w:pPr>
        <w:pStyle w:val="Sourcetext"/>
      </w:pPr>
      <w:r w:rsidRPr="002B64E2">
        <w:t xml:space="preserve">* Data are ITU estimates </w:t>
      </w:r>
    </w:p>
    <w:p w14:paraId="14C31C7C" w14:textId="4FB2E7F2" w:rsidR="006C41B5" w:rsidRPr="002B64E2" w:rsidRDefault="006C41B5" w:rsidP="00B1004A">
      <w:pPr>
        <w:pStyle w:val="notetext"/>
      </w:pPr>
      <w:r w:rsidRPr="002B64E2">
        <w:t xml:space="preserve">Note: The values for 2G, 3G and 4G networks show the incremental percentage of the population that is not covered by a more advanced technology network (e.g. in 2023, </w:t>
      </w:r>
      <w:r w:rsidR="006C2DEA" w:rsidRPr="002B64E2">
        <w:t>100</w:t>
      </w:r>
      <w:r w:rsidRPr="002B64E2">
        <w:t xml:space="preserve"> per cent of the population in </w:t>
      </w:r>
      <w:r w:rsidR="006C2DEA" w:rsidRPr="002B64E2">
        <w:t>Armenia</w:t>
      </w:r>
      <w:r w:rsidR="00AF357D" w:rsidRPr="002B64E2">
        <w:t xml:space="preserve"> </w:t>
      </w:r>
      <w:r w:rsidRPr="002B64E2">
        <w:t xml:space="preserve">is covered by at least a </w:t>
      </w:r>
      <w:r w:rsidR="006C2DEA" w:rsidRPr="002B64E2">
        <w:t>4</w:t>
      </w:r>
      <w:r w:rsidRPr="002B64E2">
        <w:t xml:space="preserve">G or above network, that is </w:t>
      </w:r>
      <w:r w:rsidR="006C2DEA" w:rsidRPr="002B64E2">
        <w:t>11</w:t>
      </w:r>
      <w:r w:rsidRPr="002B64E2">
        <w:t xml:space="preserve"> per cent + </w:t>
      </w:r>
      <w:r w:rsidR="006C2DEA" w:rsidRPr="002B64E2">
        <w:t>89</w:t>
      </w:r>
      <w:r w:rsidRPr="002B64E2">
        <w:t xml:space="preserve"> per cent). </w:t>
      </w:r>
    </w:p>
    <w:p w14:paraId="1C2875B9" w14:textId="77777777" w:rsidR="006C41B5" w:rsidRPr="002B64E2" w:rsidRDefault="006C41B5" w:rsidP="00B1004A">
      <w:pPr>
        <w:pStyle w:val="Sourcetext"/>
      </w:pPr>
      <w:r w:rsidRPr="002B64E2">
        <w:t>Source: ITU</w:t>
      </w:r>
    </w:p>
    <w:p w14:paraId="41FF9656" w14:textId="54CA04F2" w:rsidR="006C41B5" w:rsidRPr="002B64E2" w:rsidRDefault="006C41B5" w:rsidP="008144E9">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Population coverage by type of mobile network and location, 2024</w:t>
      </w:r>
    </w:p>
    <w:p w14:paraId="4CFB12EA" w14:textId="0D35C434" w:rsidR="00EF6D10" w:rsidRPr="002B64E2" w:rsidRDefault="006C6391"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B64E2">
        <w:rPr>
          <w:noProof/>
        </w:rPr>
        <w:drawing>
          <wp:inline distT="0" distB="0" distL="0" distR="0" wp14:anchorId="62B4A9E6" wp14:editId="47E6C06F">
            <wp:extent cx="5791200" cy="2819400"/>
            <wp:effectExtent l="0" t="0" r="0" b="0"/>
            <wp:docPr id="202324556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45567" name=""/>
                    <pic:cNvPicPr/>
                  </pic:nvPicPr>
                  <pic:blipFill>
                    <a:blip r:embed="rId53">
                      <a:extLst>
                        <a:ext uri="{96DAC541-7B7A-43D3-8B79-37D633B846F1}">
                          <asvg:svgBlip xmlns:asvg="http://schemas.microsoft.com/office/drawing/2016/SVG/main" r:embed="rId54"/>
                        </a:ext>
                      </a:extLst>
                    </a:blip>
                    <a:stretch>
                      <a:fillRect/>
                    </a:stretch>
                  </pic:blipFill>
                  <pic:spPr>
                    <a:xfrm>
                      <a:off x="0" y="0"/>
                      <a:ext cx="5791200" cy="2819400"/>
                    </a:xfrm>
                    <a:prstGeom prst="rect">
                      <a:avLst/>
                    </a:prstGeom>
                  </pic:spPr>
                </pic:pic>
              </a:graphicData>
            </a:graphic>
          </wp:inline>
        </w:drawing>
      </w:r>
    </w:p>
    <w:p w14:paraId="05373577" w14:textId="49A4A92E" w:rsidR="006C41B5" w:rsidRPr="002B64E2" w:rsidRDefault="006C41B5" w:rsidP="00B1004A">
      <w:pPr>
        <w:pStyle w:val="notetext"/>
      </w:pPr>
      <w:r w:rsidRPr="002B64E2">
        <w:t>Note: The values for 2G, 3G and 4G networks show the incremental percentage of the population that is not covered by a more advanced technology network (e.g. 90 per cent of the world's rural population is covered by at least a 3G or above network, that is 29 per cent + 53 per cent + 8 per cent).</w:t>
      </w:r>
    </w:p>
    <w:p w14:paraId="1C344566" w14:textId="77777777" w:rsidR="00C45251" w:rsidRPr="002B64E2" w:rsidRDefault="006C41B5" w:rsidP="009D2EAD">
      <w:pPr>
        <w:pStyle w:val="Sourcetext"/>
      </w:pPr>
      <w:r w:rsidRPr="002B64E2">
        <w:t>Source: ITU</w:t>
      </w:r>
    </w:p>
    <w:p w14:paraId="107134C6" w14:textId="77777777" w:rsidR="00A06668" w:rsidRDefault="00A06668">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14:ligatures w14:val="standardContextual"/>
        </w:rPr>
      </w:pPr>
      <w:bookmarkStart w:id="12" w:name="_Toc192868599"/>
      <w:r>
        <w:br w:type="page"/>
      </w:r>
    </w:p>
    <w:p w14:paraId="0F31E52C" w14:textId="7D03A8D7" w:rsidR="006C41B5" w:rsidRPr="002B64E2" w:rsidRDefault="006C41B5" w:rsidP="000C3666">
      <w:pPr>
        <w:pStyle w:val="Section"/>
      </w:pPr>
      <w:r w:rsidRPr="002B64E2">
        <w:lastRenderedPageBreak/>
        <w:t>Availability of fixed-broadband infrastructure</w:t>
      </w:r>
      <w:bookmarkEnd w:id="12"/>
    </w:p>
    <w:p w14:paraId="08317977" w14:textId="5320A28F" w:rsidR="006C41B5" w:rsidRPr="002B64E2" w:rsidRDefault="00821B72"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B64E2">
        <w:rPr>
          <w:rFonts w:ascii="Aptos" w:eastAsia="Aptos" w:hAnsi="Aptos" w:cs="Arial"/>
          <w:b/>
          <w:i/>
          <w:kern w:val="2"/>
          <w:sz w:val="22"/>
          <w:szCs w:val="22"/>
          <w14:ligatures w14:val="standardContextual"/>
        </w:rPr>
        <w:t xml:space="preserve">One third of the population </w:t>
      </w:r>
      <w:r w:rsidR="00E20227" w:rsidRPr="002B64E2">
        <w:rPr>
          <w:rFonts w:ascii="Aptos" w:eastAsia="Aptos" w:hAnsi="Aptos" w:cs="Arial"/>
          <w:b/>
          <w:i/>
          <w:kern w:val="2"/>
          <w:sz w:val="22"/>
          <w:szCs w:val="22"/>
          <w14:ligatures w14:val="standardContextual"/>
        </w:rPr>
        <w:t>live</w:t>
      </w:r>
      <w:r w:rsidRPr="002B64E2">
        <w:rPr>
          <w:rFonts w:ascii="Aptos" w:eastAsia="Aptos" w:hAnsi="Aptos" w:cs="Arial"/>
          <w:b/>
          <w:i/>
          <w:kern w:val="2"/>
          <w:sz w:val="22"/>
          <w:szCs w:val="22"/>
          <w14:ligatures w14:val="standardContextual"/>
        </w:rPr>
        <w:t>s</w:t>
      </w:r>
      <w:r w:rsidR="00E20227" w:rsidRPr="002B64E2">
        <w:rPr>
          <w:rFonts w:ascii="Aptos" w:eastAsia="Aptos" w:hAnsi="Aptos" w:cs="Arial"/>
          <w:b/>
          <w:i/>
          <w:kern w:val="2"/>
          <w:sz w:val="22"/>
          <w:szCs w:val="22"/>
          <w14:ligatures w14:val="standardContextual"/>
        </w:rPr>
        <w:t xml:space="preserve"> within 10 km of a </w:t>
      </w:r>
      <w:r w:rsidR="00F748EA" w:rsidRPr="002B64E2">
        <w:rPr>
          <w:rFonts w:ascii="Aptos" w:eastAsia="Aptos" w:hAnsi="Aptos" w:cs="Arial"/>
          <w:b/>
          <w:i/>
          <w:kern w:val="2"/>
          <w:sz w:val="22"/>
          <w:szCs w:val="22"/>
          <w14:ligatures w14:val="standardContextual"/>
        </w:rPr>
        <w:t>fibre-optic node</w:t>
      </w:r>
    </w:p>
    <w:p w14:paraId="2A76970F" w14:textId="77777777" w:rsidR="00E448C5" w:rsidRPr="002B64E2" w:rsidRDefault="00E448C5" w:rsidP="00E448C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Fixed broadband infrastructure forms the backbone of the Internet and is a cornerstone of digital transformation efforts. As part of ongoing research at ITU, the broadband map initiative provides an overview of fixed broadband infrastructure placement. Overlaying this data with demographic data makes it possible to infer the availability and proximity of fixed broadband to populations. This is essential for planning – costly – infrastructure projects and helps to ensure that networks have the necessary capacity and reach. </w:t>
      </w:r>
    </w:p>
    <w:p w14:paraId="3C9BD7E5" w14:textId="515A987D"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 xml:space="preserve">Map of transmission networks and submarine cables for </w:t>
      </w:r>
      <w:r w:rsidR="00DB473E" w:rsidRPr="002B64E2">
        <w:rPr>
          <w:rFonts w:ascii="AvenirNext LT Pro Light" w:eastAsia="Yu Gothic Light" w:hAnsi="AvenirNext LT Pro Light" w:cs="Calibri"/>
          <w:color w:val="0070C0"/>
          <w:spacing w:val="-10"/>
          <w:kern w:val="28"/>
          <w:szCs w:val="24"/>
        </w:rPr>
        <w:t>the</w:t>
      </w:r>
      <w:r w:rsidRPr="002B64E2">
        <w:rPr>
          <w:rFonts w:ascii="AvenirNext LT Pro Light" w:eastAsia="Yu Gothic Light" w:hAnsi="AvenirNext LT Pro Light" w:cs="Calibri"/>
          <w:color w:val="0070C0"/>
          <w:spacing w:val="-10"/>
          <w:kern w:val="28"/>
          <w:szCs w:val="24"/>
        </w:rPr>
        <w:t xml:space="preserve"> </w:t>
      </w:r>
      <w:r w:rsidR="00220A01" w:rsidRPr="002B64E2">
        <w:rPr>
          <w:rFonts w:ascii="AvenirNext LT Pro Light" w:eastAsia="Yu Gothic Light" w:hAnsi="AvenirNext LT Pro Light" w:cs="Calibri"/>
          <w:color w:val="0070C0"/>
          <w:spacing w:val="-10"/>
          <w:kern w:val="28"/>
          <w:szCs w:val="24"/>
        </w:rPr>
        <w:t>CIS region</w:t>
      </w:r>
    </w:p>
    <w:p w14:paraId="18BC9E57" w14:textId="0AC6339F" w:rsidR="001B282C" w:rsidRPr="002B64E2" w:rsidRDefault="00EA6E03" w:rsidP="00EA6E0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noProof/>
        </w:rPr>
        <w:drawing>
          <wp:inline distT="0" distB="0" distL="0" distR="0" wp14:anchorId="761504E5" wp14:editId="38E21885">
            <wp:extent cx="6120765" cy="3290570"/>
            <wp:effectExtent l="0" t="0" r="0" b="5080"/>
            <wp:docPr id="2415955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95501" name=""/>
                    <pic:cNvPicPr/>
                  </pic:nvPicPr>
                  <pic:blipFill>
                    <a:blip r:embed="rId55">
                      <a:extLst>
                        <a:ext uri="{96DAC541-7B7A-43D3-8B79-37D633B846F1}">
                          <asvg:svgBlip xmlns:asvg="http://schemas.microsoft.com/office/drawing/2016/SVG/main" r:embed="rId56"/>
                        </a:ext>
                      </a:extLst>
                    </a:blip>
                    <a:stretch>
                      <a:fillRect/>
                    </a:stretch>
                  </pic:blipFill>
                  <pic:spPr>
                    <a:xfrm>
                      <a:off x="0" y="0"/>
                      <a:ext cx="6120765" cy="3290570"/>
                    </a:xfrm>
                    <a:prstGeom prst="rect">
                      <a:avLst/>
                    </a:prstGeom>
                  </pic:spPr>
                </pic:pic>
              </a:graphicData>
            </a:graphic>
          </wp:inline>
        </w:drawing>
      </w:r>
    </w:p>
    <w:p w14:paraId="79B25A78" w14:textId="1398E84C" w:rsidR="00217F9C" w:rsidRPr="002B64E2" w:rsidRDefault="00217F9C" w:rsidP="00B1004A">
      <w:pPr>
        <w:pStyle w:val="notetext"/>
      </w:pPr>
      <w:r w:rsidRPr="002B64E2">
        <w:t xml:space="preserve">Note: The image reports active and planned submarine cables, and operational, planned and under-construction transmission networks (fibre-optic cable and microwave). </w:t>
      </w:r>
    </w:p>
    <w:p w14:paraId="4A459512" w14:textId="77777777" w:rsidR="00217F9C" w:rsidRPr="002B64E2" w:rsidRDefault="00217F9C" w:rsidP="00B1004A">
      <w:pPr>
        <w:pStyle w:val="notetext"/>
      </w:pPr>
      <w:r w:rsidRPr="002B64E2">
        <w:t>The designations employed and the presentation of material on the map do not imply the expression of any opinion whatsoever on the part of ITU or its secretariat concerning the legal status of the country, territory, city or area or its authorities, or concerning the delimitation of its frontiers or boundaries.</w:t>
      </w:r>
    </w:p>
    <w:p w14:paraId="6A74A788" w14:textId="3F528410" w:rsidR="00217F9C" w:rsidRPr="00B12C58" w:rsidRDefault="00217F9C" w:rsidP="00B1004A">
      <w:pPr>
        <w:pStyle w:val="Sourcetext"/>
      </w:pPr>
      <w:r w:rsidRPr="00B12C58">
        <w:t xml:space="preserve">Source: ITU, </w:t>
      </w:r>
      <w:hyperlink r:id="rId57" w:history="1">
        <w:r w:rsidRPr="00B12C58">
          <w:rPr>
            <w:color w:val="467886"/>
            <w:u w:val="single"/>
          </w:rPr>
          <w:t>https://bbmaps.itu.int/app</w:t>
        </w:r>
      </w:hyperlink>
    </w:p>
    <w:p w14:paraId="18F83C43" w14:textId="79EB4D33" w:rsidR="005B1BF2" w:rsidRPr="002B64E2" w:rsidRDefault="005B1BF2" w:rsidP="005B1BF2">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Proximity to a </w:t>
      </w:r>
      <w:r w:rsidR="002048C6" w:rsidRPr="002B64E2">
        <w:rPr>
          <w:rFonts w:ascii="Aptos" w:eastAsia="Aptos" w:hAnsi="Aptos" w:cs="Arial"/>
          <w:kern w:val="2"/>
          <w:sz w:val="22"/>
          <w:szCs w:val="22"/>
          <w14:ligatures w14:val="standardContextual"/>
        </w:rPr>
        <w:t xml:space="preserve">fibre-optic node </w:t>
      </w:r>
      <w:r w:rsidRPr="002B64E2">
        <w:rPr>
          <w:rFonts w:ascii="Aptos" w:eastAsia="Aptos" w:hAnsi="Aptos" w:cs="Arial"/>
          <w:kern w:val="2"/>
          <w:sz w:val="22"/>
          <w:szCs w:val="22"/>
          <w14:ligatures w14:val="standardContextual"/>
        </w:rPr>
        <w:t xml:space="preserve">is a crucial metric for transformative connectivity as it directly impacts connection performance, reliability and scalability. It reduces latency, improves connection stability and lowers deployment costs, making broadband access more affordable and efficient. Additionally, it facilitates upgrades to support growing bandwidth demands, ensuring networks remain future-ready. </w:t>
      </w:r>
    </w:p>
    <w:p w14:paraId="062C8E2A" w14:textId="3BC2D5B4" w:rsidR="005B1BF2" w:rsidRPr="002B64E2" w:rsidRDefault="005B1BF2" w:rsidP="00FC71C9">
      <w:pPr>
        <w:tabs>
          <w:tab w:val="clear" w:pos="794"/>
          <w:tab w:val="clear" w:pos="1191"/>
          <w:tab w:val="clear" w:pos="1588"/>
          <w:tab w:val="clear" w:pos="1985"/>
        </w:tabs>
        <w:overflowPunct/>
        <w:autoSpaceDE/>
        <w:autoSpaceDN/>
        <w:adjustRightInd/>
        <w:spacing w:before="0"/>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As of 2023, </w:t>
      </w:r>
      <w:r w:rsidR="00F21BBF" w:rsidRPr="002B64E2">
        <w:rPr>
          <w:rFonts w:ascii="Aptos" w:eastAsia="Aptos" w:hAnsi="Aptos" w:cs="Arial"/>
          <w:kern w:val="2"/>
          <w:sz w:val="22"/>
          <w:szCs w:val="22"/>
          <w14:ligatures w14:val="standardContextual"/>
        </w:rPr>
        <w:t xml:space="preserve">one third of the </w:t>
      </w:r>
      <w:r w:rsidRPr="002B64E2">
        <w:rPr>
          <w:rFonts w:ascii="Aptos" w:eastAsia="Aptos" w:hAnsi="Aptos" w:cs="Arial"/>
          <w:kern w:val="2"/>
          <w:sz w:val="22"/>
          <w:szCs w:val="22"/>
          <w14:ligatures w14:val="standardContextual"/>
        </w:rPr>
        <w:t>population of the CIS region lived within 10 km of a</w:t>
      </w:r>
      <w:r w:rsidR="002048C6" w:rsidRPr="002B64E2">
        <w:rPr>
          <w:rFonts w:ascii="Aptos" w:eastAsia="Aptos" w:hAnsi="Aptos" w:cs="Arial"/>
          <w:kern w:val="2"/>
          <w:sz w:val="22"/>
          <w:szCs w:val="22"/>
          <w14:ligatures w14:val="standardContextual"/>
        </w:rPr>
        <w:t xml:space="preserve"> fibre-optic node</w:t>
      </w:r>
      <w:r w:rsidRPr="002B64E2">
        <w:rPr>
          <w:rFonts w:ascii="Aptos" w:eastAsia="Aptos" w:hAnsi="Aptos" w:cs="Arial"/>
          <w:kern w:val="2"/>
          <w:sz w:val="22"/>
          <w:szCs w:val="22"/>
          <w14:ligatures w14:val="standardContextual"/>
        </w:rPr>
        <w:t xml:space="preserve">. </w:t>
      </w:r>
      <w:r w:rsidR="00647F6C" w:rsidRPr="002B64E2">
        <w:rPr>
          <w:rFonts w:ascii="Aptos" w:eastAsia="Aptos" w:hAnsi="Aptos" w:cs="Arial"/>
          <w:kern w:val="2"/>
          <w:sz w:val="22"/>
          <w:szCs w:val="22"/>
          <w14:ligatures w14:val="standardContextual"/>
        </w:rPr>
        <w:t>Sixty-two</w:t>
      </w:r>
      <w:r w:rsidRPr="002B64E2">
        <w:rPr>
          <w:rFonts w:ascii="Aptos" w:eastAsia="Aptos" w:hAnsi="Aptos" w:cs="Arial"/>
          <w:kern w:val="2"/>
          <w:sz w:val="22"/>
          <w:szCs w:val="22"/>
          <w14:ligatures w14:val="standardContextual"/>
        </w:rPr>
        <w:t xml:space="preserve"> per cent lived within 25 km, </w:t>
      </w:r>
      <w:r w:rsidR="00B52059" w:rsidRPr="002B64E2">
        <w:rPr>
          <w:rFonts w:ascii="Aptos" w:eastAsia="Aptos" w:hAnsi="Aptos" w:cs="Arial"/>
          <w:kern w:val="2"/>
          <w:sz w:val="22"/>
          <w:szCs w:val="22"/>
          <w14:ligatures w14:val="standardContextual"/>
        </w:rPr>
        <w:t>80</w:t>
      </w:r>
      <w:r w:rsidRPr="002B64E2">
        <w:rPr>
          <w:rFonts w:ascii="Aptos" w:eastAsia="Aptos" w:hAnsi="Aptos" w:cs="Arial"/>
          <w:kern w:val="2"/>
          <w:sz w:val="22"/>
          <w:szCs w:val="22"/>
          <w14:ligatures w14:val="standardContextual"/>
        </w:rPr>
        <w:t> per cent</w:t>
      </w:r>
      <w:r w:rsidRPr="002B64E2" w:rsidDel="0016730C">
        <w:rPr>
          <w:rFonts w:ascii="Aptos" w:eastAsia="Aptos" w:hAnsi="Aptos" w:cs="Arial"/>
          <w:kern w:val="2"/>
          <w:sz w:val="22"/>
          <w:szCs w:val="22"/>
          <w14:ligatures w14:val="standardContextual"/>
        </w:rPr>
        <w:t xml:space="preserve"> within 50 km </w:t>
      </w:r>
      <w:r w:rsidRPr="002B64E2">
        <w:rPr>
          <w:rFonts w:ascii="Aptos" w:eastAsia="Aptos" w:hAnsi="Aptos" w:cs="Arial"/>
          <w:kern w:val="2"/>
          <w:sz w:val="22"/>
          <w:szCs w:val="22"/>
          <w14:ligatures w14:val="standardContextual"/>
        </w:rPr>
        <w:t xml:space="preserve">and </w:t>
      </w:r>
      <w:r w:rsidR="00B52059" w:rsidRPr="002B64E2">
        <w:rPr>
          <w:rFonts w:ascii="Aptos" w:eastAsia="Aptos" w:hAnsi="Aptos" w:cs="Arial"/>
          <w:kern w:val="2"/>
          <w:sz w:val="22"/>
          <w:szCs w:val="22"/>
          <w14:ligatures w14:val="standardContextual"/>
        </w:rPr>
        <w:t>93</w:t>
      </w:r>
      <w:r w:rsidRPr="002B64E2">
        <w:rPr>
          <w:rFonts w:ascii="Aptos" w:eastAsia="Aptos" w:hAnsi="Aptos" w:cs="Arial"/>
          <w:kern w:val="2"/>
          <w:sz w:val="22"/>
          <w:szCs w:val="22"/>
          <w14:ligatures w14:val="standardContextual"/>
        </w:rPr>
        <w:t> per cent within 100 km of a node.</w:t>
      </w:r>
    </w:p>
    <w:p w14:paraId="31A796E1" w14:textId="77777777" w:rsidR="00D9121B" w:rsidRPr="002B64E2" w:rsidRDefault="00D9121B"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color w:val="0070C0"/>
          <w:kern w:val="2"/>
          <w:sz w:val="22"/>
          <w:szCs w:val="22"/>
          <w14:ligatures w14:val="standardContextual"/>
        </w:rPr>
      </w:pPr>
    </w:p>
    <w:p w14:paraId="3524515C" w14:textId="77777777" w:rsidR="00441EDF" w:rsidRPr="002B64E2" w:rsidRDefault="00441EDF">
      <w:pPr>
        <w:tabs>
          <w:tab w:val="clear" w:pos="794"/>
          <w:tab w:val="clear" w:pos="1191"/>
          <w:tab w:val="clear" w:pos="1588"/>
          <w:tab w:val="clear" w:pos="1985"/>
        </w:tabs>
        <w:overflowPunct/>
        <w:autoSpaceDE/>
        <w:autoSpaceDN/>
        <w:adjustRightInd/>
        <w:spacing w:before="0"/>
        <w:textAlignment w:val="auto"/>
        <w:rPr>
          <w:rFonts w:ascii="Aptos" w:eastAsia="Aptos" w:hAnsi="Aptos" w:cs="Arial"/>
          <w:color w:val="0070C0"/>
          <w:kern w:val="2"/>
          <w:sz w:val="22"/>
          <w:szCs w:val="22"/>
          <w14:ligatures w14:val="standardContextual"/>
        </w:rPr>
      </w:pPr>
      <w:r w:rsidRPr="002B64E2">
        <w:rPr>
          <w:rFonts w:ascii="Aptos" w:eastAsia="Aptos" w:hAnsi="Aptos" w:cs="Arial"/>
          <w:color w:val="0070C0"/>
          <w:kern w:val="2"/>
          <w:sz w:val="22"/>
          <w:szCs w:val="22"/>
          <w14:ligatures w14:val="standardContextual"/>
        </w:rPr>
        <w:br w:type="page"/>
      </w:r>
    </w:p>
    <w:p w14:paraId="4509CB36" w14:textId="15714302" w:rsidR="006C41B5" w:rsidRPr="002B64E2"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color w:val="0070C0"/>
          <w:kern w:val="2"/>
          <w:sz w:val="22"/>
          <w:szCs w:val="22"/>
          <w14:ligatures w14:val="standardContextual"/>
        </w:rPr>
      </w:pPr>
      <w:r w:rsidRPr="002B64E2">
        <w:rPr>
          <w:rFonts w:ascii="Aptos" w:eastAsia="Aptos" w:hAnsi="Aptos" w:cs="Arial"/>
          <w:color w:val="0070C0"/>
          <w:kern w:val="2"/>
          <w:sz w:val="22"/>
          <w:szCs w:val="22"/>
          <w14:ligatures w14:val="standardContextual"/>
        </w:rPr>
        <w:lastRenderedPageBreak/>
        <w:t xml:space="preserve">Percentage of population within reach of a </w:t>
      </w:r>
      <w:r w:rsidR="002048C6" w:rsidRPr="002B64E2">
        <w:rPr>
          <w:rFonts w:ascii="Aptos" w:eastAsia="Aptos" w:hAnsi="Aptos" w:cs="Arial"/>
          <w:color w:val="0070C0"/>
          <w:kern w:val="2"/>
          <w:sz w:val="22"/>
          <w:szCs w:val="22"/>
          <w14:ligatures w14:val="standardContextual"/>
        </w:rPr>
        <w:t>fibre-optic node</w:t>
      </w:r>
      <w:r w:rsidRPr="002B64E2">
        <w:rPr>
          <w:rFonts w:ascii="Aptos" w:eastAsia="Aptos" w:hAnsi="Aptos" w:cs="Arial"/>
          <w:color w:val="0070C0"/>
          <w:kern w:val="2"/>
          <w:sz w:val="22"/>
          <w:szCs w:val="22"/>
          <w14:ligatures w14:val="standardContextual"/>
        </w:rPr>
        <w:t>, 2023</w:t>
      </w:r>
    </w:p>
    <w:p w14:paraId="007FFF84" w14:textId="3D05A0F0" w:rsidR="006C41B5" w:rsidRPr="002B64E2" w:rsidRDefault="004D3E60" w:rsidP="00B1004A">
      <w:pPr>
        <w:pStyle w:val="notetext"/>
      </w:pPr>
      <w:r w:rsidRPr="002B64E2">
        <w:rPr>
          <w:noProof/>
        </w:rPr>
        <w:drawing>
          <wp:inline distT="0" distB="0" distL="0" distR="0" wp14:anchorId="1BFBF6E0" wp14:editId="1EEFFD4C">
            <wp:extent cx="6120765" cy="3315970"/>
            <wp:effectExtent l="0" t="0" r="0" b="0"/>
            <wp:docPr id="174183531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35318" name=""/>
                    <pic:cNvPicPr/>
                  </pic:nvPicPr>
                  <pic:blipFill>
                    <a:blip r:embed="rId58">
                      <a:extLst>
                        <a:ext uri="{96DAC541-7B7A-43D3-8B79-37D633B846F1}">
                          <asvg:svgBlip xmlns:asvg="http://schemas.microsoft.com/office/drawing/2016/SVG/main" r:embed="rId59"/>
                        </a:ext>
                      </a:extLst>
                    </a:blip>
                    <a:stretch>
                      <a:fillRect/>
                    </a:stretch>
                  </pic:blipFill>
                  <pic:spPr>
                    <a:xfrm>
                      <a:off x="0" y="0"/>
                      <a:ext cx="6120765" cy="3315970"/>
                    </a:xfrm>
                    <a:prstGeom prst="rect">
                      <a:avLst/>
                    </a:prstGeom>
                  </pic:spPr>
                </pic:pic>
              </a:graphicData>
            </a:graphic>
          </wp:inline>
        </w:drawing>
      </w:r>
      <w:r w:rsidR="006C41B5" w:rsidRPr="002B64E2">
        <w:t xml:space="preserve">Note: The percentage of population within reach of transmission networks refers to the percentage of people that are within physical reach of nodes on core terrestrial transmission networks for a given distance (see </w:t>
      </w:r>
      <w:hyperlink r:id="rId60" w:history="1">
        <w:r w:rsidR="006C41B5" w:rsidRPr="002B64E2">
          <w:rPr>
            <w:color w:val="467886"/>
            <w:u w:val="single"/>
          </w:rPr>
          <w:t>https://bbmaps.itu.int/indicators-bbmaps</w:t>
        </w:r>
      </w:hyperlink>
      <w:r w:rsidR="006C41B5" w:rsidRPr="002B64E2">
        <w:t>).</w:t>
      </w:r>
    </w:p>
    <w:p w14:paraId="497A0B8C" w14:textId="77777777" w:rsidR="006C41B5" w:rsidRPr="002B64E2" w:rsidRDefault="006C41B5" w:rsidP="00B1004A">
      <w:pPr>
        <w:pStyle w:val="Sourcetext"/>
      </w:pPr>
      <w:r w:rsidRPr="002B64E2">
        <w:t>Source: ITU</w:t>
      </w:r>
    </w:p>
    <w:p w14:paraId="6A19D439" w14:textId="77777777" w:rsidR="006C41B5" w:rsidRPr="002B64E2"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br w:type="page"/>
      </w:r>
    </w:p>
    <w:p w14:paraId="7BEF7641" w14:textId="25555F80" w:rsidR="006C41B5" w:rsidRPr="002B64E2" w:rsidRDefault="006C41B5" w:rsidP="000C3666">
      <w:pPr>
        <w:pStyle w:val="Section"/>
      </w:pPr>
      <w:bookmarkStart w:id="13" w:name="_Toc192868600"/>
      <w:r w:rsidRPr="002B64E2">
        <w:lastRenderedPageBreak/>
        <w:t>Internet traffic</w:t>
      </w:r>
      <w:r w:rsidR="004575FD" w:rsidRPr="002B64E2">
        <w:t xml:space="preserve"> and international bandwidth</w:t>
      </w:r>
      <w:bookmarkEnd w:id="13"/>
    </w:p>
    <w:p w14:paraId="118D4EF8" w14:textId="47996B13" w:rsidR="00EB61BE" w:rsidRPr="002B64E2" w:rsidRDefault="001B1020" w:rsidP="00EB61B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B64E2">
        <w:rPr>
          <w:rFonts w:ascii="Aptos" w:eastAsia="Aptos" w:hAnsi="Aptos" w:cs="Arial"/>
          <w:b/>
          <w:i/>
          <w:kern w:val="2"/>
          <w:sz w:val="22"/>
          <w:szCs w:val="22"/>
          <w14:ligatures w14:val="standardContextual"/>
        </w:rPr>
        <w:t>Mobile data consumption exceeds global averages, while fixed broadband lags</w:t>
      </w:r>
    </w:p>
    <w:p w14:paraId="75C6B0DC" w14:textId="77777777"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Broadband Internet traffic per subscription per month (GB)</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450"/>
      </w:tblGrid>
      <w:tr w:rsidR="006C41B5" w:rsidRPr="002B64E2" w14:paraId="0871D4BA" w14:textId="77777777" w:rsidTr="00DE1E8B">
        <w:tc>
          <w:tcPr>
            <w:tcW w:w="4566" w:type="dxa"/>
          </w:tcPr>
          <w:p w14:paraId="44995B69" w14:textId="5F1B777C" w:rsidR="006C41B5" w:rsidRPr="002B64E2" w:rsidRDefault="006C41B5" w:rsidP="006A0D3F">
            <w:pPr>
              <w:jc w:val="center"/>
              <w:rPr>
                <w:rFonts w:ascii="Aptos" w:hAnsi="Aptos"/>
                <w:sz w:val="22"/>
              </w:rPr>
            </w:pPr>
            <w:r w:rsidRPr="002B64E2">
              <w:rPr>
                <w:rFonts w:ascii="Aptos" w:hAnsi="Aptos"/>
                <w:b/>
                <w:sz w:val="22"/>
              </w:rPr>
              <w:t>Mobile</w:t>
            </w:r>
            <w:r w:rsidR="006E5DF4" w:rsidRPr="002B64E2">
              <w:rPr>
                <w:noProof/>
              </w:rPr>
              <w:t xml:space="preserve"> </w:t>
            </w:r>
            <w:r w:rsidR="006E5DF4" w:rsidRPr="002B64E2">
              <w:rPr>
                <w:noProof/>
              </w:rPr>
              <w:drawing>
                <wp:inline distT="0" distB="0" distL="0" distR="0" wp14:anchorId="0855BDBB" wp14:editId="5C5C61A9">
                  <wp:extent cx="2676525" cy="2609850"/>
                  <wp:effectExtent l="0" t="0" r="9525" b="0"/>
                  <wp:docPr id="3869558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55828" name=""/>
                          <pic:cNvPicPr/>
                        </pic:nvPicPr>
                        <pic:blipFill>
                          <a:blip r:embed="rId61">
                            <a:extLst>
                              <a:ext uri="{96DAC541-7B7A-43D3-8B79-37D633B846F1}">
                                <asvg:svgBlip xmlns:asvg="http://schemas.microsoft.com/office/drawing/2016/SVG/main" r:embed="rId62"/>
                              </a:ext>
                            </a:extLst>
                          </a:blip>
                          <a:stretch>
                            <a:fillRect/>
                          </a:stretch>
                        </pic:blipFill>
                        <pic:spPr>
                          <a:xfrm>
                            <a:off x="0" y="0"/>
                            <a:ext cx="2676525" cy="2609850"/>
                          </a:xfrm>
                          <a:prstGeom prst="rect">
                            <a:avLst/>
                          </a:prstGeom>
                        </pic:spPr>
                      </pic:pic>
                    </a:graphicData>
                  </a:graphic>
                </wp:inline>
              </w:drawing>
            </w:r>
          </w:p>
        </w:tc>
        <w:tc>
          <w:tcPr>
            <w:tcW w:w="4450" w:type="dxa"/>
          </w:tcPr>
          <w:p w14:paraId="2E58318E" w14:textId="5B0CE4FD" w:rsidR="006C41B5" w:rsidRPr="002B64E2" w:rsidRDefault="006C41B5" w:rsidP="006A0D3F">
            <w:pPr>
              <w:jc w:val="center"/>
              <w:rPr>
                <w:rFonts w:ascii="Aptos" w:hAnsi="Aptos"/>
                <w:sz w:val="22"/>
              </w:rPr>
            </w:pPr>
            <w:r w:rsidRPr="002B64E2">
              <w:rPr>
                <w:rFonts w:ascii="Aptos" w:hAnsi="Aptos"/>
                <w:b/>
                <w:sz w:val="22"/>
              </w:rPr>
              <w:t>Fixed</w:t>
            </w:r>
            <w:r w:rsidR="00DE1E8B" w:rsidRPr="002B64E2">
              <w:rPr>
                <w:noProof/>
              </w:rPr>
              <w:t xml:space="preserve"> </w:t>
            </w:r>
            <w:r w:rsidR="00DE1E8B" w:rsidRPr="002B64E2">
              <w:rPr>
                <w:noProof/>
              </w:rPr>
              <w:drawing>
                <wp:inline distT="0" distB="0" distL="0" distR="0" wp14:anchorId="6294CAB4" wp14:editId="01314ABD">
                  <wp:extent cx="2676525" cy="2609850"/>
                  <wp:effectExtent l="0" t="0" r="9525" b="0"/>
                  <wp:docPr id="117673122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731227" name=""/>
                          <pic:cNvPicPr/>
                        </pic:nvPicPr>
                        <pic:blipFill>
                          <a:blip r:embed="rId63">
                            <a:extLst>
                              <a:ext uri="{96DAC541-7B7A-43D3-8B79-37D633B846F1}">
                                <asvg:svgBlip xmlns:asvg="http://schemas.microsoft.com/office/drawing/2016/SVG/main" r:embed="rId64"/>
                              </a:ext>
                            </a:extLst>
                          </a:blip>
                          <a:stretch>
                            <a:fillRect/>
                          </a:stretch>
                        </pic:blipFill>
                        <pic:spPr>
                          <a:xfrm>
                            <a:off x="0" y="0"/>
                            <a:ext cx="2676525" cy="2609850"/>
                          </a:xfrm>
                          <a:prstGeom prst="rect">
                            <a:avLst/>
                          </a:prstGeom>
                        </pic:spPr>
                      </pic:pic>
                    </a:graphicData>
                  </a:graphic>
                </wp:inline>
              </w:drawing>
            </w:r>
          </w:p>
        </w:tc>
      </w:tr>
    </w:tbl>
    <w:p w14:paraId="11FAA9A2" w14:textId="77777777" w:rsidR="006C41B5" w:rsidRPr="002B64E2" w:rsidRDefault="006C41B5" w:rsidP="00B1004A">
      <w:pPr>
        <w:pStyle w:val="Sourcetext"/>
      </w:pPr>
      <w:r w:rsidRPr="002B64E2">
        <w:t>Source: ITU</w:t>
      </w:r>
    </w:p>
    <w:p w14:paraId="71668D28" w14:textId="77777777" w:rsidR="004B4CBE" w:rsidRPr="002B64E2" w:rsidRDefault="004B4CBE" w:rsidP="004B4CB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Internet traffic measures the total volume of data downloaded and upload by the end users in a country over a given period. For ease of interpretation, figures presented refer to the average monthly traffic per both fixed- and mobile-broadband subscription. Traffic levels are typically higher for fixed than mobile broadband, not only because subscriptions are shared by multiple users (e.g. in households), but also because they include mobile traffic routed over Wi-Fi when available.</w:t>
      </w:r>
    </w:p>
    <w:p w14:paraId="06421DBD" w14:textId="1DBCE181" w:rsidR="004B4CBE" w:rsidRPr="002B64E2" w:rsidRDefault="004B4CBE" w:rsidP="004B4CB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Between 2019 and 2024 monthly mobile-broadband traffic in the </w:t>
      </w:r>
      <w:r w:rsidR="005B3CE0" w:rsidRPr="002B64E2">
        <w:rPr>
          <w:rFonts w:ascii="Aptos" w:eastAsia="Aptos" w:hAnsi="Aptos" w:cs="Arial"/>
          <w:kern w:val="2"/>
          <w:sz w:val="22"/>
          <w:szCs w:val="22"/>
          <w14:ligatures w14:val="standardContextual"/>
        </w:rPr>
        <w:t xml:space="preserve">CIS region </w:t>
      </w:r>
      <w:r w:rsidRPr="002B64E2">
        <w:rPr>
          <w:rFonts w:ascii="Aptos" w:eastAsia="Aptos" w:hAnsi="Aptos" w:cs="Arial"/>
          <w:kern w:val="2"/>
          <w:sz w:val="22"/>
          <w:szCs w:val="22"/>
          <w14:ligatures w14:val="standardContextual"/>
        </w:rPr>
        <w:t xml:space="preserve">increased from </w:t>
      </w:r>
      <w:r w:rsidR="002B3091" w:rsidRPr="002B64E2">
        <w:rPr>
          <w:rFonts w:ascii="Aptos" w:eastAsia="Aptos" w:hAnsi="Aptos" w:cs="Arial"/>
          <w:kern w:val="2"/>
          <w:sz w:val="22"/>
          <w:szCs w:val="22"/>
          <w14:ligatures w14:val="standardContextual"/>
        </w:rPr>
        <w:t xml:space="preserve">7 </w:t>
      </w:r>
      <w:r w:rsidRPr="002B64E2">
        <w:rPr>
          <w:rFonts w:ascii="Aptos" w:eastAsia="Aptos" w:hAnsi="Aptos" w:cs="Arial"/>
          <w:kern w:val="2"/>
          <w:sz w:val="22"/>
          <w:szCs w:val="22"/>
          <w14:ligatures w14:val="standardContextual"/>
        </w:rPr>
        <w:t xml:space="preserve">to </w:t>
      </w:r>
      <w:r w:rsidR="005251F8" w:rsidRPr="002B64E2">
        <w:rPr>
          <w:rFonts w:ascii="Aptos" w:eastAsia="Aptos" w:hAnsi="Aptos" w:cs="Arial"/>
          <w:kern w:val="2"/>
          <w:sz w:val="22"/>
          <w:szCs w:val="22"/>
          <w14:ligatures w14:val="standardContextual"/>
        </w:rPr>
        <w:t>19</w:t>
      </w:r>
      <w:r w:rsidRPr="002B64E2">
        <w:rPr>
          <w:rFonts w:ascii="Aptos" w:eastAsia="Aptos" w:hAnsi="Aptos" w:cs="Arial"/>
          <w:kern w:val="2"/>
          <w:sz w:val="22"/>
          <w:szCs w:val="22"/>
          <w14:ligatures w14:val="standardContextual"/>
        </w:rPr>
        <w:t xml:space="preserve"> GB per mobile-broadband subscription, </w:t>
      </w:r>
      <w:r w:rsidR="00367469" w:rsidRPr="002B64E2">
        <w:rPr>
          <w:rFonts w:ascii="Aptos" w:eastAsia="Aptos" w:hAnsi="Aptos" w:cs="Arial"/>
          <w:kern w:val="2"/>
          <w:sz w:val="22"/>
          <w:szCs w:val="22"/>
          <w14:ligatures w14:val="standardContextual"/>
        </w:rPr>
        <w:t>above</w:t>
      </w:r>
      <w:r w:rsidRPr="002B64E2">
        <w:rPr>
          <w:rFonts w:ascii="Aptos" w:eastAsia="Aptos" w:hAnsi="Aptos" w:cs="Arial"/>
          <w:kern w:val="2"/>
          <w:sz w:val="22"/>
          <w:szCs w:val="22"/>
          <w14:ligatures w14:val="standardContextual"/>
        </w:rPr>
        <w:t xml:space="preserve"> the global average, which increased from 6 to 14 GB per month during the same period. The situation was reversed for fixed broadband traffic, which in the </w:t>
      </w:r>
      <w:r w:rsidR="008E6073" w:rsidRPr="002B64E2">
        <w:rPr>
          <w:rFonts w:ascii="Aptos" w:eastAsia="Aptos" w:hAnsi="Aptos" w:cs="Arial"/>
          <w:kern w:val="2"/>
          <w:sz w:val="22"/>
          <w:szCs w:val="22"/>
          <w14:ligatures w14:val="standardContextual"/>
        </w:rPr>
        <w:t xml:space="preserve">CIS region </w:t>
      </w:r>
      <w:r w:rsidRPr="002B64E2">
        <w:rPr>
          <w:rFonts w:ascii="Aptos" w:eastAsia="Aptos" w:hAnsi="Aptos" w:cs="Arial"/>
          <w:kern w:val="2"/>
          <w:sz w:val="22"/>
          <w:szCs w:val="22"/>
          <w14:ligatures w14:val="standardContextual"/>
        </w:rPr>
        <w:t xml:space="preserve">increased from a monthly </w:t>
      </w:r>
      <w:r w:rsidR="004A7E61" w:rsidRPr="002B64E2">
        <w:rPr>
          <w:rFonts w:ascii="Aptos" w:eastAsia="Aptos" w:hAnsi="Aptos" w:cs="Arial"/>
          <w:kern w:val="2"/>
          <w:sz w:val="22"/>
          <w:szCs w:val="22"/>
          <w14:ligatures w14:val="standardContextual"/>
        </w:rPr>
        <w:t>96</w:t>
      </w:r>
      <w:r w:rsidRPr="002B64E2">
        <w:rPr>
          <w:rFonts w:ascii="Aptos" w:eastAsia="Aptos" w:hAnsi="Aptos" w:cs="Arial"/>
          <w:kern w:val="2"/>
          <w:sz w:val="22"/>
          <w:szCs w:val="22"/>
          <w14:ligatures w14:val="standardContextual"/>
        </w:rPr>
        <w:t xml:space="preserve"> GB to </w:t>
      </w:r>
      <w:r w:rsidR="004A7E61" w:rsidRPr="002B64E2">
        <w:rPr>
          <w:rFonts w:ascii="Aptos" w:eastAsia="Aptos" w:hAnsi="Aptos" w:cs="Arial"/>
          <w:kern w:val="2"/>
          <w:sz w:val="22"/>
          <w:szCs w:val="22"/>
          <w14:ligatures w14:val="standardContextual"/>
        </w:rPr>
        <w:t xml:space="preserve">228 </w:t>
      </w:r>
      <w:r w:rsidRPr="002B64E2">
        <w:rPr>
          <w:rFonts w:ascii="Aptos" w:eastAsia="Aptos" w:hAnsi="Aptos" w:cs="Arial"/>
          <w:kern w:val="2"/>
          <w:sz w:val="22"/>
          <w:szCs w:val="22"/>
          <w14:ligatures w14:val="standardContextual"/>
        </w:rPr>
        <w:t xml:space="preserve">GB per subscription, </w:t>
      </w:r>
      <w:r w:rsidR="004A7E61" w:rsidRPr="002B64E2">
        <w:rPr>
          <w:rFonts w:ascii="Aptos" w:eastAsia="Aptos" w:hAnsi="Aptos" w:cs="Arial"/>
          <w:kern w:val="2"/>
          <w:sz w:val="22"/>
          <w:szCs w:val="22"/>
          <w14:ligatures w14:val="standardContextual"/>
        </w:rPr>
        <w:t xml:space="preserve">below </w:t>
      </w:r>
      <w:r w:rsidRPr="002B64E2">
        <w:rPr>
          <w:rFonts w:ascii="Aptos" w:eastAsia="Aptos" w:hAnsi="Aptos" w:cs="Arial"/>
          <w:kern w:val="2"/>
          <w:sz w:val="22"/>
          <w:szCs w:val="22"/>
          <w14:ligatures w14:val="standardContextual"/>
        </w:rPr>
        <w:t>the global average, which increased from 141 to 311 GB.</w:t>
      </w:r>
    </w:p>
    <w:p w14:paraId="14001702" w14:textId="43A9C9D3"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lastRenderedPageBreak/>
        <w:t xml:space="preserve">Mobile-broadband Internet traffic (GB) per subscription per month, </w:t>
      </w:r>
      <w:r w:rsidR="008D4391" w:rsidRPr="002B64E2">
        <w:rPr>
          <w:rFonts w:ascii="AvenirNext LT Pro Light" w:eastAsia="Yu Gothic Light" w:hAnsi="AvenirNext LT Pro Light" w:cs="Calibri"/>
          <w:color w:val="0070C0"/>
          <w:spacing w:val="-10"/>
          <w:kern w:val="28"/>
          <w:szCs w:val="24"/>
        </w:rPr>
        <w:t>2023</w:t>
      </w:r>
    </w:p>
    <w:p w14:paraId="5B3DCD97" w14:textId="77777777" w:rsidR="00441EDF" w:rsidRPr="002B64E2" w:rsidRDefault="00945CB3" w:rsidP="00B1004A">
      <w:pPr>
        <w:pStyle w:val="notetext"/>
      </w:pPr>
      <w:r w:rsidRPr="002B64E2">
        <w:rPr>
          <w:noProof/>
        </w:rPr>
        <w:drawing>
          <wp:inline distT="0" distB="0" distL="0" distR="0" wp14:anchorId="69AC1612" wp14:editId="13963A02">
            <wp:extent cx="6120000" cy="2795555"/>
            <wp:effectExtent l="0" t="0" r="0" b="5080"/>
            <wp:docPr id="6853831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83199" name=""/>
                    <pic:cNvPicPr/>
                  </pic:nvPicPr>
                  <pic:blipFill>
                    <a:blip r:embed="rId65">
                      <a:extLst>
                        <a:ext uri="{96DAC541-7B7A-43D3-8B79-37D633B846F1}">
                          <asvg:svgBlip xmlns:asvg="http://schemas.microsoft.com/office/drawing/2016/SVG/main" r:embed="rId66"/>
                        </a:ext>
                      </a:extLst>
                    </a:blip>
                    <a:stretch>
                      <a:fillRect/>
                    </a:stretch>
                  </pic:blipFill>
                  <pic:spPr>
                    <a:xfrm>
                      <a:off x="0" y="0"/>
                      <a:ext cx="6120000" cy="2795555"/>
                    </a:xfrm>
                    <a:prstGeom prst="rect">
                      <a:avLst/>
                    </a:prstGeom>
                  </pic:spPr>
                </pic:pic>
              </a:graphicData>
            </a:graphic>
          </wp:inline>
        </w:drawing>
      </w:r>
    </w:p>
    <w:p w14:paraId="4D5BAEB9" w14:textId="042A063C" w:rsidR="006C41B5" w:rsidRPr="002B64E2" w:rsidRDefault="006C41B5" w:rsidP="00B1004A">
      <w:pPr>
        <w:pStyle w:val="notetext"/>
      </w:pPr>
      <w:r w:rsidRPr="002B64E2">
        <w:t xml:space="preserve">Note: Internet traffic originating within country. </w:t>
      </w:r>
    </w:p>
    <w:p w14:paraId="514ACA52" w14:textId="77777777" w:rsidR="006C41B5" w:rsidRPr="002B64E2" w:rsidRDefault="006C41B5" w:rsidP="00B1004A">
      <w:pPr>
        <w:pStyle w:val="Sourcetext"/>
      </w:pPr>
      <w:r w:rsidRPr="002B64E2">
        <w:t>Source: ITU</w:t>
      </w:r>
    </w:p>
    <w:p w14:paraId="2DFB4706" w14:textId="1210A1E5" w:rsidR="000E4606" w:rsidRPr="002B64E2" w:rsidRDefault="000E4606"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The region exhibits a large variety when it comes to traffic indicators. Mobile broadband traffic ranged from </w:t>
      </w:r>
      <w:r w:rsidR="000F5B20" w:rsidRPr="002B64E2">
        <w:rPr>
          <w:rFonts w:ascii="Aptos" w:eastAsia="Aptos" w:hAnsi="Aptos" w:cs="Arial"/>
          <w:kern w:val="2"/>
          <w:sz w:val="22"/>
          <w:szCs w:val="22"/>
          <w14:ligatures w14:val="standardContextual"/>
        </w:rPr>
        <w:t>4</w:t>
      </w:r>
      <w:r w:rsidRPr="002B64E2">
        <w:rPr>
          <w:rFonts w:ascii="Aptos" w:eastAsia="Aptos" w:hAnsi="Aptos" w:cs="Arial"/>
          <w:kern w:val="2"/>
          <w:sz w:val="22"/>
          <w:szCs w:val="22"/>
          <w14:ligatures w14:val="standardContextual"/>
        </w:rPr>
        <w:t xml:space="preserve"> GB per subscription per month to 2</w:t>
      </w:r>
      <w:r w:rsidR="000F5B20" w:rsidRPr="002B64E2">
        <w:rPr>
          <w:rFonts w:ascii="Aptos" w:eastAsia="Aptos" w:hAnsi="Aptos" w:cs="Arial"/>
          <w:kern w:val="2"/>
          <w:sz w:val="22"/>
          <w:szCs w:val="22"/>
          <w14:ligatures w14:val="standardContextual"/>
        </w:rPr>
        <w:t>6</w:t>
      </w:r>
      <w:r w:rsidRPr="002B64E2">
        <w:rPr>
          <w:rFonts w:ascii="Aptos" w:eastAsia="Aptos" w:hAnsi="Aptos" w:cs="Arial"/>
          <w:kern w:val="2"/>
          <w:sz w:val="22"/>
          <w:szCs w:val="22"/>
          <w14:ligatures w14:val="standardContextual"/>
        </w:rPr>
        <w:t xml:space="preserve">. For fixed broadband traffic, the spread was from </w:t>
      </w:r>
      <w:r w:rsidR="00366BA6" w:rsidRPr="002B64E2">
        <w:rPr>
          <w:rFonts w:ascii="Aptos" w:eastAsia="Aptos" w:hAnsi="Aptos" w:cs="Arial"/>
          <w:kern w:val="2"/>
          <w:sz w:val="22"/>
          <w:szCs w:val="22"/>
          <w14:ligatures w14:val="standardContextual"/>
        </w:rPr>
        <w:t>46</w:t>
      </w:r>
      <w:r w:rsidRPr="002B64E2">
        <w:rPr>
          <w:rFonts w:ascii="Aptos" w:eastAsia="Aptos" w:hAnsi="Aptos" w:cs="Arial"/>
          <w:kern w:val="2"/>
          <w:sz w:val="22"/>
          <w:szCs w:val="22"/>
          <w14:ligatures w14:val="standardContextual"/>
        </w:rPr>
        <w:t xml:space="preserve"> to 5</w:t>
      </w:r>
      <w:r w:rsidR="0057100D" w:rsidRPr="002B64E2">
        <w:rPr>
          <w:rFonts w:ascii="Aptos" w:eastAsia="Aptos" w:hAnsi="Aptos" w:cs="Arial"/>
          <w:kern w:val="2"/>
          <w:sz w:val="22"/>
          <w:szCs w:val="22"/>
          <w14:ligatures w14:val="standardContextual"/>
        </w:rPr>
        <w:t>11</w:t>
      </w:r>
      <w:r w:rsidRPr="002B64E2">
        <w:rPr>
          <w:rFonts w:ascii="Aptos" w:eastAsia="Aptos" w:hAnsi="Aptos" w:cs="Arial"/>
          <w:kern w:val="2"/>
          <w:sz w:val="22"/>
          <w:szCs w:val="22"/>
          <w14:ligatures w14:val="standardContextual"/>
        </w:rPr>
        <w:t xml:space="preserve"> GB per subscription per month. Of note is that some countries with high mobile broadband traffic have </w:t>
      </w:r>
      <w:r w:rsidR="003E1FE8" w:rsidRPr="002B64E2">
        <w:rPr>
          <w:rFonts w:ascii="Aptos" w:eastAsia="Aptos" w:hAnsi="Aptos" w:cs="Arial"/>
          <w:kern w:val="2"/>
          <w:sz w:val="22"/>
          <w:szCs w:val="22"/>
          <w14:ligatures w14:val="standardContextual"/>
        </w:rPr>
        <w:t>low</w:t>
      </w:r>
      <w:r w:rsidRPr="002B64E2">
        <w:rPr>
          <w:rFonts w:ascii="Aptos" w:eastAsia="Aptos" w:hAnsi="Aptos" w:cs="Arial"/>
          <w:kern w:val="2"/>
          <w:sz w:val="22"/>
          <w:szCs w:val="22"/>
          <w14:ligatures w14:val="standardContextual"/>
        </w:rPr>
        <w:t xml:space="preserve"> fixed broadband traffic and vice-versa.</w:t>
      </w:r>
    </w:p>
    <w:p w14:paraId="6E9B4B6F" w14:textId="36F5FA6D"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 xml:space="preserve">Fixed-broadband Internet traffic per subscription per month (GB), </w:t>
      </w:r>
      <w:r w:rsidR="008D4391" w:rsidRPr="002B64E2">
        <w:rPr>
          <w:rFonts w:ascii="AvenirNext LT Pro Light" w:eastAsia="Yu Gothic Light" w:hAnsi="AvenirNext LT Pro Light" w:cs="Calibri"/>
          <w:color w:val="0070C0"/>
          <w:spacing w:val="-10"/>
          <w:kern w:val="28"/>
          <w:szCs w:val="24"/>
        </w:rPr>
        <w:t>2023</w:t>
      </w:r>
    </w:p>
    <w:p w14:paraId="4D7492D8" w14:textId="7573EAB0" w:rsidR="006C41B5" w:rsidRPr="002B64E2" w:rsidRDefault="00A177C8" w:rsidP="00B1004A">
      <w:pPr>
        <w:pStyle w:val="Sourcetext"/>
      </w:pPr>
      <w:r w:rsidRPr="002B64E2">
        <w:rPr>
          <w:noProof/>
        </w:rPr>
        <w:drawing>
          <wp:inline distT="0" distB="0" distL="0" distR="0" wp14:anchorId="7AFF5A45" wp14:editId="02540E49">
            <wp:extent cx="6120765" cy="2768600"/>
            <wp:effectExtent l="0" t="0" r="0" b="0"/>
            <wp:docPr id="16593083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308357" name=""/>
                    <pic:cNvPicPr/>
                  </pic:nvPicPr>
                  <pic:blipFill>
                    <a:blip r:embed="rId67">
                      <a:extLst>
                        <a:ext uri="{96DAC541-7B7A-43D3-8B79-37D633B846F1}">
                          <asvg:svgBlip xmlns:asvg="http://schemas.microsoft.com/office/drawing/2016/SVG/main" r:embed="rId68"/>
                        </a:ext>
                      </a:extLst>
                    </a:blip>
                    <a:stretch>
                      <a:fillRect/>
                    </a:stretch>
                  </pic:blipFill>
                  <pic:spPr>
                    <a:xfrm>
                      <a:off x="0" y="0"/>
                      <a:ext cx="6120765" cy="2768600"/>
                    </a:xfrm>
                    <a:prstGeom prst="rect">
                      <a:avLst/>
                    </a:prstGeom>
                  </pic:spPr>
                </pic:pic>
              </a:graphicData>
            </a:graphic>
          </wp:inline>
        </w:drawing>
      </w:r>
      <w:r w:rsidR="006C41B5" w:rsidRPr="002B64E2">
        <w:t>Source: ITU</w:t>
      </w:r>
    </w:p>
    <w:p w14:paraId="6BDBBF30" w14:textId="77777777" w:rsidR="00BD4E56" w:rsidRPr="002B64E2" w:rsidRDefault="00BD4E56" w:rsidP="00BD4E56">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lastRenderedPageBreak/>
        <w:t>International bandwidth per Internet user (kbit/s)</w:t>
      </w:r>
    </w:p>
    <w:p w14:paraId="39D066E9" w14:textId="679FACB6" w:rsidR="00E57110" w:rsidRPr="002B64E2" w:rsidRDefault="00C41C0F" w:rsidP="00BD4E5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2B64E2">
        <w:rPr>
          <w:noProof/>
        </w:rPr>
        <w:drawing>
          <wp:inline distT="0" distB="0" distL="0" distR="0" wp14:anchorId="0131E556" wp14:editId="689B5581">
            <wp:extent cx="6120765" cy="2437130"/>
            <wp:effectExtent l="0" t="0" r="0" b="1270"/>
            <wp:docPr id="834177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7746" name=""/>
                    <pic:cNvPicPr/>
                  </pic:nvPicPr>
                  <pic:blipFill>
                    <a:blip r:embed="rId69">
                      <a:extLst>
                        <a:ext uri="{96DAC541-7B7A-43D3-8B79-37D633B846F1}">
                          <asvg:svgBlip xmlns:asvg="http://schemas.microsoft.com/office/drawing/2016/SVG/main" r:embed="rId70"/>
                        </a:ext>
                      </a:extLst>
                    </a:blip>
                    <a:stretch>
                      <a:fillRect/>
                    </a:stretch>
                  </pic:blipFill>
                  <pic:spPr>
                    <a:xfrm>
                      <a:off x="0" y="0"/>
                      <a:ext cx="6120765" cy="2437130"/>
                    </a:xfrm>
                    <a:prstGeom prst="rect">
                      <a:avLst/>
                    </a:prstGeom>
                  </pic:spPr>
                </pic:pic>
              </a:graphicData>
            </a:graphic>
          </wp:inline>
        </w:drawing>
      </w:r>
    </w:p>
    <w:p w14:paraId="5A92A8AD" w14:textId="1D6EAC30" w:rsidR="00BD4E56" w:rsidRPr="002B64E2" w:rsidRDefault="00BD4E56" w:rsidP="00BD4E5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2B64E2">
        <w:rPr>
          <w:rFonts w:ascii="Aptos" w:eastAsia="Aptos" w:hAnsi="Aptos" w:cs="Arial"/>
          <w:kern w:val="2"/>
          <w:sz w:val="16"/>
          <w:szCs w:val="28"/>
          <w14:ligatures w14:val="standardContextual"/>
        </w:rPr>
        <w:t>Source: ITU</w:t>
      </w:r>
    </w:p>
    <w:p w14:paraId="1A824C4B" w14:textId="3585BE7E" w:rsidR="00F44EB0" w:rsidRPr="002B64E2" w:rsidRDefault="008E2B5E" w:rsidP="0085267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Unlike the end-user Internet traffic measured above, international bandwidth usage is a throughput measure that refers to the annual average used capacity of international connections, typically carried over submarine or terrestrial fibre-optic cables or microwave links. </w:t>
      </w:r>
      <w:r w:rsidR="00CF2AD4" w:rsidRPr="002B64E2">
        <w:rPr>
          <w:rFonts w:ascii="Aptos" w:eastAsia="Aptos" w:hAnsi="Aptos" w:cs="Arial"/>
          <w:kern w:val="2"/>
          <w:sz w:val="22"/>
          <w:szCs w:val="22"/>
          <w14:ligatures w14:val="standardContextual"/>
        </w:rPr>
        <w:t xml:space="preserve">In the </w:t>
      </w:r>
      <w:r w:rsidR="001F5816" w:rsidRPr="002B64E2">
        <w:rPr>
          <w:rFonts w:ascii="Aptos" w:eastAsia="Aptos" w:hAnsi="Aptos" w:cs="Arial"/>
          <w:kern w:val="2"/>
          <w:sz w:val="22"/>
          <w:szCs w:val="22"/>
          <w14:ligatures w14:val="standardContextual"/>
        </w:rPr>
        <w:t>CIS region</w:t>
      </w:r>
      <w:r w:rsidR="003B1726" w:rsidRPr="002B64E2">
        <w:rPr>
          <w:rFonts w:ascii="Aptos" w:eastAsia="Aptos" w:hAnsi="Aptos" w:cs="Arial"/>
          <w:kern w:val="2"/>
          <w:sz w:val="22"/>
          <w:szCs w:val="22"/>
          <w14:ligatures w14:val="standardContextual"/>
        </w:rPr>
        <w:t xml:space="preserve">, </w:t>
      </w:r>
      <w:r w:rsidR="00CF2AD4" w:rsidRPr="002B64E2">
        <w:rPr>
          <w:rFonts w:ascii="Aptos" w:eastAsia="Aptos" w:hAnsi="Aptos" w:cs="Arial"/>
          <w:kern w:val="2"/>
          <w:sz w:val="22"/>
          <w:szCs w:val="22"/>
          <w14:ligatures w14:val="standardContextual"/>
        </w:rPr>
        <w:t xml:space="preserve">overland </w:t>
      </w:r>
      <w:r w:rsidR="00E675DF" w:rsidRPr="002B64E2">
        <w:rPr>
          <w:rFonts w:ascii="Aptos" w:eastAsia="Aptos" w:hAnsi="Aptos" w:cs="Arial"/>
          <w:kern w:val="2"/>
          <w:sz w:val="22"/>
          <w:szCs w:val="22"/>
          <w14:ligatures w14:val="standardContextual"/>
        </w:rPr>
        <w:t xml:space="preserve">fibre </w:t>
      </w:r>
      <w:r w:rsidR="00CF2AD4" w:rsidRPr="002B64E2">
        <w:rPr>
          <w:rFonts w:ascii="Aptos" w:eastAsia="Aptos" w:hAnsi="Aptos" w:cs="Arial"/>
          <w:kern w:val="2"/>
          <w:sz w:val="22"/>
          <w:szCs w:val="22"/>
          <w14:ligatures w14:val="standardContextual"/>
        </w:rPr>
        <w:t xml:space="preserve">cables dominate </w:t>
      </w:r>
      <w:r w:rsidR="00285509" w:rsidRPr="002B64E2">
        <w:rPr>
          <w:rFonts w:ascii="Aptos" w:eastAsia="Aptos" w:hAnsi="Aptos" w:cs="Arial"/>
          <w:kern w:val="2"/>
          <w:sz w:val="22"/>
          <w:szCs w:val="22"/>
          <w14:ligatures w14:val="standardContextual"/>
        </w:rPr>
        <w:t xml:space="preserve">both </w:t>
      </w:r>
      <w:r w:rsidR="00E63E23" w:rsidRPr="002B64E2">
        <w:rPr>
          <w:rFonts w:ascii="Aptos" w:eastAsia="Aptos" w:hAnsi="Aptos" w:cs="Arial"/>
          <w:kern w:val="2"/>
          <w:sz w:val="22"/>
          <w:szCs w:val="22"/>
          <w14:ligatures w14:val="standardContextual"/>
        </w:rPr>
        <w:t xml:space="preserve">the domestic backbone as well as </w:t>
      </w:r>
      <w:r w:rsidR="001F6BD5" w:rsidRPr="002B64E2">
        <w:rPr>
          <w:rFonts w:ascii="Aptos" w:eastAsia="Aptos" w:hAnsi="Aptos" w:cs="Arial"/>
          <w:kern w:val="2"/>
          <w:sz w:val="22"/>
          <w:szCs w:val="22"/>
          <w14:ligatures w14:val="standardContextual"/>
        </w:rPr>
        <w:t xml:space="preserve">the </w:t>
      </w:r>
      <w:r w:rsidR="00852038" w:rsidRPr="002B64E2">
        <w:rPr>
          <w:rFonts w:ascii="Aptos" w:eastAsia="Aptos" w:hAnsi="Aptos" w:cs="Arial"/>
          <w:kern w:val="2"/>
          <w:sz w:val="22"/>
          <w:szCs w:val="22"/>
          <w14:ligatures w14:val="standardContextual"/>
        </w:rPr>
        <w:t xml:space="preserve">international connectivity landscape, </w:t>
      </w:r>
      <w:r w:rsidR="00E63E23" w:rsidRPr="002B64E2">
        <w:rPr>
          <w:rFonts w:ascii="Aptos" w:eastAsia="Aptos" w:hAnsi="Aptos" w:cs="Arial"/>
          <w:kern w:val="2"/>
          <w:sz w:val="22"/>
          <w:szCs w:val="22"/>
          <w14:ligatures w14:val="standardContextual"/>
        </w:rPr>
        <w:t xml:space="preserve">due to </w:t>
      </w:r>
      <w:r w:rsidR="00F802D4" w:rsidRPr="002B64E2">
        <w:rPr>
          <w:rFonts w:ascii="Aptos" w:eastAsia="Aptos" w:hAnsi="Aptos" w:cs="Arial"/>
          <w:kern w:val="2"/>
          <w:sz w:val="22"/>
          <w:szCs w:val="22"/>
          <w14:ligatures w14:val="standardContextual"/>
        </w:rPr>
        <w:t xml:space="preserve">the </w:t>
      </w:r>
      <w:r w:rsidR="00852038" w:rsidRPr="002B64E2">
        <w:rPr>
          <w:rFonts w:ascii="Aptos" w:eastAsia="Aptos" w:hAnsi="Aptos" w:cs="Arial"/>
          <w:kern w:val="2"/>
          <w:sz w:val="22"/>
          <w:szCs w:val="22"/>
          <w14:ligatures w14:val="standardContextual"/>
        </w:rPr>
        <w:t>ge</w:t>
      </w:r>
      <w:r w:rsidR="001D5863" w:rsidRPr="002B64E2">
        <w:rPr>
          <w:rFonts w:ascii="Aptos" w:eastAsia="Aptos" w:hAnsi="Aptos" w:cs="Arial"/>
          <w:kern w:val="2"/>
          <w:sz w:val="22"/>
          <w:szCs w:val="22"/>
          <w14:ligatures w14:val="standardContextual"/>
        </w:rPr>
        <w:t>ograph</w:t>
      </w:r>
      <w:r w:rsidR="00F802D4" w:rsidRPr="002B64E2">
        <w:rPr>
          <w:rFonts w:ascii="Aptos" w:eastAsia="Aptos" w:hAnsi="Aptos" w:cs="Arial"/>
          <w:kern w:val="2"/>
          <w:sz w:val="22"/>
          <w:szCs w:val="22"/>
          <w14:ligatures w14:val="standardContextual"/>
        </w:rPr>
        <w:t xml:space="preserve">ical </w:t>
      </w:r>
      <w:r w:rsidR="006F451C" w:rsidRPr="002B64E2">
        <w:rPr>
          <w:rFonts w:ascii="Aptos" w:eastAsia="Aptos" w:hAnsi="Aptos" w:cs="Arial"/>
          <w:kern w:val="2"/>
          <w:sz w:val="22"/>
          <w:szCs w:val="22"/>
          <w14:ligatures w14:val="standardContextual"/>
        </w:rPr>
        <w:t>characteristics of many landlocked countries and those with extensive land areas</w:t>
      </w:r>
      <w:r w:rsidR="001D5863" w:rsidRPr="002B64E2">
        <w:rPr>
          <w:rFonts w:ascii="Aptos" w:eastAsia="Aptos" w:hAnsi="Aptos" w:cs="Arial"/>
          <w:kern w:val="2"/>
          <w:sz w:val="22"/>
          <w:szCs w:val="22"/>
          <w14:ligatures w14:val="standardContextual"/>
        </w:rPr>
        <w:t xml:space="preserve">. </w:t>
      </w:r>
      <w:r w:rsidR="00FB7311" w:rsidRPr="002B64E2">
        <w:rPr>
          <w:rFonts w:ascii="Aptos" w:eastAsia="Aptos" w:hAnsi="Aptos" w:cs="Arial"/>
          <w:kern w:val="2"/>
          <w:sz w:val="22"/>
          <w:szCs w:val="22"/>
          <w14:ligatures w14:val="standardContextual"/>
        </w:rPr>
        <w:t xml:space="preserve">Landlocked countries rely heavily on </w:t>
      </w:r>
      <w:r w:rsidR="00EA0806" w:rsidRPr="002B64E2">
        <w:rPr>
          <w:rFonts w:ascii="Aptos" w:eastAsia="Aptos" w:hAnsi="Aptos" w:cs="Arial"/>
          <w:kern w:val="2"/>
          <w:sz w:val="22"/>
          <w:szCs w:val="22"/>
          <w14:ligatures w14:val="standardContextual"/>
        </w:rPr>
        <w:t xml:space="preserve">their </w:t>
      </w:r>
      <w:r w:rsidR="00FB7311" w:rsidRPr="002B64E2">
        <w:rPr>
          <w:rFonts w:ascii="Aptos" w:eastAsia="Aptos" w:hAnsi="Aptos" w:cs="Arial"/>
          <w:kern w:val="2"/>
          <w:sz w:val="22"/>
          <w:szCs w:val="22"/>
          <w14:ligatures w14:val="standardContextual"/>
        </w:rPr>
        <w:t>neighbo</w:t>
      </w:r>
      <w:r w:rsidR="00445A24" w:rsidRPr="002B64E2">
        <w:rPr>
          <w:rFonts w:ascii="Aptos" w:eastAsia="Aptos" w:hAnsi="Aptos" w:cs="Arial"/>
          <w:kern w:val="2"/>
          <w:sz w:val="22"/>
          <w:szCs w:val="22"/>
          <w14:ligatures w14:val="standardContextual"/>
        </w:rPr>
        <w:t>u</w:t>
      </w:r>
      <w:r w:rsidR="00FB7311" w:rsidRPr="002B64E2">
        <w:rPr>
          <w:rFonts w:ascii="Aptos" w:eastAsia="Aptos" w:hAnsi="Aptos" w:cs="Arial"/>
          <w:kern w:val="2"/>
          <w:sz w:val="22"/>
          <w:szCs w:val="22"/>
          <w14:ligatures w14:val="standardContextual"/>
        </w:rPr>
        <w:t>r</w:t>
      </w:r>
      <w:r w:rsidR="00EA0806" w:rsidRPr="002B64E2">
        <w:rPr>
          <w:rFonts w:ascii="Aptos" w:eastAsia="Aptos" w:hAnsi="Aptos" w:cs="Arial"/>
          <w:kern w:val="2"/>
          <w:sz w:val="22"/>
          <w:szCs w:val="22"/>
          <w14:ligatures w14:val="standardContextual"/>
        </w:rPr>
        <w:t>s</w:t>
      </w:r>
      <w:r w:rsidR="00FB7311" w:rsidRPr="002B64E2">
        <w:rPr>
          <w:rFonts w:ascii="Aptos" w:eastAsia="Aptos" w:hAnsi="Aptos" w:cs="Arial"/>
          <w:kern w:val="2"/>
          <w:sz w:val="22"/>
          <w:szCs w:val="22"/>
          <w14:ligatures w14:val="standardContextual"/>
        </w:rPr>
        <w:t xml:space="preserve"> </w:t>
      </w:r>
      <w:r w:rsidR="007E213C" w:rsidRPr="002B64E2">
        <w:rPr>
          <w:rFonts w:ascii="Aptos" w:eastAsia="Aptos" w:hAnsi="Aptos" w:cs="Arial"/>
          <w:kern w:val="2"/>
          <w:sz w:val="22"/>
          <w:szCs w:val="22"/>
          <w14:ligatures w14:val="standardContextual"/>
        </w:rPr>
        <w:t xml:space="preserve">to </w:t>
      </w:r>
      <w:r w:rsidR="00864097" w:rsidRPr="002B64E2">
        <w:rPr>
          <w:rFonts w:ascii="Aptos" w:eastAsia="Aptos" w:hAnsi="Aptos" w:cs="Arial"/>
          <w:kern w:val="2"/>
          <w:sz w:val="22"/>
          <w:szCs w:val="22"/>
          <w14:ligatures w14:val="standardContextual"/>
        </w:rPr>
        <w:t xml:space="preserve">maintain links to </w:t>
      </w:r>
      <w:r w:rsidR="00D135F2" w:rsidRPr="002B64E2">
        <w:rPr>
          <w:rFonts w:ascii="Aptos" w:eastAsia="Aptos" w:hAnsi="Aptos" w:cs="Arial"/>
          <w:kern w:val="2"/>
          <w:sz w:val="22"/>
          <w:szCs w:val="22"/>
          <w14:ligatures w14:val="standardContextual"/>
        </w:rPr>
        <w:t xml:space="preserve">global </w:t>
      </w:r>
      <w:r w:rsidR="00BF1E19" w:rsidRPr="002B64E2">
        <w:rPr>
          <w:rFonts w:ascii="Aptos" w:eastAsia="Aptos" w:hAnsi="Aptos" w:cs="Arial"/>
          <w:kern w:val="2"/>
          <w:sz w:val="22"/>
          <w:szCs w:val="22"/>
          <w14:ligatures w14:val="standardContextual"/>
        </w:rPr>
        <w:t>data flows</w:t>
      </w:r>
      <w:r w:rsidR="00FB7311" w:rsidRPr="002B64E2">
        <w:rPr>
          <w:rFonts w:ascii="Aptos" w:eastAsia="Aptos" w:hAnsi="Aptos" w:cs="Arial"/>
          <w:kern w:val="2"/>
          <w:sz w:val="22"/>
          <w:szCs w:val="22"/>
          <w14:ligatures w14:val="standardContextual"/>
        </w:rPr>
        <w:t xml:space="preserve">. </w:t>
      </w:r>
      <w:r w:rsidR="008D1549" w:rsidRPr="002B64E2">
        <w:rPr>
          <w:rFonts w:ascii="Aptos" w:eastAsia="Aptos" w:hAnsi="Aptos" w:cs="Arial"/>
          <w:kern w:val="2"/>
          <w:sz w:val="22"/>
          <w:szCs w:val="22"/>
          <w14:ligatures w14:val="standardContextual"/>
        </w:rPr>
        <w:t xml:space="preserve">Routes </w:t>
      </w:r>
      <w:r w:rsidR="00F95610" w:rsidRPr="002B64E2">
        <w:rPr>
          <w:rFonts w:ascii="Aptos" w:eastAsia="Aptos" w:hAnsi="Aptos" w:cs="Arial"/>
          <w:kern w:val="2"/>
          <w:sz w:val="22"/>
          <w:szCs w:val="22"/>
          <w14:ligatures w14:val="standardContextual"/>
        </w:rPr>
        <w:t>often traverse multiple countries and require coordination and robust agreements</w:t>
      </w:r>
      <w:r w:rsidR="00962052" w:rsidRPr="002B64E2">
        <w:rPr>
          <w:rFonts w:ascii="Aptos" w:eastAsia="Aptos" w:hAnsi="Aptos" w:cs="Arial"/>
          <w:kern w:val="2"/>
          <w:sz w:val="22"/>
          <w:szCs w:val="22"/>
          <w14:ligatures w14:val="standardContextual"/>
        </w:rPr>
        <w:t xml:space="preserve">. </w:t>
      </w:r>
      <w:r w:rsidR="00666014" w:rsidRPr="002B64E2">
        <w:rPr>
          <w:rFonts w:ascii="Aptos" w:eastAsia="Aptos" w:hAnsi="Aptos" w:cs="Arial"/>
          <w:kern w:val="2"/>
          <w:sz w:val="22"/>
          <w:szCs w:val="22"/>
          <w14:ligatures w14:val="standardContextual"/>
        </w:rPr>
        <w:t xml:space="preserve">Enhancing </w:t>
      </w:r>
      <w:r w:rsidR="00BD11C3" w:rsidRPr="002B64E2">
        <w:rPr>
          <w:rFonts w:ascii="Aptos" w:eastAsia="Aptos" w:hAnsi="Aptos" w:cs="Arial"/>
          <w:kern w:val="2"/>
          <w:sz w:val="22"/>
          <w:szCs w:val="22"/>
          <w14:ligatures w14:val="standardContextual"/>
        </w:rPr>
        <w:t xml:space="preserve">redundancy and </w:t>
      </w:r>
      <w:r w:rsidR="00032DE9" w:rsidRPr="002B64E2">
        <w:rPr>
          <w:rFonts w:ascii="Aptos" w:eastAsia="Aptos" w:hAnsi="Aptos" w:cs="Arial"/>
          <w:kern w:val="2"/>
          <w:sz w:val="22"/>
          <w:szCs w:val="22"/>
          <w14:ligatures w14:val="standardContextual"/>
        </w:rPr>
        <w:t xml:space="preserve">diversity </w:t>
      </w:r>
      <w:r w:rsidR="001102C8" w:rsidRPr="002B64E2">
        <w:rPr>
          <w:rFonts w:ascii="Aptos" w:eastAsia="Aptos" w:hAnsi="Aptos" w:cs="Arial"/>
          <w:kern w:val="2"/>
          <w:sz w:val="22"/>
          <w:szCs w:val="22"/>
          <w14:ligatures w14:val="standardContextual"/>
        </w:rPr>
        <w:t xml:space="preserve">of routes </w:t>
      </w:r>
      <w:r w:rsidR="00AE496B" w:rsidRPr="002B64E2">
        <w:rPr>
          <w:rFonts w:ascii="Aptos" w:eastAsia="Aptos" w:hAnsi="Aptos" w:cs="Arial"/>
          <w:kern w:val="2"/>
          <w:sz w:val="22"/>
          <w:szCs w:val="22"/>
          <w14:ligatures w14:val="standardContextual"/>
        </w:rPr>
        <w:t xml:space="preserve">can </w:t>
      </w:r>
      <w:r w:rsidR="001102C8" w:rsidRPr="002B64E2">
        <w:rPr>
          <w:rFonts w:ascii="Aptos" w:eastAsia="Aptos" w:hAnsi="Aptos" w:cs="Arial"/>
          <w:kern w:val="2"/>
          <w:sz w:val="22"/>
          <w:szCs w:val="22"/>
          <w14:ligatures w14:val="standardContextual"/>
        </w:rPr>
        <w:t>improve</w:t>
      </w:r>
      <w:r w:rsidR="00081B83" w:rsidRPr="002B64E2">
        <w:rPr>
          <w:rFonts w:ascii="Aptos" w:eastAsia="Aptos" w:hAnsi="Aptos" w:cs="Arial"/>
          <w:kern w:val="2"/>
          <w:sz w:val="22"/>
          <w:szCs w:val="22"/>
          <w14:ligatures w14:val="standardContextual"/>
        </w:rPr>
        <w:t xml:space="preserve"> network</w:t>
      </w:r>
      <w:r w:rsidR="001102C8" w:rsidRPr="002B64E2">
        <w:rPr>
          <w:rFonts w:ascii="Aptos" w:eastAsia="Aptos" w:hAnsi="Aptos" w:cs="Arial"/>
          <w:kern w:val="2"/>
          <w:sz w:val="22"/>
          <w:szCs w:val="22"/>
          <w14:ligatures w14:val="standardContextual"/>
        </w:rPr>
        <w:t xml:space="preserve"> resilience, </w:t>
      </w:r>
      <w:r w:rsidR="00ED4FE4" w:rsidRPr="002B64E2">
        <w:rPr>
          <w:rFonts w:ascii="Aptos" w:eastAsia="Aptos" w:hAnsi="Aptos" w:cs="Arial"/>
          <w:kern w:val="2"/>
          <w:sz w:val="22"/>
          <w:szCs w:val="22"/>
          <w14:ligatures w14:val="standardContextual"/>
        </w:rPr>
        <w:t xml:space="preserve">however, </w:t>
      </w:r>
      <w:r w:rsidR="005B34C3" w:rsidRPr="002B64E2">
        <w:rPr>
          <w:rFonts w:ascii="Aptos" w:eastAsia="Aptos" w:hAnsi="Aptos" w:cs="Arial"/>
          <w:kern w:val="2"/>
          <w:sz w:val="22"/>
          <w:szCs w:val="22"/>
          <w14:ligatures w14:val="standardContextual"/>
        </w:rPr>
        <w:t xml:space="preserve">crossing </w:t>
      </w:r>
      <w:r w:rsidR="00F94EAE" w:rsidRPr="002B64E2">
        <w:rPr>
          <w:rFonts w:ascii="Aptos" w:eastAsia="Aptos" w:hAnsi="Aptos" w:cs="Arial"/>
          <w:kern w:val="2"/>
          <w:sz w:val="22"/>
          <w:szCs w:val="22"/>
          <w14:ligatures w14:val="standardContextual"/>
        </w:rPr>
        <w:t xml:space="preserve">over </w:t>
      </w:r>
      <w:r w:rsidR="005B34C3" w:rsidRPr="002B64E2">
        <w:rPr>
          <w:rFonts w:ascii="Aptos" w:eastAsia="Aptos" w:hAnsi="Aptos" w:cs="Arial"/>
          <w:kern w:val="2"/>
          <w:sz w:val="22"/>
          <w:szCs w:val="22"/>
          <w14:ligatures w14:val="standardContextual"/>
        </w:rPr>
        <w:t xml:space="preserve">adverse terrains </w:t>
      </w:r>
      <w:r w:rsidR="00DE2B48" w:rsidRPr="002B64E2">
        <w:rPr>
          <w:rFonts w:ascii="Aptos" w:eastAsia="Aptos" w:hAnsi="Aptos" w:cs="Arial"/>
          <w:kern w:val="2"/>
          <w:sz w:val="22"/>
          <w:szCs w:val="22"/>
          <w14:ligatures w14:val="standardContextual"/>
        </w:rPr>
        <w:t>can significantly increase transit costs</w:t>
      </w:r>
      <w:r w:rsidR="00F94EAE" w:rsidRPr="002B64E2">
        <w:rPr>
          <w:rFonts w:ascii="Aptos" w:eastAsia="Aptos" w:hAnsi="Aptos" w:cs="Arial"/>
          <w:kern w:val="2"/>
          <w:sz w:val="22"/>
          <w:szCs w:val="22"/>
          <w14:ligatures w14:val="standardContextual"/>
        </w:rPr>
        <w:t>.</w:t>
      </w:r>
      <w:r w:rsidR="00DE2B48" w:rsidRPr="002B64E2">
        <w:rPr>
          <w:rFonts w:ascii="Aptos" w:eastAsia="Aptos" w:hAnsi="Aptos" w:cs="Arial"/>
          <w:kern w:val="2"/>
          <w:sz w:val="22"/>
          <w:szCs w:val="22"/>
          <w14:ligatures w14:val="standardContextual"/>
        </w:rPr>
        <w:t xml:space="preserve"> </w:t>
      </w:r>
      <w:r w:rsidR="00852678" w:rsidRPr="002B64E2">
        <w:rPr>
          <w:rFonts w:ascii="Aptos" w:eastAsia="Aptos" w:hAnsi="Aptos" w:cs="Arial"/>
          <w:kern w:val="2"/>
          <w:sz w:val="22"/>
          <w:szCs w:val="22"/>
          <w14:ligatures w14:val="standardContextual"/>
        </w:rPr>
        <w:t>Consequently, i</w:t>
      </w:r>
      <w:r w:rsidR="00A16336" w:rsidRPr="002B64E2">
        <w:rPr>
          <w:rFonts w:ascii="Aptos" w:eastAsia="Aptos" w:hAnsi="Aptos" w:cs="Arial"/>
          <w:kern w:val="2"/>
          <w:sz w:val="22"/>
          <w:szCs w:val="22"/>
          <w14:ligatures w14:val="standardContextual"/>
        </w:rPr>
        <w:t xml:space="preserve">t is therefore </w:t>
      </w:r>
      <w:r w:rsidR="006F7193" w:rsidRPr="002B64E2">
        <w:rPr>
          <w:rFonts w:ascii="Aptos" w:eastAsia="Aptos" w:hAnsi="Aptos" w:cs="Arial"/>
          <w:kern w:val="2"/>
          <w:sz w:val="22"/>
          <w:szCs w:val="22"/>
          <w14:ligatures w14:val="standardContextual"/>
        </w:rPr>
        <w:t xml:space="preserve">not surprising that </w:t>
      </w:r>
      <w:r w:rsidR="009F46AF" w:rsidRPr="002B64E2">
        <w:rPr>
          <w:rFonts w:ascii="Aptos" w:eastAsia="Aptos" w:hAnsi="Aptos" w:cs="Arial"/>
          <w:kern w:val="2"/>
          <w:sz w:val="22"/>
          <w:szCs w:val="22"/>
          <w14:ligatures w14:val="standardContextual"/>
        </w:rPr>
        <w:t xml:space="preserve">the average </w:t>
      </w:r>
      <w:r w:rsidR="00B97D90" w:rsidRPr="002B64E2">
        <w:rPr>
          <w:rFonts w:ascii="Aptos" w:eastAsia="Aptos" w:hAnsi="Aptos" w:cs="Arial"/>
          <w:kern w:val="2"/>
          <w:sz w:val="22"/>
          <w:szCs w:val="22"/>
          <w14:ligatures w14:val="standardContextual"/>
        </w:rPr>
        <w:t xml:space="preserve">international bandwidth usage in the </w:t>
      </w:r>
      <w:r w:rsidR="009F46AF" w:rsidRPr="002B64E2">
        <w:rPr>
          <w:rFonts w:ascii="Aptos" w:eastAsia="Aptos" w:hAnsi="Aptos" w:cs="Arial"/>
          <w:kern w:val="2"/>
          <w:sz w:val="22"/>
          <w:szCs w:val="22"/>
          <w14:ligatures w14:val="standardContextual"/>
        </w:rPr>
        <w:t xml:space="preserve">CIS region </w:t>
      </w:r>
      <w:r w:rsidR="001871B1" w:rsidRPr="002B64E2">
        <w:rPr>
          <w:rFonts w:ascii="Aptos" w:eastAsia="Aptos" w:hAnsi="Aptos" w:cs="Arial"/>
          <w:kern w:val="2"/>
          <w:sz w:val="22"/>
          <w:szCs w:val="22"/>
          <w14:ligatures w14:val="standardContextual"/>
        </w:rPr>
        <w:t>at 190 kbit/s was well below the global average of 323 kbit/s</w:t>
      </w:r>
      <w:r w:rsidR="003E1757" w:rsidRPr="002B64E2">
        <w:rPr>
          <w:rFonts w:ascii="Aptos" w:eastAsia="Aptos" w:hAnsi="Aptos" w:cs="Arial"/>
          <w:kern w:val="2"/>
          <w:sz w:val="22"/>
          <w:szCs w:val="22"/>
          <w14:ligatures w14:val="standardContextual"/>
        </w:rPr>
        <w:t xml:space="preserve"> in 2024</w:t>
      </w:r>
      <w:r w:rsidR="001871B1" w:rsidRPr="002B64E2">
        <w:rPr>
          <w:rFonts w:ascii="Aptos" w:eastAsia="Aptos" w:hAnsi="Aptos" w:cs="Arial"/>
          <w:kern w:val="2"/>
          <w:sz w:val="22"/>
          <w:szCs w:val="22"/>
          <w14:ligatures w14:val="standardContextual"/>
        </w:rPr>
        <w:t xml:space="preserve">. </w:t>
      </w:r>
    </w:p>
    <w:p w14:paraId="168A92F5" w14:textId="5FE54C62" w:rsidR="00F44EB0" w:rsidRPr="002B64E2" w:rsidRDefault="00F44EB0" w:rsidP="00F44EB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Demand for international bandwidth depends on many country-specific factors, such as geographical location or the size and development of domestic middle-mile connectivity infrastructure</w:t>
      </w:r>
      <w:r w:rsidR="00A27127" w:rsidRPr="002B64E2">
        <w:rPr>
          <w:rFonts w:ascii="Aptos" w:eastAsia="Aptos" w:hAnsi="Aptos" w:cs="Arial"/>
          <w:kern w:val="2"/>
          <w:sz w:val="22"/>
          <w:szCs w:val="22"/>
          <w14:ligatures w14:val="standardContextual"/>
        </w:rPr>
        <w:t xml:space="preserve">, </w:t>
      </w:r>
      <w:r w:rsidR="00BF27D7" w:rsidRPr="002B64E2">
        <w:rPr>
          <w:rFonts w:ascii="Aptos" w:eastAsia="Aptos" w:hAnsi="Aptos" w:cs="Arial"/>
          <w:kern w:val="2"/>
          <w:sz w:val="22"/>
          <w:szCs w:val="22"/>
          <w14:ligatures w14:val="standardContextual"/>
        </w:rPr>
        <w:t>or</w:t>
      </w:r>
      <w:r w:rsidR="00A27127" w:rsidRPr="002B64E2">
        <w:rPr>
          <w:rFonts w:ascii="Aptos" w:eastAsia="Aptos" w:hAnsi="Aptos" w:cs="Arial"/>
          <w:kern w:val="2"/>
          <w:sz w:val="22"/>
          <w:szCs w:val="22"/>
          <w14:ligatures w14:val="standardContextual"/>
        </w:rPr>
        <w:t xml:space="preserve"> the relative share of local content. The presence of </w:t>
      </w:r>
      <w:r w:rsidRPr="002B64E2">
        <w:rPr>
          <w:rFonts w:ascii="Aptos" w:eastAsia="Aptos" w:hAnsi="Aptos" w:cs="Arial"/>
          <w:kern w:val="2"/>
          <w:sz w:val="22"/>
          <w:szCs w:val="22"/>
          <w14:ligatures w14:val="standardContextual"/>
        </w:rPr>
        <w:t xml:space="preserve">data centres and Internet exchange points can </w:t>
      </w:r>
      <w:r w:rsidR="00A13181" w:rsidRPr="002B64E2">
        <w:rPr>
          <w:rFonts w:ascii="Aptos" w:eastAsia="Aptos" w:hAnsi="Aptos" w:cs="Arial"/>
          <w:kern w:val="2"/>
          <w:sz w:val="22"/>
          <w:szCs w:val="22"/>
          <w14:ligatures w14:val="standardContextual"/>
        </w:rPr>
        <w:t xml:space="preserve">also </w:t>
      </w:r>
      <w:r w:rsidRPr="002B64E2">
        <w:rPr>
          <w:rFonts w:ascii="Aptos" w:eastAsia="Aptos" w:hAnsi="Aptos" w:cs="Arial"/>
          <w:kern w:val="2"/>
          <w:sz w:val="22"/>
          <w:szCs w:val="22"/>
          <w14:ligatures w14:val="standardContextual"/>
        </w:rPr>
        <w:t>somewhat reduce the demand for international data exchange for larger countries.</w:t>
      </w:r>
      <w:r w:rsidR="00C91FBE" w:rsidRPr="002B64E2">
        <w:rPr>
          <w:rFonts w:ascii="Aptos" w:eastAsia="Aptos" w:hAnsi="Aptos" w:cs="Arial"/>
          <w:kern w:val="2"/>
          <w:sz w:val="22"/>
          <w:szCs w:val="22"/>
          <w14:ligatures w14:val="standardContextual"/>
        </w:rPr>
        <w:t xml:space="preserve"> Countries in the region showed high variation in terms of bandwidth usage</w:t>
      </w:r>
      <w:r w:rsidR="00687931" w:rsidRPr="002B64E2">
        <w:rPr>
          <w:rFonts w:ascii="Aptos" w:eastAsia="Aptos" w:hAnsi="Aptos" w:cs="Arial"/>
          <w:kern w:val="2"/>
          <w:sz w:val="22"/>
          <w:szCs w:val="22"/>
          <w14:ligatures w14:val="standardContextual"/>
        </w:rPr>
        <w:t xml:space="preserve">. </w:t>
      </w:r>
      <w:r w:rsidRPr="002B64E2">
        <w:rPr>
          <w:rFonts w:ascii="Aptos" w:eastAsia="Aptos" w:hAnsi="Aptos" w:cs="Arial"/>
          <w:kern w:val="2"/>
          <w:sz w:val="22"/>
          <w:szCs w:val="22"/>
          <w14:ligatures w14:val="standardContextual"/>
        </w:rPr>
        <w:t>In Belarus, bandwidth usage reached 371 kbit/s, above the world average, while Turkmenistan (although for 2021) reported bandwidth usage levels of only 23 kbit/s.</w:t>
      </w:r>
    </w:p>
    <w:p w14:paraId="254FF173" w14:textId="5D34870F" w:rsidR="002C14C4" w:rsidRPr="002B64E2" w:rsidRDefault="002C14C4" w:rsidP="001C1522">
      <w:pPr>
        <w:tabs>
          <w:tab w:val="clear" w:pos="794"/>
          <w:tab w:val="clear" w:pos="1191"/>
          <w:tab w:val="clear" w:pos="1588"/>
          <w:tab w:val="clear" w:pos="1985"/>
        </w:tabs>
        <w:overflowPunct/>
        <w:autoSpaceDE/>
        <w:autoSpaceDN/>
        <w:adjustRightInd/>
        <w:spacing w:before="0" w:after="160" w:line="259" w:lineRule="auto"/>
        <w:textAlignment w:val="auto"/>
        <w:rPr>
          <w:rFonts w:ascii="AvenirNext LT Pro Light" w:eastAsia="Yu Gothic Light" w:hAnsi="AvenirNext LT Pro Light" w:cs="Calibri"/>
          <w:color w:val="0070C0"/>
          <w:spacing w:val="-10"/>
          <w:kern w:val="28"/>
          <w:szCs w:val="24"/>
        </w:rPr>
      </w:pPr>
    </w:p>
    <w:p w14:paraId="75562187" w14:textId="1BC44FB1" w:rsidR="00BD4E56" w:rsidRPr="002B64E2" w:rsidRDefault="00BD4E56" w:rsidP="00BD4E56">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lastRenderedPageBreak/>
        <w:t xml:space="preserve">International bandwidth per Internet user (kbit/s), </w:t>
      </w:r>
      <w:r w:rsidR="00EB3E35" w:rsidRPr="002B64E2">
        <w:rPr>
          <w:rFonts w:ascii="AvenirNext LT Pro Light" w:eastAsia="Yu Gothic Light" w:hAnsi="AvenirNext LT Pro Light" w:cs="Calibri"/>
          <w:color w:val="0070C0"/>
          <w:spacing w:val="-10"/>
          <w:kern w:val="28"/>
          <w:szCs w:val="24"/>
        </w:rPr>
        <w:t xml:space="preserve">2023 or </w:t>
      </w:r>
      <w:r w:rsidRPr="002B64E2">
        <w:rPr>
          <w:rFonts w:ascii="AvenirNext LT Pro Light" w:eastAsia="Yu Gothic Light" w:hAnsi="AvenirNext LT Pro Light" w:cs="Calibri"/>
          <w:color w:val="0070C0"/>
          <w:spacing w:val="-10"/>
          <w:kern w:val="28"/>
          <w:szCs w:val="24"/>
        </w:rPr>
        <w:t>latest year available</w:t>
      </w:r>
    </w:p>
    <w:p w14:paraId="045135ED" w14:textId="1DE69770" w:rsidR="00BD4E56" w:rsidRPr="002B64E2" w:rsidRDefault="006E55F5" w:rsidP="00BD4E5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B64E2">
        <w:rPr>
          <w:noProof/>
        </w:rPr>
        <w:drawing>
          <wp:inline distT="0" distB="0" distL="0" distR="0" wp14:anchorId="324C5837" wp14:editId="1207C2E3">
            <wp:extent cx="6120765" cy="3121025"/>
            <wp:effectExtent l="0" t="0" r="0" b="3175"/>
            <wp:docPr id="92034938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349380" name=""/>
                    <pic:cNvPicPr/>
                  </pic:nvPicPr>
                  <pic:blipFill>
                    <a:blip r:embed="rId71">
                      <a:extLst>
                        <a:ext uri="{96DAC541-7B7A-43D3-8B79-37D633B846F1}">
                          <asvg:svgBlip xmlns:asvg="http://schemas.microsoft.com/office/drawing/2016/SVG/main" r:embed="rId72"/>
                        </a:ext>
                      </a:extLst>
                    </a:blip>
                    <a:stretch>
                      <a:fillRect/>
                    </a:stretch>
                  </pic:blipFill>
                  <pic:spPr>
                    <a:xfrm>
                      <a:off x="0" y="0"/>
                      <a:ext cx="6120765" cy="3121025"/>
                    </a:xfrm>
                    <a:prstGeom prst="rect">
                      <a:avLst/>
                    </a:prstGeom>
                  </pic:spPr>
                </pic:pic>
              </a:graphicData>
            </a:graphic>
          </wp:inline>
        </w:drawing>
      </w:r>
    </w:p>
    <w:p w14:paraId="079A66BB" w14:textId="77777777" w:rsidR="00BD4E56" w:rsidRPr="002B64E2" w:rsidRDefault="00BD4E56" w:rsidP="00BD4E5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2B64E2">
        <w:rPr>
          <w:rFonts w:ascii="Aptos" w:eastAsia="Aptos" w:hAnsi="Aptos" w:cs="Arial"/>
          <w:kern w:val="2"/>
          <w:sz w:val="16"/>
          <w:szCs w:val="28"/>
          <w14:ligatures w14:val="standardContextual"/>
        </w:rPr>
        <w:t>Source: ITU</w:t>
      </w:r>
    </w:p>
    <w:p w14:paraId="0D2CABBD" w14:textId="77777777" w:rsidR="00B8559B" w:rsidRPr="002B64E2" w:rsidRDefault="00B8559B">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14:ligatures w14:val="standardContextual"/>
        </w:rPr>
      </w:pPr>
      <w:r w:rsidRPr="002B64E2">
        <w:rPr>
          <w:rFonts w:eastAsia="Aptos"/>
        </w:rPr>
        <w:br w:type="page"/>
      </w:r>
    </w:p>
    <w:p w14:paraId="378E1ABB" w14:textId="5084AEA4" w:rsidR="006C41B5" w:rsidRPr="002B64E2" w:rsidRDefault="006C41B5" w:rsidP="000C3666">
      <w:pPr>
        <w:pStyle w:val="Section"/>
      </w:pPr>
      <w:bookmarkStart w:id="14" w:name="_Toc192868601"/>
      <w:r w:rsidRPr="002B64E2">
        <w:lastRenderedPageBreak/>
        <w:t>Affordability of ICT services</w:t>
      </w:r>
      <w:bookmarkEnd w:id="14"/>
      <w:r w:rsidRPr="002B64E2">
        <w:tab/>
      </w:r>
    </w:p>
    <w:p w14:paraId="449AB82E" w14:textId="2A57A713" w:rsidR="001B1020" w:rsidRPr="002B64E2" w:rsidRDefault="001B1020"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ptos" w:eastAsia="Aptos" w:hAnsi="Aptos" w:cs="Arial"/>
          <w:b/>
          <w:bCs/>
          <w:i/>
          <w:iCs/>
          <w:kern w:val="2"/>
          <w:sz w:val="22"/>
          <w:szCs w:val="22"/>
          <w14:ligatures w14:val="standardContextual"/>
        </w:rPr>
      </w:pPr>
      <w:r w:rsidRPr="002B64E2">
        <w:rPr>
          <w:rFonts w:ascii="Aptos" w:eastAsia="Aptos" w:hAnsi="Aptos" w:cs="Arial"/>
          <w:b/>
          <w:bCs/>
          <w:i/>
          <w:iCs/>
          <w:kern w:val="2"/>
          <w:sz w:val="22"/>
          <w:szCs w:val="22"/>
          <w14:ligatures w14:val="standardContextual"/>
        </w:rPr>
        <w:t>Mobile broadband has become highly affordable across the region</w:t>
      </w:r>
    </w:p>
    <w:p w14:paraId="758C0580" w14:textId="4A8DFFCA"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 xml:space="preserve">Broadband basket prices as % of gross national income per capita, </w:t>
      </w:r>
      <w:r w:rsidR="00BB28A8" w:rsidRPr="002B64E2">
        <w:rPr>
          <w:rFonts w:ascii="AvenirNext LT Pro Light" w:eastAsia="Yu Gothic Light" w:hAnsi="AvenirNext LT Pro Light" w:cs="Calibri"/>
          <w:color w:val="0070C0"/>
          <w:spacing w:val="-10"/>
          <w:kern w:val="28"/>
          <w:szCs w:val="24"/>
        </w:rPr>
        <w:t>2018-</w:t>
      </w:r>
      <w:r w:rsidRPr="002B64E2">
        <w:rPr>
          <w:rFonts w:ascii="AvenirNext LT Pro Light" w:eastAsia="Yu Gothic Light" w:hAnsi="AvenirNext LT Pro Light" w:cs="Calibri"/>
          <w:color w:val="0070C0"/>
          <w:spacing w:val="-10"/>
          <w:kern w:val="28"/>
          <w:szCs w:val="24"/>
        </w:rPr>
        <w:t>2024</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C41B5" w:rsidRPr="002B64E2" w14:paraId="7D9E14A7" w14:textId="77777777" w:rsidTr="00DD5AAB">
        <w:tc>
          <w:tcPr>
            <w:tcW w:w="4508" w:type="dxa"/>
          </w:tcPr>
          <w:p w14:paraId="1E765A5F" w14:textId="7BEE7985" w:rsidR="006C41B5" w:rsidRPr="002B64E2" w:rsidRDefault="006C41B5" w:rsidP="00D2440F">
            <w:pPr>
              <w:tabs>
                <w:tab w:val="clear" w:pos="794"/>
                <w:tab w:val="clear" w:pos="1191"/>
                <w:tab w:val="clear" w:pos="1588"/>
                <w:tab w:val="clear" w:pos="1985"/>
              </w:tabs>
              <w:overflowPunct/>
              <w:autoSpaceDE/>
              <w:autoSpaceDN/>
              <w:adjustRightInd/>
              <w:spacing w:before="0"/>
              <w:jc w:val="center"/>
              <w:textAlignment w:val="auto"/>
              <w:rPr>
                <w:rFonts w:ascii="Aptos" w:hAnsi="Aptos"/>
                <w:sz w:val="22"/>
              </w:rPr>
            </w:pPr>
            <w:r w:rsidRPr="002B64E2">
              <w:rPr>
                <w:rFonts w:ascii="Aptos" w:hAnsi="Aptos"/>
                <w:b/>
                <w:bCs/>
                <w:sz w:val="22"/>
              </w:rPr>
              <w:t>Mobile</w:t>
            </w:r>
            <w:r w:rsidRPr="002B64E2">
              <w:rPr>
                <w:rFonts w:ascii="Aptos" w:hAnsi="Aptos"/>
                <w:b/>
                <w:bCs/>
                <w:noProof/>
                <w:sz w:val="22"/>
              </w:rPr>
              <w:t xml:space="preserve"> (2GB)</w:t>
            </w:r>
            <w:r w:rsidR="00B8538E" w:rsidRPr="002B64E2">
              <w:rPr>
                <w:noProof/>
              </w:rPr>
              <w:t xml:space="preserve"> </w:t>
            </w:r>
            <w:r w:rsidR="00B8538E" w:rsidRPr="002B64E2">
              <w:rPr>
                <w:noProof/>
              </w:rPr>
              <w:drawing>
                <wp:inline distT="0" distB="0" distL="0" distR="0" wp14:anchorId="08B73170" wp14:editId="76F04E08">
                  <wp:extent cx="2600325" cy="2466975"/>
                  <wp:effectExtent l="0" t="0" r="9525" b="9525"/>
                  <wp:docPr id="2807141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14128" name=""/>
                          <pic:cNvPicPr/>
                        </pic:nvPicPr>
                        <pic:blipFill>
                          <a:blip r:embed="rId73">
                            <a:extLst>
                              <a:ext uri="{96DAC541-7B7A-43D3-8B79-37D633B846F1}">
                                <asvg:svgBlip xmlns:asvg="http://schemas.microsoft.com/office/drawing/2016/SVG/main" r:embed="rId74"/>
                              </a:ext>
                            </a:extLst>
                          </a:blip>
                          <a:stretch>
                            <a:fillRect/>
                          </a:stretch>
                        </pic:blipFill>
                        <pic:spPr>
                          <a:xfrm>
                            <a:off x="0" y="0"/>
                            <a:ext cx="2600325" cy="2466975"/>
                          </a:xfrm>
                          <a:prstGeom prst="rect">
                            <a:avLst/>
                          </a:prstGeom>
                        </pic:spPr>
                      </pic:pic>
                    </a:graphicData>
                  </a:graphic>
                </wp:inline>
              </w:drawing>
            </w:r>
          </w:p>
        </w:tc>
        <w:tc>
          <w:tcPr>
            <w:tcW w:w="4508" w:type="dxa"/>
          </w:tcPr>
          <w:p w14:paraId="644D1EA9" w14:textId="0A5224C1" w:rsidR="006C41B5" w:rsidRPr="002B64E2" w:rsidRDefault="006C41B5" w:rsidP="006B3D0F">
            <w:pPr>
              <w:tabs>
                <w:tab w:val="clear" w:pos="794"/>
                <w:tab w:val="clear" w:pos="1191"/>
                <w:tab w:val="clear" w:pos="1588"/>
                <w:tab w:val="clear" w:pos="1985"/>
              </w:tabs>
              <w:overflowPunct/>
              <w:autoSpaceDE/>
              <w:autoSpaceDN/>
              <w:adjustRightInd/>
              <w:spacing w:before="0"/>
              <w:jc w:val="center"/>
              <w:textAlignment w:val="auto"/>
              <w:rPr>
                <w:rFonts w:ascii="Aptos" w:hAnsi="Aptos"/>
                <w:sz w:val="22"/>
              </w:rPr>
            </w:pPr>
            <w:r w:rsidRPr="002B64E2">
              <w:rPr>
                <w:rFonts w:ascii="Aptos" w:hAnsi="Aptos"/>
                <w:b/>
                <w:bCs/>
                <w:sz w:val="22"/>
              </w:rPr>
              <w:t>Fixed (5GB)</w:t>
            </w:r>
            <w:r w:rsidR="00DD5AAB" w:rsidRPr="002B64E2">
              <w:rPr>
                <w:noProof/>
              </w:rPr>
              <w:t xml:space="preserve"> </w:t>
            </w:r>
            <w:r w:rsidR="00DD5AAB" w:rsidRPr="002B64E2">
              <w:rPr>
                <w:noProof/>
              </w:rPr>
              <w:drawing>
                <wp:inline distT="0" distB="0" distL="0" distR="0" wp14:anchorId="553B9932" wp14:editId="6A70F41E">
                  <wp:extent cx="2609850" cy="2466975"/>
                  <wp:effectExtent l="0" t="0" r="0" b="9525"/>
                  <wp:docPr id="138473728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37282" name=""/>
                          <pic:cNvPicPr/>
                        </pic:nvPicPr>
                        <pic:blipFill>
                          <a:blip r:embed="rId75">
                            <a:extLst>
                              <a:ext uri="{96DAC541-7B7A-43D3-8B79-37D633B846F1}">
                                <asvg:svgBlip xmlns:asvg="http://schemas.microsoft.com/office/drawing/2016/SVG/main" r:embed="rId76"/>
                              </a:ext>
                            </a:extLst>
                          </a:blip>
                          <a:stretch>
                            <a:fillRect/>
                          </a:stretch>
                        </pic:blipFill>
                        <pic:spPr>
                          <a:xfrm>
                            <a:off x="0" y="0"/>
                            <a:ext cx="2609850" cy="2466975"/>
                          </a:xfrm>
                          <a:prstGeom prst="rect">
                            <a:avLst/>
                          </a:prstGeom>
                        </pic:spPr>
                      </pic:pic>
                    </a:graphicData>
                  </a:graphic>
                </wp:inline>
              </w:drawing>
            </w:r>
          </w:p>
        </w:tc>
      </w:tr>
    </w:tbl>
    <w:p w14:paraId="348B5403" w14:textId="6EF2B28C" w:rsidR="006C41B5" w:rsidRPr="002B64E2" w:rsidRDefault="006C41B5" w:rsidP="00B1004A">
      <w:pPr>
        <w:pStyle w:val="notetext"/>
      </w:pPr>
      <w:r w:rsidRPr="002B64E2">
        <w:t>Note: Median values shown in the chart are calculated as a percentage of GNI per capita for the set of economies for which data was available for all years from 2018 to 2024 for a given basket to adjust the effect of changing data availability.</w:t>
      </w:r>
    </w:p>
    <w:p w14:paraId="6022CEFB" w14:textId="77777777" w:rsidR="006C41B5" w:rsidRPr="002B64E2" w:rsidRDefault="006C41B5" w:rsidP="00B1004A">
      <w:pPr>
        <w:pStyle w:val="Sourcetext"/>
      </w:pPr>
      <w:r w:rsidRPr="002B64E2">
        <w:t>Source: ITU</w:t>
      </w:r>
    </w:p>
    <w:p w14:paraId="6C929D15" w14:textId="01D9BA22" w:rsidR="00BB28A8" w:rsidRPr="002B64E2"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Internet cost is a barrier to Internet use and to meaningful connectivity. The United Nations</w:t>
      </w:r>
      <w:r w:rsidR="00A94082" w:rsidRPr="002B64E2">
        <w:rPr>
          <w:rFonts w:ascii="Aptos" w:eastAsia="Aptos" w:hAnsi="Aptos" w:cs="Arial"/>
          <w:kern w:val="2"/>
          <w:sz w:val="22"/>
          <w:szCs w:val="22"/>
          <w14:ligatures w14:val="standardContextual"/>
        </w:rPr>
        <w:t xml:space="preserve"> </w:t>
      </w:r>
      <w:hyperlink r:id="rId77" w:tgtFrame="_blank" w:history="1">
        <w:r w:rsidRPr="002B64E2">
          <w:rPr>
            <w:rFonts w:ascii="Aptos" w:eastAsia="Aptos" w:hAnsi="Aptos" w:cs="Arial"/>
            <w:color w:val="467886"/>
            <w:kern w:val="2"/>
            <w:sz w:val="22"/>
            <w:szCs w:val="22"/>
            <w:u w:val="single"/>
            <w14:ligatures w14:val="standardContextual"/>
          </w:rPr>
          <w:t>Broadband Commission for Sustainable Development</w:t>
        </w:r>
      </w:hyperlink>
      <w:r w:rsidR="00A94082" w:rsidRPr="002B64E2">
        <w:rPr>
          <w:rFonts w:ascii="Aptos" w:eastAsia="Aptos" w:hAnsi="Aptos" w:cs="Arial"/>
          <w:kern w:val="2"/>
          <w:sz w:val="22"/>
          <w:szCs w:val="22"/>
          <w14:ligatures w14:val="standardContextual"/>
        </w:rPr>
        <w:t xml:space="preserve"> </w:t>
      </w:r>
      <w:r w:rsidRPr="002B64E2">
        <w:rPr>
          <w:rFonts w:ascii="Aptos" w:eastAsia="Aptos" w:hAnsi="Aptos" w:cs="Arial"/>
          <w:kern w:val="2"/>
          <w:sz w:val="22"/>
          <w:szCs w:val="22"/>
          <w14:ligatures w14:val="standardContextual"/>
        </w:rPr>
        <w:t>set itself the goal of making broadband in developing countries affordable by 2025, affordability being defined as the availability of broadband access at a price that is less than 2 per cent of monthly GNI per capita.</w:t>
      </w:r>
    </w:p>
    <w:p w14:paraId="1EC5705D" w14:textId="0394B3B6" w:rsidR="002039F8" w:rsidRPr="002B64E2" w:rsidRDefault="002039F8" w:rsidP="002039F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Entry-level data-only mobile broadband prices have gone done significantly in the region, from </w:t>
      </w:r>
      <w:r w:rsidR="005300F0" w:rsidRPr="002B64E2">
        <w:rPr>
          <w:rFonts w:ascii="Aptos" w:eastAsia="Aptos" w:hAnsi="Aptos" w:cs="Arial"/>
          <w:kern w:val="2"/>
          <w:sz w:val="22"/>
          <w:szCs w:val="22"/>
          <w14:ligatures w14:val="standardContextual"/>
        </w:rPr>
        <w:t>1.5</w:t>
      </w:r>
      <w:r w:rsidRPr="002B64E2">
        <w:rPr>
          <w:rFonts w:ascii="Aptos" w:eastAsia="Aptos" w:hAnsi="Aptos" w:cs="Arial"/>
          <w:kern w:val="2"/>
          <w:sz w:val="22"/>
          <w:szCs w:val="22"/>
          <w14:ligatures w14:val="standardContextual"/>
        </w:rPr>
        <w:t xml:space="preserve"> per cent of GNI per capita in 2018 to </w:t>
      </w:r>
      <w:r w:rsidR="005300F0" w:rsidRPr="002B64E2">
        <w:rPr>
          <w:rFonts w:ascii="Aptos" w:eastAsia="Aptos" w:hAnsi="Aptos" w:cs="Arial"/>
          <w:kern w:val="2"/>
          <w:sz w:val="22"/>
          <w:szCs w:val="22"/>
          <w14:ligatures w14:val="standardContextual"/>
        </w:rPr>
        <w:t>0.7</w:t>
      </w:r>
      <w:r w:rsidRPr="002B64E2">
        <w:rPr>
          <w:rFonts w:ascii="Aptos" w:eastAsia="Aptos" w:hAnsi="Aptos" w:cs="Arial"/>
          <w:kern w:val="2"/>
          <w:sz w:val="22"/>
          <w:szCs w:val="22"/>
          <w14:ligatures w14:val="standardContextual"/>
        </w:rPr>
        <w:t xml:space="preserve"> in 2024, </w:t>
      </w:r>
      <w:r w:rsidR="005300F0" w:rsidRPr="002B64E2">
        <w:rPr>
          <w:rFonts w:ascii="Aptos" w:eastAsia="Aptos" w:hAnsi="Aptos" w:cs="Arial"/>
          <w:kern w:val="2"/>
          <w:sz w:val="22"/>
          <w:szCs w:val="22"/>
          <w14:ligatures w14:val="standardContextual"/>
        </w:rPr>
        <w:t xml:space="preserve">well </w:t>
      </w:r>
      <w:r w:rsidRPr="002B64E2">
        <w:rPr>
          <w:rFonts w:ascii="Aptos" w:eastAsia="Aptos" w:hAnsi="Aptos" w:cs="Arial"/>
          <w:kern w:val="2"/>
          <w:sz w:val="22"/>
          <w:szCs w:val="22"/>
          <w14:ligatures w14:val="standardContextual"/>
        </w:rPr>
        <w:t>below the 2 per cent target of the Broadband Commission</w:t>
      </w:r>
      <w:r w:rsidR="00C371FB" w:rsidRPr="002B64E2">
        <w:rPr>
          <w:rFonts w:ascii="Aptos" w:eastAsia="Aptos" w:hAnsi="Aptos" w:cs="Arial"/>
          <w:kern w:val="2"/>
          <w:sz w:val="22"/>
          <w:szCs w:val="22"/>
          <w14:ligatures w14:val="standardContextual"/>
        </w:rPr>
        <w:t xml:space="preserve"> an also well below the global median</w:t>
      </w:r>
      <w:r w:rsidRPr="002B64E2">
        <w:rPr>
          <w:rFonts w:ascii="Aptos" w:eastAsia="Aptos" w:hAnsi="Aptos" w:cs="Arial"/>
          <w:kern w:val="2"/>
          <w:sz w:val="22"/>
          <w:szCs w:val="22"/>
          <w14:ligatures w14:val="standardContextual"/>
        </w:rPr>
        <w:t>.</w:t>
      </w:r>
      <w:r w:rsidRPr="002B64E2">
        <w:rPr>
          <w:rStyle w:val="FootnoteReference"/>
          <w:rFonts w:eastAsia="Aptos" w:cs="Arial"/>
          <w:kern w:val="2"/>
          <w:szCs w:val="22"/>
          <w14:ligatures w14:val="standardContextual"/>
        </w:rPr>
        <w:footnoteReference w:id="8"/>
      </w:r>
      <w:r w:rsidRPr="002B64E2">
        <w:rPr>
          <w:rFonts w:ascii="Aptos" w:eastAsia="Aptos" w:hAnsi="Aptos" w:cs="Arial"/>
          <w:kern w:val="2"/>
          <w:sz w:val="22"/>
          <w:szCs w:val="22"/>
          <w14:ligatures w14:val="standardContextual"/>
        </w:rPr>
        <w:t xml:space="preserve"> </w:t>
      </w:r>
    </w:p>
    <w:p w14:paraId="2FB9A68D" w14:textId="3EE180FF" w:rsidR="00821987" w:rsidRPr="002B64E2" w:rsidRDefault="00821987" w:rsidP="00F02DD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While mobile broadband </w:t>
      </w:r>
      <w:r w:rsidR="006A66FC" w:rsidRPr="002B64E2">
        <w:rPr>
          <w:rFonts w:ascii="Aptos" w:eastAsia="Aptos" w:hAnsi="Aptos" w:cs="Arial"/>
          <w:kern w:val="2"/>
          <w:sz w:val="22"/>
          <w:szCs w:val="22"/>
          <w14:ligatures w14:val="standardContextual"/>
        </w:rPr>
        <w:t xml:space="preserve">is generally affordable across CIS countries, the region shows a greater divide when it comes to the </w:t>
      </w:r>
      <w:r w:rsidR="003A2D9D" w:rsidRPr="002B64E2">
        <w:rPr>
          <w:rFonts w:ascii="Aptos" w:eastAsia="Aptos" w:hAnsi="Aptos" w:cs="Arial"/>
          <w:kern w:val="2"/>
          <w:sz w:val="22"/>
          <w:szCs w:val="22"/>
          <w14:ligatures w14:val="standardContextual"/>
        </w:rPr>
        <w:t xml:space="preserve">cost </w:t>
      </w:r>
      <w:r w:rsidR="006A66FC" w:rsidRPr="002B64E2">
        <w:rPr>
          <w:rFonts w:ascii="Aptos" w:eastAsia="Aptos" w:hAnsi="Aptos" w:cs="Arial"/>
          <w:kern w:val="2"/>
          <w:sz w:val="22"/>
          <w:szCs w:val="22"/>
          <w14:ligatures w14:val="standardContextual"/>
        </w:rPr>
        <w:t xml:space="preserve">of fixed broadband </w:t>
      </w:r>
      <w:r w:rsidR="003A2D9D" w:rsidRPr="002B64E2">
        <w:rPr>
          <w:rFonts w:ascii="Aptos" w:eastAsia="Aptos" w:hAnsi="Aptos" w:cs="Arial"/>
          <w:kern w:val="2"/>
          <w:sz w:val="22"/>
          <w:szCs w:val="22"/>
          <w14:ligatures w14:val="standardContextual"/>
        </w:rPr>
        <w:t xml:space="preserve">access. In four countries of the region, </w:t>
      </w:r>
      <w:r w:rsidR="002B792C" w:rsidRPr="002B64E2">
        <w:rPr>
          <w:rFonts w:ascii="Aptos" w:eastAsia="Aptos" w:hAnsi="Aptos" w:cs="Arial"/>
          <w:kern w:val="2"/>
          <w:sz w:val="22"/>
          <w:szCs w:val="22"/>
          <w14:ligatures w14:val="standardContextual"/>
        </w:rPr>
        <w:t xml:space="preserve">the price </w:t>
      </w:r>
      <w:r w:rsidR="00886002" w:rsidRPr="002B64E2">
        <w:rPr>
          <w:rFonts w:ascii="Aptos" w:eastAsia="Aptos" w:hAnsi="Aptos" w:cs="Arial"/>
          <w:kern w:val="2"/>
          <w:sz w:val="22"/>
          <w:szCs w:val="22"/>
          <w14:ligatures w14:val="standardContextual"/>
        </w:rPr>
        <w:t xml:space="preserve">has been consistently </w:t>
      </w:r>
      <w:r w:rsidR="002B792C" w:rsidRPr="002B64E2">
        <w:rPr>
          <w:rFonts w:ascii="Aptos" w:eastAsia="Aptos" w:hAnsi="Aptos" w:cs="Arial"/>
          <w:kern w:val="2"/>
          <w:sz w:val="22"/>
          <w:szCs w:val="22"/>
          <w14:ligatures w14:val="standardContextual"/>
        </w:rPr>
        <w:t>well below the 2 per cent target</w:t>
      </w:r>
      <w:r w:rsidR="00886002" w:rsidRPr="002B64E2">
        <w:rPr>
          <w:rFonts w:ascii="Aptos" w:eastAsia="Aptos" w:hAnsi="Aptos" w:cs="Arial"/>
          <w:kern w:val="2"/>
          <w:sz w:val="22"/>
          <w:szCs w:val="22"/>
          <w14:ligatures w14:val="standardContextual"/>
        </w:rPr>
        <w:t xml:space="preserve">. However, the </w:t>
      </w:r>
      <w:r w:rsidR="00062B7C" w:rsidRPr="002B64E2">
        <w:rPr>
          <w:rFonts w:ascii="Aptos" w:eastAsia="Aptos" w:hAnsi="Aptos" w:cs="Arial"/>
          <w:kern w:val="2"/>
          <w:sz w:val="22"/>
          <w:szCs w:val="22"/>
          <w14:ligatures w14:val="standardContextual"/>
        </w:rPr>
        <w:t xml:space="preserve">basket </w:t>
      </w:r>
      <w:r w:rsidR="00451F9C" w:rsidRPr="002B64E2">
        <w:rPr>
          <w:rFonts w:ascii="Aptos" w:eastAsia="Aptos" w:hAnsi="Aptos" w:cs="Arial"/>
          <w:kern w:val="2"/>
          <w:sz w:val="22"/>
          <w:szCs w:val="22"/>
          <w14:ligatures w14:val="standardContextual"/>
        </w:rPr>
        <w:t>was</w:t>
      </w:r>
      <w:r w:rsidR="00062B7C" w:rsidRPr="002B64E2">
        <w:rPr>
          <w:rFonts w:ascii="Aptos" w:eastAsia="Aptos" w:hAnsi="Aptos" w:cs="Arial"/>
          <w:kern w:val="2"/>
          <w:sz w:val="22"/>
          <w:szCs w:val="22"/>
          <w14:ligatures w14:val="standardContextual"/>
        </w:rPr>
        <w:t xml:space="preserve"> more costly in the other countries,</w:t>
      </w:r>
      <w:r w:rsidR="00F474C9" w:rsidRPr="002B64E2">
        <w:rPr>
          <w:rFonts w:ascii="Aptos" w:eastAsia="Aptos" w:hAnsi="Aptos" w:cs="Arial"/>
          <w:kern w:val="2"/>
          <w:sz w:val="22"/>
          <w:szCs w:val="22"/>
          <w14:ligatures w14:val="standardContextual"/>
        </w:rPr>
        <w:t xml:space="preserve"> reaching up to 5-6 per cent in two of them</w:t>
      </w:r>
      <w:r w:rsidR="003B2000" w:rsidRPr="002B64E2">
        <w:rPr>
          <w:rFonts w:ascii="Aptos" w:eastAsia="Aptos" w:hAnsi="Aptos" w:cs="Arial"/>
          <w:kern w:val="2"/>
          <w:sz w:val="22"/>
          <w:szCs w:val="22"/>
          <w14:ligatures w14:val="standardContextual"/>
        </w:rPr>
        <w:t xml:space="preserve"> even after significant decline over the past years. </w:t>
      </w:r>
      <w:r w:rsidR="00C22F05" w:rsidRPr="002B64E2">
        <w:rPr>
          <w:rFonts w:ascii="Aptos" w:eastAsia="Aptos" w:hAnsi="Aptos" w:cs="Arial"/>
          <w:kern w:val="2"/>
          <w:sz w:val="22"/>
          <w:szCs w:val="22"/>
          <w14:ligatures w14:val="standardContextual"/>
        </w:rPr>
        <w:t xml:space="preserve">In a region consisting of merely 9 countries, some </w:t>
      </w:r>
      <w:r w:rsidR="000C4754" w:rsidRPr="002B64E2">
        <w:rPr>
          <w:rFonts w:ascii="Aptos" w:eastAsia="Aptos" w:hAnsi="Aptos" w:cs="Arial"/>
          <w:kern w:val="2"/>
          <w:sz w:val="22"/>
          <w:szCs w:val="22"/>
          <w14:ligatures w14:val="standardContextual"/>
        </w:rPr>
        <w:t xml:space="preserve">limited </w:t>
      </w:r>
      <w:r w:rsidR="00C22F05" w:rsidRPr="002B64E2">
        <w:rPr>
          <w:rFonts w:ascii="Aptos" w:eastAsia="Aptos" w:hAnsi="Aptos" w:cs="Arial"/>
          <w:kern w:val="2"/>
          <w:sz w:val="22"/>
          <w:szCs w:val="22"/>
          <w14:ligatures w14:val="standardContextual"/>
        </w:rPr>
        <w:t>year-on-year fluctuation</w:t>
      </w:r>
      <w:r w:rsidR="000C4754" w:rsidRPr="002B64E2">
        <w:rPr>
          <w:rFonts w:ascii="Aptos" w:eastAsia="Aptos" w:hAnsi="Aptos" w:cs="Arial"/>
          <w:kern w:val="2"/>
          <w:sz w:val="22"/>
          <w:szCs w:val="22"/>
          <w14:ligatures w14:val="standardContextual"/>
        </w:rPr>
        <w:t>s</w:t>
      </w:r>
      <w:r w:rsidR="00C22F05" w:rsidRPr="002B64E2">
        <w:rPr>
          <w:rFonts w:ascii="Aptos" w:eastAsia="Aptos" w:hAnsi="Aptos" w:cs="Arial"/>
          <w:kern w:val="2"/>
          <w:sz w:val="22"/>
          <w:szCs w:val="22"/>
          <w14:ligatures w14:val="standardContextual"/>
        </w:rPr>
        <w:t xml:space="preserve"> in two countries</w:t>
      </w:r>
      <w:r w:rsidR="000C4754" w:rsidRPr="002B64E2">
        <w:rPr>
          <w:rFonts w:ascii="Aptos" w:eastAsia="Aptos" w:hAnsi="Aptos" w:cs="Arial"/>
          <w:kern w:val="2"/>
          <w:sz w:val="22"/>
          <w:szCs w:val="22"/>
          <w14:ligatures w14:val="standardContextual"/>
        </w:rPr>
        <w:t xml:space="preserve"> can </w:t>
      </w:r>
      <w:r w:rsidR="007635E9" w:rsidRPr="002B64E2">
        <w:rPr>
          <w:rFonts w:ascii="Aptos" w:eastAsia="Aptos" w:hAnsi="Aptos" w:cs="Arial"/>
          <w:kern w:val="2"/>
          <w:sz w:val="22"/>
          <w:szCs w:val="22"/>
          <w14:ligatures w14:val="standardContextual"/>
        </w:rPr>
        <w:t xml:space="preserve">already become visible in the </w:t>
      </w:r>
      <w:r w:rsidR="00E54550" w:rsidRPr="002B64E2">
        <w:rPr>
          <w:rFonts w:ascii="Aptos" w:eastAsia="Aptos" w:hAnsi="Aptos" w:cs="Arial"/>
          <w:kern w:val="2"/>
          <w:sz w:val="22"/>
          <w:szCs w:val="22"/>
          <w14:ligatures w14:val="standardContextual"/>
        </w:rPr>
        <w:t>median trend</w:t>
      </w:r>
      <w:r w:rsidR="007635E9" w:rsidRPr="002B64E2">
        <w:rPr>
          <w:rFonts w:ascii="Aptos" w:eastAsia="Aptos" w:hAnsi="Aptos" w:cs="Arial"/>
          <w:kern w:val="2"/>
          <w:sz w:val="22"/>
          <w:szCs w:val="22"/>
          <w14:ligatures w14:val="standardContextual"/>
        </w:rPr>
        <w:t>.</w:t>
      </w:r>
    </w:p>
    <w:p w14:paraId="50AA9135" w14:textId="77777777" w:rsidR="00E57110" w:rsidRPr="002B64E2" w:rsidRDefault="00E57110" w:rsidP="00E5711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highlight w:val="yellow"/>
          <w14:ligatures w14:val="standardContextual"/>
        </w:rPr>
      </w:pPr>
      <w:r w:rsidRPr="002B64E2">
        <w:rPr>
          <w:rFonts w:ascii="Aptos" w:eastAsia="Aptos" w:hAnsi="Aptos" w:cs="Arial"/>
          <w:kern w:val="2"/>
          <w:sz w:val="22"/>
          <w:szCs w:val="22"/>
          <w14:ligatures w14:val="standardContextual"/>
        </w:rPr>
        <w:t xml:space="preserve">In all but one country, the mobile broadband price was below the 2 per cent Broadband Commission target. For fixed broadband, in four out of nine countries prices were below the 2 per cent target. </w:t>
      </w:r>
    </w:p>
    <w:p w14:paraId="0A456D9F" w14:textId="77777777" w:rsidR="00E57110" w:rsidRPr="002B64E2" w:rsidRDefault="00E57110" w:rsidP="00F02DD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5EF39CD1" w14:textId="77777777"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lastRenderedPageBreak/>
        <w:t>Broadband basket prices as % of gross national income per capita, 2024</w:t>
      </w:r>
    </w:p>
    <w:p w14:paraId="5833BBE5" w14:textId="45ADEEC9" w:rsidR="006C41B5" w:rsidRPr="002B64E2" w:rsidRDefault="000E11C7" w:rsidP="00B1004A">
      <w:pPr>
        <w:pStyle w:val="Sourcetext"/>
      </w:pPr>
      <w:r w:rsidRPr="002B64E2">
        <w:rPr>
          <w:noProof/>
        </w:rPr>
        <w:drawing>
          <wp:inline distT="0" distB="0" distL="0" distR="0" wp14:anchorId="3CAE6113" wp14:editId="36647BA5">
            <wp:extent cx="6120765" cy="2855595"/>
            <wp:effectExtent l="0" t="0" r="0" b="1905"/>
            <wp:docPr id="2497494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49438" name=""/>
                    <pic:cNvPicPr/>
                  </pic:nvPicPr>
                  <pic:blipFill>
                    <a:blip r:embed="rId78">
                      <a:extLst>
                        <a:ext uri="{96DAC541-7B7A-43D3-8B79-37D633B846F1}">
                          <asvg:svgBlip xmlns:asvg="http://schemas.microsoft.com/office/drawing/2016/SVG/main" r:embed="rId79"/>
                        </a:ext>
                      </a:extLst>
                    </a:blip>
                    <a:stretch>
                      <a:fillRect/>
                    </a:stretch>
                  </pic:blipFill>
                  <pic:spPr>
                    <a:xfrm>
                      <a:off x="0" y="0"/>
                      <a:ext cx="6120765" cy="2855595"/>
                    </a:xfrm>
                    <a:prstGeom prst="rect">
                      <a:avLst/>
                    </a:prstGeom>
                  </pic:spPr>
                </pic:pic>
              </a:graphicData>
            </a:graphic>
          </wp:inline>
        </w:drawing>
      </w:r>
      <w:r w:rsidR="006C41B5" w:rsidRPr="002B64E2">
        <w:t>Source: ITU</w:t>
      </w:r>
    </w:p>
    <w:p w14:paraId="7305CDA7" w14:textId="77777777" w:rsidR="006C41B5" w:rsidRPr="002B64E2"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br w:type="page"/>
      </w:r>
    </w:p>
    <w:p w14:paraId="40AF6F9C" w14:textId="77777777" w:rsidR="006C41B5" w:rsidRPr="002B64E2" w:rsidRDefault="006C41B5" w:rsidP="000C3666">
      <w:pPr>
        <w:pStyle w:val="Section"/>
      </w:pPr>
      <w:bookmarkStart w:id="15" w:name="_Toc192868602"/>
      <w:r w:rsidRPr="002B64E2">
        <w:lastRenderedPageBreak/>
        <w:t>Mobile phone ownership and subscriptions</w:t>
      </w:r>
      <w:bookmarkEnd w:id="15"/>
    </w:p>
    <w:p w14:paraId="25599BE6" w14:textId="63C3A8E5" w:rsidR="006C41B5" w:rsidRPr="002B64E2" w:rsidRDefault="009F2174"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B64E2">
        <w:rPr>
          <w:rFonts w:ascii="Aptos" w:eastAsia="Aptos" w:hAnsi="Aptos" w:cs="Arial"/>
          <w:b/>
          <w:bCs/>
          <w:i/>
          <w:iCs/>
          <w:kern w:val="2"/>
          <w:sz w:val="22"/>
          <w:szCs w:val="22"/>
          <w14:ligatures w14:val="standardContextual"/>
        </w:rPr>
        <w:t xml:space="preserve">Mobile phone ownership is nearly universal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566"/>
      </w:tblGrid>
      <w:tr w:rsidR="006C41B5" w:rsidRPr="002B64E2" w14:paraId="6232C335" w14:textId="77777777" w:rsidTr="000B383B">
        <w:tc>
          <w:tcPr>
            <w:tcW w:w="4490" w:type="dxa"/>
          </w:tcPr>
          <w:p w14:paraId="1F2ACABD" w14:textId="201EFCBB" w:rsidR="006C41B5" w:rsidRPr="002B64E2" w:rsidRDefault="006C41B5" w:rsidP="0061096C">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ptos" w:hAnsi="Aptos"/>
                <w:sz w:val="22"/>
              </w:rPr>
            </w:pPr>
            <w:r w:rsidRPr="002B64E2">
              <w:rPr>
                <w:rFonts w:ascii="AvenirNext LT Pro Light" w:eastAsia="Yu Gothic Light" w:hAnsi="AvenirNext LT Pro Light" w:cs="Calibri"/>
                <w:color w:val="0070C0"/>
                <w:spacing w:val="-10"/>
                <w:kern w:val="28"/>
                <w:szCs w:val="24"/>
              </w:rPr>
              <w:t>Percentage of individuals owning a mobile phone</w:t>
            </w:r>
            <w:r w:rsidR="00CB1428" w:rsidRPr="002B64E2">
              <w:rPr>
                <w:noProof/>
              </w:rPr>
              <w:drawing>
                <wp:inline distT="0" distB="0" distL="0" distR="0" wp14:anchorId="5FD25824" wp14:editId="238C3E7D">
                  <wp:extent cx="2676525" cy="2400300"/>
                  <wp:effectExtent l="0" t="0" r="9525" b="0"/>
                  <wp:docPr id="6451294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29416" name=""/>
                          <pic:cNvPicPr/>
                        </pic:nvPicPr>
                        <pic:blipFill>
                          <a:blip r:embed="rId80">
                            <a:extLst>
                              <a:ext uri="{96DAC541-7B7A-43D3-8B79-37D633B846F1}">
                                <asvg:svgBlip xmlns:asvg="http://schemas.microsoft.com/office/drawing/2016/SVG/main" r:embed="rId81"/>
                              </a:ext>
                            </a:extLst>
                          </a:blip>
                          <a:stretch>
                            <a:fillRect/>
                          </a:stretch>
                        </pic:blipFill>
                        <pic:spPr>
                          <a:xfrm>
                            <a:off x="0" y="0"/>
                            <a:ext cx="2676525" cy="2400300"/>
                          </a:xfrm>
                          <a:prstGeom prst="rect">
                            <a:avLst/>
                          </a:prstGeom>
                        </pic:spPr>
                      </pic:pic>
                    </a:graphicData>
                  </a:graphic>
                </wp:inline>
              </w:drawing>
            </w:r>
          </w:p>
        </w:tc>
        <w:tc>
          <w:tcPr>
            <w:tcW w:w="4566" w:type="dxa"/>
          </w:tcPr>
          <w:p w14:paraId="58E4F25D" w14:textId="6EBB62FC" w:rsidR="006C41B5" w:rsidRPr="002B64E2" w:rsidRDefault="006C41B5" w:rsidP="00BC56F0">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ptos" w:hAnsi="Aptos"/>
                <w:sz w:val="22"/>
              </w:rPr>
            </w:pPr>
            <w:r w:rsidRPr="002B64E2">
              <w:rPr>
                <w:rFonts w:ascii="AvenirNext LT Pro Light" w:eastAsia="Yu Gothic Light" w:hAnsi="AvenirNext LT Pro Light" w:cs="Calibri"/>
                <w:color w:val="0070C0"/>
                <w:spacing w:val="-10"/>
                <w:kern w:val="28"/>
                <w:szCs w:val="24"/>
              </w:rPr>
              <w:t>Percentage of individuals owning a mobile phone by gender, 2024</w:t>
            </w:r>
            <w:r w:rsidR="000B383B" w:rsidRPr="002B64E2">
              <w:rPr>
                <w:noProof/>
              </w:rPr>
              <w:drawing>
                <wp:inline distT="0" distB="0" distL="0" distR="0" wp14:anchorId="25D14F5D" wp14:editId="69DE7953">
                  <wp:extent cx="2752725" cy="2457450"/>
                  <wp:effectExtent l="0" t="0" r="9525" b="0"/>
                  <wp:docPr id="2086719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1958" name=""/>
                          <pic:cNvPicPr/>
                        </pic:nvPicPr>
                        <pic:blipFill>
                          <a:blip r:embed="rId82">
                            <a:extLst>
                              <a:ext uri="{96DAC541-7B7A-43D3-8B79-37D633B846F1}">
                                <asvg:svgBlip xmlns:asvg="http://schemas.microsoft.com/office/drawing/2016/SVG/main" r:embed="rId83"/>
                              </a:ext>
                            </a:extLst>
                          </a:blip>
                          <a:stretch>
                            <a:fillRect/>
                          </a:stretch>
                        </pic:blipFill>
                        <pic:spPr>
                          <a:xfrm>
                            <a:off x="0" y="0"/>
                            <a:ext cx="2752725" cy="2457450"/>
                          </a:xfrm>
                          <a:prstGeom prst="rect">
                            <a:avLst/>
                          </a:prstGeom>
                        </pic:spPr>
                      </pic:pic>
                    </a:graphicData>
                  </a:graphic>
                </wp:inline>
              </w:drawing>
            </w:r>
          </w:p>
        </w:tc>
      </w:tr>
    </w:tbl>
    <w:p w14:paraId="5077B7E5" w14:textId="77777777" w:rsidR="006C41B5" w:rsidRPr="002B64E2" w:rsidRDefault="006C41B5" w:rsidP="00B1004A">
      <w:pPr>
        <w:pStyle w:val="notetext"/>
      </w:pPr>
      <w:r w:rsidRPr="002B64E2">
        <w:t>Note: Individuals aged 10 and older.</w:t>
      </w:r>
    </w:p>
    <w:p w14:paraId="1BD6BEC2" w14:textId="77777777" w:rsidR="006C41B5" w:rsidRPr="002B64E2" w:rsidRDefault="006C41B5" w:rsidP="00B1004A">
      <w:pPr>
        <w:pStyle w:val="Sourcetext"/>
      </w:pPr>
      <w:r w:rsidRPr="002B64E2">
        <w:t>Source: ITU</w:t>
      </w:r>
    </w:p>
    <w:p w14:paraId="28B01D8B" w14:textId="17171337" w:rsidR="005317FF" w:rsidRPr="002B64E2" w:rsidRDefault="005317FF" w:rsidP="005317F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In 2024, </w:t>
      </w:r>
      <w:r w:rsidR="007C4DF9" w:rsidRPr="002B64E2">
        <w:rPr>
          <w:rFonts w:ascii="Aptos" w:eastAsia="Aptos" w:hAnsi="Aptos" w:cs="Arial"/>
          <w:kern w:val="2"/>
          <w:sz w:val="22"/>
          <w:szCs w:val="22"/>
          <w14:ligatures w14:val="standardContextual"/>
        </w:rPr>
        <w:t>94</w:t>
      </w:r>
      <w:r w:rsidRPr="002B64E2">
        <w:rPr>
          <w:rFonts w:ascii="Aptos" w:eastAsia="Aptos" w:hAnsi="Aptos" w:cs="Arial"/>
          <w:kern w:val="2"/>
          <w:sz w:val="22"/>
          <w:szCs w:val="22"/>
          <w14:ligatures w14:val="standardContextual"/>
        </w:rPr>
        <w:t xml:space="preserve"> per cent of individuals in the </w:t>
      </w:r>
      <w:r w:rsidR="007C4DF9" w:rsidRPr="002B64E2">
        <w:rPr>
          <w:rFonts w:ascii="Aptos" w:eastAsia="Aptos" w:hAnsi="Aptos" w:cs="Arial"/>
          <w:kern w:val="2"/>
          <w:sz w:val="22"/>
          <w:szCs w:val="22"/>
          <w14:ligatures w14:val="standardContextual"/>
        </w:rPr>
        <w:t xml:space="preserve">CIS region </w:t>
      </w:r>
      <w:r w:rsidRPr="002B64E2">
        <w:rPr>
          <w:rFonts w:ascii="Aptos" w:eastAsia="Aptos" w:hAnsi="Aptos" w:cs="Arial"/>
          <w:kern w:val="2"/>
          <w:sz w:val="22"/>
          <w:szCs w:val="22"/>
          <w14:ligatures w14:val="standardContextual"/>
        </w:rPr>
        <w:t xml:space="preserve">aged 10 and older owned a mobile phone, </w:t>
      </w:r>
      <w:r w:rsidR="000F3867" w:rsidRPr="002B64E2">
        <w:rPr>
          <w:rFonts w:ascii="Aptos" w:eastAsia="Aptos" w:hAnsi="Aptos" w:cs="Arial"/>
          <w:kern w:val="2"/>
          <w:sz w:val="22"/>
          <w:szCs w:val="22"/>
          <w14:ligatures w14:val="standardContextual"/>
        </w:rPr>
        <w:t>almost reaching universal ownership</w:t>
      </w:r>
      <w:r w:rsidR="00652D85" w:rsidRPr="002B64E2">
        <w:rPr>
          <w:rFonts w:ascii="Aptos" w:eastAsia="Aptos" w:hAnsi="Aptos" w:cs="Arial"/>
          <w:kern w:val="2"/>
          <w:sz w:val="22"/>
          <w:szCs w:val="22"/>
          <w14:ligatures w14:val="standardContextual"/>
        </w:rPr>
        <w:t xml:space="preserve"> (defined as a </w:t>
      </w:r>
      <w:r w:rsidR="00BF5B5C" w:rsidRPr="002B64E2">
        <w:rPr>
          <w:rFonts w:ascii="Aptos" w:eastAsia="Aptos" w:hAnsi="Aptos" w:cs="Arial"/>
          <w:kern w:val="2"/>
          <w:sz w:val="22"/>
          <w:szCs w:val="22"/>
          <w14:ligatures w14:val="standardContextual"/>
        </w:rPr>
        <w:t xml:space="preserve">mobile </w:t>
      </w:r>
      <w:r w:rsidR="00F616AC" w:rsidRPr="002B64E2">
        <w:rPr>
          <w:rFonts w:ascii="Aptos" w:eastAsia="Aptos" w:hAnsi="Aptos" w:cs="Arial"/>
          <w:kern w:val="2"/>
          <w:sz w:val="22"/>
          <w:szCs w:val="22"/>
          <w14:ligatures w14:val="standardContextual"/>
        </w:rPr>
        <w:t xml:space="preserve">phone </w:t>
      </w:r>
      <w:r w:rsidR="00BF5B5C" w:rsidRPr="002B64E2">
        <w:rPr>
          <w:rFonts w:ascii="Aptos" w:eastAsia="Aptos" w:hAnsi="Aptos" w:cs="Arial"/>
          <w:kern w:val="2"/>
          <w:sz w:val="22"/>
          <w:szCs w:val="22"/>
          <w14:ligatures w14:val="standardContextual"/>
        </w:rPr>
        <w:t>ownership of at least 95 per cent)</w:t>
      </w:r>
      <w:r w:rsidRPr="002B64E2">
        <w:rPr>
          <w:rFonts w:ascii="Aptos" w:eastAsia="Aptos" w:hAnsi="Aptos" w:cs="Arial"/>
          <w:kern w:val="2"/>
          <w:sz w:val="22"/>
          <w:szCs w:val="22"/>
          <w14:ligatures w14:val="standardContextual"/>
        </w:rPr>
        <w:t xml:space="preserve">. </w:t>
      </w:r>
    </w:p>
    <w:p w14:paraId="076A1A57" w14:textId="2BD8D74D" w:rsidR="005317FF" w:rsidRPr="002B64E2" w:rsidRDefault="005317FF" w:rsidP="005317F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As for Internet use,</w:t>
      </w:r>
      <w:r w:rsidR="007416B1" w:rsidRPr="002B64E2">
        <w:rPr>
          <w:rFonts w:ascii="Aptos" w:eastAsia="Aptos" w:hAnsi="Aptos" w:cs="Arial"/>
          <w:kern w:val="2"/>
          <w:sz w:val="22"/>
          <w:szCs w:val="22"/>
          <w14:ligatures w14:val="standardContextual"/>
        </w:rPr>
        <w:t xml:space="preserve"> gender parity </w:t>
      </w:r>
      <w:r w:rsidR="00E15370" w:rsidRPr="002B64E2">
        <w:rPr>
          <w:rFonts w:ascii="Aptos" w:eastAsia="Aptos" w:hAnsi="Aptos" w:cs="Arial"/>
          <w:kern w:val="2"/>
          <w:sz w:val="22"/>
          <w:szCs w:val="22"/>
          <w14:ligatures w14:val="standardContextual"/>
        </w:rPr>
        <w:t xml:space="preserve">in mobile phone ownership was reached, with a GPS of </w:t>
      </w:r>
      <w:r w:rsidR="00797C0E" w:rsidRPr="002B64E2">
        <w:rPr>
          <w:rFonts w:ascii="Aptos" w:eastAsia="Aptos" w:hAnsi="Aptos" w:cs="Arial"/>
          <w:kern w:val="2"/>
          <w:sz w:val="22"/>
          <w:szCs w:val="22"/>
          <w14:ligatures w14:val="standardContextual"/>
        </w:rPr>
        <w:t>0.99</w:t>
      </w:r>
      <w:r w:rsidRPr="002B64E2">
        <w:rPr>
          <w:rFonts w:ascii="Aptos" w:eastAsia="Aptos" w:hAnsi="Aptos" w:cs="Arial"/>
          <w:kern w:val="2"/>
          <w:sz w:val="22"/>
          <w:szCs w:val="22"/>
          <w14:ligatures w14:val="standardContextual"/>
        </w:rPr>
        <w:t>, up from 0.9</w:t>
      </w:r>
      <w:r w:rsidR="00011788" w:rsidRPr="002B64E2">
        <w:rPr>
          <w:rFonts w:ascii="Aptos" w:eastAsia="Aptos" w:hAnsi="Aptos" w:cs="Arial"/>
          <w:kern w:val="2"/>
          <w:sz w:val="22"/>
          <w:szCs w:val="22"/>
          <w14:ligatures w14:val="standardContextual"/>
        </w:rPr>
        <w:t>8</w:t>
      </w:r>
      <w:r w:rsidRPr="002B64E2">
        <w:rPr>
          <w:rFonts w:ascii="Aptos" w:eastAsia="Aptos" w:hAnsi="Aptos" w:cs="Arial"/>
          <w:kern w:val="2"/>
          <w:sz w:val="22"/>
          <w:szCs w:val="22"/>
          <w14:ligatures w14:val="standardContextual"/>
        </w:rPr>
        <w:t xml:space="preserve"> in 2021. During the same period, the global GPS also improved slightly, from 0.91 to 0.93.</w:t>
      </w:r>
    </w:p>
    <w:p w14:paraId="58AD5113" w14:textId="242BEDA8" w:rsidR="006C41B5" w:rsidRPr="002B64E2" w:rsidRDefault="006C41B5" w:rsidP="00FC71C9">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 xml:space="preserve">Percentage of individuals owning a mobile phone, </w:t>
      </w:r>
      <w:r w:rsidR="00CD1E50" w:rsidRPr="002B64E2">
        <w:rPr>
          <w:rFonts w:ascii="AvenirNext LT Pro Light" w:eastAsia="Yu Gothic Light" w:hAnsi="AvenirNext LT Pro Light" w:cs="Calibri"/>
          <w:color w:val="0070C0"/>
          <w:spacing w:val="-10"/>
          <w:kern w:val="28"/>
          <w:szCs w:val="24"/>
        </w:rPr>
        <w:t>2023</w:t>
      </w:r>
    </w:p>
    <w:p w14:paraId="7A43C988" w14:textId="49E96A63" w:rsidR="006C41B5" w:rsidRPr="002B64E2" w:rsidRDefault="00A9372C" w:rsidP="00B1004A">
      <w:pPr>
        <w:pStyle w:val="notetext"/>
      </w:pPr>
      <w:r w:rsidRPr="002B64E2">
        <w:rPr>
          <w:noProof/>
        </w:rPr>
        <w:drawing>
          <wp:inline distT="0" distB="0" distL="0" distR="0" wp14:anchorId="54579A9E" wp14:editId="3FD38826">
            <wp:extent cx="6120765" cy="3135630"/>
            <wp:effectExtent l="0" t="0" r="0" b="7620"/>
            <wp:docPr id="13820918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91858" name=""/>
                    <pic:cNvPicPr/>
                  </pic:nvPicPr>
                  <pic:blipFill>
                    <a:blip r:embed="rId84">
                      <a:extLst>
                        <a:ext uri="{96DAC541-7B7A-43D3-8B79-37D633B846F1}">
                          <asvg:svgBlip xmlns:asvg="http://schemas.microsoft.com/office/drawing/2016/SVG/main" r:embed="rId85"/>
                        </a:ext>
                      </a:extLst>
                    </a:blip>
                    <a:stretch>
                      <a:fillRect/>
                    </a:stretch>
                  </pic:blipFill>
                  <pic:spPr>
                    <a:xfrm>
                      <a:off x="0" y="0"/>
                      <a:ext cx="6120765" cy="3135630"/>
                    </a:xfrm>
                    <a:prstGeom prst="rect">
                      <a:avLst/>
                    </a:prstGeom>
                  </pic:spPr>
                </pic:pic>
              </a:graphicData>
            </a:graphic>
          </wp:inline>
        </w:drawing>
      </w:r>
      <w:r w:rsidRPr="002B64E2">
        <w:t xml:space="preserve"> </w:t>
      </w:r>
      <w:r w:rsidR="006C41B5" w:rsidRPr="002B64E2">
        <w:t xml:space="preserve">Notes: </w:t>
      </w:r>
      <w:r w:rsidR="00451B1F" w:rsidRPr="002B64E2">
        <w:rPr>
          <w:rFonts w:eastAsia="Aptos" w:cs="Arial"/>
        </w:rPr>
        <w:t>Figures based on official national statistics are shaded dark to distinguish them from figures based on non-official data</w:t>
      </w:r>
      <w:r w:rsidR="006C41B5" w:rsidRPr="002B64E2">
        <w:t>.</w:t>
      </w:r>
    </w:p>
    <w:p w14:paraId="15977200" w14:textId="77777777" w:rsidR="006C41B5" w:rsidRPr="002B64E2" w:rsidRDefault="006C41B5" w:rsidP="00B1004A">
      <w:pPr>
        <w:pStyle w:val="Sourcetext"/>
      </w:pPr>
      <w:r w:rsidRPr="002B64E2">
        <w:t>Source: ITU</w:t>
      </w:r>
    </w:p>
    <w:p w14:paraId="71DC418E" w14:textId="07DAE475" w:rsidR="00D31F07" w:rsidRPr="002B64E2" w:rsidRDefault="008A369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lastRenderedPageBreak/>
        <w:t>At the country level. Mobile phone ownership ranged from</w:t>
      </w:r>
      <w:r w:rsidR="001974ED" w:rsidRPr="002B64E2">
        <w:rPr>
          <w:rFonts w:ascii="Aptos" w:eastAsia="Aptos" w:hAnsi="Aptos" w:cs="Arial"/>
          <w:kern w:val="2"/>
          <w:sz w:val="22"/>
          <w:szCs w:val="22"/>
          <w14:ligatures w14:val="standardContextual"/>
        </w:rPr>
        <w:t xml:space="preserve"> an estimated 72</w:t>
      </w:r>
      <w:r w:rsidRPr="002B64E2">
        <w:rPr>
          <w:rFonts w:ascii="Aptos" w:eastAsia="Aptos" w:hAnsi="Aptos" w:cs="Arial"/>
          <w:kern w:val="2"/>
          <w:sz w:val="22"/>
          <w:szCs w:val="22"/>
          <w14:ligatures w14:val="standardContextual"/>
        </w:rPr>
        <w:t xml:space="preserve"> per cent in Tajikistan to </w:t>
      </w:r>
      <w:r w:rsidR="001974ED" w:rsidRPr="002B64E2">
        <w:rPr>
          <w:rFonts w:ascii="Aptos" w:eastAsia="Aptos" w:hAnsi="Aptos" w:cs="Arial"/>
          <w:kern w:val="2"/>
          <w:sz w:val="22"/>
          <w:szCs w:val="22"/>
          <w14:ligatures w14:val="standardContextual"/>
        </w:rPr>
        <w:t xml:space="preserve">99 </w:t>
      </w:r>
      <w:r w:rsidRPr="002B64E2">
        <w:rPr>
          <w:rFonts w:ascii="Aptos" w:eastAsia="Aptos" w:hAnsi="Aptos" w:cs="Arial"/>
          <w:kern w:val="2"/>
          <w:sz w:val="22"/>
          <w:szCs w:val="22"/>
          <w14:ligatures w14:val="standardContextual"/>
        </w:rPr>
        <w:t xml:space="preserve">per cent in the Russian Federation. </w:t>
      </w:r>
    </w:p>
    <w:p w14:paraId="0E376995" w14:textId="7661A970" w:rsidR="00D31F07" w:rsidRPr="002B64E2" w:rsidRDefault="00BF1A11"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In four of the six data with available data, gender parity was reached</w:t>
      </w:r>
      <w:r w:rsidR="0008442C" w:rsidRPr="002B64E2">
        <w:rPr>
          <w:rFonts w:ascii="Aptos" w:eastAsia="Aptos" w:hAnsi="Aptos" w:cs="Arial"/>
          <w:kern w:val="2"/>
          <w:sz w:val="22"/>
          <w:szCs w:val="22"/>
          <w14:ligatures w14:val="standardContextual"/>
        </w:rPr>
        <w:t xml:space="preserve">. </w:t>
      </w:r>
      <w:r w:rsidR="00880AC5" w:rsidRPr="002B64E2">
        <w:rPr>
          <w:rFonts w:ascii="Aptos" w:eastAsia="Aptos" w:hAnsi="Aptos" w:cs="Arial"/>
          <w:kern w:val="2"/>
          <w:sz w:val="22"/>
          <w:szCs w:val="22"/>
          <w14:ligatures w14:val="standardContextual"/>
        </w:rPr>
        <w:t>In Uzbekistan</w:t>
      </w:r>
      <w:r w:rsidR="00716401" w:rsidRPr="002B64E2">
        <w:rPr>
          <w:rFonts w:ascii="Aptos" w:eastAsia="Aptos" w:hAnsi="Aptos" w:cs="Arial"/>
          <w:kern w:val="2"/>
          <w:sz w:val="22"/>
          <w:szCs w:val="22"/>
          <w14:ligatures w14:val="standardContextual"/>
        </w:rPr>
        <w:t xml:space="preserve">, there </w:t>
      </w:r>
      <w:r w:rsidR="002731FA" w:rsidRPr="002B64E2">
        <w:rPr>
          <w:rFonts w:ascii="Aptos" w:eastAsia="Aptos" w:hAnsi="Aptos" w:cs="Arial"/>
          <w:kern w:val="2"/>
          <w:sz w:val="22"/>
          <w:szCs w:val="22"/>
          <w14:ligatures w14:val="standardContextual"/>
        </w:rPr>
        <w:t>men were much more likely than women t</w:t>
      </w:r>
      <w:r w:rsidR="00FF3753" w:rsidRPr="002B64E2">
        <w:rPr>
          <w:rFonts w:ascii="Aptos" w:eastAsia="Aptos" w:hAnsi="Aptos" w:cs="Arial"/>
          <w:kern w:val="2"/>
          <w:sz w:val="22"/>
          <w:szCs w:val="22"/>
          <w14:ligatures w14:val="standardContextual"/>
        </w:rPr>
        <w:t xml:space="preserve">o </w:t>
      </w:r>
      <w:r w:rsidR="002731FA" w:rsidRPr="002B64E2">
        <w:rPr>
          <w:rFonts w:ascii="Aptos" w:eastAsia="Aptos" w:hAnsi="Aptos" w:cs="Arial"/>
          <w:kern w:val="2"/>
          <w:sz w:val="22"/>
          <w:szCs w:val="22"/>
          <w14:ligatures w14:val="standardContextual"/>
        </w:rPr>
        <w:t xml:space="preserve">own </w:t>
      </w:r>
      <w:r w:rsidR="00FF3753" w:rsidRPr="002B64E2">
        <w:rPr>
          <w:rFonts w:ascii="Aptos" w:eastAsia="Aptos" w:hAnsi="Aptos" w:cs="Arial"/>
          <w:kern w:val="2"/>
          <w:sz w:val="22"/>
          <w:szCs w:val="22"/>
          <w14:ligatures w14:val="standardContextual"/>
        </w:rPr>
        <w:t>a mobile phone, while in Armenia it was the other way around.</w:t>
      </w:r>
    </w:p>
    <w:p w14:paraId="0AE58928" w14:textId="3FA7C0B4" w:rsidR="008743A3" w:rsidRPr="002B64E2" w:rsidRDefault="008743A3" w:rsidP="008743A3">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Percentage of individuals owning a mobile phone, by gender, 2023 or latest year available</w:t>
      </w:r>
    </w:p>
    <w:p w14:paraId="4793E45E" w14:textId="2860A544" w:rsidR="008743A3" w:rsidRPr="002B64E2" w:rsidRDefault="002263D2" w:rsidP="008743A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2B64E2">
        <w:rPr>
          <w:noProof/>
        </w:rPr>
        <w:drawing>
          <wp:inline distT="0" distB="0" distL="0" distR="0" wp14:anchorId="1EB0F21B" wp14:editId="08F6FEBD">
            <wp:extent cx="6120765" cy="2771775"/>
            <wp:effectExtent l="0" t="0" r="0" b="9525"/>
            <wp:docPr id="1450088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8838" name=""/>
                    <pic:cNvPicPr/>
                  </pic:nvPicPr>
                  <pic:blipFill>
                    <a:blip r:embed="rId86">
                      <a:extLst>
                        <a:ext uri="{96DAC541-7B7A-43D3-8B79-37D633B846F1}">
                          <asvg:svgBlip xmlns:asvg="http://schemas.microsoft.com/office/drawing/2016/SVG/main" r:embed="rId87"/>
                        </a:ext>
                      </a:extLst>
                    </a:blip>
                    <a:stretch>
                      <a:fillRect/>
                    </a:stretch>
                  </pic:blipFill>
                  <pic:spPr>
                    <a:xfrm>
                      <a:off x="0" y="0"/>
                      <a:ext cx="6120765" cy="2771775"/>
                    </a:xfrm>
                    <a:prstGeom prst="rect">
                      <a:avLst/>
                    </a:prstGeom>
                  </pic:spPr>
                </pic:pic>
              </a:graphicData>
            </a:graphic>
          </wp:inline>
        </w:drawing>
      </w:r>
    </w:p>
    <w:p w14:paraId="0FACBB00" w14:textId="77777777" w:rsidR="008743A3" w:rsidRPr="00970C56" w:rsidRDefault="008743A3" w:rsidP="008743A3">
      <w:pPr>
        <w:pStyle w:val="Sourcetext"/>
        <w:rPr>
          <w:lang w:val="fr-CH"/>
        </w:rPr>
      </w:pPr>
      <w:proofErr w:type="gramStart"/>
      <w:r w:rsidRPr="00970C56">
        <w:rPr>
          <w:lang w:val="fr-CH"/>
        </w:rPr>
        <w:t>Source:</w:t>
      </w:r>
      <w:proofErr w:type="gramEnd"/>
      <w:r w:rsidRPr="00970C56">
        <w:rPr>
          <w:lang w:val="fr-CH"/>
        </w:rPr>
        <w:t xml:space="preserve"> ITU</w:t>
      </w:r>
    </w:p>
    <w:p w14:paraId="3BAAD768" w14:textId="77777777" w:rsidR="006C41B5" w:rsidRPr="00970C56" w:rsidRDefault="006C41B5" w:rsidP="002263D2">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lang w:val="fr-CH"/>
        </w:rPr>
      </w:pPr>
      <w:r w:rsidRPr="00970C56">
        <w:rPr>
          <w:rFonts w:ascii="AvenirNext LT Pro Light" w:eastAsia="Yu Gothic Light" w:hAnsi="AvenirNext LT Pro Light" w:cs="Calibri"/>
          <w:color w:val="0070C0"/>
          <w:spacing w:val="-10"/>
          <w:kern w:val="28"/>
          <w:szCs w:val="24"/>
          <w:lang w:val="fr-CH"/>
        </w:rPr>
        <w:t xml:space="preserve">Mobile-cellular </w:t>
      </w:r>
      <w:proofErr w:type="spellStart"/>
      <w:r w:rsidRPr="00970C56">
        <w:rPr>
          <w:rFonts w:ascii="AvenirNext LT Pro Light" w:eastAsia="Yu Gothic Light" w:hAnsi="AvenirNext LT Pro Light" w:cs="Calibri"/>
          <w:color w:val="0070C0"/>
          <w:spacing w:val="-10"/>
          <w:kern w:val="28"/>
          <w:szCs w:val="24"/>
          <w:lang w:val="fr-CH"/>
        </w:rPr>
        <w:t>subscriptions</w:t>
      </w:r>
      <w:proofErr w:type="spellEnd"/>
      <w:r w:rsidRPr="00970C56">
        <w:rPr>
          <w:rFonts w:ascii="AvenirNext LT Pro Light" w:eastAsia="Yu Gothic Light" w:hAnsi="AvenirNext LT Pro Light" w:cs="Calibri"/>
          <w:color w:val="0070C0"/>
          <w:spacing w:val="-10"/>
          <w:kern w:val="28"/>
          <w:szCs w:val="24"/>
          <w:lang w:val="fr-CH"/>
        </w:rPr>
        <w:t xml:space="preserve"> per 100 </w:t>
      </w:r>
      <w:proofErr w:type="spellStart"/>
      <w:r w:rsidRPr="00970C56">
        <w:rPr>
          <w:rFonts w:ascii="AvenirNext LT Pro Light" w:eastAsia="Yu Gothic Light" w:hAnsi="AvenirNext LT Pro Light" w:cs="Calibri"/>
          <w:color w:val="0070C0"/>
          <w:spacing w:val="-10"/>
          <w:kern w:val="28"/>
          <w:szCs w:val="24"/>
          <w:lang w:val="fr-CH"/>
        </w:rPr>
        <w:t>inhabitants</w:t>
      </w:r>
      <w:proofErr w:type="spellEnd"/>
    </w:p>
    <w:p w14:paraId="73CB7473" w14:textId="208A87A7" w:rsidR="000018FC" w:rsidRPr="002B64E2" w:rsidRDefault="003275A9"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2B64E2">
        <w:rPr>
          <w:noProof/>
        </w:rPr>
        <w:drawing>
          <wp:inline distT="0" distB="0" distL="0" distR="0" wp14:anchorId="7D82DCD2" wp14:editId="20E1BE23">
            <wp:extent cx="6120765" cy="2633980"/>
            <wp:effectExtent l="0" t="0" r="0" b="0"/>
            <wp:docPr id="20920941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94166" name=""/>
                    <pic:cNvPicPr/>
                  </pic:nvPicPr>
                  <pic:blipFill>
                    <a:blip r:embed="rId88">
                      <a:extLst>
                        <a:ext uri="{96DAC541-7B7A-43D3-8B79-37D633B846F1}">
                          <asvg:svgBlip xmlns:asvg="http://schemas.microsoft.com/office/drawing/2016/SVG/main" r:embed="rId89"/>
                        </a:ext>
                      </a:extLst>
                    </a:blip>
                    <a:stretch>
                      <a:fillRect/>
                    </a:stretch>
                  </pic:blipFill>
                  <pic:spPr>
                    <a:xfrm>
                      <a:off x="0" y="0"/>
                      <a:ext cx="6120765" cy="2633980"/>
                    </a:xfrm>
                    <a:prstGeom prst="rect">
                      <a:avLst/>
                    </a:prstGeom>
                  </pic:spPr>
                </pic:pic>
              </a:graphicData>
            </a:graphic>
          </wp:inline>
        </w:drawing>
      </w:r>
    </w:p>
    <w:p w14:paraId="2416908B" w14:textId="23C32D28" w:rsidR="006C41B5" w:rsidRPr="002B64E2" w:rsidRDefault="006C41B5" w:rsidP="00B1004A">
      <w:pPr>
        <w:pStyle w:val="Sourcetext"/>
      </w:pPr>
      <w:r w:rsidRPr="002B64E2">
        <w:t>Source: ITU</w:t>
      </w:r>
    </w:p>
    <w:p w14:paraId="762154BD" w14:textId="606F1F39" w:rsidR="008A3695" w:rsidRPr="002B64E2" w:rsidRDefault="008A3695" w:rsidP="008A369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To use a mobile phone, a mobile-cellular or mobile broadband subscription is needed. In the </w:t>
      </w:r>
      <w:r w:rsidR="00FF3753" w:rsidRPr="002B64E2">
        <w:rPr>
          <w:rFonts w:ascii="Aptos" w:eastAsia="Aptos" w:hAnsi="Aptos" w:cs="Arial"/>
          <w:kern w:val="2"/>
          <w:sz w:val="22"/>
          <w:szCs w:val="22"/>
          <w14:ligatures w14:val="standardContextual"/>
        </w:rPr>
        <w:t>CIS region</w:t>
      </w:r>
      <w:r w:rsidRPr="002B64E2">
        <w:rPr>
          <w:rFonts w:ascii="Aptos" w:eastAsia="Aptos" w:hAnsi="Aptos" w:cs="Arial"/>
          <w:kern w:val="2"/>
          <w:sz w:val="22"/>
          <w:szCs w:val="22"/>
          <w14:ligatures w14:val="standardContextual"/>
        </w:rPr>
        <w:t>, there were 1</w:t>
      </w:r>
      <w:r w:rsidR="00A96437" w:rsidRPr="002B64E2">
        <w:rPr>
          <w:rFonts w:ascii="Aptos" w:eastAsia="Aptos" w:hAnsi="Aptos" w:cs="Arial"/>
          <w:kern w:val="2"/>
          <w:sz w:val="22"/>
          <w:szCs w:val="22"/>
          <w14:ligatures w14:val="standardContextual"/>
        </w:rPr>
        <w:t>47</w:t>
      </w:r>
      <w:r w:rsidRPr="002B64E2">
        <w:rPr>
          <w:rFonts w:ascii="Aptos" w:eastAsia="Aptos" w:hAnsi="Aptos" w:cs="Arial"/>
          <w:kern w:val="2"/>
          <w:sz w:val="22"/>
          <w:szCs w:val="22"/>
          <w14:ligatures w14:val="standardContextual"/>
        </w:rPr>
        <w:t xml:space="preserve"> subscriptions per 100 inhabitants in 2024, </w:t>
      </w:r>
      <w:r w:rsidR="00A96437" w:rsidRPr="002B64E2">
        <w:rPr>
          <w:rFonts w:ascii="Aptos" w:eastAsia="Aptos" w:hAnsi="Aptos" w:cs="Arial"/>
          <w:kern w:val="2"/>
          <w:sz w:val="22"/>
          <w:szCs w:val="22"/>
          <w14:ligatures w14:val="standardContextual"/>
        </w:rPr>
        <w:t xml:space="preserve">considerably </w:t>
      </w:r>
      <w:r w:rsidRPr="002B64E2">
        <w:rPr>
          <w:rFonts w:ascii="Aptos" w:eastAsia="Aptos" w:hAnsi="Aptos" w:cs="Arial"/>
          <w:kern w:val="2"/>
          <w:sz w:val="22"/>
          <w:szCs w:val="22"/>
          <w14:ligatures w14:val="standardContextual"/>
        </w:rPr>
        <w:t xml:space="preserve">more than the global average. </w:t>
      </w:r>
    </w:p>
    <w:p w14:paraId="77BCBB83" w14:textId="0EA503AF" w:rsidR="008A3695" w:rsidRPr="002B64E2" w:rsidRDefault="008A3695" w:rsidP="008A369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At the country level though, there was a gap between the economies with least and most subscriptions per 100 inhabitants, at </w:t>
      </w:r>
      <w:r w:rsidR="006D1089" w:rsidRPr="002B64E2">
        <w:rPr>
          <w:rFonts w:ascii="Aptos" w:eastAsia="Aptos" w:hAnsi="Aptos" w:cs="Arial"/>
          <w:kern w:val="2"/>
          <w:sz w:val="22"/>
          <w:szCs w:val="22"/>
          <w14:ligatures w14:val="standardContextual"/>
        </w:rPr>
        <w:t>76</w:t>
      </w:r>
      <w:r w:rsidRPr="002B64E2">
        <w:rPr>
          <w:rFonts w:ascii="Aptos" w:eastAsia="Aptos" w:hAnsi="Aptos" w:cs="Arial"/>
          <w:kern w:val="2"/>
          <w:sz w:val="22"/>
          <w:szCs w:val="22"/>
          <w14:ligatures w14:val="standardContextual"/>
        </w:rPr>
        <w:t xml:space="preserve"> and </w:t>
      </w:r>
      <w:r w:rsidR="006D1089" w:rsidRPr="002B64E2">
        <w:rPr>
          <w:rFonts w:ascii="Aptos" w:eastAsia="Aptos" w:hAnsi="Aptos" w:cs="Arial"/>
          <w:kern w:val="2"/>
          <w:sz w:val="22"/>
          <w:szCs w:val="22"/>
          <w14:ligatures w14:val="standardContextual"/>
        </w:rPr>
        <w:t xml:space="preserve">181 </w:t>
      </w:r>
      <w:r w:rsidRPr="002B64E2">
        <w:rPr>
          <w:rFonts w:ascii="Aptos" w:eastAsia="Aptos" w:hAnsi="Aptos" w:cs="Arial"/>
          <w:kern w:val="2"/>
          <w:sz w:val="22"/>
          <w:szCs w:val="22"/>
          <w14:ligatures w14:val="standardContextual"/>
        </w:rPr>
        <w:t xml:space="preserve">respectively. </w:t>
      </w:r>
    </w:p>
    <w:p w14:paraId="3ED82F06" w14:textId="1723C6BD" w:rsidR="000018FC" w:rsidRPr="002B64E2" w:rsidRDefault="006C41B5" w:rsidP="00F415E1">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lastRenderedPageBreak/>
        <w:t xml:space="preserve">Mobile-cellular subscriptions per 100 inhabitants, </w:t>
      </w:r>
      <w:r w:rsidR="007B7825" w:rsidRPr="002B64E2">
        <w:rPr>
          <w:rFonts w:ascii="AvenirNext LT Pro Light" w:eastAsia="Yu Gothic Light" w:hAnsi="AvenirNext LT Pro Light" w:cs="Calibri"/>
          <w:color w:val="0070C0"/>
          <w:spacing w:val="-10"/>
          <w:kern w:val="28"/>
          <w:szCs w:val="24"/>
        </w:rPr>
        <w:t xml:space="preserve">2023 or </w:t>
      </w:r>
      <w:r w:rsidRPr="002B64E2">
        <w:rPr>
          <w:rFonts w:ascii="AvenirNext LT Pro Light" w:eastAsia="Yu Gothic Light" w:hAnsi="AvenirNext LT Pro Light" w:cs="Calibri"/>
          <w:color w:val="0070C0"/>
          <w:spacing w:val="-10"/>
          <w:kern w:val="28"/>
          <w:szCs w:val="24"/>
        </w:rPr>
        <w:t>latest year available</w:t>
      </w:r>
    </w:p>
    <w:p w14:paraId="3F83E9A8" w14:textId="3CA81112" w:rsidR="006C41B5" w:rsidRPr="002B64E2" w:rsidRDefault="00F415E1" w:rsidP="00B1004A">
      <w:pPr>
        <w:pStyle w:val="Sourcetext"/>
      </w:pPr>
      <w:r w:rsidRPr="002B64E2">
        <w:rPr>
          <w:noProof/>
        </w:rPr>
        <w:drawing>
          <wp:inline distT="0" distB="0" distL="0" distR="0" wp14:anchorId="16A3A7EC" wp14:editId="09F19368">
            <wp:extent cx="6120765" cy="2999740"/>
            <wp:effectExtent l="0" t="0" r="0" b="0"/>
            <wp:docPr id="53129201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92015" name=""/>
                    <pic:cNvPicPr/>
                  </pic:nvPicPr>
                  <pic:blipFill>
                    <a:blip r:embed="rId90">
                      <a:extLst>
                        <a:ext uri="{96DAC541-7B7A-43D3-8B79-37D633B846F1}">
                          <asvg:svgBlip xmlns:asvg="http://schemas.microsoft.com/office/drawing/2016/SVG/main" r:embed="rId91"/>
                        </a:ext>
                      </a:extLst>
                    </a:blip>
                    <a:stretch>
                      <a:fillRect/>
                    </a:stretch>
                  </pic:blipFill>
                  <pic:spPr>
                    <a:xfrm>
                      <a:off x="0" y="0"/>
                      <a:ext cx="6120765" cy="2999740"/>
                    </a:xfrm>
                    <a:prstGeom prst="rect">
                      <a:avLst/>
                    </a:prstGeom>
                  </pic:spPr>
                </pic:pic>
              </a:graphicData>
            </a:graphic>
          </wp:inline>
        </w:drawing>
      </w:r>
      <w:r w:rsidR="006C41B5" w:rsidRPr="002B64E2">
        <w:t>Source: ITU</w:t>
      </w:r>
    </w:p>
    <w:p w14:paraId="36AA0DFA" w14:textId="77777777" w:rsidR="006C41B5" w:rsidRPr="002B64E2"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2B64E2">
        <w:rPr>
          <w:rFonts w:ascii="Aptos" w:eastAsia="Aptos" w:hAnsi="Aptos" w:cs="Arial"/>
          <w:kern w:val="2"/>
          <w:sz w:val="16"/>
          <w:szCs w:val="28"/>
          <w14:ligatures w14:val="standardContextual"/>
        </w:rPr>
        <w:br w:type="page"/>
      </w:r>
    </w:p>
    <w:p w14:paraId="34E6FA60" w14:textId="77777777" w:rsidR="006C41B5" w:rsidRPr="002B64E2" w:rsidRDefault="006C41B5" w:rsidP="00DA1CD8">
      <w:pPr>
        <w:pStyle w:val="Section"/>
      </w:pPr>
      <w:bookmarkStart w:id="16" w:name="_Toc192868603"/>
      <w:r w:rsidRPr="002B64E2">
        <w:lastRenderedPageBreak/>
        <w:t>ICT skills</w:t>
      </w:r>
      <w:bookmarkEnd w:id="16"/>
    </w:p>
    <w:p w14:paraId="1C200474" w14:textId="70BC0D71" w:rsidR="006C41B5" w:rsidRPr="002B64E2" w:rsidRDefault="009F2174"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B64E2">
        <w:rPr>
          <w:rFonts w:ascii="Aptos" w:eastAsia="Aptos" w:hAnsi="Aptos" w:cs="Arial"/>
          <w:b/>
          <w:bCs/>
          <w:i/>
          <w:iCs/>
          <w:kern w:val="2"/>
          <w:sz w:val="22"/>
          <w:szCs w:val="22"/>
          <w14:ligatures w14:val="standardContextual"/>
        </w:rPr>
        <w:t>Significant variation in ICT skill levels among Internet users</w:t>
      </w:r>
    </w:p>
    <w:p w14:paraId="7447995B" w14:textId="77777777" w:rsidR="00C75359" w:rsidRPr="002B64E2" w:rsidRDefault="00C75359" w:rsidP="00C7535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Because self-reporting of individuals’ ICT skills is subjective, ICT skills are measured based on household surveys asking whether an individual has recently performed certain activities. Performing these activities presupposes a degree of proficiency in relevant digital skills. The activities are grouped into five areas: information and data literacy; communication and collaboration; digital content creation; safety; and problem solving.</w:t>
      </w:r>
    </w:p>
    <w:p w14:paraId="79D3382F" w14:textId="4809F396" w:rsidR="00C75359" w:rsidRPr="002B64E2" w:rsidRDefault="00C75359" w:rsidP="00C7535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While the importance of digital skills in leveraging ICTs for economic prosperity and social well-being is well-documented, data remain very scant</w:t>
      </w:r>
      <w:r w:rsidR="003602F9" w:rsidRPr="002B64E2">
        <w:rPr>
          <w:rFonts w:ascii="Aptos" w:eastAsia="Aptos" w:hAnsi="Aptos" w:cs="Arial"/>
          <w:kern w:val="2"/>
          <w:sz w:val="22"/>
          <w:szCs w:val="22"/>
          <w14:ligatures w14:val="standardContextual"/>
        </w:rPr>
        <w:t xml:space="preserve">. In the CIS region, </w:t>
      </w:r>
      <w:r w:rsidR="00963E8E" w:rsidRPr="002B64E2">
        <w:rPr>
          <w:rFonts w:ascii="Aptos" w:eastAsia="Aptos" w:hAnsi="Aptos" w:cs="Arial"/>
          <w:kern w:val="2"/>
          <w:sz w:val="22"/>
          <w:szCs w:val="22"/>
          <w14:ligatures w14:val="standardContextual"/>
        </w:rPr>
        <w:t xml:space="preserve">five out of nine </w:t>
      </w:r>
      <w:r w:rsidRPr="002B64E2">
        <w:rPr>
          <w:rFonts w:ascii="Aptos" w:eastAsia="Aptos" w:hAnsi="Aptos" w:cs="Arial"/>
          <w:kern w:val="2"/>
          <w:sz w:val="22"/>
          <w:szCs w:val="22"/>
          <w14:ligatures w14:val="standardContextual"/>
        </w:rPr>
        <w:t>countries hav</w:t>
      </w:r>
      <w:r w:rsidR="00963E8E" w:rsidRPr="002B64E2">
        <w:rPr>
          <w:rFonts w:ascii="Aptos" w:eastAsia="Aptos" w:hAnsi="Aptos" w:cs="Arial"/>
          <w:kern w:val="2"/>
          <w:sz w:val="22"/>
          <w:szCs w:val="22"/>
          <w14:ligatures w14:val="standardContextual"/>
        </w:rPr>
        <w:t>e</w:t>
      </w:r>
      <w:r w:rsidRPr="002B64E2">
        <w:rPr>
          <w:rFonts w:ascii="Aptos" w:eastAsia="Aptos" w:hAnsi="Aptos" w:cs="Arial"/>
          <w:kern w:val="2"/>
          <w:sz w:val="22"/>
          <w:szCs w:val="22"/>
          <w14:ligatures w14:val="standardContextual"/>
        </w:rPr>
        <w:t xml:space="preserve"> submitted data since 2020. Even fewer – just </w:t>
      </w:r>
      <w:r w:rsidR="00963E8E" w:rsidRPr="002B64E2">
        <w:rPr>
          <w:rFonts w:ascii="Aptos" w:eastAsia="Aptos" w:hAnsi="Aptos" w:cs="Arial"/>
          <w:kern w:val="2"/>
          <w:sz w:val="22"/>
          <w:szCs w:val="22"/>
          <w14:ligatures w14:val="standardContextual"/>
        </w:rPr>
        <w:t>three</w:t>
      </w:r>
      <w:r w:rsidRPr="002B64E2">
        <w:rPr>
          <w:rFonts w:ascii="Aptos" w:eastAsia="Aptos" w:hAnsi="Aptos" w:cs="Arial"/>
          <w:kern w:val="2"/>
          <w:sz w:val="22"/>
          <w:szCs w:val="22"/>
          <w14:ligatures w14:val="standardContextual"/>
        </w:rPr>
        <w:t xml:space="preserve"> countries – provided comparable data on ICT skill levels (see box for details on the methodology for calculating ICT skill levels).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9016"/>
      </w:tblGrid>
      <w:tr w:rsidR="00C75359" w:rsidRPr="002B64E2" w14:paraId="792FB5B3" w14:textId="77777777">
        <w:tc>
          <w:tcPr>
            <w:tcW w:w="9016" w:type="dxa"/>
            <w:shd w:val="clear" w:color="auto" w:fill="F2F2F2"/>
          </w:tcPr>
          <w:p w14:paraId="371F544B" w14:textId="77777777" w:rsidR="00C75359" w:rsidRPr="002B64E2" w:rsidRDefault="00C75359">
            <w:pPr>
              <w:tabs>
                <w:tab w:val="clear" w:pos="794"/>
                <w:tab w:val="clear" w:pos="1191"/>
                <w:tab w:val="clear" w:pos="1588"/>
                <w:tab w:val="clear" w:pos="1985"/>
              </w:tabs>
              <w:overflowPunct/>
              <w:autoSpaceDE/>
              <w:autoSpaceDN/>
              <w:adjustRightInd/>
              <w:spacing w:before="0"/>
              <w:textAlignment w:val="auto"/>
              <w:rPr>
                <w:rFonts w:ascii="Aptos" w:hAnsi="Aptos"/>
                <w:b/>
                <w:sz w:val="22"/>
              </w:rPr>
            </w:pPr>
            <w:r w:rsidRPr="002B64E2">
              <w:rPr>
                <w:rFonts w:ascii="Aptos" w:hAnsi="Aptos"/>
                <w:b/>
                <w:sz w:val="22"/>
              </w:rPr>
              <w:t>Methodology for calculating ICT skill levels</w:t>
            </w:r>
          </w:p>
          <w:p w14:paraId="47F18668" w14:textId="2643CCD9" w:rsidR="00C75359" w:rsidRPr="002B64E2" w:rsidRDefault="00C75359">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2B64E2">
              <w:rPr>
                <w:rFonts w:ascii="Aptos" w:hAnsi="Aptos"/>
                <w:sz w:val="22"/>
              </w:rPr>
              <w:t>At its 11</w:t>
            </w:r>
            <w:r w:rsidRPr="002B64E2">
              <w:rPr>
                <w:rFonts w:ascii="Aptos" w:hAnsi="Aptos"/>
                <w:sz w:val="22"/>
                <w:vertAlign w:val="superscript"/>
              </w:rPr>
              <w:t>th</w:t>
            </w:r>
            <w:r w:rsidRPr="002B64E2">
              <w:rPr>
                <w:rFonts w:ascii="Aptos" w:hAnsi="Aptos"/>
                <w:sz w:val="22"/>
              </w:rPr>
              <w:t xml:space="preserve"> meeting in September 2023, </w:t>
            </w:r>
            <w:r w:rsidR="00E940DE" w:rsidRPr="002B64E2">
              <w:rPr>
                <w:rFonts w:ascii="Aptos" w:hAnsi="Aptos"/>
                <w:sz w:val="22"/>
              </w:rPr>
              <w:t xml:space="preserve">the </w:t>
            </w:r>
            <w:r w:rsidRPr="002B64E2">
              <w:rPr>
                <w:rFonts w:ascii="Aptos" w:hAnsi="Aptos"/>
                <w:sz w:val="22"/>
              </w:rPr>
              <w:t>ITU</w:t>
            </w:r>
            <w:r w:rsidR="00E940DE" w:rsidRPr="002B64E2">
              <w:rPr>
                <w:rFonts w:ascii="Aptos" w:hAnsi="Aptos"/>
                <w:sz w:val="22"/>
              </w:rPr>
              <w:t xml:space="preserve"> </w:t>
            </w:r>
            <w:r w:rsidRPr="002B64E2">
              <w:rPr>
                <w:rFonts w:ascii="Aptos" w:hAnsi="Aptos"/>
                <w:sz w:val="22"/>
              </w:rPr>
              <w:t xml:space="preserve">Expert Group on ICT Household Indicators (EGH) </w:t>
            </w:r>
            <w:hyperlink r:id="rId92">
              <w:r w:rsidRPr="002B64E2">
                <w:rPr>
                  <w:rFonts w:ascii="Aptos" w:hAnsi="Aptos"/>
                  <w:color w:val="467886"/>
                  <w:sz w:val="22"/>
                  <w:u w:val="single"/>
                </w:rPr>
                <w:t>recommended changes</w:t>
              </w:r>
            </w:hyperlink>
            <w:r w:rsidRPr="002B64E2">
              <w:rPr>
                <w:rFonts w:ascii="Aptos" w:hAnsi="Aptos"/>
                <w:sz w:val="22"/>
              </w:rPr>
              <w:t xml:space="preserve"> in how data on ICT skill levels are reported – most importantly, that skill levels of individuals should be assessed for different areas. </w:t>
            </w:r>
          </w:p>
          <w:p w14:paraId="17BE105C" w14:textId="77777777" w:rsidR="00C75359" w:rsidRPr="002B64E2" w:rsidRDefault="00C75359">
            <w:pPr>
              <w:tabs>
                <w:tab w:val="clear" w:pos="794"/>
                <w:tab w:val="clear" w:pos="1191"/>
                <w:tab w:val="clear" w:pos="1588"/>
                <w:tab w:val="clear" w:pos="1985"/>
              </w:tabs>
              <w:overflowPunct/>
              <w:autoSpaceDE/>
              <w:autoSpaceDN/>
              <w:adjustRightInd/>
              <w:spacing w:before="0"/>
              <w:textAlignment w:val="auto"/>
              <w:rPr>
                <w:rFonts w:ascii="Aptos" w:hAnsi="Aptos"/>
                <w:sz w:val="22"/>
              </w:rPr>
            </w:pPr>
          </w:p>
          <w:p w14:paraId="71866552" w14:textId="77777777" w:rsidR="00C75359" w:rsidRPr="002B64E2" w:rsidRDefault="00C75359">
            <w:pPr>
              <w:tabs>
                <w:tab w:val="clear" w:pos="794"/>
                <w:tab w:val="clear" w:pos="1191"/>
                <w:tab w:val="clear" w:pos="1588"/>
                <w:tab w:val="clear" w:pos="1985"/>
              </w:tabs>
              <w:overflowPunct/>
              <w:autoSpaceDE/>
              <w:autoSpaceDN/>
              <w:adjustRightInd/>
              <w:spacing w:before="0"/>
              <w:ind w:left="284"/>
              <w:textAlignment w:val="auto"/>
              <w:rPr>
                <w:rFonts w:ascii="Aptos" w:hAnsi="Aptos"/>
                <w:i/>
                <w:sz w:val="22"/>
              </w:rPr>
            </w:pPr>
            <w:r w:rsidRPr="002B64E2">
              <w:rPr>
                <w:rFonts w:ascii="Aptos" w:hAnsi="Aptos"/>
                <w:i/>
                <w:sz w:val="22"/>
              </w:rPr>
              <w:t>Individuals should be assessed on the number of activities within a skill area they report having done in the last three months using the following progression:</w:t>
            </w:r>
          </w:p>
          <w:p w14:paraId="4BE9FB11" w14:textId="77777777" w:rsidR="00C75359" w:rsidRPr="002B64E2" w:rsidRDefault="00C75359">
            <w:pPr>
              <w:tabs>
                <w:tab w:val="clear" w:pos="794"/>
                <w:tab w:val="clear" w:pos="1191"/>
                <w:tab w:val="clear" w:pos="1588"/>
                <w:tab w:val="clear" w:pos="1985"/>
              </w:tabs>
              <w:overflowPunct/>
              <w:autoSpaceDE/>
              <w:autoSpaceDN/>
              <w:adjustRightInd/>
              <w:spacing w:before="0"/>
              <w:textAlignment w:val="auto"/>
              <w:rPr>
                <w:rFonts w:ascii="Aptos" w:hAnsi="Aptos"/>
                <w:i/>
                <w:sz w:val="22"/>
              </w:rPr>
            </w:pPr>
          </w:p>
          <w:tbl>
            <w:tblPr>
              <w:tblStyle w:val="GridTable2-Accent11"/>
              <w:tblW w:w="0" w:type="auto"/>
              <w:tblInd w:w="612" w:type="dxa"/>
              <w:tblLook w:val="04A0" w:firstRow="1" w:lastRow="0" w:firstColumn="1" w:lastColumn="0" w:noHBand="0" w:noVBand="1"/>
            </w:tblPr>
            <w:tblGrid>
              <w:gridCol w:w="1587"/>
              <w:gridCol w:w="1531"/>
              <w:gridCol w:w="2268"/>
            </w:tblGrid>
            <w:tr w:rsidR="00C75359" w:rsidRPr="002B64E2" w14:paraId="73B7416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6A5193D0" w14:textId="77777777" w:rsidR="00C75359" w:rsidRPr="002B64E2" w:rsidRDefault="00C75359">
                  <w:pPr>
                    <w:tabs>
                      <w:tab w:val="clear" w:pos="794"/>
                      <w:tab w:val="clear" w:pos="1191"/>
                      <w:tab w:val="clear" w:pos="1588"/>
                      <w:tab w:val="clear" w:pos="1985"/>
                    </w:tabs>
                    <w:overflowPunct/>
                    <w:autoSpaceDE/>
                    <w:autoSpaceDN/>
                    <w:adjustRightInd/>
                    <w:spacing w:before="0"/>
                    <w:contextualSpacing/>
                    <w:textAlignment w:val="auto"/>
                    <w:rPr>
                      <w:rFonts w:ascii="Aptos" w:hAnsi="Aptos"/>
                      <w:sz w:val="18"/>
                      <w:szCs w:val="18"/>
                    </w:rPr>
                  </w:pPr>
                  <w:r w:rsidRPr="002B64E2">
                    <w:rPr>
                      <w:rFonts w:ascii="Aptos" w:hAnsi="Aptos"/>
                      <w:sz w:val="18"/>
                      <w:szCs w:val="18"/>
                    </w:rPr>
                    <w:t>None</w:t>
                  </w:r>
                </w:p>
              </w:tc>
              <w:tc>
                <w:tcPr>
                  <w:tcW w:w="1531" w:type="dxa"/>
                </w:tcPr>
                <w:p w14:paraId="56A08E31" w14:textId="77777777" w:rsidR="00C75359" w:rsidRPr="002B64E2" w:rsidRDefault="00C75359">
                  <w:pPr>
                    <w:tabs>
                      <w:tab w:val="clear" w:pos="794"/>
                      <w:tab w:val="clear" w:pos="1191"/>
                      <w:tab w:val="clear" w:pos="1588"/>
                      <w:tab w:val="clear" w:pos="1985"/>
                    </w:tabs>
                    <w:overflowPunct/>
                    <w:autoSpaceDE/>
                    <w:autoSpaceDN/>
                    <w:adjustRightInd/>
                    <w:spacing w:before="0"/>
                    <w:contextualSpacing/>
                    <w:textAlignment w:val="auto"/>
                    <w:cnfStyle w:val="100000000000" w:firstRow="1" w:lastRow="0" w:firstColumn="0" w:lastColumn="0" w:oddVBand="0" w:evenVBand="0" w:oddHBand="0" w:evenHBand="0" w:firstRowFirstColumn="0" w:firstRowLastColumn="0" w:lastRowFirstColumn="0" w:lastRowLastColumn="0"/>
                    <w:rPr>
                      <w:rFonts w:ascii="Aptos" w:hAnsi="Aptos"/>
                      <w:sz w:val="18"/>
                      <w:szCs w:val="18"/>
                    </w:rPr>
                  </w:pPr>
                  <w:r w:rsidRPr="002B64E2">
                    <w:rPr>
                      <w:rFonts w:ascii="Aptos" w:hAnsi="Aptos"/>
                      <w:sz w:val="18"/>
                      <w:szCs w:val="18"/>
                    </w:rPr>
                    <w:t>Basic</w:t>
                  </w:r>
                </w:p>
              </w:tc>
              <w:tc>
                <w:tcPr>
                  <w:tcW w:w="2268" w:type="dxa"/>
                </w:tcPr>
                <w:p w14:paraId="687BE2C3" w14:textId="77777777" w:rsidR="00C75359" w:rsidRPr="002B64E2" w:rsidRDefault="00C75359">
                  <w:pPr>
                    <w:tabs>
                      <w:tab w:val="clear" w:pos="794"/>
                      <w:tab w:val="clear" w:pos="1191"/>
                      <w:tab w:val="clear" w:pos="1588"/>
                      <w:tab w:val="clear" w:pos="1985"/>
                    </w:tabs>
                    <w:overflowPunct/>
                    <w:autoSpaceDE/>
                    <w:autoSpaceDN/>
                    <w:adjustRightInd/>
                    <w:spacing w:before="0"/>
                    <w:contextualSpacing/>
                    <w:textAlignment w:val="auto"/>
                    <w:cnfStyle w:val="100000000000" w:firstRow="1" w:lastRow="0" w:firstColumn="0" w:lastColumn="0" w:oddVBand="0" w:evenVBand="0" w:oddHBand="0" w:evenHBand="0" w:firstRowFirstColumn="0" w:firstRowLastColumn="0" w:lastRowFirstColumn="0" w:lastRowLastColumn="0"/>
                    <w:rPr>
                      <w:rFonts w:ascii="Aptos" w:hAnsi="Aptos"/>
                      <w:sz w:val="18"/>
                      <w:szCs w:val="18"/>
                    </w:rPr>
                  </w:pPr>
                  <w:r w:rsidRPr="002B64E2">
                    <w:rPr>
                      <w:rFonts w:ascii="Aptos" w:hAnsi="Aptos"/>
                      <w:sz w:val="18"/>
                      <w:szCs w:val="18"/>
                    </w:rPr>
                    <w:t>Above basic</w:t>
                  </w:r>
                </w:p>
              </w:tc>
            </w:tr>
            <w:tr w:rsidR="00C75359" w:rsidRPr="002B64E2" w14:paraId="22E93E0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58561D0F" w14:textId="77777777" w:rsidR="00C75359" w:rsidRPr="002B64E2" w:rsidRDefault="00C75359">
                  <w:pPr>
                    <w:tabs>
                      <w:tab w:val="clear" w:pos="794"/>
                      <w:tab w:val="clear" w:pos="1191"/>
                      <w:tab w:val="clear" w:pos="1588"/>
                      <w:tab w:val="clear" w:pos="1985"/>
                    </w:tabs>
                    <w:overflowPunct/>
                    <w:autoSpaceDE/>
                    <w:autoSpaceDN/>
                    <w:adjustRightInd/>
                    <w:spacing w:before="0"/>
                    <w:contextualSpacing/>
                    <w:textAlignment w:val="auto"/>
                    <w:rPr>
                      <w:rFonts w:ascii="Aptos" w:hAnsi="Aptos"/>
                      <w:b w:val="0"/>
                      <w:bCs w:val="0"/>
                      <w:sz w:val="18"/>
                      <w:szCs w:val="18"/>
                    </w:rPr>
                  </w:pPr>
                  <w:r w:rsidRPr="002B64E2">
                    <w:rPr>
                      <w:rFonts w:ascii="Aptos" w:hAnsi="Aptos"/>
                      <w:b w:val="0"/>
                      <w:bCs w:val="0"/>
                      <w:sz w:val="18"/>
                      <w:szCs w:val="18"/>
                    </w:rPr>
                    <w:t>0 activities</w:t>
                  </w:r>
                </w:p>
              </w:tc>
              <w:tc>
                <w:tcPr>
                  <w:tcW w:w="1531" w:type="dxa"/>
                </w:tcPr>
                <w:p w14:paraId="7AA5AB47" w14:textId="77777777" w:rsidR="00C75359" w:rsidRPr="002B64E2" w:rsidRDefault="00C75359">
                  <w:pPr>
                    <w:tabs>
                      <w:tab w:val="clear" w:pos="794"/>
                      <w:tab w:val="clear" w:pos="1191"/>
                      <w:tab w:val="clear" w:pos="1588"/>
                      <w:tab w:val="clear" w:pos="1985"/>
                    </w:tabs>
                    <w:overflowPunct/>
                    <w:autoSpaceDE/>
                    <w:autoSpaceDN/>
                    <w:adjustRightInd/>
                    <w:spacing w:before="0"/>
                    <w:contextualSpacing/>
                    <w:textAlignment w:val="auto"/>
                    <w:cnfStyle w:val="000000100000" w:firstRow="0" w:lastRow="0" w:firstColumn="0" w:lastColumn="0" w:oddVBand="0" w:evenVBand="0" w:oddHBand="1" w:evenHBand="0" w:firstRowFirstColumn="0" w:firstRowLastColumn="0" w:lastRowFirstColumn="0" w:lastRowLastColumn="0"/>
                    <w:rPr>
                      <w:rFonts w:ascii="Aptos" w:hAnsi="Aptos"/>
                      <w:sz w:val="18"/>
                      <w:szCs w:val="18"/>
                    </w:rPr>
                  </w:pPr>
                  <w:r w:rsidRPr="002B64E2">
                    <w:rPr>
                      <w:rFonts w:ascii="Aptos" w:hAnsi="Aptos"/>
                      <w:sz w:val="18"/>
                      <w:szCs w:val="18"/>
                    </w:rPr>
                    <w:t>1 activity</w:t>
                  </w:r>
                </w:p>
              </w:tc>
              <w:tc>
                <w:tcPr>
                  <w:tcW w:w="2268" w:type="dxa"/>
                </w:tcPr>
                <w:p w14:paraId="40A8B309" w14:textId="77777777" w:rsidR="00C75359" w:rsidRPr="002B64E2" w:rsidRDefault="00C75359">
                  <w:pPr>
                    <w:tabs>
                      <w:tab w:val="clear" w:pos="794"/>
                      <w:tab w:val="clear" w:pos="1191"/>
                      <w:tab w:val="clear" w:pos="1588"/>
                      <w:tab w:val="clear" w:pos="1985"/>
                    </w:tabs>
                    <w:overflowPunct/>
                    <w:autoSpaceDE/>
                    <w:autoSpaceDN/>
                    <w:adjustRightInd/>
                    <w:spacing w:before="0"/>
                    <w:contextualSpacing/>
                    <w:textAlignment w:val="auto"/>
                    <w:cnfStyle w:val="000000100000" w:firstRow="0" w:lastRow="0" w:firstColumn="0" w:lastColumn="0" w:oddVBand="0" w:evenVBand="0" w:oddHBand="1" w:evenHBand="0" w:firstRowFirstColumn="0" w:firstRowLastColumn="0" w:lastRowFirstColumn="0" w:lastRowLastColumn="0"/>
                    <w:rPr>
                      <w:rFonts w:ascii="Aptos" w:hAnsi="Aptos"/>
                      <w:sz w:val="18"/>
                      <w:szCs w:val="18"/>
                    </w:rPr>
                  </w:pPr>
                  <w:r w:rsidRPr="002B64E2">
                    <w:rPr>
                      <w:rFonts w:ascii="Aptos" w:hAnsi="Aptos"/>
                      <w:sz w:val="18"/>
                      <w:szCs w:val="18"/>
                    </w:rPr>
                    <w:t>More than 1 activity</w:t>
                  </w:r>
                </w:p>
              </w:tc>
            </w:tr>
          </w:tbl>
          <w:p w14:paraId="68FC8F1E" w14:textId="77777777" w:rsidR="00C75359" w:rsidRPr="002B64E2" w:rsidRDefault="00C75359">
            <w:pPr>
              <w:tabs>
                <w:tab w:val="clear" w:pos="794"/>
                <w:tab w:val="clear" w:pos="1191"/>
                <w:tab w:val="clear" w:pos="1588"/>
                <w:tab w:val="clear" w:pos="1985"/>
              </w:tabs>
              <w:overflowPunct/>
              <w:autoSpaceDE/>
              <w:autoSpaceDN/>
              <w:adjustRightInd/>
              <w:spacing w:before="0"/>
              <w:ind w:left="1440"/>
              <w:contextualSpacing/>
              <w:textAlignment w:val="auto"/>
              <w:rPr>
                <w:rFonts w:ascii="Aptos" w:hAnsi="Aptos"/>
                <w:i/>
                <w:sz w:val="22"/>
              </w:rPr>
            </w:pPr>
          </w:p>
          <w:p w14:paraId="3C0B5B2C" w14:textId="77777777" w:rsidR="00C75359" w:rsidRPr="002B64E2" w:rsidRDefault="00C75359">
            <w:pPr>
              <w:numPr>
                <w:ilvl w:val="0"/>
                <w:numId w:val="9"/>
              </w:numPr>
              <w:tabs>
                <w:tab w:val="clear" w:pos="794"/>
                <w:tab w:val="clear" w:pos="1191"/>
                <w:tab w:val="clear" w:pos="1588"/>
                <w:tab w:val="clear" w:pos="1985"/>
              </w:tabs>
              <w:overflowPunct/>
              <w:autoSpaceDE/>
              <w:autoSpaceDN/>
              <w:adjustRightInd/>
              <w:spacing w:before="0"/>
              <w:contextualSpacing/>
              <w:textAlignment w:val="auto"/>
              <w:rPr>
                <w:rFonts w:ascii="Aptos" w:hAnsi="Aptos"/>
                <w:i/>
                <w:sz w:val="22"/>
              </w:rPr>
            </w:pPr>
            <w:r w:rsidRPr="002B64E2">
              <w:rPr>
                <w:rFonts w:ascii="Aptos" w:hAnsi="Aptos"/>
                <w:i/>
                <w:sz w:val="22"/>
              </w:rPr>
              <w:t>Skill levels should not be assessed in skill areas where fewer than two indicators are collected.</w:t>
            </w:r>
          </w:p>
          <w:p w14:paraId="1AB588B2" w14:textId="77777777" w:rsidR="00C75359" w:rsidRPr="002B64E2" w:rsidRDefault="00C75359">
            <w:pPr>
              <w:numPr>
                <w:ilvl w:val="0"/>
                <w:numId w:val="9"/>
              </w:numPr>
              <w:tabs>
                <w:tab w:val="clear" w:pos="794"/>
                <w:tab w:val="clear" w:pos="1191"/>
                <w:tab w:val="clear" w:pos="1588"/>
                <w:tab w:val="clear" w:pos="1985"/>
              </w:tabs>
              <w:overflowPunct/>
              <w:autoSpaceDE/>
              <w:autoSpaceDN/>
              <w:adjustRightInd/>
              <w:spacing w:before="0"/>
              <w:contextualSpacing/>
              <w:textAlignment w:val="auto"/>
              <w:rPr>
                <w:rFonts w:ascii="Aptos" w:hAnsi="Aptos"/>
                <w:i/>
                <w:sz w:val="22"/>
              </w:rPr>
            </w:pPr>
            <w:r w:rsidRPr="002B64E2">
              <w:rPr>
                <w:rFonts w:ascii="Aptos" w:hAnsi="Aptos"/>
                <w:i/>
                <w:sz w:val="22"/>
              </w:rPr>
              <w:t>Indicators should be weighted equally within each skill area.</w:t>
            </w:r>
          </w:p>
          <w:p w14:paraId="4149C2BF" w14:textId="77777777" w:rsidR="00C75359" w:rsidRPr="002B64E2" w:rsidRDefault="00C75359">
            <w:pPr>
              <w:numPr>
                <w:ilvl w:val="0"/>
                <w:numId w:val="9"/>
              </w:numPr>
              <w:tabs>
                <w:tab w:val="clear" w:pos="794"/>
                <w:tab w:val="clear" w:pos="1191"/>
                <w:tab w:val="clear" w:pos="1588"/>
                <w:tab w:val="clear" w:pos="1985"/>
              </w:tabs>
              <w:overflowPunct/>
              <w:autoSpaceDE/>
              <w:autoSpaceDN/>
              <w:adjustRightInd/>
              <w:spacing w:before="0"/>
              <w:contextualSpacing/>
              <w:textAlignment w:val="auto"/>
              <w:rPr>
                <w:rFonts w:ascii="Aptos" w:hAnsi="Aptos"/>
                <w:i/>
                <w:sz w:val="22"/>
              </w:rPr>
            </w:pPr>
            <w:r w:rsidRPr="002B64E2">
              <w:rPr>
                <w:rFonts w:ascii="Aptos" w:hAnsi="Aptos"/>
                <w:i/>
                <w:sz w:val="22"/>
              </w:rPr>
              <w:t>Skill areas with different numbers of components should be treated equally.</w:t>
            </w:r>
          </w:p>
          <w:p w14:paraId="45C0E810" w14:textId="77777777" w:rsidR="00C75359" w:rsidRPr="002B64E2" w:rsidRDefault="00C75359">
            <w:pPr>
              <w:tabs>
                <w:tab w:val="clear" w:pos="794"/>
                <w:tab w:val="clear" w:pos="1191"/>
                <w:tab w:val="clear" w:pos="1588"/>
                <w:tab w:val="clear" w:pos="1985"/>
              </w:tabs>
              <w:overflowPunct/>
              <w:autoSpaceDE/>
              <w:autoSpaceDN/>
              <w:adjustRightInd/>
              <w:spacing w:before="0"/>
              <w:textAlignment w:val="auto"/>
              <w:rPr>
                <w:rFonts w:ascii="Aptos" w:hAnsi="Aptos"/>
                <w:sz w:val="22"/>
              </w:rPr>
            </w:pPr>
          </w:p>
          <w:p w14:paraId="14937D04" w14:textId="6D8A743C" w:rsidR="00C75359" w:rsidRPr="002B64E2" w:rsidRDefault="00C75359">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2B64E2">
              <w:rPr>
                <w:rFonts w:ascii="Aptos" w:hAnsi="Aptos"/>
                <w:sz w:val="22"/>
              </w:rPr>
              <w:t xml:space="preserve">While this recommendation does not require any additional data collection, it does require that countries perform additional analysis on existing survey microdata. ITU requested data on ICT skills for the first time in its April 2024 data collection, and received data from 40 countries, including </w:t>
            </w:r>
            <w:r w:rsidR="0026481D" w:rsidRPr="002B64E2">
              <w:rPr>
                <w:rFonts w:ascii="Aptos" w:hAnsi="Aptos"/>
                <w:sz w:val="22"/>
              </w:rPr>
              <w:t>3</w:t>
            </w:r>
            <w:r w:rsidRPr="002B64E2">
              <w:rPr>
                <w:rFonts w:ascii="Aptos" w:hAnsi="Aptos"/>
                <w:sz w:val="22"/>
              </w:rPr>
              <w:t xml:space="preserve"> countries in the </w:t>
            </w:r>
            <w:r w:rsidR="0026481D" w:rsidRPr="002B64E2">
              <w:rPr>
                <w:rFonts w:ascii="Aptos" w:hAnsi="Aptos"/>
                <w:sz w:val="22"/>
              </w:rPr>
              <w:t>CIS region</w:t>
            </w:r>
            <w:r w:rsidRPr="002B64E2">
              <w:rPr>
                <w:rFonts w:ascii="Aptos" w:hAnsi="Aptos"/>
                <w:sz w:val="22"/>
              </w:rPr>
              <w:t>. However, other countries were unable to provide data, even though in many cases data on the underlying activities had been collected. It is expected that data availability will improve as familiarity with these new recommendations increases.</w:t>
            </w:r>
          </w:p>
        </w:tc>
      </w:tr>
    </w:tbl>
    <w:p w14:paraId="365A9D86" w14:textId="77777777" w:rsidR="00C75359" w:rsidRPr="002B64E2" w:rsidRDefault="00C75359" w:rsidP="00C7535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4D59DD25" w14:textId="5F75D27C" w:rsidR="00C75359" w:rsidRPr="002B64E2" w:rsidRDefault="00C75359" w:rsidP="00C7535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ICT skills data goes beyond simple access and use of ICTs to provide a view of the capabilities of ICT users. Data on individuals in the </w:t>
      </w:r>
      <w:r w:rsidR="0026481D" w:rsidRPr="002B64E2">
        <w:rPr>
          <w:rFonts w:ascii="Aptos" w:eastAsia="Aptos" w:hAnsi="Aptos" w:cs="Arial"/>
          <w:kern w:val="2"/>
          <w:sz w:val="22"/>
          <w:szCs w:val="22"/>
          <w14:ligatures w14:val="standardContextual"/>
        </w:rPr>
        <w:t>CIS region</w:t>
      </w:r>
      <w:r w:rsidRPr="002B64E2">
        <w:rPr>
          <w:rFonts w:ascii="Aptos" w:eastAsia="Aptos" w:hAnsi="Aptos" w:cs="Arial"/>
          <w:kern w:val="2"/>
          <w:sz w:val="22"/>
          <w:szCs w:val="22"/>
          <w14:ligatures w14:val="standardContextual"/>
        </w:rPr>
        <w:t xml:space="preserve"> with different levels of ICT skills are shown below as a share of Internet users. These data demonstrate the substantial variation between countries in the level of ICT skills of those already using the Internet. They also show the areas where attention is needed to increase ICT skills.</w:t>
      </w:r>
    </w:p>
    <w:p w14:paraId="0B85A884" w14:textId="77777777" w:rsidR="00C75359" w:rsidRPr="002B64E2" w:rsidRDefault="00C75359" w:rsidP="00C7535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219E7BCA" w14:textId="71E460C8" w:rsidR="00C75359" w:rsidRPr="002B64E2" w:rsidRDefault="00C75359" w:rsidP="00C75359">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lastRenderedPageBreak/>
        <w:t xml:space="preserve">Percentage of Internet users with ICT skills in the </w:t>
      </w:r>
      <w:r w:rsidR="0026481D" w:rsidRPr="002B64E2">
        <w:rPr>
          <w:rFonts w:ascii="AvenirNext LT Pro Light" w:eastAsia="Yu Gothic Light" w:hAnsi="AvenirNext LT Pro Light" w:cs="Calibri"/>
          <w:color w:val="0070C0"/>
          <w:spacing w:val="-10"/>
          <w:kern w:val="28"/>
          <w:szCs w:val="24"/>
        </w:rPr>
        <w:t>CIS region</w:t>
      </w:r>
      <w:r w:rsidRPr="002B64E2">
        <w:rPr>
          <w:rFonts w:ascii="AvenirNext LT Pro Light" w:eastAsia="Yu Gothic Light" w:hAnsi="AvenirNext LT Pro Light" w:cs="Calibri"/>
          <w:color w:val="0070C0"/>
          <w:spacing w:val="-10"/>
          <w:kern w:val="28"/>
          <w:szCs w:val="24"/>
        </w:rPr>
        <w:t>, by skill level, 2023</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75359" w:rsidRPr="002B64E2" w14:paraId="2A490DDE" w14:textId="77777777" w:rsidTr="005135CF">
        <w:tc>
          <w:tcPr>
            <w:tcW w:w="4508" w:type="dxa"/>
          </w:tcPr>
          <w:p w14:paraId="57FFB1D3" w14:textId="5B0520FF" w:rsidR="00C75359" w:rsidRPr="002B64E2" w:rsidRDefault="009257E2" w:rsidP="009257E2">
            <w:pPr>
              <w:tabs>
                <w:tab w:val="clear" w:pos="794"/>
                <w:tab w:val="clear" w:pos="1191"/>
                <w:tab w:val="clear" w:pos="1588"/>
                <w:tab w:val="clear" w:pos="1985"/>
              </w:tabs>
              <w:overflowPunct/>
              <w:autoSpaceDE/>
              <w:autoSpaceDN/>
              <w:adjustRightInd/>
              <w:spacing w:before="0"/>
              <w:jc w:val="center"/>
              <w:textAlignment w:val="auto"/>
              <w:rPr>
                <w:rFonts w:ascii="Aptos Narrow" w:hAnsi="Aptos Narrow"/>
                <w:b/>
                <w:bCs/>
                <w:color w:val="000000"/>
                <w:sz w:val="22"/>
                <w:lang w:eastAsia="en-GB"/>
              </w:rPr>
            </w:pPr>
            <w:r w:rsidRPr="002B64E2">
              <w:rPr>
                <w:rFonts w:ascii="Aptos Narrow" w:hAnsi="Aptos Narrow"/>
                <w:b/>
                <w:bCs/>
                <w:color w:val="000000"/>
                <w:sz w:val="22"/>
              </w:rPr>
              <w:t>Azerbaijan</w:t>
            </w:r>
            <w:r w:rsidR="00676EBD" w:rsidRPr="002B64E2">
              <w:rPr>
                <w:noProof/>
              </w:rPr>
              <w:t xml:space="preserve"> </w:t>
            </w:r>
            <w:r w:rsidR="00676EBD" w:rsidRPr="002B64E2">
              <w:rPr>
                <w:noProof/>
              </w:rPr>
              <w:drawing>
                <wp:inline distT="0" distB="0" distL="0" distR="0" wp14:anchorId="016ED698" wp14:editId="142B4510">
                  <wp:extent cx="2705100" cy="2600325"/>
                  <wp:effectExtent l="0" t="0" r="0" b="9525"/>
                  <wp:docPr id="115488062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80622" name=""/>
                          <pic:cNvPicPr/>
                        </pic:nvPicPr>
                        <pic:blipFill>
                          <a:blip r:embed="rId93">
                            <a:extLst>
                              <a:ext uri="{96DAC541-7B7A-43D3-8B79-37D633B846F1}">
                                <asvg:svgBlip xmlns:asvg="http://schemas.microsoft.com/office/drawing/2016/SVG/main" r:embed="rId94"/>
                              </a:ext>
                            </a:extLst>
                          </a:blip>
                          <a:stretch>
                            <a:fillRect/>
                          </a:stretch>
                        </pic:blipFill>
                        <pic:spPr>
                          <a:xfrm>
                            <a:off x="0" y="0"/>
                            <a:ext cx="2705100" cy="2600325"/>
                          </a:xfrm>
                          <a:prstGeom prst="rect">
                            <a:avLst/>
                          </a:prstGeom>
                        </pic:spPr>
                      </pic:pic>
                    </a:graphicData>
                  </a:graphic>
                </wp:inline>
              </w:drawing>
            </w:r>
          </w:p>
        </w:tc>
        <w:tc>
          <w:tcPr>
            <w:tcW w:w="4508" w:type="dxa"/>
          </w:tcPr>
          <w:p w14:paraId="0035C812" w14:textId="1D88E6D8" w:rsidR="00C75359" w:rsidRPr="002B64E2" w:rsidRDefault="00676EBD" w:rsidP="00676EBD">
            <w:pPr>
              <w:tabs>
                <w:tab w:val="clear" w:pos="794"/>
                <w:tab w:val="clear" w:pos="1191"/>
                <w:tab w:val="clear" w:pos="1588"/>
                <w:tab w:val="clear" w:pos="1985"/>
              </w:tabs>
              <w:overflowPunct/>
              <w:autoSpaceDE/>
              <w:autoSpaceDN/>
              <w:adjustRightInd/>
              <w:spacing w:before="0"/>
              <w:jc w:val="center"/>
              <w:textAlignment w:val="auto"/>
              <w:rPr>
                <w:rFonts w:ascii="Aptos" w:hAnsi="Aptos"/>
                <w:sz w:val="22"/>
              </w:rPr>
            </w:pPr>
            <w:r w:rsidRPr="002B64E2">
              <w:rPr>
                <w:rFonts w:ascii="Aptos Narrow" w:hAnsi="Aptos Narrow"/>
                <w:b/>
                <w:bCs/>
                <w:color w:val="000000"/>
                <w:sz w:val="22"/>
              </w:rPr>
              <w:t>Belarus</w:t>
            </w:r>
            <w:r w:rsidR="005135CF" w:rsidRPr="002B64E2">
              <w:rPr>
                <w:noProof/>
              </w:rPr>
              <w:t xml:space="preserve"> </w:t>
            </w:r>
            <w:r w:rsidR="005135CF" w:rsidRPr="002B64E2">
              <w:rPr>
                <w:noProof/>
              </w:rPr>
              <w:drawing>
                <wp:inline distT="0" distB="0" distL="0" distR="0" wp14:anchorId="77D1BDAA" wp14:editId="4466243C">
                  <wp:extent cx="2705100" cy="2619375"/>
                  <wp:effectExtent l="0" t="0" r="0" b="9525"/>
                  <wp:docPr id="206977774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77743" name=""/>
                          <pic:cNvPicPr/>
                        </pic:nvPicPr>
                        <pic:blipFill>
                          <a:blip r:embed="rId95">
                            <a:extLst>
                              <a:ext uri="{96DAC541-7B7A-43D3-8B79-37D633B846F1}">
                                <asvg:svgBlip xmlns:asvg="http://schemas.microsoft.com/office/drawing/2016/SVG/main" r:embed="rId96"/>
                              </a:ext>
                            </a:extLst>
                          </a:blip>
                          <a:stretch>
                            <a:fillRect/>
                          </a:stretch>
                        </pic:blipFill>
                        <pic:spPr>
                          <a:xfrm>
                            <a:off x="0" y="0"/>
                            <a:ext cx="2705100" cy="2619375"/>
                          </a:xfrm>
                          <a:prstGeom prst="rect">
                            <a:avLst/>
                          </a:prstGeom>
                        </pic:spPr>
                      </pic:pic>
                    </a:graphicData>
                  </a:graphic>
                </wp:inline>
              </w:drawing>
            </w:r>
          </w:p>
        </w:tc>
      </w:tr>
      <w:tr w:rsidR="00C75359" w:rsidRPr="002B64E2" w14:paraId="7568E870" w14:textId="77777777" w:rsidTr="00DB62F9">
        <w:tc>
          <w:tcPr>
            <w:tcW w:w="4508" w:type="dxa"/>
          </w:tcPr>
          <w:p w14:paraId="4FA5C162" w14:textId="702F6CF5" w:rsidR="00C75359" w:rsidRPr="002B64E2" w:rsidRDefault="00DB62F9" w:rsidP="00DB62F9">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2B64E2">
              <w:rPr>
                <w:rFonts w:ascii="Aptos Narrow" w:hAnsi="Aptos Narrow"/>
                <w:b/>
                <w:bCs/>
                <w:color w:val="000000"/>
                <w:sz w:val="22"/>
              </w:rPr>
              <w:t>Russian Federation</w:t>
            </w:r>
            <w:r w:rsidRPr="002B64E2">
              <w:rPr>
                <w:noProof/>
              </w:rPr>
              <w:t xml:space="preserve"> </w:t>
            </w:r>
            <w:r w:rsidRPr="002B64E2">
              <w:rPr>
                <w:noProof/>
              </w:rPr>
              <w:drawing>
                <wp:inline distT="0" distB="0" distL="0" distR="0" wp14:anchorId="2CCB6C1E" wp14:editId="12FF88CA">
                  <wp:extent cx="2705100" cy="2609850"/>
                  <wp:effectExtent l="0" t="0" r="0" b="0"/>
                  <wp:docPr id="65522249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22490" name=""/>
                          <pic:cNvPicPr/>
                        </pic:nvPicPr>
                        <pic:blipFill>
                          <a:blip r:embed="rId97">
                            <a:extLst>
                              <a:ext uri="{96DAC541-7B7A-43D3-8B79-37D633B846F1}">
                                <asvg:svgBlip xmlns:asvg="http://schemas.microsoft.com/office/drawing/2016/SVG/main" r:embed="rId98"/>
                              </a:ext>
                            </a:extLst>
                          </a:blip>
                          <a:stretch>
                            <a:fillRect/>
                          </a:stretch>
                        </pic:blipFill>
                        <pic:spPr>
                          <a:xfrm>
                            <a:off x="0" y="0"/>
                            <a:ext cx="2705100" cy="2609850"/>
                          </a:xfrm>
                          <a:prstGeom prst="rect">
                            <a:avLst/>
                          </a:prstGeom>
                        </pic:spPr>
                      </pic:pic>
                    </a:graphicData>
                  </a:graphic>
                </wp:inline>
              </w:drawing>
            </w:r>
          </w:p>
        </w:tc>
        <w:tc>
          <w:tcPr>
            <w:tcW w:w="4508" w:type="dxa"/>
          </w:tcPr>
          <w:p w14:paraId="24F8BC9F" w14:textId="7F1760B4" w:rsidR="00C75359" w:rsidRPr="002B64E2" w:rsidRDefault="00C75359">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p>
        </w:tc>
      </w:tr>
      <w:tr w:rsidR="00C75359" w:rsidRPr="002B64E2" w14:paraId="22E78D0C" w14:textId="77777777">
        <w:tc>
          <w:tcPr>
            <w:tcW w:w="4508" w:type="dxa"/>
          </w:tcPr>
          <w:p w14:paraId="54AA183B" w14:textId="472972E2" w:rsidR="00C75359" w:rsidRPr="002B64E2" w:rsidRDefault="00C75359">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p>
        </w:tc>
        <w:tc>
          <w:tcPr>
            <w:tcW w:w="4508" w:type="dxa"/>
          </w:tcPr>
          <w:p w14:paraId="1C707FE7" w14:textId="38CDB870" w:rsidR="00C75359" w:rsidRPr="002B64E2" w:rsidRDefault="00C75359">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p>
        </w:tc>
      </w:tr>
    </w:tbl>
    <w:p w14:paraId="281ACDD1" w14:textId="66D4A6F1" w:rsidR="00C75359" w:rsidRPr="002B64E2" w:rsidRDefault="00C75359" w:rsidP="00C75359">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B64E2">
        <w:rPr>
          <w:rFonts w:ascii="Aptos" w:eastAsia="Aptos" w:hAnsi="Aptos" w:cs="Arial"/>
          <w:kern w:val="2"/>
          <w:sz w:val="16"/>
          <w:szCs w:val="28"/>
          <w14:ligatures w14:val="standardContextual"/>
        </w:rPr>
        <w:t xml:space="preserve">Note: Data for </w:t>
      </w:r>
      <w:r w:rsidR="00BC0B90" w:rsidRPr="002B64E2">
        <w:rPr>
          <w:rFonts w:ascii="Aptos" w:eastAsia="Aptos" w:hAnsi="Aptos" w:cs="Arial"/>
          <w:kern w:val="2"/>
          <w:sz w:val="16"/>
          <w:szCs w:val="28"/>
          <w14:ligatures w14:val="standardContextual"/>
        </w:rPr>
        <w:t xml:space="preserve">Azerbaijan </w:t>
      </w:r>
      <w:r w:rsidRPr="002B64E2">
        <w:rPr>
          <w:rFonts w:ascii="Aptos" w:eastAsia="Aptos" w:hAnsi="Aptos" w:cs="Arial"/>
          <w:kern w:val="2"/>
          <w:sz w:val="16"/>
          <w:szCs w:val="28"/>
          <w14:ligatures w14:val="standardContextual"/>
        </w:rPr>
        <w:t xml:space="preserve">refer to individuals aged </w:t>
      </w:r>
      <w:r w:rsidR="00B95791" w:rsidRPr="002B64E2">
        <w:rPr>
          <w:rFonts w:ascii="Aptos" w:eastAsia="Aptos" w:hAnsi="Aptos" w:cs="Arial"/>
          <w:kern w:val="2"/>
          <w:sz w:val="16"/>
          <w:szCs w:val="28"/>
          <w14:ligatures w14:val="standardContextual"/>
        </w:rPr>
        <w:t>7</w:t>
      </w:r>
      <w:r w:rsidRPr="002B64E2">
        <w:rPr>
          <w:rFonts w:ascii="Aptos" w:eastAsia="Aptos" w:hAnsi="Aptos" w:cs="Arial"/>
          <w:kern w:val="2"/>
          <w:sz w:val="16"/>
          <w:szCs w:val="28"/>
          <w14:ligatures w14:val="standardContextual"/>
        </w:rPr>
        <w:t xml:space="preserve"> and older. Data for </w:t>
      </w:r>
      <w:r w:rsidR="00CC017E" w:rsidRPr="002B64E2">
        <w:rPr>
          <w:rFonts w:ascii="Aptos" w:eastAsia="Aptos" w:hAnsi="Aptos" w:cs="Arial"/>
          <w:kern w:val="2"/>
          <w:sz w:val="16"/>
          <w:szCs w:val="28"/>
          <w14:ligatures w14:val="standardContextual"/>
        </w:rPr>
        <w:t>Belarus</w:t>
      </w:r>
      <w:r w:rsidRPr="002B64E2">
        <w:rPr>
          <w:rFonts w:ascii="Aptos" w:eastAsia="Aptos" w:hAnsi="Aptos" w:cs="Arial"/>
          <w:kern w:val="2"/>
          <w:sz w:val="16"/>
          <w:szCs w:val="28"/>
          <w14:ligatures w14:val="standardContextual"/>
        </w:rPr>
        <w:t xml:space="preserve"> refer to individuals aged </w:t>
      </w:r>
      <w:r w:rsidR="00CC017E" w:rsidRPr="002B64E2">
        <w:rPr>
          <w:rFonts w:ascii="Aptos" w:eastAsia="Aptos" w:hAnsi="Aptos" w:cs="Arial"/>
          <w:kern w:val="2"/>
          <w:sz w:val="16"/>
          <w:szCs w:val="28"/>
          <w14:ligatures w14:val="standardContextual"/>
        </w:rPr>
        <w:t>6 to 72</w:t>
      </w:r>
      <w:r w:rsidRPr="002B64E2">
        <w:rPr>
          <w:rFonts w:ascii="Aptos" w:eastAsia="Aptos" w:hAnsi="Aptos" w:cs="Arial"/>
          <w:kern w:val="2"/>
          <w:sz w:val="16"/>
          <w:szCs w:val="28"/>
          <w14:ligatures w14:val="standardContextual"/>
        </w:rPr>
        <w:t xml:space="preserve">. Data for </w:t>
      </w:r>
      <w:r w:rsidR="00CC017E" w:rsidRPr="002B64E2">
        <w:rPr>
          <w:rFonts w:ascii="Aptos" w:eastAsia="Aptos" w:hAnsi="Aptos" w:cs="Arial"/>
          <w:kern w:val="2"/>
          <w:sz w:val="16"/>
          <w:szCs w:val="28"/>
          <w14:ligatures w14:val="standardContextual"/>
        </w:rPr>
        <w:t xml:space="preserve">Russian Federation </w:t>
      </w:r>
      <w:r w:rsidRPr="002B64E2">
        <w:rPr>
          <w:rFonts w:ascii="Aptos" w:eastAsia="Aptos" w:hAnsi="Aptos" w:cs="Arial"/>
          <w:kern w:val="2"/>
          <w:sz w:val="16"/>
          <w:szCs w:val="28"/>
          <w14:ligatures w14:val="standardContextual"/>
        </w:rPr>
        <w:t>refer to individuals aged 1</w:t>
      </w:r>
      <w:r w:rsidR="00CC017E" w:rsidRPr="002B64E2">
        <w:rPr>
          <w:rFonts w:ascii="Aptos" w:eastAsia="Aptos" w:hAnsi="Aptos" w:cs="Arial"/>
          <w:kern w:val="2"/>
          <w:sz w:val="16"/>
          <w:szCs w:val="28"/>
          <w14:ligatures w14:val="standardContextual"/>
        </w:rPr>
        <w:t>5</w:t>
      </w:r>
      <w:r w:rsidRPr="002B64E2">
        <w:rPr>
          <w:rFonts w:ascii="Aptos" w:eastAsia="Aptos" w:hAnsi="Aptos" w:cs="Arial"/>
          <w:kern w:val="2"/>
          <w:sz w:val="16"/>
          <w:szCs w:val="28"/>
          <w14:ligatures w14:val="standardContextual"/>
        </w:rPr>
        <w:t xml:space="preserve"> and older.</w:t>
      </w:r>
    </w:p>
    <w:p w14:paraId="27569734" w14:textId="77777777" w:rsidR="00C75359" w:rsidRPr="002B64E2" w:rsidRDefault="00C75359" w:rsidP="00C75359">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2B64E2">
        <w:rPr>
          <w:rFonts w:ascii="Aptos" w:eastAsia="Aptos" w:hAnsi="Aptos" w:cs="Arial"/>
          <w:kern w:val="2"/>
          <w:sz w:val="16"/>
          <w:szCs w:val="28"/>
          <w14:ligatures w14:val="standardContextual"/>
        </w:rPr>
        <w:t>Source: ITU</w:t>
      </w:r>
    </w:p>
    <w:p w14:paraId="3FF37C49" w14:textId="48B2BD9E" w:rsidR="00C75359" w:rsidRPr="002B64E2" w:rsidRDefault="00C75359" w:rsidP="00C7535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In general, communication and collaboration skill levels are very high among Internet users in the </w:t>
      </w:r>
      <w:r w:rsidR="005E2E4D" w:rsidRPr="002B64E2">
        <w:rPr>
          <w:rFonts w:ascii="Aptos" w:eastAsia="Aptos" w:hAnsi="Aptos" w:cs="Arial"/>
          <w:kern w:val="2"/>
          <w:sz w:val="22"/>
          <w:szCs w:val="22"/>
          <w14:ligatures w14:val="standardContextual"/>
        </w:rPr>
        <w:t>three</w:t>
      </w:r>
      <w:r w:rsidRPr="002B64E2">
        <w:rPr>
          <w:rFonts w:ascii="Aptos" w:eastAsia="Aptos" w:hAnsi="Aptos" w:cs="Arial"/>
          <w:kern w:val="2"/>
          <w:sz w:val="22"/>
          <w:szCs w:val="22"/>
          <w14:ligatures w14:val="standardContextual"/>
        </w:rPr>
        <w:t xml:space="preserve"> countries with available data – all report that </w:t>
      </w:r>
      <w:r w:rsidR="00E74BE0" w:rsidRPr="002B64E2">
        <w:rPr>
          <w:rFonts w:ascii="Aptos" w:eastAsia="Aptos" w:hAnsi="Aptos" w:cs="Arial"/>
          <w:kern w:val="2"/>
          <w:sz w:val="22"/>
          <w:szCs w:val="22"/>
          <w14:ligatures w14:val="standardContextual"/>
        </w:rPr>
        <w:t xml:space="preserve">between 95 and 100 </w:t>
      </w:r>
      <w:r w:rsidRPr="002B64E2">
        <w:rPr>
          <w:rFonts w:ascii="Aptos" w:eastAsia="Aptos" w:hAnsi="Aptos" w:cs="Arial"/>
          <w:kern w:val="2"/>
          <w:sz w:val="22"/>
          <w:szCs w:val="22"/>
          <w14:ligatures w14:val="standardContextual"/>
        </w:rPr>
        <w:t xml:space="preserve">per cent Internet users have at least basic skills in this area. </w:t>
      </w:r>
    </w:p>
    <w:p w14:paraId="678B1CD3" w14:textId="77777777" w:rsidR="00664FC7" w:rsidRPr="002B64E2" w:rsidRDefault="00C75359" w:rsidP="00C7535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In</w:t>
      </w:r>
      <w:r w:rsidR="00AA6012" w:rsidRPr="002B64E2">
        <w:rPr>
          <w:rFonts w:ascii="Aptos" w:eastAsia="Aptos" w:hAnsi="Aptos" w:cs="Arial"/>
          <w:kern w:val="2"/>
          <w:sz w:val="22"/>
          <w:szCs w:val="22"/>
          <w14:ligatures w14:val="standardContextual"/>
        </w:rPr>
        <w:t xml:space="preserve"> the three</w:t>
      </w:r>
      <w:r w:rsidRPr="002B64E2">
        <w:rPr>
          <w:rFonts w:ascii="Aptos" w:eastAsia="Aptos" w:hAnsi="Aptos" w:cs="Arial"/>
          <w:kern w:val="2"/>
          <w:sz w:val="22"/>
          <w:szCs w:val="22"/>
          <w14:ligatures w14:val="standardContextual"/>
        </w:rPr>
        <w:t xml:space="preserve"> countries, information and data literacy skill levels are also high among Internet users (</w:t>
      </w:r>
      <w:r w:rsidR="00640791" w:rsidRPr="002B64E2">
        <w:rPr>
          <w:rFonts w:ascii="Aptos" w:eastAsia="Aptos" w:hAnsi="Aptos" w:cs="Arial"/>
          <w:kern w:val="2"/>
          <w:sz w:val="22"/>
          <w:szCs w:val="22"/>
          <w14:ligatures w14:val="standardContextual"/>
        </w:rPr>
        <w:t xml:space="preserve">between 72 and </w:t>
      </w:r>
      <w:r w:rsidR="00736255" w:rsidRPr="002B64E2">
        <w:rPr>
          <w:rFonts w:ascii="Aptos" w:eastAsia="Aptos" w:hAnsi="Aptos" w:cs="Arial"/>
          <w:kern w:val="2"/>
          <w:sz w:val="22"/>
          <w:szCs w:val="22"/>
          <w14:ligatures w14:val="standardContextual"/>
        </w:rPr>
        <w:t>9</w:t>
      </w:r>
      <w:r w:rsidRPr="002B64E2">
        <w:rPr>
          <w:rFonts w:ascii="Aptos" w:eastAsia="Aptos" w:hAnsi="Aptos" w:cs="Arial"/>
          <w:kern w:val="2"/>
          <w:sz w:val="22"/>
          <w:szCs w:val="22"/>
          <w14:ligatures w14:val="standardContextual"/>
        </w:rPr>
        <w:t xml:space="preserve">0 per cent with at least basic skills), although not as high as communication and collaboration skill levels. </w:t>
      </w:r>
    </w:p>
    <w:p w14:paraId="742EDEBA" w14:textId="7494DEB0" w:rsidR="00C75359" w:rsidRPr="002B64E2" w:rsidRDefault="00506FFC" w:rsidP="00C7535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In Azerbaijan, all Internet users reported to have at least </w:t>
      </w:r>
      <w:r w:rsidR="00C75359" w:rsidRPr="002B64E2">
        <w:rPr>
          <w:rFonts w:ascii="Aptos" w:eastAsia="Aptos" w:hAnsi="Aptos" w:cs="Arial"/>
          <w:kern w:val="2"/>
          <w:sz w:val="22"/>
          <w:szCs w:val="22"/>
          <w14:ligatures w14:val="standardContextual"/>
        </w:rPr>
        <w:t>basic digital content creation skills</w:t>
      </w:r>
      <w:r w:rsidR="00DC798B" w:rsidRPr="002B64E2">
        <w:rPr>
          <w:rFonts w:ascii="Aptos" w:eastAsia="Aptos" w:hAnsi="Aptos" w:cs="Arial"/>
          <w:kern w:val="2"/>
          <w:sz w:val="22"/>
          <w:szCs w:val="22"/>
          <w14:ligatures w14:val="standardContextual"/>
        </w:rPr>
        <w:t xml:space="preserve">. However, </w:t>
      </w:r>
      <w:r w:rsidR="00780D56" w:rsidRPr="002B64E2">
        <w:rPr>
          <w:rFonts w:ascii="Aptos" w:eastAsia="Aptos" w:hAnsi="Aptos" w:cs="Arial"/>
          <w:kern w:val="2"/>
          <w:sz w:val="22"/>
          <w:szCs w:val="22"/>
          <w14:ligatures w14:val="standardContextual"/>
        </w:rPr>
        <w:t xml:space="preserve">in the other two countries, </w:t>
      </w:r>
      <w:r w:rsidR="00963D73" w:rsidRPr="002B64E2">
        <w:rPr>
          <w:rFonts w:ascii="Aptos" w:eastAsia="Aptos" w:hAnsi="Aptos" w:cs="Arial"/>
          <w:kern w:val="2"/>
          <w:sz w:val="22"/>
          <w:szCs w:val="22"/>
          <w14:ligatures w14:val="standardContextual"/>
        </w:rPr>
        <w:t xml:space="preserve">only around half of Internet </w:t>
      </w:r>
      <w:r w:rsidR="00024FED" w:rsidRPr="002B64E2">
        <w:rPr>
          <w:rFonts w:ascii="Aptos" w:eastAsia="Aptos" w:hAnsi="Aptos" w:cs="Arial"/>
          <w:kern w:val="2"/>
          <w:sz w:val="22"/>
          <w:szCs w:val="22"/>
          <w14:ligatures w14:val="standardContextual"/>
        </w:rPr>
        <w:t xml:space="preserve">users </w:t>
      </w:r>
      <w:r w:rsidR="00AC6116" w:rsidRPr="002B64E2">
        <w:rPr>
          <w:rFonts w:ascii="Aptos" w:eastAsia="Aptos" w:hAnsi="Aptos" w:cs="Arial"/>
          <w:kern w:val="2"/>
          <w:sz w:val="22"/>
          <w:szCs w:val="22"/>
          <w14:ligatures w14:val="standardContextual"/>
        </w:rPr>
        <w:t>ha</w:t>
      </w:r>
      <w:r w:rsidR="007249D4" w:rsidRPr="002B64E2">
        <w:rPr>
          <w:rFonts w:ascii="Aptos" w:eastAsia="Aptos" w:hAnsi="Aptos" w:cs="Arial"/>
          <w:kern w:val="2"/>
          <w:sz w:val="22"/>
          <w:szCs w:val="22"/>
          <w14:ligatures w14:val="standardContextual"/>
        </w:rPr>
        <w:t>d</w:t>
      </w:r>
      <w:r w:rsidR="00C75359" w:rsidRPr="002B64E2">
        <w:rPr>
          <w:rFonts w:ascii="Aptos" w:eastAsia="Aptos" w:hAnsi="Aptos" w:cs="Arial"/>
          <w:kern w:val="2"/>
          <w:sz w:val="22"/>
          <w:szCs w:val="22"/>
          <w14:ligatures w14:val="standardContextual"/>
        </w:rPr>
        <w:t xml:space="preserve"> such skills.</w:t>
      </w:r>
    </w:p>
    <w:p w14:paraId="45236900" w14:textId="3480F3F4" w:rsidR="00C75359" w:rsidRPr="002B64E2" w:rsidRDefault="00C75359" w:rsidP="00C7535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Safety skill levels are very low in the </w:t>
      </w:r>
      <w:r w:rsidR="004A21BE" w:rsidRPr="002B64E2">
        <w:rPr>
          <w:rFonts w:ascii="Aptos" w:eastAsia="Aptos" w:hAnsi="Aptos" w:cs="Arial"/>
          <w:kern w:val="2"/>
          <w:sz w:val="22"/>
          <w:szCs w:val="22"/>
          <w14:ligatures w14:val="standardContextual"/>
        </w:rPr>
        <w:t xml:space="preserve">Russian Federation </w:t>
      </w:r>
      <w:r w:rsidRPr="002B64E2">
        <w:rPr>
          <w:rFonts w:ascii="Aptos" w:eastAsia="Aptos" w:hAnsi="Aptos" w:cs="Arial"/>
          <w:kern w:val="2"/>
          <w:sz w:val="22"/>
          <w:szCs w:val="22"/>
          <w14:ligatures w14:val="standardContextual"/>
        </w:rPr>
        <w:t>– less than 20 per cent of Internet users had at least basic skills in this area</w:t>
      </w:r>
      <w:r w:rsidR="00BD2698" w:rsidRPr="002B64E2">
        <w:rPr>
          <w:rFonts w:ascii="Aptos" w:eastAsia="Aptos" w:hAnsi="Aptos" w:cs="Arial"/>
          <w:kern w:val="2"/>
          <w:sz w:val="22"/>
          <w:szCs w:val="22"/>
          <w14:ligatures w14:val="standardContextual"/>
        </w:rPr>
        <w:t xml:space="preserve">, while in Belarus almost half </w:t>
      </w:r>
      <w:r w:rsidRPr="002B64E2">
        <w:rPr>
          <w:rFonts w:ascii="Aptos" w:eastAsia="Aptos" w:hAnsi="Aptos" w:cs="Arial"/>
          <w:kern w:val="2"/>
          <w:sz w:val="22"/>
          <w:szCs w:val="22"/>
          <w14:ligatures w14:val="standardContextual"/>
        </w:rPr>
        <w:t xml:space="preserve">of Internet users had at least basic safety skills. </w:t>
      </w:r>
    </w:p>
    <w:p w14:paraId="7A800056" w14:textId="42A0CBE4" w:rsidR="00C75359" w:rsidRPr="002B64E2" w:rsidRDefault="00C75359" w:rsidP="00C7535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lastRenderedPageBreak/>
        <w:t>Finally, in all countries problem-solving skill</w:t>
      </w:r>
      <w:r w:rsidR="00844A0B" w:rsidRPr="002B64E2">
        <w:rPr>
          <w:rFonts w:ascii="Aptos" w:eastAsia="Aptos" w:hAnsi="Aptos" w:cs="Arial"/>
          <w:kern w:val="2"/>
          <w:sz w:val="22"/>
          <w:szCs w:val="22"/>
          <w14:ligatures w14:val="standardContextual"/>
        </w:rPr>
        <w:t xml:space="preserve"> levels were quite high, with </w:t>
      </w:r>
      <w:r w:rsidR="00CC6041" w:rsidRPr="002B64E2">
        <w:rPr>
          <w:rFonts w:ascii="Aptos" w:eastAsia="Aptos" w:hAnsi="Aptos" w:cs="Arial"/>
          <w:kern w:val="2"/>
          <w:sz w:val="22"/>
          <w:szCs w:val="22"/>
          <w14:ligatures w14:val="standardContextual"/>
        </w:rPr>
        <w:t xml:space="preserve">between </w:t>
      </w:r>
      <w:r w:rsidR="009F75C4" w:rsidRPr="002B64E2">
        <w:rPr>
          <w:rFonts w:ascii="Aptos" w:eastAsia="Aptos" w:hAnsi="Aptos" w:cs="Arial"/>
          <w:kern w:val="2"/>
          <w:sz w:val="22"/>
          <w:szCs w:val="22"/>
          <w14:ligatures w14:val="standardContextual"/>
        </w:rPr>
        <w:t>76 and 82 per cent of Internet users reporting at least basic skills in this area.</w:t>
      </w:r>
    </w:p>
    <w:p w14:paraId="1B99CD31" w14:textId="77777777" w:rsidR="00C75359" w:rsidRPr="002B64E2" w:rsidRDefault="00C75359" w:rsidP="00C7535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A different way to analyse these data is by comparing the distribution of country values for the activities that comprise each of the five skill areas. This provides a view of the prevalence of each activity among Internet users relative to others in the same area. It also shows the wide range of variation in ICT skills in countries in the region even when focusing only on those using the Internet.</w:t>
      </w:r>
    </w:p>
    <w:p w14:paraId="7661A4A4" w14:textId="20FD620A" w:rsidR="00C75359" w:rsidRPr="002B64E2" w:rsidRDefault="00C75359" w:rsidP="00C75359">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 xml:space="preserve">Percentage of Internet users with information and data literacy skills, </w:t>
      </w:r>
      <w:r w:rsidR="00FC57AC" w:rsidRPr="002B64E2">
        <w:rPr>
          <w:rFonts w:ascii="AvenirNext LT Pro Light" w:eastAsia="Yu Gothic Light" w:hAnsi="AvenirNext LT Pro Light" w:cs="Calibri"/>
          <w:color w:val="0070C0"/>
          <w:spacing w:val="-10"/>
          <w:kern w:val="28"/>
          <w:szCs w:val="24"/>
        </w:rPr>
        <w:t>2023</w:t>
      </w:r>
    </w:p>
    <w:p w14:paraId="1AF63199" w14:textId="04ED48D7" w:rsidR="00C75359" w:rsidRPr="002B64E2" w:rsidRDefault="00B701D1" w:rsidP="00C75359">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B64E2">
        <w:rPr>
          <w:noProof/>
        </w:rPr>
        <w:drawing>
          <wp:inline distT="0" distB="0" distL="0" distR="0" wp14:anchorId="1B877E4C" wp14:editId="7CB7DD46">
            <wp:extent cx="6120765" cy="2256790"/>
            <wp:effectExtent l="0" t="0" r="0" b="0"/>
            <wp:docPr id="12785003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00381" name=""/>
                    <pic:cNvPicPr/>
                  </pic:nvPicPr>
                  <pic:blipFill>
                    <a:blip r:embed="rId99">
                      <a:extLst>
                        <a:ext uri="{96DAC541-7B7A-43D3-8B79-37D633B846F1}">
                          <asvg:svgBlip xmlns:asvg="http://schemas.microsoft.com/office/drawing/2016/SVG/main" r:embed="rId100"/>
                        </a:ext>
                      </a:extLst>
                    </a:blip>
                    <a:stretch>
                      <a:fillRect/>
                    </a:stretch>
                  </pic:blipFill>
                  <pic:spPr>
                    <a:xfrm>
                      <a:off x="0" y="0"/>
                      <a:ext cx="6120765" cy="2256790"/>
                    </a:xfrm>
                    <a:prstGeom prst="rect">
                      <a:avLst/>
                    </a:prstGeom>
                  </pic:spPr>
                </pic:pic>
              </a:graphicData>
            </a:graphic>
          </wp:inline>
        </w:drawing>
      </w:r>
      <w:r w:rsidR="00C75359" w:rsidRPr="002B64E2">
        <w:rPr>
          <w:rFonts w:ascii="Aptos" w:eastAsia="Aptos" w:hAnsi="Aptos" w:cs="Arial"/>
          <w:kern w:val="2"/>
          <w:sz w:val="16"/>
          <w:szCs w:val="28"/>
          <w14:ligatures w14:val="standardContextual"/>
        </w:rPr>
        <w:t>Note: Bars indicate the 25th, median and 75th percentile of all country values. The whiskers (bottom and top lines) indicate individual minimum and maximum values. In-scope age varies between countries. Country data are for 2023. Data availability varies between indicators, ranging from</w:t>
      </w:r>
      <w:r w:rsidR="00E42A54" w:rsidRPr="002B64E2">
        <w:rPr>
          <w:rFonts w:ascii="Aptos" w:eastAsia="Aptos" w:hAnsi="Aptos" w:cs="Arial"/>
          <w:kern w:val="2"/>
          <w:sz w:val="16"/>
          <w:szCs w:val="28"/>
          <w14:ligatures w14:val="standardContextual"/>
        </w:rPr>
        <w:t xml:space="preserve"> three to four </w:t>
      </w:r>
      <w:r w:rsidR="00C75359" w:rsidRPr="002B64E2">
        <w:rPr>
          <w:rFonts w:ascii="Aptos" w:eastAsia="Aptos" w:hAnsi="Aptos" w:cs="Arial"/>
          <w:kern w:val="2"/>
          <w:sz w:val="16"/>
          <w:szCs w:val="28"/>
          <w14:ligatures w14:val="standardContextual"/>
        </w:rPr>
        <w:t xml:space="preserve">countries </w:t>
      </w:r>
      <w:r w:rsidR="00E42A54" w:rsidRPr="002B64E2">
        <w:rPr>
          <w:rFonts w:ascii="Aptos" w:eastAsia="Aptos" w:hAnsi="Aptos" w:cs="Arial"/>
          <w:kern w:val="2"/>
          <w:sz w:val="16"/>
          <w:szCs w:val="28"/>
          <w14:ligatures w14:val="standardContextual"/>
        </w:rPr>
        <w:t>per activity</w:t>
      </w:r>
      <w:r w:rsidR="00C75359" w:rsidRPr="002B64E2">
        <w:rPr>
          <w:rFonts w:ascii="Aptos" w:eastAsia="Aptos" w:hAnsi="Aptos" w:cs="Arial"/>
          <w:i/>
          <w:iCs/>
          <w:kern w:val="2"/>
          <w:sz w:val="16"/>
          <w:szCs w:val="28"/>
          <w14:ligatures w14:val="standardContextual"/>
        </w:rPr>
        <w:t xml:space="preserve">. </w:t>
      </w:r>
      <w:r w:rsidR="00C75359" w:rsidRPr="002B64E2">
        <w:rPr>
          <w:rFonts w:ascii="Aptos" w:eastAsia="Aptos" w:hAnsi="Aptos" w:cs="Arial"/>
          <w:kern w:val="2"/>
          <w:sz w:val="16"/>
          <w:szCs w:val="28"/>
          <w14:ligatures w14:val="standardContextual"/>
        </w:rPr>
        <w:t xml:space="preserve">Detailed information – including complete indicator names – is available </w:t>
      </w:r>
      <w:hyperlink r:id="rId101" w:history="1">
        <w:r w:rsidR="00C75359" w:rsidRPr="002B64E2">
          <w:rPr>
            <w:rFonts w:ascii="Aptos" w:eastAsia="Aptos" w:hAnsi="Aptos" w:cs="Arial"/>
            <w:color w:val="467886"/>
            <w:kern w:val="2"/>
            <w:sz w:val="16"/>
            <w:szCs w:val="28"/>
            <w:u w:val="single"/>
            <w14:ligatures w14:val="standardContextual"/>
          </w:rPr>
          <w:t>here</w:t>
        </w:r>
      </w:hyperlink>
      <w:r w:rsidR="00C75359" w:rsidRPr="002B64E2">
        <w:rPr>
          <w:rFonts w:ascii="Aptos" w:eastAsia="Aptos" w:hAnsi="Aptos" w:cs="Arial"/>
          <w:kern w:val="2"/>
          <w:sz w:val="16"/>
          <w:szCs w:val="28"/>
          <w14:ligatures w14:val="standardContextual"/>
        </w:rPr>
        <w:t>.</w:t>
      </w:r>
    </w:p>
    <w:p w14:paraId="71D98489" w14:textId="77777777" w:rsidR="00C75359" w:rsidRPr="002B64E2" w:rsidRDefault="00C75359" w:rsidP="00C75359">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2B64E2">
        <w:rPr>
          <w:rFonts w:ascii="Aptos" w:eastAsia="Aptos" w:hAnsi="Aptos" w:cs="Arial"/>
          <w:kern w:val="2"/>
          <w:sz w:val="16"/>
          <w:szCs w:val="28"/>
          <w14:ligatures w14:val="standardContextual"/>
        </w:rPr>
        <w:t>Source: ITU</w:t>
      </w:r>
    </w:p>
    <w:p w14:paraId="40BE6053" w14:textId="09E0CC72" w:rsidR="00C75359" w:rsidRPr="002B64E2" w:rsidRDefault="00C75359" w:rsidP="00C7535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For information and data literacy, getting information about goods or services had the highest median (5</w:t>
      </w:r>
      <w:r w:rsidR="00875B7B" w:rsidRPr="002B64E2">
        <w:rPr>
          <w:rFonts w:ascii="Aptos" w:eastAsia="Aptos" w:hAnsi="Aptos" w:cs="Arial"/>
          <w:kern w:val="2"/>
          <w:sz w:val="22"/>
          <w:szCs w:val="22"/>
          <w14:ligatures w14:val="standardContextual"/>
        </w:rPr>
        <w:t>0</w:t>
      </w:r>
      <w:r w:rsidRPr="002B64E2">
        <w:rPr>
          <w:rFonts w:ascii="Aptos" w:eastAsia="Aptos" w:hAnsi="Aptos" w:cs="Arial"/>
          <w:kern w:val="2"/>
          <w:sz w:val="22"/>
          <w:szCs w:val="22"/>
          <w14:ligatures w14:val="standardContextual"/>
        </w:rPr>
        <w:t xml:space="preserve"> per cent) of the four activities that make up this skill category</w:t>
      </w:r>
      <w:r w:rsidR="00077359" w:rsidRPr="002B64E2">
        <w:rPr>
          <w:rFonts w:ascii="Aptos" w:eastAsia="Aptos" w:hAnsi="Aptos" w:cs="Arial"/>
          <w:kern w:val="2"/>
          <w:sz w:val="22"/>
          <w:szCs w:val="22"/>
          <w14:ligatures w14:val="standardContextual"/>
        </w:rPr>
        <w:t xml:space="preserve">. This activity was </w:t>
      </w:r>
      <w:r w:rsidR="00BC2667" w:rsidRPr="002B64E2">
        <w:rPr>
          <w:rFonts w:ascii="Aptos" w:eastAsia="Aptos" w:hAnsi="Aptos" w:cs="Arial"/>
          <w:kern w:val="2"/>
          <w:sz w:val="22"/>
          <w:szCs w:val="22"/>
          <w14:ligatures w14:val="standardContextual"/>
        </w:rPr>
        <w:t xml:space="preserve">followed by </w:t>
      </w:r>
      <w:r w:rsidR="009977C9" w:rsidRPr="002B64E2">
        <w:rPr>
          <w:rFonts w:ascii="Aptos" w:eastAsia="Aptos" w:hAnsi="Aptos" w:cs="Arial"/>
          <w:kern w:val="2"/>
          <w:sz w:val="22"/>
          <w:szCs w:val="22"/>
          <w14:ligatures w14:val="standardContextual"/>
        </w:rPr>
        <w:t>verifying the reliability of information found online</w:t>
      </w:r>
      <w:r w:rsidR="00077359" w:rsidRPr="002B64E2">
        <w:rPr>
          <w:rFonts w:ascii="Aptos" w:eastAsia="Aptos" w:hAnsi="Aptos" w:cs="Arial"/>
          <w:kern w:val="2"/>
          <w:sz w:val="22"/>
          <w:szCs w:val="22"/>
          <w14:ligatures w14:val="standardContextual"/>
        </w:rPr>
        <w:t xml:space="preserve">, which had a </w:t>
      </w:r>
      <w:r w:rsidR="009977C9" w:rsidRPr="002B64E2">
        <w:rPr>
          <w:rFonts w:ascii="Aptos" w:eastAsia="Aptos" w:hAnsi="Aptos" w:cs="Arial"/>
          <w:kern w:val="2"/>
          <w:sz w:val="22"/>
          <w:szCs w:val="22"/>
          <w14:ligatures w14:val="standardContextual"/>
        </w:rPr>
        <w:t>median of 4</w:t>
      </w:r>
      <w:r w:rsidR="003E79C3" w:rsidRPr="002B64E2">
        <w:rPr>
          <w:rFonts w:ascii="Aptos" w:eastAsia="Aptos" w:hAnsi="Aptos" w:cs="Arial"/>
          <w:kern w:val="2"/>
          <w:sz w:val="22"/>
          <w:szCs w:val="22"/>
          <w14:ligatures w14:val="standardContextual"/>
        </w:rPr>
        <w:t>2</w:t>
      </w:r>
      <w:r w:rsidR="009977C9" w:rsidRPr="002B64E2">
        <w:rPr>
          <w:rFonts w:ascii="Aptos" w:eastAsia="Aptos" w:hAnsi="Aptos" w:cs="Arial"/>
          <w:kern w:val="2"/>
          <w:sz w:val="22"/>
          <w:szCs w:val="22"/>
          <w14:ligatures w14:val="standardContextual"/>
        </w:rPr>
        <w:t xml:space="preserve"> per cent</w:t>
      </w:r>
      <w:r w:rsidR="00077359" w:rsidRPr="002B64E2">
        <w:rPr>
          <w:rFonts w:ascii="Aptos" w:eastAsia="Aptos" w:hAnsi="Aptos" w:cs="Arial"/>
          <w:kern w:val="2"/>
          <w:sz w:val="22"/>
          <w:szCs w:val="22"/>
          <w14:ligatures w14:val="standardContextual"/>
        </w:rPr>
        <w:t xml:space="preserve">, but with a </w:t>
      </w:r>
      <w:r w:rsidR="004F0A38" w:rsidRPr="002B64E2">
        <w:rPr>
          <w:rFonts w:ascii="Aptos" w:eastAsia="Aptos" w:hAnsi="Aptos" w:cs="Arial"/>
          <w:kern w:val="2"/>
          <w:sz w:val="22"/>
          <w:szCs w:val="22"/>
          <w14:ligatures w14:val="standardContextual"/>
        </w:rPr>
        <w:t>widespread</w:t>
      </w:r>
      <w:r w:rsidR="00077359" w:rsidRPr="002B64E2">
        <w:rPr>
          <w:rFonts w:ascii="Aptos" w:eastAsia="Aptos" w:hAnsi="Aptos" w:cs="Arial"/>
          <w:kern w:val="2"/>
          <w:sz w:val="22"/>
          <w:szCs w:val="22"/>
          <w14:ligatures w14:val="standardContextual"/>
        </w:rPr>
        <w:t xml:space="preserve"> among countries.</w:t>
      </w:r>
      <w:r w:rsidRPr="002B64E2">
        <w:rPr>
          <w:rFonts w:ascii="Aptos" w:eastAsia="Aptos" w:hAnsi="Aptos" w:cs="Arial"/>
          <w:kern w:val="2"/>
          <w:sz w:val="22"/>
          <w:szCs w:val="22"/>
          <w14:ligatures w14:val="standardContextual"/>
        </w:rPr>
        <w:t xml:space="preserve"> Seeking health information </w:t>
      </w:r>
      <w:r w:rsidR="005C5044" w:rsidRPr="002B64E2">
        <w:rPr>
          <w:rFonts w:ascii="Aptos" w:eastAsia="Aptos" w:hAnsi="Aptos" w:cs="Arial"/>
          <w:kern w:val="2"/>
          <w:sz w:val="22"/>
          <w:szCs w:val="22"/>
          <w14:ligatures w14:val="standardContextual"/>
        </w:rPr>
        <w:t xml:space="preserve">had a median </w:t>
      </w:r>
      <w:r w:rsidR="0036325F" w:rsidRPr="002B64E2">
        <w:rPr>
          <w:rFonts w:ascii="Aptos" w:eastAsia="Aptos" w:hAnsi="Aptos" w:cs="Arial"/>
          <w:kern w:val="2"/>
          <w:sz w:val="22"/>
          <w:szCs w:val="22"/>
          <w14:ligatures w14:val="standardContextual"/>
        </w:rPr>
        <w:t>of 22 per cent</w:t>
      </w:r>
      <w:r w:rsidR="000D7726" w:rsidRPr="002B64E2">
        <w:rPr>
          <w:rFonts w:ascii="Aptos" w:eastAsia="Aptos" w:hAnsi="Aptos" w:cs="Arial"/>
          <w:kern w:val="2"/>
          <w:sz w:val="22"/>
          <w:szCs w:val="22"/>
          <w14:ligatures w14:val="standardContextual"/>
        </w:rPr>
        <w:t>. U</w:t>
      </w:r>
      <w:r w:rsidRPr="002B64E2">
        <w:rPr>
          <w:rFonts w:ascii="Aptos" w:eastAsia="Aptos" w:hAnsi="Aptos" w:cs="Arial"/>
          <w:kern w:val="2"/>
          <w:sz w:val="22"/>
          <w:szCs w:val="22"/>
          <w14:ligatures w14:val="standardContextual"/>
        </w:rPr>
        <w:t xml:space="preserve">sing the Internet to read or download newspapers, magazines or books was less frequently reported (median of </w:t>
      </w:r>
      <w:r w:rsidR="00FF7CFF" w:rsidRPr="002B64E2">
        <w:rPr>
          <w:rFonts w:ascii="Aptos" w:eastAsia="Aptos" w:hAnsi="Aptos" w:cs="Arial"/>
          <w:kern w:val="2"/>
          <w:sz w:val="22"/>
          <w:szCs w:val="22"/>
          <w14:ligatures w14:val="standardContextual"/>
        </w:rPr>
        <w:t>15</w:t>
      </w:r>
      <w:r w:rsidRPr="002B64E2">
        <w:rPr>
          <w:rFonts w:ascii="Aptos" w:eastAsia="Aptos" w:hAnsi="Aptos" w:cs="Arial"/>
          <w:kern w:val="2"/>
          <w:sz w:val="22"/>
          <w:szCs w:val="22"/>
          <w14:ligatures w14:val="standardContextual"/>
        </w:rPr>
        <w:t xml:space="preserve"> per cent) by individuals across the regio</w:t>
      </w:r>
      <w:r w:rsidR="00FF7CFF" w:rsidRPr="002B64E2">
        <w:rPr>
          <w:rFonts w:ascii="Aptos" w:eastAsia="Aptos" w:hAnsi="Aptos" w:cs="Arial"/>
          <w:kern w:val="2"/>
          <w:sz w:val="22"/>
          <w:szCs w:val="22"/>
          <w14:ligatures w14:val="standardContextual"/>
        </w:rPr>
        <w:t xml:space="preserve">n, </w:t>
      </w:r>
      <w:r w:rsidR="00555C01" w:rsidRPr="002B64E2">
        <w:rPr>
          <w:rFonts w:ascii="Aptos" w:eastAsia="Aptos" w:hAnsi="Aptos" w:cs="Arial"/>
          <w:kern w:val="2"/>
          <w:sz w:val="22"/>
          <w:szCs w:val="22"/>
          <w14:ligatures w14:val="standardContextual"/>
        </w:rPr>
        <w:t>bit with a wide</w:t>
      </w:r>
      <w:r w:rsidR="00B3464C" w:rsidRPr="002B64E2">
        <w:rPr>
          <w:rFonts w:ascii="Aptos" w:eastAsia="Aptos" w:hAnsi="Aptos" w:cs="Arial"/>
          <w:kern w:val="2"/>
          <w:sz w:val="22"/>
          <w:szCs w:val="22"/>
          <w14:ligatures w14:val="standardContextual"/>
        </w:rPr>
        <w:t xml:space="preserve"> range </w:t>
      </w:r>
      <w:r w:rsidR="00B75E6D" w:rsidRPr="002B64E2">
        <w:rPr>
          <w:rFonts w:ascii="Aptos" w:eastAsia="Aptos" w:hAnsi="Aptos" w:cs="Arial"/>
          <w:kern w:val="2"/>
          <w:sz w:val="22"/>
          <w:szCs w:val="22"/>
          <w14:ligatures w14:val="standardContextual"/>
        </w:rPr>
        <w:t>among countries</w:t>
      </w:r>
      <w:r w:rsidR="00555C01" w:rsidRPr="002B64E2">
        <w:rPr>
          <w:rFonts w:ascii="Aptos" w:eastAsia="Aptos" w:hAnsi="Aptos" w:cs="Arial"/>
          <w:kern w:val="2"/>
          <w:sz w:val="22"/>
          <w:szCs w:val="22"/>
          <w14:ligatures w14:val="standardContextual"/>
        </w:rPr>
        <w:t>.</w:t>
      </w:r>
    </w:p>
    <w:p w14:paraId="62822100" w14:textId="7FA3A1D7" w:rsidR="00C75359" w:rsidRPr="002B64E2" w:rsidRDefault="00C75359" w:rsidP="00C75359">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 xml:space="preserve">Percentage of Internet users with communication and collaboration skills, </w:t>
      </w:r>
      <w:r w:rsidR="00FC57AC" w:rsidRPr="002B64E2">
        <w:rPr>
          <w:rFonts w:ascii="AvenirNext LT Pro Light" w:eastAsia="Yu Gothic Light" w:hAnsi="AvenirNext LT Pro Light" w:cs="Calibri"/>
          <w:color w:val="0070C0"/>
          <w:spacing w:val="-10"/>
          <w:kern w:val="28"/>
          <w:szCs w:val="24"/>
        </w:rPr>
        <w:t>2023</w:t>
      </w:r>
    </w:p>
    <w:p w14:paraId="3538D677" w14:textId="2BB5BBFF" w:rsidR="00C75359" w:rsidRPr="002B64E2" w:rsidRDefault="00500778" w:rsidP="00C75359">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B64E2">
        <w:rPr>
          <w:noProof/>
        </w:rPr>
        <w:drawing>
          <wp:inline distT="0" distB="0" distL="0" distR="0" wp14:anchorId="4BD9D4B7" wp14:editId="45E03193">
            <wp:extent cx="6120765" cy="2074545"/>
            <wp:effectExtent l="0" t="0" r="0" b="1905"/>
            <wp:docPr id="19652501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5015" name=""/>
                    <pic:cNvPicPr/>
                  </pic:nvPicPr>
                  <pic:blipFill>
                    <a:blip r:embed="rId102">
                      <a:extLst>
                        <a:ext uri="{96DAC541-7B7A-43D3-8B79-37D633B846F1}">
                          <asvg:svgBlip xmlns:asvg="http://schemas.microsoft.com/office/drawing/2016/SVG/main" r:embed="rId103"/>
                        </a:ext>
                      </a:extLst>
                    </a:blip>
                    <a:stretch>
                      <a:fillRect/>
                    </a:stretch>
                  </pic:blipFill>
                  <pic:spPr>
                    <a:xfrm>
                      <a:off x="0" y="0"/>
                      <a:ext cx="6120765" cy="2074545"/>
                    </a:xfrm>
                    <a:prstGeom prst="rect">
                      <a:avLst/>
                    </a:prstGeom>
                  </pic:spPr>
                </pic:pic>
              </a:graphicData>
            </a:graphic>
          </wp:inline>
        </w:drawing>
      </w:r>
      <w:r w:rsidR="00C75359" w:rsidRPr="002B64E2">
        <w:rPr>
          <w:rFonts w:ascii="Aptos" w:eastAsia="Aptos" w:hAnsi="Aptos" w:cs="Arial"/>
          <w:kern w:val="2"/>
          <w:sz w:val="16"/>
          <w:szCs w:val="28"/>
          <w14:ligatures w14:val="standardContextual"/>
        </w:rPr>
        <w:t xml:space="preserve">Note: Bars indicate the 25th, median and 75th percentile of all country values. The whiskers (bottom and top lines) indicate individual minimum and maximum values. In-scope age varies between countries. Country data are for 2023. Data availability varies between indicators, </w:t>
      </w:r>
      <w:r w:rsidR="005F62C4" w:rsidRPr="002B64E2">
        <w:rPr>
          <w:rFonts w:ascii="Aptos" w:eastAsia="Aptos" w:hAnsi="Aptos" w:cs="Arial"/>
          <w:kern w:val="2"/>
          <w:sz w:val="16"/>
          <w:szCs w:val="28"/>
          <w14:ligatures w14:val="standardContextual"/>
        </w:rPr>
        <w:t>ranging from three to four countries per activity</w:t>
      </w:r>
      <w:r w:rsidR="00C75359" w:rsidRPr="002B64E2">
        <w:rPr>
          <w:rFonts w:ascii="Aptos" w:eastAsia="Aptos" w:hAnsi="Aptos" w:cs="Arial"/>
          <w:i/>
          <w:kern w:val="2"/>
          <w:sz w:val="16"/>
          <w:szCs w:val="28"/>
          <w14:ligatures w14:val="standardContextual"/>
        </w:rPr>
        <w:t xml:space="preserve">. </w:t>
      </w:r>
      <w:r w:rsidR="00C75359" w:rsidRPr="002B64E2">
        <w:rPr>
          <w:rFonts w:ascii="Aptos" w:eastAsia="Aptos" w:hAnsi="Aptos" w:cs="Arial"/>
          <w:kern w:val="2"/>
          <w:sz w:val="16"/>
          <w:szCs w:val="28"/>
          <w14:ligatures w14:val="standardContextual"/>
        </w:rPr>
        <w:t xml:space="preserve">Detailed information – including complete indicator names – </w:t>
      </w:r>
      <w:r w:rsidR="006432E5" w:rsidRPr="002B64E2">
        <w:rPr>
          <w:rFonts w:ascii="Aptos" w:eastAsia="Aptos" w:hAnsi="Aptos" w:cs="Arial"/>
          <w:kern w:val="2"/>
          <w:sz w:val="16"/>
          <w:szCs w:val="28"/>
          <w14:ligatures w14:val="standardContextual"/>
        </w:rPr>
        <w:t xml:space="preserve">is available </w:t>
      </w:r>
      <w:hyperlink r:id="rId104" w:history="1">
        <w:r w:rsidR="006432E5" w:rsidRPr="002B64E2">
          <w:rPr>
            <w:rFonts w:ascii="Aptos" w:eastAsia="Aptos" w:hAnsi="Aptos" w:cs="Arial"/>
            <w:color w:val="467886"/>
            <w:kern w:val="2"/>
            <w:sz w:val="16"/>
            <w:szCs w:val="28"/>
            <w:u w:val="single"/>
            <w14:ligatures w14:val="standardContextual"/>
          </w:rPr>
          <w:t>here</w:t>
        </w:r>
      </w:hyperlink>
      <w:r w:rsidR="006432E5" w:rsidRPr="002B64E2">
        <w:rPr>
          <w:rFonts w:ascii="Aptos" w:eastAsia="Aptos" w:hAnsi="Aptos" w:cs="Arial"/>
          <w:kern w:val="2"/>
          <w:sz w:val="16"/>
          <w:szCs w:val="28"/>
          <w14:ligatures w14:val="standardContextual"/>
        </w:rPr>
        <w:t>.</w:t>
      </w:r>
    </w:p>
    <w:p w14:paraId="6088686C" w14:textId="77777777" w:rsidR="00C75359" w:rsidRPr="002B64E2" w:rsidRDefault="00C75359" w:rsidP="00C75359">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2B64E2">
        <w:rPr>
          <w:rFonts w:ascii="Aptos" w:eastAsia="Aptos" w:hAnsi="Aptos" w:cs="Arial"/>
          <w:kern w:val="2"/>
          <w:sz w:val="16"/>
          <w:szCs w:val="28"/>
          <w14:ligatures w14:val="standardContextual"/>
        </w:rPr>
        <w:t>Source: ITU</w:t>
      </w:r>
    </w:p>
    <w:p w14:paraId="6C1AE53A" w14:textId="07DCE525" w:rsidR="00C75359" w:rsidRPr="002B64E2" w:rsidRDefault="00C75359" w:rsidP="00C7535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lastRenderedPageBreak/>
        <w:t>The medians for communication and collaboration were much higher than for information and data literacy, especially for</w:t>
      </w:r>
      <w:r w:rsidR="00690E90" w:rsidRPr="002B64E2">
        <w:rPr>
          <w:rFonts w:ascii="Aptos" w:eastAsia="Aptos" w:hAnsi="Aptos" w:cs="Arial"/>
          <w:kern w:val="2"/>
          <w:sz w:val="22"/>
          <w:szCs w:val="22"/>
          <w14:ligatures w14:val="standardContextual"/>
        </w:rPr>
        <w:t xml:space="preserve"> participating in social networks (median of </w:t>
      </w:r>
      <w:r w:rsidR="00B56414" w:rsidRPr="002B64E2">
        <w:rPr>
          <w:rFonts w:ascii="Aptos" w:eastAsia="Aptos" w:hAnsi="Aptos" w:cs="Arial"/>
          <w:kern w:val="2"/>
          <w:sz w:val="22"/>
          <w:szCs w:val="22"/>
          <w14:ligatures w14:val="standardContextual"/>
        </w:rPr>
        <w:t>73</w:t>
      </w:r>
      <w:r w:rsidR="00690E90" w:rsidRPr="002B64E2">
        <w:rPr>
          <w:rFonts w:ascii="Aptos" w:eastAsia="Aptos" w:hAnsi="Aptos" w:cs="Arial"/>
          <w:kern w:val="2"/>
          <w:sz w:val="22"/>
          <w:szCs w:val="22"/>
          <w14:ligatures w14:val="standardContextual"/>
        </w:rPr>
        <w:t xml:space="preserve"> per cent)</w:t>
      </w:r>
      <w:r w:rsidR="0011566D" w:rsidRPr="002B64E2">
        <w:rPr>
          <w:rFonts w:ascii="Aptos" w:eastAsia="Aptos" w:hAnsi="Aptos" w:cs="Arial"/>
          <w:kern w:val="2"/>
          <w:sz w:val="22"/>
          <w:szCs w:val="22"/>
          <w14:ligatures w14:val="standardContextual"/>
        </w:rPr>
        <w:t>.</w:t>
      </w:r>
      <w:r w:rsidRPr="002B64E2">
        <w:rPr>
          <w:rFonts w:ascii="Aptos" w:eastAsia="Aptos" w:hAnsi="Aptos" w:cs="Arial"/>
          <w:kern w:val="2"/>
          <w:sz w:val="22"/>
          <w:szCs w:val="22"/>
          <w14:ligatures w14:val="standardContextual"/>
        </w:rPr>
        <w:t xml:space="preserve"> The one exception was taking part in online consultations or voting to define civic or political issues, which had a median of only </w:t>
      </w:r>
      <w:r w:rsidR="00DC253C" w:rsidRPr="002B64E2">
        <w:rPr>
          <w:rFonts w:ascii="Aptos" w:eastAsia="Aptos" w:hAnsi="Aptos" w:cs="Arial"/>
          <w:kern w:val="2"/>
          <w:sz w:val="22"/>
          <w:szCs w:val="22"/>
          <w14:ligatures w14:val="standardContextual"/>
        </w:rPr>
        <w:t>3</w:t>
      </w:r>
      <w:r w:rsidRPr="002B64E2">
        <w:rPr>
          <w:rFonts w:ascii="Aptos" w:eastAsia="Aptos" w:hAnsi="Aptos" w:cs="Arial"/>
          <w:kern w:val="2"/>
          <w:sz w:val="22"/>
          <w:szCs w:val="22"/>
          <w14:ligatures w14:val="standardContextual"/>
        </w:rPr>
        <w:t xml:space="preserve"> per cent.</w:t>
      </w:r>
    </w:p>
    <w:p w14:paraId="5ED8D4C9" w14:textId="115089A5" w:rsidR="00C75359" w:rsidRPr="002B64E2" w:rsidRDefault="00C75359" w:rsidP="00C75359">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 xml:space="preserve">Percentage of Internet users with digital content creation skills, </w:t>
      </w:r>
      <w:r w:rsidR="00FC57AC" w:rsidRPr="002B64E2">
        <w:rPr>
          <w:rFonts w:ascii="AvenirNext LT Pro Light" w:eastAsia="Yu Gothic Light" w:hAnsi="AvenirNext LT Pro Light" w:cs="Calibri"/>
          <w:color w:val="0070C0"/>
          <w:spacing w:val="-10"/>
          <w:kern w:val="28"/>
          <w:szCs w:val="24"/>
        </w:rPr>
        <w:t>2023</w:t>
      </w:r>
    </w:p>
    <w:p w14:paraId="3F680075" w14:textId="4D9326F2" w:rsidR="00C75359" w:rsidRPr="002B64E2" w:rsidRDefault="00285CB7" w:rsidP="00C75359">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B64E2">
        <w:rPr>
          <w:noProof/>
        </w:rPr>
        <w:drawing>
          <wp:inline distT="0" distB="0" distL="0" distR="0" wp14:anchorId="7396A447" wp14:editId="75293C0A">
            <wp:extent cx="6120765" cy="2989580"/>
            <wp:effectExtent l="0" t="0" r="0" b="1270"/>
            <wp:docPr id="83869575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95752" name=""/>
                    <pic:cNvPicPr/>
                  </pic:nvPicPr>
                  <pic:blipFill>
                    <a:blip r:embed="rId105">
                      <a:extLst>
                        <a:ext uri="{96DAC541-7B7A-43D3-8B79-37D633B846F1}">
                          <asvg:svgBlip xmlns:asvg="http://schemas.microsoft.com/office/drawing/2016/SVG/main" r:embed="rId106"/>
                        </a:ext>
                      </a:extLst>
                    </a:blip>
                    <a:stretch>
                      <a:fillRect/>
                    </a:stretch>
                  </pic:blipFill>
                  <pic:spPr>
                    <a:xfrm>
                      <a:off x="0" y="0"/>
                      <a:ext cx="6120765" cy="2989580"/>
                    </a:xfrm>
                    <a:prstGeom prst="rect">
                      <a:avLst/>
                    </a:prstGeom>
                  </pic:spPr>
                </pic:pic>
              </a:graphicData>
            </a:graphic>
          </wp:inline>
        </w:drawing>
      </w:r>
      <w:r w:rsidRPr="002B64E2">
        <w:rPr>
          <w:rFonts w:ascii="Aptos" w:eastAsia="Aptos" w:hAnsi="Aptos" w:cs="Arial"/>
          <w:kern w:val="2"/>
          <w:sz w:val="16"/>
          <w:szCs w:val="28"/>
          <w14:ligatures w14:val="standardContextual"/>
        </w:rPr>
        <w:t xml:space="preserve"> </w:t>
      </w:r>
      <w:r w:rsidR="00C75359" w:rsidRPr="002B64E2">
        <w:rPr>
          <w:rFonts w:ascii="Aptos" w:eastAsia="Aptos" w:hAnsi="Aptos" w:cs="Arial"/>
          <w:kern w:val="2"/>
          <w:sz w:val="16"/>
          <w:szCs w:val="28"/>
          <w14:ligatures w14:val="standardContextual"/>
        </w:rPr>
        <w:t xml:space="preserve">Note: Bars indicate the 25th, median and 75th percentile of all country values. The whiskers (bottom and top lines) indicate individual minimum and maximum values. In-scope age varies between countries. Country data are for 2023. Data availability varies among indicators, ranging from </w:t>
      </w:r>
      <w:r w:rsidR="00C25FF9" w:rsidRPr="002B64E2">
        <w:rPr>
          <w:rFonts w:ascii="Aptos" w:eastAsia="Aptos" w:hAnsi="Aptos" w:cs="Arial"/>
          <w:kern w:val="2"/>
          <w:sz w:val="16"/>
          <w:szCs w:val="28"/>
          <w14:ligatures w14:val="standardContextual"/>
        </w:rPr>
        <w:t>two</w:t>
      </w:r>
      <w:r w:rsidR="00C75359" w:rsidRPr="002B64E2">
        <w:rPr>
          <w:rFonts w:ascii="Aptos" w:eastAsia="Aptos" w:hAnsi="Aptos" w:cs="Arial"/>
          <w:kern w:val="2"/>
          <w:sz w:val="16"/>
          <w:szCs w:val="28"/>
          <w14:ligatures w14:val="standardContextual"/>
        </w:rPr>
        <w:t xml:space="preserve"> countries for </w:t>
      </w:r>
      <w:r w:rsidR="00C75359" w:rsidRPr="002B64E2">
        <w:rPr>
          <w:rFonts w:ascii="Aptos" w:eastAsia="Aptos" w:hAnsi="Aptos" w:cs="Arial"/>
          <w:i/>
          <w:kern w:val="2"/>
          <w:sz w:val="16"/>
          <w:szCs w:val="28"/>
          <w14:ligatures w14:val="standardContextual"/>
        </w:rPr>
        <w:t xml:space="preserve">Using software run over the Internet for editing text documents, spreadsheets or presentations </w:t>
      </w:r>
      <w:r w:rsidR="00C75359" w:rsidRPr="002B64E2">
        <w:rPr>
          <w:rFonts w:ascii="Aptos" w:eastAsia="Aptos" w:hAnsi="Aptos" w:cs="Arial"/>
          <w:kern w:val="2"/>
          <w:sz w:val="16"/>
          <w:szCs w:val="28"/>
          <w14:ligatures w14:val="standardContextual"/>
        </w:rPr>
        <w:t xml:space="preserve">to </w:t>
      </w:r>
      <w:r w:rsidR="004D4377" w:rsidRPr="002B64E2">
        <w:rPr>
          <w:rFonts w:ascii="Aptos" w:eastAsia="Aptos" w:hAnsi="Aptos" w:cs="Arial"/>
          <w:kern w:val="2"/>
          <w:sz w:val="16"/>
          <w:szCs w:val="28"/>
          <w14:ligatures w14:val="standardContextual"/>
        </w:rPr>
        <w:t>five</w:t>
      </w:r>
      <w:r w:rsidR="00C75359" w:rsidRPr="002B64E2">
        <w:rPr>
          <w:rFonts w:ascii="Aptos" w:eastAsia="Aptos" w:hAnsi="Aptos" w:cs="Arial"/>
          <w:kern w:val="2"/>
          <w:sz w:val="16"/>
          <w:szCs w:val="28"/>
          <w14:ligatures w14:val="standardContextual"/>
        </w:rPr>
        <w:t xml:space="preserve"> countries for</w:t>
      </w:r>
      <w:r w:rsidR="00804B69" w:rsidRPr="002B64E2">
        <w:rPr>
          <w:rFonts w:ascii="Aptos" w:eastAsia="Aptos" w:hAnsi="Aptos" w:cs="Arial"/>
          <w:kern w:val="2"/>
          <w:sz w:val="16"/>
          <w:szCs w:val="28"/>
          <w14:ligatures w14:val="standardContextual"/>
        </w:rPr>
        <w:t xml:space="preserve"> three different </w:t>
      </w:r>
      <w:r w:rsidR="00022EB8" w:rsidRPr="002B64E2">
        <w:rPr>
          <w:rFonts w:ascii="Aptos" w:eastAsia="Aptos" w:hAnsi="Aptos" w:cs="Arial"/>
          <w:kern w:val="2"/>
          <w:sz w:val="16"/>
          <w:szCs w:val="28"/>
          <w14:ligatures w14:val="standardContextual"/>
        </w:rPr>
        <w:t>activities</w:t>
      </w:r>
      <w:r w:rsidR="00C75359" w:rsidRPr="002B64E2">
        <w:rPr>
          <w:rFonts w:ascii="Aptos" w:eastAsia="Aptos" w:hAnsi="Aptos" w:cs="Arial"/>
          <w:i/>
          <w:iCs/>
          <w:kern w:val="2"/>
          <w:sz w:val="16"/>
          <w:szCs w:val="28"/>
          <w14:ligatures w14:val="standardContextual"/>
        </w:rPr>
        <w:t xml:space="preserve">. </w:t>
      </w:r>
      <w:r w:rsidR="00C75359" w:rsidRPr="002B64E2">
        <w:rPr>
          <w:rFonts w:ascii="Aptos" w:eastAsia="Aptos" w:hAnsi="Aptos" w:cs="Arial"/>
          <w:kern w:val="2"/>
          <w:sz w:val="16"/>
          <w:szCs w:val="28"/>
          <w14:ligatures w14:val="standardContextual"/>
        </w:rPr>
        <w:t xml:space="preserve">Detailed information – including complete indicator names – </w:t>
      </w:r>
      <w:r w:rsidR="006432E5" w:rsidRPr="002B64E2">
        <w:rPr>
          <w:rFonts w:ascii="Aptos" w:eastAsia="Aptos" w:hAnsi="Aptos" w:cs="Arial"/>
          <w:kern w:val="2"/>
          <w:sz w:val="16"/>
          <w:szCs w:val="28"/>
          <w14:ligatures w14:val="standardContextual"/>
        </w:rPr>
        <w:t xml:space="preserve">is available </w:t>
      </w:r>
      <w:hyperlink r:id="rId107" w:history="1">
        <w:r w:rsidR="006432E5" w:rsidRPr="002B64E2">
          <w:rPr>
            <w:rFonts w:ascii="Aptos" w:eastAsia="Aptos" w:hAnsi="Aptos" w:cs="Arial"/>
            <w:color w:val="467886"/>
            <w:kern w:val="2"/>
            <w:sz w:val="16"/>
            <w:szCs w:val="28"/>
            <w:u w:val="single"/>
            <w14:ligatures w14:val="standardContextual"/>
          </w:rPr>
          <w:t>here</w:t>
        </w:r>
      </w:hyperlink>
      <w:r w:rsidR="006432E5" w:rsidRPr="002B64E2">
        <w:rPr>
          <w:rFonts w:ascii="Aptos" w:eastAsia="Aptos" w:hAnsi="Aptos" w:cs="Arial"/>
          <w:kern w:val="2"/>
          <w:sz w:val="16"/>
          <w:szCs w:val="28"/>
          <w14:ligatures w14:val="standardContextual"/>
        </w:rPr>
        <w:t>.</w:t>
      </w:r>
    </w:p>
    <w:p w14:paraId="13E64F64" w14:textId="77777777" w:rsidR="00C75359" w:rsidRPr="002B64E2" w:rsidRDefault="00C75359" w:rsidP="00C75359">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2B64E2">
        <w:rPr>
          <w:rFonts w:ascii="Aptos" w:eastAsia="Aptos" w:hAnsi="Aptos" w:cs="Arial"/>
          <w:kern w:val="2"/>
          <w:sz w:val="16"/>
          <w:szCs w:val="28"/>
          <w14:ligatures w14:val="standardContextual"/>
        </w:rPr>
        <w:t>Source: ITU</w:t>
      </w:r>
    </w:p>
    <w:p w14:paraId="05805C5D" w14:textId="653911CF" w:rsidR="00C75359" w:rsidRPr="002B64E2" w:rsidRDefault="00C75359" w:rsidP="00C7535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The digital content creation skill area generally shows relatively low medians for </w:t>
      </w:r>
      <w:r w:rsidR="00E364FB" w:rsidRPr="002B64E2">
        <w:rPr>
          <w:rFonts w:ascii="Aptos" w:eastAsia="Aptos" w:hAnsi="Aptos" w:cs="Arial"/>
          <w:kern w:val="2"/>
          <w:sz w:val="22"/>
          <w:szCs w:val="22"/>
          <w14:ligatures w14:val="standardContextual"/>
        </w:rPr>
        <w:t xml:space="preserve">most of </w:t>
      </w:r>
      <w:r w:rsidRPr="002B64E2">
        <w:rPr>
          <w:rFonts w:ascii="Aptos" w:eastAsia="Aptos" w:hAnsi="Aptos" w:cs="Arial"/>
          <w:kern w:val="2"/>
          <w:sz w:val="22"/>
          <w:szCs w:val="22"/>
          <w14:ligatures w14:val="standardContextual"/>
        </w:rPr>
        <w:t xml:space="preserve">the six activities, ranging from </w:t>
      </w:r>
      <w:r w:rsidR="0000086A" w:rsidRPr="002B64E2">
        <w:rPr>
          <w:rFonts w:ascii="Aptos" w:eastAsia="Aptos" w:hAnsi="Aptos" w:cs="Arial"/>
          <w:kern w:val="2"/>
          <w:sz w:val="22"/>
          <w:szCs w:val="22"/>
          <w14:ligatures w14:val="standardContextual"/>
        </w:rPr>
        <w:t>2</w:t>
      </w:r>
      <w:r w:rsidRPr="002B64E2">
        <w:rPr>
          <w:rFonts w:ascii="Aptos" w:eastAsia="Aptos" w:hAnsi="Aptos" w:cs="Arial"/>
          <w:kern w:val="2"/>
          <w:sz w:val="22"/>
          <w:szCs w:val="22"/>
          <w14:ligatures w14:val="standardContextual"/>
        </w:rPr>
        <w:t xml:space="preserve"> to </w:t>
      </w:r>
      <w:r w:rsidR="0000086A" w:rsidRPr="002B64E2">
        <w:rPr>
          <w:rFonts w:ascii="Aptos" w:eastAsia="Aptos" w:hAnsi="Aptos" w:cs="Arial"/>
          <w:kern w:val="2"/>
          <w:sz w:val="22"/>
          <w:szCs w:val="22"/>
          <w14:ligatures w14:val="standardContextual"/>
        </w:rPr>
        <w:t>45</w:t>
      </w:r>
      <w:r w:rsidRPr="002B64E2">
        <w:rPr>
          <w:rFonts w:ascii="Aptos" w:eastAsia="Aptos" w:hAnsi="Aptos" w:cs="Arial"/>
          <w:kern w:val="2"/>
          <w:sz w:val="22"/>
          <w:szCs w:val="22"/>
          <w14:ligatures w14:val="standardContextual"/>
        </w:rPr>
        <w:t xml:space="preserve"> per cent.</w:t>
      </w:r>
    </w:p>
    <w:p w14:paraId="286415A2" w14:textId="52454FBF" w:rsidR="00C75359" w:rsidRPr="002B64E2" w:rsidRDefault="00C75359" w:rsidP="00C75359">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 xml:space="preserve">Percentage of Internet users with safety skills, </w:t>
      </w:r>
      <w:r w:rsidR="00FC57AC" w:rsidRPr="002B64E2">
        <w:rPr>
          <w:rFonts w:ascii="AvenirNext LT Pro Light" w:eastAsia="Yu Gothic Light" w:hAnsi="AvenirNext LT Pro Light" w:cs="Calibri"/>
          <w:color w:val="0070C0"/>
          <w:spacing w:val="-10"/>
          <w:kern w:val="28"/>
          <w:szCs w:val="24"/>
        </w:rPr>
        <w:t>2023</w:t>
      </w:r>
    </w:p>
    <w:p w14:paraId="229EA405" w14:textId="65E2002F" w:rsidR="00C75359" w:rsidRPr="002B64E2" w:rsidRDefault="007361D2" w:rsidP="00C75359">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B64E2">
        <w:rPr>
          <w:noProof/>
        </w:rPr>
        <w:drawing>
          <wp:inline distT="0" distB="0" distL="0" distR="0" wp14:anchorId="00A0865B" wp14:editId="294EFB2C">
            <wp:extent cx="6120765" cy="2136140"/>
            <wp:effectExtent l="0" t="0" r="0" b="0"/>
            <wp:docPr id="133626476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264769" name=""/>
                    <pic:cNvPicPr/>
                  </pic:nvPicPr>
                  <pic:blipFill>
                    <a:blip r:embed="rId108">
                      <a:extLst>
                        <a:ext uri="{96DAC541-7B7A-43D3-8B79-37D633B846F1}">
                          <asvg:svgBlip xmlns:asvg="http://schemas.microsoft.com/office/drawing/2016/SVG/main" r:embed="rId109"/>
                        </a:ext>
                      </a:extLst>
                    </a:blip>
                    <a:stretch>
                      <a:fillRect/>
                    </a:stretch>
                  </pic:blipFill>
                  <pic:spPr>
                    <a:xfrm>
                      <a:off x="0" y="0"/>
                      <a:ext cx="6120765" cy="2136140"/>
                    </a:xfrm>
                    <a:prstGeom prst="rect">
                      <a:avLst/>
                    </a:prstGeom>
                  </pic:spPr>
                </pic:pic>
              </a:graphicData>
            </a:graphic>
          </wp:inline>
        </w:drawing>
      </w:r>
      <w:r w:rsidRPr="002B64E2">
        <w:rPr>
          <w:rFonts w:ascii="Aptos" w:eastAsia="Aptos" w:hAnsi="Aptos" w:cs="Arial"/>
          <w:kern w:val="2"/>
          <w:sz w:val="16"/>
          <w:szCs w:val="28"/>
          <w14:ligatures w14:val="standardContextual"/>
        </w:rPr>
        <w:t xml:space="preserve"> </w:t>
      </w:r>
      <w:r w:rsidR="00C75359" w:rsidRPr="002B64E2">
        <w:rPr>
          <w:rFonts w:ascii="Aptos" w:eastAsia="Aptos" w:hAnsi="Aptos" w:cs="Arial"/>
          <w:kern w:val="2"/>
          <w:sz w:val="16"/>
          <w:szCs w:val="28"/>
          <w14:ligatures w14:val="standardContextual"/>
        </w:rPr>
        <w:t xml:space="preserve">Note: Bars indicate the 25th, median and 75th percentile of all country values. The whiskers (bottom and top lines) indicate individual minimum and maximum values. In-scope age varies between countries. Country data are for 2023. </w:t>
      </w:r>
      <w:r w:rsidRPr="002B64E2">
        <w:rPr>
          <w:rFonts w:ascii="Aptos" w:eastAsia="Aptos" w:hAnsi="Aptos" w:cs="Arial"/>
          <w:kern w:val="2"/>
          <w:sz w:val="16"/>
          <w:szCs w:val="28"/>
          <w14:ligatures w14:val="standardContextual"/>
        </w:rPr>
        <w:t xml:space="preserve">Three </w:t>
      </w:r>
      <w:r w:rsidR="00C75359" w:rsidRPr="002B64E2">
        <w:rPr>
          <w:rFonts w:ascii="Aptos" w:eastAsia="Aptos" w:hAnsi="Aptos" w:cs="Arial"/>
          <w:kern w:val="2"/>
          <w:sz w:val="16"/>
          <w:szCs w:val="28"/>
          <w14:ligatures w14:val="standardContextual"/>
        </w:rPr>
        <w:t xml:space="preserve">countries provided data for </w:t>
      </w:r>
      <w:r w:rsidR="005A265C" w:rsidRPr="002B64E2">
        <w:rPr>
          <w:rFonts w:ascii="Aptos" w:eastAsia="Aptos" w:hAnsi="Aptos" w:cs="Arial"/>
          <w:i/>
          <w:iCs/>
          <w:kern w:val="2"/>
          <w:sz w:val="16"/>
          <w:szCs w:val="28"/>
          <w14:ligatures w14:val="standardContextual"/>
        </w:rPr>
        <w:t>C</w:t>
      </w:r>
      <w:r w:rsidRPr="002B64E2">
        <w:rPr>
          <w:rFonts w:ascii="Aptos" w:eastAsia="Aptos" w:hAnsi="Aptos" w:cs="Arial"/>
          <w:i/>
          <w:iCs/>
          <w:kern w:val="2"/>
          <w:sz w:val="16"/>
          <w:szCs w:val="28"/>
          <w14:ligatures w14:val="standardContextual"/>
        </w:rPr>
        <w:t>hanging privacy settings</w:t>
      </w:r>
      <w:r w:rsidRPr="002B64E2">
        <w:rPr>
          <w:rFonts w:ascii="Aptos" w:eastAsia="Aptos" w:hAnsi="Aptos" w:cs="Arial"/>
          <w:kern w:val="2"/>
          <w:sz w:val="16"/>
          <w:szCs w:val="28"/>
          <w14:ligatures w14:val="standardContextual"/>
        </w:rPr>
        <w:t xml:space="preserve">, while four countries provided data for </w:t>
      </w:r>
      <w:r w:rsidR="005A265C" w:rsidRPr="002B64E2">
        <w:rPr>
          <w:rFonts w:ascii="Aptos" w:eastAsia="Aptos" w:hAnsi="Aptos" w:cs="Arial"/>
          <w:i/>
          <w:iCs/>
          <w:kern w:val="2"/>
          <w:sz w:val="16"/>
          <w:szCs w:val="28"/>
          <w14:ligatures w14:val="standardContextual"/>
        </w:rPr>
        <w:t>Setting up effective security measures</w:t>
      </w:r>
      <w:r w:rsidR="00C75359" w:rsidRPr="002B64E2">
        <w:rPr>
          <w:rFonts w:ascii="Aptos" w:eastAsia="Aptos" w:hAnsi="Aptos" w:cs="Arial"/>
          <w:i/>
          <w:kern w:val="2"/>
          <w:sz w:val="16"/>
          <w:szCs w:val="28"/>
          <w14:ligatures w14:val="standardContextual"/>
        </w:rPr>
        <w:t xml:space="preserve">. </w:t>
      </w:r>
      <w:r w:rsidR="00C75359" w:rsidRPr="002B64E2">
        <w:rPr>
          <w:rFonts w:ascii="Aptos" w:eastAsia="Aptos" w:hAnsi="Aptos" w:cs="Arial"/>
          <w:kern w:val="2"/>
          <w:sz w:val="16"/>
          <w:szCs w:val="28"/>
          <w14:ligatures w14:val="standardContextual"/>
        </w:rPr>
        <w:t xml:space="preserve">Detailed information – including complete indicator names – </w:t>
      </w:r>
      <w:r w:rsidR="006432E5" w:rsidRPr="002B64E2">
        <w:rPr>
          <w:rFonts w:ascii="Aptos" w:eastAsia="Aptos" w:hAnsi="Aptos" w:cs="Arial"/>
          <w:kern w:val="2"/>
          <w:sz w:val="16"/>
          <w:szCs w:val="28"/>
          <w14:ligatures w14:val="standardContextual"/>
        </w:rPr>
        <w:t xml:space="preserve">is available </w:t>
      </w:r>
      <w:hyperlink r:id="rId110" w:history="1">
        <w:r w:rsidR="006432E5" w:rsidRPr="002B64E2">
          <w:rPr>
            <w:rFonts w:ascii="Aptos" w:eastAsia="Aptos" w:hAnsi="Aptos" w:cs="Arial"/>
            <w:color w:val="467886"/>
            <w:kern w:val="2"/>
            <w:sz w:val="16"/>
            <w:szCs w:val="28"/>
            <w:u w:val="single"/>
            <w14:ligatures w14:val="standardContextual"/>
          </w:rPr>
          <w:t>here</w:t>
        </w:r>
      </w:hyperlink>
      <w:r w:rsidR="006432E5" w:rsidRPr="002B64E2">
        <w:rPr>
          <w:rFonts w:ascii="Aptos" w:eastAsia="Aptos" w:hAnsi="Aptos" w:cs="Arial"/>
          <w:kern w:val="2"/>
          <w:sz w:val="16"/>
          <w:szCs w:val="28"/>
          <w14:ligatures w14:val="standardContextual"/>
        </w:rPr>
        <w:t>.</w:t>
      </w:r>
    </w:p>
    <w:p w14:paraId="3B072830" w14:textId="77777777" w:rsidR="00C75359" w:rsidRPr="002B64E2" w:rsidRDefault="00C75359" w:rsidP="00C75359">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2B64E2">
        <w:rPr>
          <w:rFonts w:ascii="Aptos" w:eastAsia="Aptos" w:hAnsi="Aptos" w:cs="Arial"/>
          <w:kern w:val="2"/>
          <w:sz w:val="16"/>
          <w:szCs w:val="28"/>
          <w14:ligatures w14:val="standardContextual"/>
        </w:rPr>
        <w:t>Source: ITU</w:t>
      </w:r>
    </w:p>
    <w:p w14:paraId="1C9D8125" w14:textId="0CFE9671" w:rsidR="00C75359" w:rsidRPr="002B64E2" w:rsidRDefault="00C75359" w:rsidP="00C7535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lastRenderedPageBreak/>
        <w:t xml:space="preserve">The two activities in the safety category showed </w:t>
      </w:r>
      <w:r w:rsidR="0000086A" w:rsidRPr="002B64E2">
        <w:rPr>
          <w:rFonts w:ascii="Aptos" w:eastAsia="Aptos" w:hAnsi="Aptos" w:cs="Arial"/>
          <w:kern w:val="2"/>
          <w:sz w:val="22"/>
          <w:szCs w:val="22"/>
          <w14:ligatures w14:val="standardContextual"/>
        </w:rPr>
        <w:t xml:space="preserve">similar </w:t>
      </w:r>
      <w:r w:rsidR="00553CFE" w:rsidRPr="002B64E2">
        <w:rPr>
          <w:rFonts w:ascii="Aptos" w:eastAsia="Aptos" w:hAnsi="Aptos" w:cs="Arial"/>
          <w:kern w:val="2"/>
          <w:sz w:val="22"/>
          <w:szCs w:val="22"/>
          <w14:ligatures w14:val="standardContextual"/>
        </w:rPr>
        <w:t xml:space="preserve">– and low – </w:t>
      </w:r>
      <w:r w:rsidRPr="002B64E2">
        <w:rPr>
          <w:rFonts w:ascii="Aptos" w:eastAsia="Aptos" w:hAnsi="Aptos" w:cs="Arial"/>
          <w:kern w:val="2"/>
          <w:sz w:val="22"/>
          <w:szCs w:val="22"/>
          <w14:ligatures w14:val="standardContextual"/>
        </w:rPr>
        <w:t xml:space="preserve">prevalences for countries in the region. The median shares were </w:t>
      </w:r>
      <w:r w:rsidR="00553CFE" w:rsidRPr="002B64E2">
        <w:rPr>
          <w:rFonts w:ascii="Aptos" w:eastAsia="Aptos" w:hAnsi="Aptos" w:cs="Arial"/>
          <w:kern w:val="2"/>
          <w:sz w:val="22"/>
          <w:szCs w:val="22"/>
          <w14:ligatures w14:val="standardContextual"/>
        </w:rPr>
        <w:t>10</w:t>
      </w:r>
      <w:r w:rsidRPr="002B64E2">
        <w:rPr>
          <w:rFonts w:ascii="Aptos" w:eastAsia="Aptos" w:hAnsi="Aptos" w:cs="Arial"/>
          <w:kern w:val="2"/>
          <w:sz w:val="22"/>
          <w:szCs w:val="22"/>
          <w14:ligatures w14:val="standardContextual"/>
        </w:rPr>
        <w:t xml:space="preserve"> and </w:t>
      </w:r>
      <w:r w:rsidR="00553CFE" w:rsidRPr="002B64E2">
        <w:rPr>
          <w:rFonts w:ascii="Aptos" w:eastAsia="Aptos" w:hAnsi="Aptos" w:cs="Arial"/>
          <w:kern w:val="2"/>
          <w:sz w:val="22"/>
          <w:szCs w:val="22"/>
          <w14:ligatures w14:val="standardContextual"/>
        </w:rPr>
        <w:t>15</w:t>
      </w:r>
      <w:r w:rsidRPr="002B64E2">
        <w:rPr>
          <w:rFonts w:ascii="Aptos" w:eastAsia="Aptos" w:hAnsi="Aptos" w:cs="Arial"/>
          <w:kern w:val="2"/>
          <w:sz w:val="22"/>
          <w:szCs w:val="22"/>
          <w14:ligatures w14:val="standardContextual"/>
        </w:rPr>
        <w:t xml:space="preserve"> per cent for changing privacy settings on one’s device, account or app and setting up effective security measures to protect devices and accounts, respectively.</w:t>
      </w:r>
    </w:p>
    <w:p w14:paraId="61703BC3" w14:textId="08E67EBF" w:rsidR="00C75359" w:rsidRPr="002B64E2" w:rsidRDefault="00C75359" w:rsidP="00C75359">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 xml:space="preserve">Percentage of Internet users with problem solving skills, </w:t>
      </w:r>
      <w:r w:rsidR="00FC57AC" w:rsidRPr="002B64E2">
        <w:rPr>
          <w:rFonts w:ascii="AvenirNext LT Pro Light" w:eastAsia="Yu Gothic Light" w:hAnsi="AvenirNext LT Pro Light" w:cs="Calibri"/>
          <w:color w:val="0070C0"/>
          <w:spacing w:val="-10"/>
          <w:kern w:val="28"/>
          <w:szCs w:val="24"/>
        </w:rPr>
        <w:t>2023</w:t>
      </w:r>
    </w:p>
    <w:p w14:paraId="29B18115" w14:textId="0E341037" w:rsidR="00C75359" w:rsidRPr="002B64E2" w:rsidRDefault="00724C3E" w:rsidP="00C75359">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2B64E2">
        <w:rPr>
          <w:noProof/>
        </w:rPr>
        <w:drawing>
          <wp:inline distT="0" distB="0" distL="0" distR="0" wp14:anchorId="100C6020" wp14:editId="45D0683E">
            <wp:extent cx="6120765" cy="2623185"/>
            <wp:effectExtent l="0" t="0" r="0" b="5715"/>
            <wp:docPr id="11787911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91104" name=""/>
                    <pic:cNvPicPr/>
                  </pic:nvPicPr>
                  <pic:blipFill>
                    <a:blip r:embed="rId111">
                      <a:extLst>
                        <a:ext uri="{96DAC541-7B7A-43D3-8B79-37D633B846F1}">
                          <asvg:svgBlip xmlns:asvg="http://schemas.microsoft.com/office/drawing/2016/SVG/main" r:embed="rId112"/>
                        </a:ext>
                      </a:extLst>
                    </a:blip>
                    <a:stretch>
                      <a:fillRect/>
                    </a:stretch>
                  </pic:blipFill>
                  <pic:spPr>
                    <a:xfrm>
                      <a:off x="0" y="0"/>
                      <a:ext cx="6120765" cy="2623185"/>
                    </a:xfrm>
                    <a:prstGeom prst="rect">
                      <a:avLst/>
                    </a:prstGeom>
                  </pic:spPr>
                </pic:pic>
              </a:graphicData>
            </a:graphic>
          </wp:inline>
        </w:drawing>
      </w:r>
      <w:r w:rsidRPr="002B64E2">
        <w:rPr>
          <w:rFonts w:ascii="Aptos" w:eastAsia="Aptos" w:hAnsi="Aptos" w:cs="Arial"/>
          <w:kern w:val="2"/>
          <w:sz w:val="16"/>
          <w:szCs w:val="28"/>
          <w14:ligatures w14:val="standardContextual"/>
        </w:rPr>
        <w:t xml:space="preserve"> </w:t>
      </w:r>
      <w:r w:rsidR="00C75359" w:rsidRPr="002B64E2">
        <w:rPr>
          <w:rFonts w:ascii="Aptos" w:eastAsia="Aptos" w:hAnsi="Aptos" w:cs="Arial"/>
          <w:kern w:val="2"/>
          <w:sz w:val="16"/>
          <w:szCs w:val="28"/>
          <w14:ligatures w14:val="standardContextual"/>
        </w:rPr>
        <w:t>Note: Bars indicate the 25th, median and 75th percentile of all country values. The whiskers (bottom and top lines) indicate individual minimum and maximum values. In-scope age varies between countries. Country data are for 2023.</w:t>
      </w:r>
      <w:r w:rsidR="00722F69" w:rsidRPr="002B64E2">
        <w:rPr>
          <w:rFonts w:ascii="Aptos" w:eastAsia="Aptos" w:hAnsi="Aptos" w:cs="Arial"/>
          <w:kern w:val="2"/>
          <w:sz w:val="16"/>
          <w:szCs w:val="28"/>
          <w14:ligatures w14:val="standardContextual"/>
        </w:rPr>
        <w:t>Fice countries provided data for</w:t>
      </w:r>
      <w:r w:rsidR="00C75359" w:rsidRPr="002B64E2">
        <w:rPr>
          <w:rFonts w:ascii="Aptos" w:eastAsia="Aptos" w:hAnsi="Aptos" w:cs="Arial"/>
          <w:kern w:val="2"/>
          <w:sz w:val="16"/>
          <w:szCs w:val="28"/>
          <w14:ligatures w14:val="standardContextual"/>
        </w:rPr>
        <w:t xml:space="preserve"> each indicator</w:t>
      </w:r>
      <w:r w:rsidR="00C75359" w:rsidRPr="002B64E2">
        <w:rPr>
          <w:rFonts w:ascii="Aptos" w:eastAsia="Aptos" w:hAnsi="Aptos" w:cs="Arial"/>
          <w:i/>
          <w:kern w:val="2"/>
          <w:sz w:val="16"/>
          <w:szCs w:val="28"/>
          <w14:ligatures w14:val="standardContextual"/>
        </w:rPr>
        <w:t xml:space="preserve">. </w:t>
      </w:r>
      <w:r w:rsidR="00C75359" w:rsidRPr="002B64E2">
        <w:rPr>
          <w:rFonts w:ascii="Aptos" w:eastAsia="Aptos" w:hAnsi="Aptos" w:cs="Arial"/>
          <w:kern w:val="2"/>
          <w:sz w:val="16"/>
          <w:szCs w:val="28"/>
          <w14:ligatures w14:val="standardContextual"/>
        </w:rPr>
        <w:t xml:space="preserve">Detailed information – including complete indicator names – </w:t>
      </w:r>
      <w:r w:rsidR="00B91E62" w:rsidRPr="002B64E2">
        <w:rPr>
          <w:rFonts w:ascii="Aptos" w:eastAsia="Aptos" w:hAnsi="Aptos" w:cs="Arial"/>
          <w:kern w:val="2"/>
          <w:sz w:val="16"/>
          <w:szCs w:val="28"/>
          <w14:ligatures w14:val="standardContextual"/>
        </w:rPr>
        <w:t xml:space="preserve">is available </w:t>
      </w:r>
      <w:hyperlink r:id="rId113" w:history="1">
        <w:r w:rsidR="00B91E62" w:rsidRPr="002B64E2">
          <w:rPr>
            <w:rFonts w:ascii="Aptos" w:eastAsia="Aptos" w:hAnsi="Aptos" w:cs="Arial"/>
            <w:color w:val="467886"/>
            <w:kern w:val="2"/>
            <w:sz w:val="16"/>
            <w:szCs w:val="28"/>
            <w:u w:val="single"/>
            <w14:ligatures w14:val="standardContextual"/>
          </w:rPr>
          <w:t>here</w:t>
        </w:r>
      </w:hyperlink>
      <w:r w:rsidR="00B91E62" w:rsidRPr="002B64E2">
        <w:rPr>
          <w:rFonts w:ascii="Aptos" w:eastAsia="Aptos" w:hAnsi="Aptos" w:cs="Arial"/>
          <w:kern w:val="2"/>
          <w:sz w:val="16"/>
          <w:szCs w:val="28"/>
          <w14:ligatures w14:val="standardContextual"/>
        </w:rPr>
        <w:t>.</w:t>
      </w:r>
    </w:p>
    <w:p w14:paraId="19B1C2EC" w14:textId="77777777" w:rsidR="00C75359" w:rsidRPr="002B64E2" w:rsidRDefault="00C75359" w:rsidP="00C75359">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2B64E2">
        <w:rPr>
          <w:rFonts w:ascii="Aptos" w:eastAsia="Aptos" w:hAnsi="Aptos" w:cs="Arial"/>
          <w:kern w:val="2"/>
          <w:sz w:val="16"/>
          <w:szCs w:val="28"/>
          <w14:ligatures w14:val="standardContextual"/>
        </w:rPr>
        <w:t>Source: ITU</w:t>
      </w:r>
    </w:p>
    <w:p w14:paraId="538F855D" w14:textId="40DB577E" w:rsidR="00C75359" w:rsidRPr="002B64E2" w:rsidRDefault="00C75359" w:rsidP="00C7535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Finally, the medians for activities in the problem-solving skill area were </w:t>
      </w:r>
      <w:r w:rsidR="004E6712" w:rsidRPr="002B64E2">
        <w:rPr>
          <w:rFonts w:ascii="Aptos" w:eastAsia="Aptos" w:hAnsi="Aptos" w:cs="Arial"/>
          <w:kern w:val="2"/>
          <w:sz w:val="22"/>
          <w:szCs w:val="22"/>
          <w14:ligatures w14:val="standardContextual"/>
        </w:rPr>
        <w:t>on the low side</w:t>
      </w:r>
      <w:r w:rsidRPr="002B64E2">
        <w:rPr>
          <w:rFonts w:ascii="Aptos" w:eastAsia="Aptos" w:hAnsi="Aptos" w:cs="Arial"/>
          <w:kern w:val="2"/>
          <w:sz w:val="22"/>
          <w:szCs w:val="22"/>
          <w14:ligatures w14:val="standardContextual"/>
        </w:rPr>
        <w:t xml:space="preserve">, from </w:t>
      </w:r>
      <w:r w:rsidR="004E6712" w:rsidRPr="002B64E2">
        <w:rPr>
          <w:rFonts w:ascii="Aptos" w:eastAsia="Aptos" w:hAnsi="Aptos" w:cs="Arial"/>
          <w:kern w:val="2"/>
          <w:sz w:val="22"/>
          <w:szCs w:val="22"/>
          <w14:ligatures w14:val="standardContextual"/>
        </w:rPr>
        <w:t xml:space="preserve">5 </w:t>
      </w:r>
      <w:r w:rsidRPr="002B64E2">
        <w:rPr>
          <w:rFonts w:ascii="Aptos" w:eastAsia="Aptos" w:hAnsi="Aptos" w:cs="Arial"/>
          <w:kern w:val="2"/>
          <w:sz w:val="22"/>
          <w:szCs w:val="22"/>
          <w14:ligatures w14:val="standardContextual"/>
        </w:rPr>
        <w:t xml:space="preserve">per cent for </w:t>
      </w:r>
      <w:r w:rsidR="001544EC" w:rsidRPr="002B64E2">
        <w:rPr>
          <w:rFonts w:ascii="Aptos" w:eastAsia="Aptos" w:hAnsi="Aptos" w:cs="Arial"/>
          <w:kern w:val="2"/>
          <w:sz w:val="22"/>
          <w:szCs w:val="22"/>
          <w14:ligatures w14:val="standardContextual"/>
        </w:rPr>
        <w:t>doing an online</w:t>
      </w:r>
      <w:r w:rsidR="00500DF4" w:rsidRPr="002B64E2">
        <w:rPr>
          <w:rFonts w:ascii="Aptos" w:eastAsia="Aptos" w:hAnsi="Aptos" w:cs="Arial"/>
          <w:kern w:val="2"/>
          <w:sz w:val="22"/>
          <w:szCs w:val="22"/>
          <w14:ligatures w14:val="standardContextual"/>
        </w:rPr>
        <w:t xml:space="preserve"> course </w:t>
      </w:r>
      <w:r w:rsidRPr="002B64E2">
        <w:rPr>
          <w:rFonts w:ascii="Aptos" w:eastAsia="Aptos" w:hAnsi="Aptos" w:cs="Arial"/>
          <w:kern w:val="2"/>
          <w:sz w:val="22"/>
          <w:szCs w:val="22"/>
          <w14:ligatures w14:val="standardContextual"/>
        </w:rPr>
        <w:t>to 2</w:t>
      </w:r>
      <w:r w:rsidR="00E104FC" w:rsidRPr="002B64E2">
        <w:rPr>
          <w:rFonts w:ascii="Aptos" w:eastAsia="Aptos" w:hAnsi="Aptos" w:cs="Arial"/>
          <w:kern w:val="2"/>
          <w:sz w:val="22"/>
          <w:szCs w:val="22"/>
          <w14:ligatures w14:val="standardContextual"/>
        </w:rPr>
        <w:t>7</w:t>
      </w:r>
      <w:r w:rsidRPr="002B64E2">
        <w:rPr>
          <w:rFonts w:ascii="Aptos" w:eastAsia="Aptos" w:hAnsi="Aptos" w:cs="Arial"/>
          <w:kern w:val="2"/>
          <w:sz w:val="22"/>
          <w:szCs w:val="22"/>
          <w14:ligatures w14:val="standardContextual"/>
        </w:rPr>
        <w:t xml:space="preserve"> per cent for </w:t>
      </w:r>
      <w:r w:rsidR="00500DF4" w:rsidRPr="002B64E2">
        <w:rPr>
          <w:rFonts w:ascii="Aptos" w:eastAsia="Aptos" w:hAnsi="Aptos" w:cs="Arial"/>
          <w:kern w:val="2"/>
          <w:sz w:val="22"/>
          <w:szCs w:val="22"/>
          <w14:ligatures w14:val="standardContextual"/>
        </w:rPr>
        <w:t>Internet banking</w:t>
      </w:r>
      <w:r w:rsidRPr="002B64E2">
        <w:rPr>
          <w:rFonts w:ascii="Aptos" w:eastAsia="Aptos" w:hAnsi="Aptos" w:cs="Arial"/>
          <w:kern w:val="2"/>
          <w:sz w:val="22"/>
          <w:szCs w:val="22"/>
          <w14:ligatures w14:val="standardContextual"/>
        </w:rPr>
        <w:t>. Here as well, the share of individuals doing these activities varied widely between countries in the region.</w:t>
      </w:r>
    </w:p>
    <w:p w14:paraId="34EDF1BB" w14:textId="77777777" w:rsidR="006C41B5" w:rsidRPr="002B64E2"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br w:type="page"/>
      </w:r>
    </w:p>
    <w:p w14:paraId="275F64C2" w14:textId="77777777" w:rsidR="006C41B5" w:rsidRPr="002B64E2" w:rsidRDefault="006C41B5" w:rsidP="000C3666">
      <w:pPr>
        <w:pStyle w:val="Section"/>
      </w:pPr>
      <w:bookmarkStart w:id="17" w:name="_Toc192868604"/>
      <w:r w:rsidRPr="002B64E2">
        <w:lastRenderedPageBreak/>
        <w:t>Revenues and investment</w:t>
      </w:r>
      <w:bookmarkEnd w:id="17"/>
      <w:r w:rsidRPr="002B64E2">
        <w:t xml:space="preserve"> </w:t>
      </w:r>
    </w:p>
    <w:p w14:paraId="781BFDFC" w14:textId="7207DAFC" w:rsidR="002E637A" w:rsidRPr="002B64E2" w:rsidRDefault="002E637A" w:rsidP="007813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noProof/>
          <w:kern w:val="2"/>
          <w:sz w:val="22"/>
          <w:szCs w:val="22"/>
          <w14:ligatures w14:val="standardContextual"/>
        </w:rPr>
      </w:pPr>
      <w:r w:rsidRPr="002B64E2">
        <w:rPr>
          <w:rFonts w:ascii="Aptos" w:eastAsia="Aptos" w:hAnsi="Aptos" w:cs="Arial"/>
          <w:b/>
          <w:bCs/>
          <w:i/>
          <w:iCs/>
          <w:noProof/>
          <w:kern w:val="2"/>
          <w:sz w:val="22"/>
          <w:szCs w:val="22"/>
          <w14:ligatures w14:val="standardContextual"/>
        </w:rPr>
        <w:t>Increased investment in telecommunication infrastructure is needed for UMC</w:t>
      </w:r>
    </w:p>
    <w:p w14:paraId="5F636D48" w14:textId="5B160DCB" w:rsidR="00781373" w:rsidRPr="002B64E2" w:rsidRDefault="00781373" w:rsidP="007813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noProof/>
          <w:kern w:val="2"/>
          <w:sz w:val="22"/>
          <w:szCs w:val="22"/>
          <w14:ligatures w14:val="standardContextual"/>
        </w:rPr>
      </w:pPr>
      <w:r w:rsidRPr="002B64E2">
        <w:rPr>
          <w:rFonts w:ascii="Aptos" w:eastAsia="Aptos" w:hAnsi="Aptos" w:cs="Arial"/>
          <w:noProof/>
          <w:kern w:val="2"/>
          <w:sz w:val="22"/>
          <w:szCs w:val="22"/>
          <w14:ligatures w14:val="standardContextual"/>
        </w:rPr>
        <w:t>The telecommunication sector is an important enabler of economic development, with both direct and indirect impacts. While it is harder to capture the indirect impact, recent data on revenue and investment reveals the significance of the sector’s direct impact on development but also the considerable gaps between countries.</w:t>
      </w:r>
    </w:p>
    <w:p w14:paraId="215AE009" w14:textId="5A5A0601" w:rsidR="006C41B5" w:rsidRPr="002B64E2" w:rsidRDefault="006C41B5" w:rsidP="007D4AA9">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 xml:space="preserve">Revenue from all telecommunication services, in USD </w:t>
      </w:r>
      <w:r w:rsidR="00F52337" w:rsidRPr="002B64E2">
        <w:rPr>
          <w:rFonts w:ascii="AvenirNext LT Pro Light" w:eastAsia="Yu Gothic Light" w:hAnsi="AvenirNext LT Pro Light" w:cs="Calibri"/>
          <w:color w:val="0070C0"/>
          <w:spacing w:val="-10"/>
          <w:kern w:val="28"/>
          <w:szCs w:val="24"/>
        </w:rPr>
        <w:t>b</w:t>
      </w:r>
      <w:r w:rsidRPr="002B64E2">
        <w:rPr>
          <w:rFonts w:ascii="AvenirNext LT Pro Light" w:eastAsia="Yu Gothic Light" w:hAnsi="AvenirNext LT Pro Light" w:cs="Calibri"/>
          <w:color w:val="0070C0"/>
          <w:spacing w:val="-10"/>
          <w:kern w:val="28"/>
          <w:szCs w:val="24"/>
        </w:rPr>
        <w:t xml:space="preserve">illion and as a % of GDP, </w:t>
      </w:r>
      <w:r w:rsidR="00F7068F" w:rsidRPr="002B64E2">
        <w:rPr>
          <w:rFonts w:ascii="AvenirNext LT Pro Light" w:eastAsia="Yu Gothic Light" w:hAnsi="AvenirNext LT Pro Light" w:cs="Calibri"/>
          <w:color w:val="0070C0"/>
          <w:spacing w:val="-10"/>
          <w:kern w:val="28"/>
          <w:szCs w:val="24"/>
        </w:rPr>
        <w:t>2023</w:t>
      </w:r>
    </w:p>
    <w:p w14:paraId="38D4CC11" w14:textId="5D9DBF2F" w:rsidR="00816318" w:rsidRPr="002B64E2" w:rsidRDefault="006A249D" w:rsidP="00B1004A">
      <w:pPr>
        <w:pStyle w:val="notetext"/>
      </w:pPr>
      <w:r w:rsidRPr="002B64E2">
        <w:rPr>
          <w:noProof/>
        </w:rPr>
        <w:drawing>
          <wp:inline distT="0" distB="0" distL="0" distR="0" wp14:anchorId="07BC49A4" wp14:editId="675DF612">
            <wp:extent cx="6120765" cy="3830320"/>
            <wp:effectExtent l="0" t="0" r="0" b="0"/>
            <wp:docPr id="18183530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53073" name=""/>
                    <pic:cNvPicPr/>
                  </pic:nvPicPr>
                  <pic:blipFill>
                    <a:blip r:embed="rId114">
                      <a:extLst>
                        <a:ext uri="{96DAC541-7B7A-43D3-8B79-37D633B846F1}">
                          <asvg:svgBlip xmlns:asvg="http://schemas.microsoft.com/office/drawing/2016/SVG/main" r:embed="rId115"/>
                        </a:ext>
                      </a:extLst>
                    </a:blip>
                    <a:stretch>
                      <a:fillRect/>
                    </a:stretch>
                  </pic:blipFill>
                  <pic:spPr>
                    <a:xfrm>
                      <a:off x="0" y="0"/>
                      <a:ext cx="6120765" cy="3830320"/>
                    </a:xfrm>
                    <a:prstGeom prst="rect">
                      <a:avLst/>
                    </a:prstGeom>
                  </pic:spPr>
                </pic:pic>
              </a:graphicData>
            </a:graphic>
          </wp:inline>
        </w:drawing>
      </w:r>
      <w:r w:rsidR="00816318" w:rsidRPr="002B64E2">
        <w:t>Note: Annual average exchange rates applied, last available year values at constant 2023 prices.</w:t>
      </w:r>
    </w:p>
    <w:p w14:paraId="566B1952" w14:textId="77777777" w:rsidR="006C41B5" w:rsidRPr="002B64E2" w:rsidRDefault="006C41B5" w:rsidP="00B1004A">
      <w:pPr>
        <w:pStyle w:val="Sourcetext"/>
        <w:rPr>
          <w:noProof/>
        </w:rPr>
      </w:pPr>
      <w:r w:rsidRPr="002B64E2">
        <w:rPr>
          <w:noProof/>
        </w:rPr>
        <w:t>Source: ITU, World Bank World Development Indicators</w:t>
      </w:r>
    </w:p>
    <w:p w14:paraId="2E8921F1" w14:textId="064A9811" w:rsidR="00415D50" w:rsidRPr="002B64E2" w:rsidRDefault="00415D50" w:rsidP="00415D50">
      <w:pPr>
        <w:overflowPunct/>
        <w:autoSpaceDE/>
        <w:autoSpaceDN/>
        <w:adjustRightInd/>
        <w:spacing w:before="0" w:after="160" w:line="259" w:lineRule="auto"/>
        <w:textAlignment w:val="auto"/>
        <w:rPr>
          <w:rFonts w:ascii="Aptos" w:eastAsia="Aptos" w:hAnsi="Aptos" w:cs="Arial"/>
          <w:noProof/>
          <w:kern w:val="2"/>
          <w:sz w:val="22"/>
          <w:szCs w:val="22"/>
          <w14:ligatures w14:val="standardContextual"/>
        </w:rPr>
      </w:pPr>
      <w:r w:rsidRPr="002B64E2">
        <w:rPr>
          <w:rFonts w:ascii="Aptos" w:eastAsia="Aptos" w:hAnsi="Aptos" w:cs="Arial"/>
          <w:kern w:val="2"/>
          <w:sz w:val="22"/>
          <w:szCs w:val="22"/>
          <w14:ligatures w14:val="standardContextual"/>
        </w:rPr>
        <w:t>The ICT services sector includes activities providing telecommunications and related service activities, i.e. transmitting voice, data, text, sound and video, over wired, wireless, satellite or other networks</w:t>
      </w:r>
      <w:r w:rsidRPr="002B64E2">
        <w:rPr>
          <w:rFonts w:ascii="Aptos" w:eastAsia="Aptos" w:hAnsi="Aptos" w:cs="Arial"/>
          <w:noProof/>
          <w:kern w:val="2"/>
          <w:sz w:val="22"/>
          <w:szCs w:val="22"/>
          <w14:ligatures w14:val="standardContextual"/>
        </w:rPr>
        <w:t>.</w:t>
      </w:r>
      <w:r w:rsidRPr="002B64E2">
        <w:rPr>
          <w:rFonts w:ascii="Aptos" w:eastAsia="Aptos" w:hAnsi="Aptos" w:cs="Arial"/>
          <w:noProof/>
          <w:kern w:val="2"/>
          <w:sz w:val="22"/>
          <w:szCs w:val="22"/>
          <w:vertAlign w:val="superscript"/>
          <w14:ligatures w14:val="standardContextual"/>
        </w:rPr>
        <w:footnoteReference w:id="9"/>
      </w:r>
      <w:r w:rsidRPr="002B64E2">
        <w:rPr>
          <w:rFonts w:ascii="Aptos" w:eastAsia="Aptos" w:hAnsi="Aptos" w:cs="Arial"/>
          <w:kern w:val="2"/>
          <w:sz w:val="22"/>
          <w:szCs w:val="22"/>
          <w14:ligatures w14:val="standardContextual"/>
        </w:rPr>
        <w:t xml:space="preserve"> The total annual retail revenue for the sector in the </w:t>
      </w:r>
      <w:r w:rsidR="008E329C" w:rsidRPr="002B64E2">
        <w:rPr>
          <w:rFonts w:ascii="Aptos" w:eastAsia="Aptos" w:hAnsi="Aptos" w:cs="Arial"/>
          <w:kern w:val="2"/>
          <w:sz w:val="22"/>
          <w:szCs w:val="22"/>
          <w14:ligatures w14:val="standardContextual"/>
        </w:rPr>
        <w:t>CIS region</w:t>
      </w:r>
      <w:r w:rsidRPr="002B64E2">
        <w:rPr>
          <w:rFonts w:ascii="Aptos" w:eastAsia="Aptos" w:hAnsi="Aptos" w:cs="Arial"/>
          <w:kern w:val="2"/>
          <w:sz w:val="22"/>
          <w:szCs w:val="22"/>
          <w14:ligatures w14:val="standardContextual"/>
        </w:rPr>
        <w:t xml:space="preserve">, for the </w:t>
      </w:r>
      <w:r w:rsidR="00A6546F" w:rsidRPr="002B64E2">
        <w:rPr>
          <w:rFonts w:ascii="Aptos" w:eastAsia="Aptos" w:hAnsi="Aptos" w:cs="Arial"/>
          <w:kern w:val="2"/>
          <w:sz w:val="22"/>
          <w:szCs w:val="22"/>
          <w14:ligatures w14:val="standardContextual"/>
        </w:rPr>
        <w:t>seven</w:t>
      </w:r>
      <w:r w:rsidR="00613BCC" w:rsidRPr="002B64E2">
        <w:rPr>
          <w:rFonts w:ascii="Aptos" w:eastAsia="Aptos" w:hAnsi="Aptos" w:cs="Arial"/>
          <w:kern w:val="2"/>
          <w:sz w:val="22"/>
          <w:szCs w:val="22"/>
          <w14:ligatures w14:val="standardContextual"/>
        </w:rPr>
        <w:t xml:space="preserve"> </w:t>
      </w:r>
      <w:r w:rsidRPr="002B64E2">
        <w:rPr>
          <w:rFonts w:ascii="Aptos" w:eastAsia="Aptos" w:hAnsi="Aptos" w:cs="Arial"/>
          <w:kern w:val="2"/>
          <w:sz w:val="22"/>
          <w:szCs w:val="22"/>
          <w14:ligatures w14:val="standardContextual"/>
        </w:rPr>
        <w:t xml:space="preserve">countries that provided data in the last available year since 2021, is estimated at around USD </w:t>
      </w:r>
      <w:r w:rsidR="00A51B24" w:rsidRPr="002B64E2">
        <w:rPr>
          <w:rFonts w:ascii="Aptos" w:eastAsia="Aptos" w:hAnsi="Aptos" w:cs="Arial"/>
          <w:kern w:val="2"/>
          <w:sz w:val="22"/>
          <w:szCs w:val="22"/>
          <w14:ligatures w14:val="standardContextual"/>
        </w:rPr>
        <w:t>31</w:t>
      </w:r>
      <w:r w:rsidRPr="002B64E2">
        <w:rPr>
          <w:rFonts w:ascii="Aptos" w:eastAsia="Aptos" w:hAnsi="Aptos" w:cs="Arial"/>
          <w:kern w:val="2"/>
          <w:sz w:val="22"/>
          <w:szCs w:val="22"/>
          <w14:ligatures w14:val="standardContextual"/>
        </w:rPr>
        <w:t xml:space="preserve"> billion. However, t</w:t>
      </w:r>
      <w:r w:rsidRPr="002B64E2">
        <w:rPr>
          <w:rFonts w:ascii="Aptos" w:eastAsia="Aptos" w:hAnsi="Aptos" w:cs="Arial"/>
          <w:noProof/>
          <w:kern w:val="2"/>
          <w:sz w:val="22"/>
          <w:szCs w:val="22"/>
          <w14:ligatures w14:val="standardContextual"/>
        </w:rPr>
        <w:t xml:space="preserve">he size of the telecommunication market varies significantly across countries, with </w:t>
      </w:r>
      <w:r w:rsidR="00A6546F" w:rsidRPr="002B64E2">
        <w:rPr>
          <w:rFonts w:ascii="Aptos" w:eastAsia="Aptos" w:hAnsi="Aptos" w:cs="Arial"/>
          <w:noProof/>
          <w:kern w:val="2"/>
          <w:sz w:val="22"/>
          <w:szCs w:val="22"/>
          <w14:ligatures w14:val="standardContextual"/>
        </w:rPr>
        <w:t>two</w:t>
      </w:r>
      <w:r w:rsidRPr="002B64E2">
        <w:rPr>
          <w:rFonts w:ascii="Aptos" w:eastAsia="Aptos" w:hAnsi="Aptos" w:cs="Arial"/>
          <w:noProof/>
          <w:kern w:val="2"/>
          <w:sz w:val="22"/>
          <w:szCs w:val="22"/>
          <w14:ligatures w14:val="standardContextual"/>
        </w:rPr>
        <w:t xml:space="preserve"> countries reporting revenue below USD </w:t>
      </w:r>
      <w:r w:rsidR="001130DC" w:rsidRPr="002B64E2">
        <w:rPr>
          <w:rFonts w:ascii="Aptos" w:eastAsia="Aptos" w:hAnsi="Aptos" w:cs="Arial"/>
          <w:noProof/>
          <w:kern w:val="2"/>
          <w:sz w:val="22"/>
          <w:szCs w:val="22"/>
          <w14:ligatures w14:val="standardContextual"/>
        </w:rPr>
        <w:t>400</w:t>
      </w:r>
      <w:r w:rsidRPr="002B64E2">
        <w:rPr>
          <w:rFonts w:ascii="Aptos" w:eastAsia="Aptos" w:hAnsi="Aptos" w:cs="Arial"/>
          <w:noProof/>
          <w:kern w:val="2"/>
          <w:sz w:val="22"/>
          <w:szCs w:val="22"/>
          <w14:ligatures w14:val="standardContextual"/>
        </w:rPr>
        <w:t xml:space="preserve"> </w:t>
      </w:r>
      <w:r w:rsidR="001130DC" w:rsidRPr="002B64E2">
        <w:rPr>
          <w:rFonts w:ascii="Aptos" w:eastAsia="Aptos" w:hAnsi="Aptos" w:cs="Arial"/>
          <w:noProof/>
          <w:kern w:val="2"/>
          <w:sz w:val="22"/>
          <w:szCs w:val="22"/>
          <w14:ligatures w14:val="standardContextual"/>
        </w:rPr>
        <w:t>m</w:t>
      </w:r>
      <w:r w:rsidRPr="002B64E2">
        <w:rPr>
          <w:rFonts w:ascii="Aptos" w:eastAsia="Aptos" w:hAnsi="Aptos" w:cs="Arial"/>
          <w:noProof/>
          <w:kern w:val="2"/>
          <w:sz w:val="22"/>
          <w:szCs w:val="22"/>
          <w14:ligatures w14:val="standardContextual"/>
        </w:rPr>
        <w:t xml:space="preserve">illion, while the </w:t>
      </w:r>
      <w:r w:rsidR="001130DC" w:rsidRPr="002B64E2">
        <w:rPr>
          <w:rFonts w:ascii="Aptos" w:eastAsia="Aptos" w:hAnsi="Aptos" w:cs="Arial"/>
          <w:noProof/>
          <w:kern w:val="2"/>
          <w:sz w:val="22"/>
          <w:szCs w:val="22"/>
          <w14:ligatures w14:val="standardContextual"/>
        </w:rPr>
        <w:t>Russian Federation</w:t>
      </w:r>
      <w:r w:rsidRPr="002B64E2">
        <w:rPr>
          <w:rFonts w:ascii="Aptos" w:eastAsia="Aptos" w:hAnsi="Aptos" w:cs="Arial"/>
          <w:noProof/>
          <w:kern w:val="2"/>
          <w:sz w:val="22"/>
          <w:szCs w:val="22"/>
          <w14:ligatures w14:val="standardContextual"/>
        </w:rPr>
        <w:t xml:space="preserve">, the largest market, </w:t>
      </w:r>
      <w:r w:rsidRPr="002B64E2">
        <w:rPr>
          <w:rFonts w:ascii="Aptos" w:eastAsia="Aptos" w:hAnsi="Aptos" w:cs="Arial"/>
          <w:kern w:val="2"/>
          <w:sz w:val="22"/>
          <w:szCs w:val="22"/>
          <w14:ligatures w14:val="standardContextual"/>
        </w:rPr>
        <w:t>totalled</w:t>
      </w:r>
      <w:r w:rsidRPr="002B64E2">
        <w:rPr>
          <w:rFonts w:ascii="Aptos" w:eastAsia="Aptos" w:hAnsi="Aptos" w:cs="Arial"/>
          <w:noProof/>
          <w:kern w:val="2"/>
          <w:sz w:val="22"/>
          <w:szCs w:val="22"/>
          <w14:ligatures w14:val="standardContextual"/>
        </w:rPr>
        <w:t xml:space="preserve"> USD </w:t>
      </w:r>
      <w:r w:rsidR="001130DC" w:rsidRPr="002B64E2">
        <w:rPr>
          <w:rFonts w:ascii="Aptos" w:eastAsia="Aptos" w:hAnsi="Aptos" w:cs="Arial"/>
          <w:noProof/>
          <w:kern w:val="2"/>
          <w:sz w:val="22"/>
          <w:szCs w:val="22"/>
          <w14:ligatures w14:val="standardContextual"/>
        </w:rPr>
        <w:t xml:space="preserve">23 </w:t>
      </w:r>
      <w:r w:rsidRPr="002B64E2">
        <w:rPr>
          <w:rFonts w:ascii="Aptos" w:eastAsia="Aptos" w:hAnsi="Aptos" w:cs="Arial"/>
          <w:noProof/>
          <w:kern w:val="2"/>
          <w:sz w:val="22"/>
          <w:szCs w:val="22"/>
          <w14:ligatures w14:val="standardContextual"/>
        </w:rPr>
        <w:t xml:space="preserve">billion in revenue. This sector contributed an average of </w:t>
      </w:r>
      <w:r w:rsidR="00773457" w:rsidRPr="002B64E2">
        <w:rPr>
          <w:rFonts w:ascii="Aptos" w:eastAsia="Aptos" w:hAnsi="Aptos" w:cs="Arial"/>
          <w:noProof/>
          <w:kern w:val="2"/>
          <w:sz w:val="22"/>
          <w:szCs w:val="22"/>
          <w14:ligatures w14:val="standardContextual"/>
        </w:rPr>
        <w:t>1.7</w:t>
      </w:r>
      <w:r w:rsidRPr="002B64E2">
        <w:rPr>
          <w:rFonts w:ascii="Aptos" w:eastAsia="Aptos" w:hAnsi="Aptos" w:cs="Arial"/>
          <w:noProof/>
          <w:kern w:val="2"/>
          <w:sz w:val="22"/>
          <w:szCs w:val="22"/>
          <w14:ligatures w14:val="standardContextual"/>
        </w:rPr>
        <w:t xml:space="preserve"> per cent to the region's GDP. This proportion fluctuates, ranging from around 1 </w:t>
      </w:r>
      <w:r w:rsidR="007D4AA9" w:rsidRPr="002B64E2">
        <w:rPr>
          <w:rFonts w:ascii="Aptos" w:eastAsia="Aptos" w:hAnsi="Aptos" w:cs="Arial"/>
          <w:noProof/>
          <w:kern w:val="2"/>
          <w:sz w:val="22"/>
          <w:szCs w:val="22"/>
          <w14:ligatures w14:val="standardContextual"/>
        </w:rPr>
        <w:t xml:space="preserve">to 2.7 </w:t>
      </w:r>
      <w:r w:rsidRPr="002B64E2">
        <w:rPr>
          <w:rFonts w:ascii="Aptos" w:eastAsia="Aptos" w:hAnsi="Aptos" w:cs="Arial"/>
          <w:noProof/>
          <w:kern w:val="2"/>
          <w:sz w:val="22"/>
          <w:szCs w:val="22"/>
          <w14:ligatures w14:val="standardContextual"/>
        </w:rPr>
        <w:t>per cent.</w:t>
      </w:r>
      <w:r w:rsidRPr="002B64E2">
        <w:rPr>
          <w:rFonts w:ascii="Aptos" w:eastAsia="Aptos" w:hAnsi="Aptos" w:cs="Arial"/>
          <w:kern w:val="2"/>
          <w:sz w:val="22"/>
          <w:szCs w:val="22"/>
          <w14:ligatures w14:val="standardContextual"/>
        </w:rPr>
        <w:t xml:space="preserve"> </w:t>
      </w:r>
    </w:p>
    <w:p w14:paraId="13F098A6" w14:textId="4011894B" w:rsidR="0047619F" w:rsidRPr="002B64E2" w:rsidRDefault="0047619F" w:rsidP="007D4AA9">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lastRenderedPageBreak/>
        <w:t xml:space="preserve">Annual investment in telecommunication services, in USD </w:t>
      </w:r>
      <w:r w:rsidR="00D470D7" w:rsidRPr="002B64E2">
        <w:rPr>
          <w:rFonts w:ascii="AvenirNext LT Pro Light" w:eastAsia="Yu Gothic Light" w:hAnsi="AvenirNext LT Pro Light" w:cs="Calibri"/>
          <w:color w:val="0070C0"/>
          <w:spacing w:val="-10"/>
          <w:kern w:val="28"/>
          <w:szCs w:val="24"/>
        </w:rPr>
        <w:t>b</w:t>
      </w:r>
      <w:r w:rsidRPr="002B64E2">
        <w:rPr>
          <w:rFonts w:ascii="AvenirNext LT Pro Light" w:eastAsia="Yu Gothic Light" w:hAnsi="AvenirNext LT Pro Light" w:cs="Calibri"/>
          <w:color w:val="0070C0"/>
          <w:spacing w:val="-10"/>
          <w:kern w:val="28"/>
          <w:szCs w:val="24"/>
        </w:rPr>
        <w:t>illion and as % of GDP</w:t>
      </w:r>
    </w:p>
    <w:p w14:paraId="3F79FE86" w14:textId="08FA2DB4" w:rsidR="0047619F" w:rsidRPr="002B64E2" w:rsidRDefault="00BC27BF" w:rsidP="00B1004A">
      <w:pPr>
        <w:pStyle w:val="notetext"/>
      </w:pPr>
      <w:r w:rsidRPr="002B64E2">
        <w:rPr>
          <w:noProof/>
        </w:rPr>
        <w:drawing>
          <wp:inline distT="0" distB="0" distL="0" distR="0" wp14:anchorId="1AB1C892" wp14:editId="31684A61">
            <wp:extent cx="6120765" cy="3486785"/>
            <wp:effectExtent l="0" t="0" r="0" b="0"/>
            <wp:docPr id="8990163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16329" name=""/>
                    <pic:cNvPicPr/>
                  </pic:nvPicPr>
                  <pic:blipFill>
                    <a:blip r:embed="rId116">
                      <a:extLst>
                        <a:ext uri="{96DAC541-7B7A-43D3-8B79-37D633B846F1}">
                          <asvg:svgBlip xmlns:asvg="http://schemas.microsoft.com/office/drawing/2016/SVG/main" r:embed="rId117"/>
                        </a:ext>
                      </a:extLst>
                    </a:blip>
                    <a:stretch>
                      <a:fillRect/>
                    </a:stretch>
                  </pic:blipFill>
                  <pic:spPr>
                    <a:xfrm>
                      <a:off x="0" y="0"/>
                      <a:ext cx="6120765" cy="3486785"/>
                    </a:xfrm>
                    <a:prstGeom prst="rect">
                      <a:avLst/>
                    </a:prstGeom>
                  </pic:spPr>
                </pic:pic>
              </a:graphicData>
            </a:graphic>
          </wp:inline>
        </w:drawing>
      </w:r>
      <w:r w:rsidRPr="002B64E2">
        <w:t xml:space="preserve"> </w:t>
      </w:r>
      <w:r w:rsidR="0047619F" w:rsidRPr="002B64E2">
        <w:t>Note: Data are a three-year (2021-2023) average of available data points to correct for annual fluctuations and gaps. Investment figures are in constant 2023 US dollars.</w:t>
      </w:r>
    </w:p>
    <w:p w14:paraId="46261EB7" w14:textId="77777777" w:rsidR="0047619F" w:rsidRPr="002B64E2" w:rsidRDefault="0047619F" w:rsidP="00B1004A">
      <w:pPr>
        <w:pStyle w:val="Sourcetext"/>
      </w:pPr>
      <w:r w:rsidRPr="002B64E2">
        <w:t>Source: ITU, World Bank World Development Indicators</w:t>
      </w:r>
    </w:p>
    <w:p w14:paraId="52E6CF24" w14:textId="03128406" w:rsidR="0005248E" w:rsidRPr="002B64E2" w:rsidRDefault="0005248E" w:rsidP="0005248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The deployment of new network technologies and the upgrading of existing ones are highly capital-intensive activities. Investment projects often span multiple years and values fluctuate, which is why statistics are presented as the period average for 2021-2023. Those countries in </w:t>
      </w:r>
      <w:r w:rsidR="003936A5" w:rsidRPr="002B64E2">
        <w:rPr>
          <w:rFonts w:ascii="Aptos" w:eastAsia="Aptos" w:hAnsi="Aptos" w:cs="Arial"/>
          <w:kern w:val="2"/>
          <w:sz w:val="22"/>
          <w:szCs w:val="22"/>
          <w14:ligatures w14:val="standardContextual"/>
        </w:rPr>
        <w:t xml:space="preserve">the CIS </w:t>
      </w:r>
      <w:r w:rsidRPr="002B64E2">
        <w:rPr>
          <w:rFonts w:ascii="Aptos" w:eastAsia="Aptos" w:hAnsi="Aptos" w:cs="Arial"/>
          <w:kern w:val="2"/>
          <w:sz w:val="22"/>
          <w:szCs w:val="22"/>
          <w14:ligatures w14:val="standardContextual"/>
        </w:rPr>
        <w:t xml:space="preserve">region for which data was available made annual investments ranging from less than USD </w:t>
      </w:r>
      <w:r w:rsidR="00774B06" w:rsidRPr="002B64E2">
        <w:rPr>
          <w:rFonts w:ascii="Aptos" w:eastAsia="Aptos" w:hAnsi="Aptos" w:cs="Arial"/>
          <w:kern w:val="2"/>
          <w:sz w:val="22"/>
          <w:szCs w:val="22"/>
          <w14:ligatures w14:val="standardContextual"/>
        </w:rPr>
        <w:t>0.5</w:t>
      </w:r>
      <w:r w:rsidRPr="002B64E2">
        <w:rPr>
          <w:rFonts w:ascii="Aptos" w:eastAsia="Aptos" w:hAnsi="Aptos" w:cs="Arial"/>
          <w:kern w:val="2"/>
          <w:sz w:val="22"/>
          <w:szCs w:val="22"/>
          <w14:ligatures w14:val="standardContextual"/>
        </w:rPr>
        <w:t xml:space="preserve"> billion in </w:t>
      </w:r>
      <w:r w:rsidR="006D6EB0" w:rsidRPr="002B64E2">
        <w:rPr>
          <w:rFonts w:ascii="Aptos" w:eastAsia="Aptos" w:hAnsi="Aptos" w:cs="Arial"/>
          <w:kern w:val="2"/>
          <w:sz w:val="22"/>
          <w:szCs w:val="22"/>
          <w14:ligatures w14:val="standardContextual"/>
        </w:rPr>
        <w:t>six</w:t>
      </w:r>
      <w:r w:rsidRPr="002B64E2">
        <w:rPr>
          <w:rFonts w:ascii="Aptos" w:eastAsia="Aptos" w:hAnsi="Aptos" w:cs="Arial"/>
          <w:kern w:val="2"/>
          <w:sz w:val="22"/>
          <w:szCs w:val="22"/>
          <w14:ligatures w14:val="standardContextual"/>
        </w:rPr>
        <w:t xml:space="preserve"> countries, to USD </w:t>
      </w:r>
      <w:r w:rsidR="002300CB" w:rsidRPr="002B64E2">
        <w:rPr>
          <w:rFonts w:ascii="Aptos" w:eastAsia="Aptos" w:hAnsi="Aptos" w:cs="Arial"/>
          <w:kern w:val="2"/>
          <w:sz w:val="22"/>
          <w:szCs w:val="22"/>
          <w14:ligatures w14:val="standardContextual"/>
        </w:rPr>
        <w:t>5</w:t>
      </w:r>
      <w:r w:rsidRPr="002B64E2">
        <w:rPr>
          <w:rFonts w:ascii="Aptos" w:eastAsia="Aptos" w:hAnsi="Aptos" w:cs="Arial"/>
          <w:kern w:val="2"/>
          <w:sz w:val="22"/>
          <w:szCs w:val="22"/>
          <w14:ligatures w14:val="standardContextual"/>
        </w:rPr>
        <w:t xml:space="preserve"> billion in the</w:t>
      </w:r>
      <w:r w:rsidR="002300CB" w:rsidRPr="002B64E2">
        <w:rPr>
          <w:rFonts w:ascii="Aptos" w:eastAsia="Aptos" w:hAnsi="Aptos" w:cs="Arial"/>
          <w:kern w:val="2"/>
          <w:sz w:val="22"/>
          <w:szCs w:val="22"/>
          <w14:ligatures w14:val="standardContextual"/>
        </w:rPr>
        <w:t xml:space="preserve"> Russian Federatio</w:t>
      </w:r>
      <w:r w:rsidR="00FC40F0" w:rsidRPr="002B64E2">
        <w:rPr>
          <w:rFonts w:ascii="Aptos" w:eastAsia="Aptos" w:hAnsi="Aptos" w:cs="Arial"/>
          <w:kern w:val="2"/>
          <w:sz w:val="22"/>
          <w:szCs w:val="22"/>
          <w14:ligatures w14:val="standardContextual"/>
        </w:rPr>
        <w:t>n</w:t>
      </w:r>
      <w:r w:rsidRPr="002B64E2">
        <w:rPr>
          <w:rFonts w:ascii="Aptos" w:eastAsia="Aptos" w:hAnsi="Aptos" w:cs="Arial"/>
          <w:kern w:val="2"/>
          <w:sz w:val="22"/>
          <w:szCs w:val="22"/>
          <w14:ligatures w14:val="standardContextual"/>
        </w:rPr>
        <w:t>. This corresponded to a median value of 0.</w:t>
      </w:r>
      <w:r w:rsidR="006B7A44" w:rsidRPr="002B64E2">
        <w:rPr>
          <w:rFonts w:ascii="Aptos" w:eastAsia="Aptos" w:hAnsi="Aptos" w:cs="Arial"/>
          <w:kern w:val="2"/>
          <w:sz w:val="22"/>
          <w:szCs w:val="22"/>
          <w14:ligatures w14:val="standardContextual"/>
        </w:rPr>
        <w:t>3</w:t>
      </w:r>
      <w:r w:rsidRPr="002B64E2">
        <w:rPr>
          <w:rFonts w:ascii="Aptos" w:eastAsia="Aptos" w:hAnsi="Aptos" w:cs="Arial"/>
          <w:kern w:val="2"/>
          <w:sz w:val="22"/>
          <w:szCs w:val="22"/>
          <w14:ligatures w14:val="standardContextual"/>
        </w:rPr>
        <w:t xml:space="preserve"> per cent of GDP over the 2021-2023 period.</w:t>
      </w:r>
      <w:r w:rsidRPr="002B64E2">
        <w:rPr>
          <w:rFonts w:ascii="Aptos" w:eastAsia="Aptos" w:hAnsi="Aptos" w:cs="Arial"/>
          <w:kern w:val="2"/>
          <w:sz w:val="22"/>
          <w:szCs w:val="22"/>
          <w:vertAlign w:val="superscript"/>
          <w14:ligatures w14:val="standardContextual"/>
        </w:rPr>
        <w:footnoteReference w:id="10"/>
      </w:r>
      <w:r w:rsidRPr="002B64E2">
        <w:rPr>
          <w:rFonts w:ascii="Aptos" w:eastAsia="Aptos" w:hAnsi="Aptos" w:cs="Arial"/>
          <w:kern w:val="2"/>
          <w:sz w:val="22"/>
          <w:szCs w:val="22"/>
          <w14:ligatures w14:val="standardContextual"/>
        </w:rPr>
        <w:t xml:space="preserve"> </w:t>
      </w:r>
    </w:p>
    <w:p w14:paraId="7BA57AE8" w14:textId="19E48C3B" w:rsidR="0005248E" w:rsidRPr="002B64E2" w:rsidRDefault="0005248E" w:rsidP="0005248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Ensuring the infrastructural requirements for universal and meaningful connectivity requires significant, continuous investment efforts. On average, the ICT sector in the region invests around </w:t>
      </w:r>
      <w:r w:rsidR="00811930" w:rsidRPr="002B64E2">
        <w:rPr>
          <w:rFonts w:ascii="Aptos" w:eastAsia="Aptos" w:hAnsi="Aptos" w:cs="Arial"/>
          <w:kern w:val="2"/>
          <w:sz w:val="22"/>
          <w:szCs w:val="22"/>
          <w14:ligatures w14:val="standardContextual"/>
        </w:rPr>
        <w:t>22</w:t>
      </w:r>
      <w:r w:rsidRPr="002B64E2">
        <w:rPr>
          <w:rFonts w:ascii="Aptos" w:eastAsia="Aptos" w:hAnsi="Aptos" w:cs="Arial"/>
          <w:kern w:val="2"/>
          <w:sz w:val="22"/>
          <w:szCs w:val="22"/>
          <w14:ligatures w14:val="standardContextual"/>
        </w:rPr>
        <w:t xml:space="preserve"> per cent of </w:t>
      </w:r>
      <w:r w:rsidR="00916188" w:rsidRPr="002B64E2">
        <w:rPr>
          <w:rFonts w:ascii="Aptos" w:eastAsia="Aptos" w:hAnsi="Aptos" w:cs="Arial"/>
          <w:kern w:val="2"/>
          <w:sz w:val="22"/>
          <w:szCs w:val="22"/>
          <w14:ligatures w14:val="standardContextual"/>
        </w:rPr>
        <w:t xml:space="preserve">its </w:t>
      </w:r>
      <w:r w:rsidRPr="002B64E2">
        <w:rPr>
          <w:rFonts w:ascii="Aptos" w:eastAsia="Aptos" w:hAnsi="Aptos" w:cs="Arial"/>
          <w:kern w:val="2"/>
          <w:sz w:val="22"/>
          <w:szCs w:val="22"/>
          <w14:ligatures w14:val="standardContextual"/>
        </w:rPr>
        <w:t xml:space="preserve">revenue, </w:t>
      </w:r>
      <w:r w:rsidR="00916188" w:rsidRPr="002B64E2">
        <w:rPr>
          <w:rFonts w:ascii="Aptos" w:eastAsia="Aptos" w:hAnsi="Aptos" w:cs="Arial"/>
          <w:kern w:val="2"/>
          <w:sz w:val="22"/>
          <w:szCs w:val="22"/>
          <w14:ligatures w14:val="standardContextual"/>
        </w:rPr>
        <w:t xml:space="preserve">with significant variations across countries, from </w:t>
      </w:r>
      <w:r w:rsidR="00B115AF" w:rsidRPr="002B64E2">
        <w:rPr>
          <w:rFonts w:ascii="Aptos" w:eastAsia="Aptos" w:hAnsi="Aptos" w:cs="Arial"/>
          <w:kern w:val="2"/>
          <w:sz w:val="22"/>
          <w:szCs w:val="22"/>
          <w14:ligatures w14:val="standardContextual"/>
        </w:rPr>
        <w:t xml:space="preserve">less than 10 per cent to nearly 40 </w:t>
      </w:r>
      <w:r w:rsidR="00DA1542" w:rsidRPr="002B64E2">
        <w:rPr>
          <w:rFonts w:ascii="Aptos" w:eastAsia="Aptos" w:hAnsi="Aptos" w:cs="Arial"/>
          <w:kern w:val="2"/>
          <w:sz w:val="22"/>
          <w:szCs w:val="22"/>
          <w14:ligatures w14:val="standardContextual"/>
        </w:rPr>
        <w:t>per cent</w:t>
      </w:r>
      <w:r w:rsidRPr="002B64E2">
        <w:rPr>
          <w:rFonts w:ascii="Aptos" w:eastAsia="Aptos" w:hAnsi="Aptos" w:cs="Arial"/>
          <w:kern w:val="2"/>
          <w:sz w:val="22"/>
          <w:szCs w:val="22"/>
          <w14:ligatures w14:val="standardContextual"/>
        </w:rPr>
        <w:t>.</w:t>
      </w:r>
    </w:p>
    <w:p w14:paraId="66FE690A" w14:textId="77777777" w:rsidR="006C41B5" w:rsidRPr="002B64E2"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br w:type="page"/>
      </w:r>
    </w:p>
    <w:p w14:paraId="491095ED" w14:textId="77777777" w:rsidR="006C41B5" w:rsidRPr="002B64E2" w:rsidRDefault="006C41B5" w:rsidP="000C3666">
      <w:pPr>
        <w:pStyle w:val="Section"/>
      </w:pPr>
      <w:bookmarkStart w:id="18" w:name="_Toc192868605"/>
      <w:r w:rsidRPr="002B64E2">
        <w:lastRenderedPageBreak/>
        <w:t>Cybersecurity</w:t>
      </w:r>
      <w:bookmarkEnd w:id="18"/>
    </w:p>
    <w:p w14:paraId="1C547127" w14:textId="4C8D0BA8" w:rsidR="006C41B5" w:rsidRPr="002B64E2" w:rsidRDefault="002846FD"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B64E2">
        <w:rPr>
          <w:rFonts w:ascii="Aptos" w:eastAsia="Aptos" w:hAnsi="Aptos" w:cs="Arial"/>
          <w:b/>
          <w:bCs/>
          <w:i/>
          <w:iCs/>
          <w:kern w:val="2"/>
          <w:sz w:val="22"/>
          <w:szCs w:val="22"/>
          <w14:ligatures w14:val="standardContextual"/>
        </w:rPr>
        <w:t>Cybersecurity commitments vary widely across the region</w:t>
      </w:r>
    </w:p>
    <w:p w14:paraId="6E85A6A7" w14:textId="6349AA1D" w:rsidR="006C41B5" w:rsidRPr="002B64E2" w:rsidRDefault="00EA19DE"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Meaningful connectivity requires trustworthy and secure communications. With over 5.5 billion people now online, cybersecurity in the digital economy is no longer an afterthought. Addressing cybersecurity requires a holistic approach encompassing legal, technical, organizational, capacity development, and cooperation issues. Since 2015, the Global Cybersecurity Index (GCI) has tracked countries' performance on these issues, each represented by a pillar of the index, with an aggregate GCI score on a 0-100 scale. The 2024 edition revealed a notable improvement in countries’ commitment to cybersecurity: the average GCI score reached 66, up 14 points from the 2021 edition.</w:t>
      </w:r>
      <w:r w:rsidR="00877042" w:rsidRPr="002B64E2">
        <w:rPr>
          <w:rFonts w:ascii="Aptos" w:eastAsia="Aptos" w:hAnsi="Aptos" w:cs="Arial"/>
          <w:kern w:val="2"/>
          <w:sz w:val="22"/>
          <w:szCs w:val="22"/>
          <w14:ligatures w14:val="standardContextual"/>
        </w:rPr>
        <w:t xml:space="preserve"> </w:t>
      </w:r>
      <w:r w:rsidR="00362AD7" w:rsidRPr="002B64E2">
        <w:rPr>
          <w:rFonts w:ascii="Aptos" w:eastAsia="Aptos" w:hAnsi="Aptos" w:cs="Arial"/>
          <w:kern w:val="2"/>
          <w:sz w:val="22"/>
          <w:szCs w:val="22"/>
          <w14:ligatures w14:val="standardContextual"/>
        </w:rPr>
        <w:t xml:space="preserve">The countries in the CIS region have continued to expand their commitments with </w:t>
      </w:r>
      <w:r w:rsidR="008B2187" w:rsidRPr="002B64E2">
        <w:rPr>
          <w:rFonts w:ascii="Aptos" w:eastAsia="Aptos" w:hAnsi="Aptos" w:cs="Arial"/>
          <w:kern w:val="2"/>
          <w:sz w:val="22"/>
          <w:szCs w:val="22"/>
          <w14:ligatures w14:val="standardContextual"/>
        </w:rPr>
        <w:t>an</w:t>
      </w:r>
      <w:r w:rsidR="00362AD7" w:rsidRPr="002B64E2">
        <w:rPr>
          <w:rFonts w:ascii="Aptos" w:eastAsia="Aptos" w:hAnsi="Aptos" w:cs="Arial"/>
          <w:kern w:val="2"/>
          <w:sz w:val="22"/>
          <w:szCs w:val="22"/>
          <w14:ligatures w14:val="standardContextual"/>
        </w:rPr>
        <w:t xml:space="preserve"> average score of 67</w:t>
      </w:r>
      <w:r w:rsidR="008B2187" w:rsidRPr="002B64E2">
        <w:rPr>
          <w:rFonts w:ascii="Aptos" w:eastAsia="Aptos" w:hAnsi="Aptos" w:cs="Arial"/>
          <w:kern w:val="2"/>
          <w:sz w:val="22"/>
          <w:szCs w:val="22"/>
          <w14:ligatures w14:val="standardContextual"/>
        </w:rPr>
        <w:t>,</w:t>
      </w:r>
      <w:r w:rsidR="00362AD7" w:rsidRPr="002B64E2">
        <w:rPr>
          <w:rFonts w:ascii="Aptos" w:eastAsia="Aptos" w:hAnsi="Aptos" w:cs="Arial"/>
          <w:kern w:val="2"/>
          <w:sz w:val="22"/>
          <w:szCs w:val="22"/>
          <w14:ligatures w14:val="standardContextual"/>
        </w:rPr>
        <w:t xml:space="preserve"> a gain of </w:t>
      </w:r>
      <w:r w:rsidR="008B2187" w:rsidRPr="002B64E2">
        <w:rPr>
          <w:rFonts w:ascii="Aptos" w:eastAsia="Aptos" w:hAnsi="Aptos" w:cs="Arial"/>
          <w:kern w:val="2"/>
          <w:sz w:val="22"/>
          <w:szCs w:val="22"/>
          <w14:ligatures w14:val="standardContextual"/>
        </w:rPr>
        <w:t>8</w:t>
      </w:r>
      <w:r w:rsidR="00362AD7" w:rsidRPr="002B64E2">
        <w:rPr>
          <w:rFonts w:ascii="Aptos" w:eastAsia="Aptos" w:hAnsi="Aptos" w:cs="Arial"/>
          <w:kern w:val="2"/>
          <w:sz w:val="22"/>
          <w:szCs w:val="22"/>
          <w14:ligatures w14:val="standardContextual"/>
        </w:rPr>
        <w:t xml:space="preserve"> points from the previous edition</w:t>
      </w:r>
    </w:p>
    <w:p w14:paraId="18574B6F" w14:textId="0290DA65"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Global Cybersecurity Index scores, 2017-2024</w:t>
      </w:r>
    </w:p>
    <w:p w14:paraId="52CA949C" w14:textId="10CBC935" w:rsidR="006C41B5" w:rsidRPr="002B64E2" w:rsidRDefault="00990372" w:rsidP="00261E09">
      <w:pPr>
        <w:rPr>
          <w:rFonts w:ascii="Aptos" w:eastAsiaTheme="minorHAnsi" w:hAnsi="Aptos" w:cstheme="minorBidi"/>
          <w:kern w:val="2"/>
          <w:sz w:val="16"/>
          <w:szCs w:val="28"/>
          <w14:ligatures w14:val="standardContextual"/>
        </w:rPr>
      </w:pPr>
      <w:r w:rsidRPr="002B64E2">
        <w:rPr>
          <w:noProof/>
        </w:rPr>
        <w:drawing>
          <wp:inline distT="0" distB="0" distL="0" distR="0" wp14:anchorId="2D2C0711" wp14:editId="66940D09">
            <wp:extent cx="6120765" cy="2152015"/>
            <wp:effectExtent l="0" t="0" r="0" b="635"/>
            <wp:docPr id="149700047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000474" name=""/>
                    <pic:cNvPicPr/>
                  </pic:nvPicPr>
                  <pic:blipFill>
                    <a:blip r:embed="rId118">
                      <a:extLst>
                        <a:ext uri="{96DAC541-7B7A-43D3-8B79-37D633B846F1}">
                          <asvg:svgBlip xmlns:asvg="http://schemas.microsoft.com/office/drawing/2016/SVG/main" r:embed="rId119"/>
                        </a:ext>
                      </a:extLst>
                    </a:blip>
                    <a:stretch>
                      <a:fillRect/>
                    </a:stretch>
                  </pic:blipFill>
                  <pic:spPr>
                    <a:xfrm>
                      <a:off x="0" y="0"/>
                      <a:ext cx="6120765" cy="2152015"/>
                    </a:xfrm>
                    <a:prstGeom prst="rect">
                      <a:avLst/>
                    </a:prstGeom>
                  </pic:spPr>
                </pic:pic>
              </a:graphicData>
            </a:graphic>
          </wp:inline>
        </w:drawing>
      </w:r>
      <w:r w:rsidR="006C41B5" w:rsidRPr="002B64E2">
        <w:rPr>
          <w:rFonts w:ascii="Aptos" w:eastAsiaTheme="minorHAnsi" w:hAnsi="Aptos" w:cstheme="minorBidi"/>
          <w:kern w:val="2"/>
          <w:sz w:val="16"/>
          <w:szCs w:val="28"/>
          <w14:ligatures w14:val="standardContextual"/>
        </w:rPr>
        <w:t xml:space="preserve">Note: Questions and weightings have been updated between editions, in collaboration with the GCI Expert Group, to better measure cybersecurity commitments by countries. </w:t>
      </w:r>
    </w:p>
    <w:p w14:paraId="40B40C4C" w14:textId="77777777" w:rsidR="006C41B5" w:rsidRPr="002B64E2" w:rsidRDefault="006C41B5" w:rsidP="00B1004A">
      <w:pPr>
        <w:pStyle w:val="Sourcetext"/>
      </w:pPr>
      <w:r w:rsidRPr="002B64E2">
        <w:t>Source: ITU</w:t>
      </w:r>
    </w:p>
    <w:p w14:paraId="1AFBA440" w14:textId="2B94B19E" w:rsidR="005A5A09" w:rsidRPr="002B64E2" w:rsidRDefault="005A5A09" w:rsidP="005A5A0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The performance in the GCI of the CIS region countries various greatly, with </w:t>
      </w:r>
      <w:r w:rsidR="004D5F04" w:rsidRPr="002B64E2">
        <w:rPr>
          <w:rFonts w:ascii="Aptos" w:eastAsia="Aptos" w:hAnsi="Aptos" w:cs="Arial"/>
          <w:kern w:val="2"/>
          <w:sz w:val="22"/>
          <w:szCs w:val="22"/>
          <w14:ligatures w14:val="standardContextual"/>
        </w:rPr>
        <w:t xml:space="preserve">a </w:t>
      </w:r>
      <w:r w:rsidR="00892A70" w:rsidRPr="002B64E2">
        <w:rPr>
          <w:rFonts w:ascii="Aptos" w:eastAsia="Aptos" w:hAnsi="Aptos" w:cs="Arial"/>
          <w:kern w:val="2"/>
          <w:sz w:val="22"/>
          <w:szCs w:val="22"/>
          <w14:ligatures w14:val="standardContextual"/>
        </w:rPr>
        <w:t xml:space="preserve">nearly </w:t>
      </w:r>
      <w:r w:rsidR="004D5F04" w:rsidRPr="002B64E2">
        <w:rPr>
          <w:rFonts w:ascii="Aptos" w:eastAsia="Aptos" w:hAnsi="Aptos" w:cs="Arial"/>
          <w:kern w:val="2"/>
          <w:sz w:val="22"/>
          <w:szCs w:val="22"/>
          <w14:ligatures w14:val="standardContextual"/>
        </w:rPr>
        <w:t>70</w:t>
      </w:r>
      <w:r w:rsidRPr="002B64E2">
        <w:rPr>
          <w:rFonts w:ascii="Aptos" w:eastAsia="Aptos" w:hAnsi="Aptos" w:cs="Arial"/>
          <w:kern w:val="2"/>
          <w:sz w:val="22"/>
          <w:szCs w:val="22"/>
          <w14:ligatures w14:val="standardContextual"/>
        </w:rPr>
        <w:t>-point gap between the region’s best performer, Kazakhstan (94), and the region’s worst performer</w:t>
      </w:r>
      <w:r w:rsidR="004D5F04" w:rsidRPr="002B64E2">
        <w:rPr>
          <w:rFonts w:ascii="Aptos" w:eastAsia="Aptos" w:hAnsi="Aptos" w:cs="Arial"/>
          <w:kern w:val="2"/>
          <w:sz w:val="22"/>
          <w:szCs w:val="22"/>
          <w14:ligatures w14:val="standardContextual"/>
        </w:rPr>
        <w:t>s</w:t>
      </w:r>
      <w:r w:rsidRPr="002B64E2">
        <w:rPr>
          <w:rFonts w:ascii="Aptos" w:eastAsia="Aptos" w:hAnsi="Aptos" w:cs="Arial"/>
          <w:kern w:val="2"/>
          <w:sz w:val="22"/>
          <w:szCs w:val="22"/>
          <w14:ligatures w14:val="standardContextual"/>
        </w:rPr>
        <w:t>, Tajikistan and Turkmenistan, with a score of 25 and 2</w:t>
      </w:r>
      <w:r w:rsidR="00F536AD" w:rsidRPr="002B64E2">
        <w:rPr>
          <w:rFonts w:ascii="Aptos" w:eastAsia="Aptos" w:hAnsi="Aptos" w:cs="Arial"/>
          <w:kern w:val="2"/>
          <w:sz w:val="22"/>
          <w:szCs w:val="22"/>
          <w14:ligatures w14:val="standardContextual"/>
        </w:rPr>
        <w:t>6</w:t>
      </w:r>
      <w:r w:rsidRPr="002B64E2">
        <w:rPr>
          <w:rFonts w:ascii="Aptos" w:eastAsia="Aptos" w:hAnsi="Aptos" w:cs="Arial"/>
          <w:kern w:val="2"/>
          <w:sz w:val="22"/>
          <w:szCs w:val="22"/>
          <w14:ligatures w14:val="standardContextual"/>
        </w:rPr>
        <w:t xml:space="preserve">, respectively. </w:t>
      </w:r>
    </w:p>
    <w:p w14:paraId="42D8F475" w14:textId="28D0303A" w:rsidR="005A5A09" w:rsidRPr="002B64E2" w:rsidRDefault="005A5A09" w:rsidP="005A5A0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The Technical Pillar of the GCI assesses the effectiveness of national mechanisms and institutional structures in detecting, preventing, responding to, and mitigating cyber threats and incidents. Computer Incident Response Teams (CIRTs) are responsible for the protection against, detection of, and response to cybersecurity incidents, and can enhance a country’s ability to manage cybersecurity incidents. </w:t>
      </w:r>
      <w:r w:rsidR="004D5F04" w:rsidRPr="002B64E2">
        <w:rPr>
          <w:rFonts w:ascii="Aptos" w:eastAsia="Aptos" w:hAnsi="Aptos" w:cs="Arial"/>
          <w:kern w:val="2"/>
          <w:sz w:val="22"/>
          <w:szCs w:val="22"/>
          <w14:ligatures w14:val="standardContextual"/>
        </w:rPr>
        <w:t xml:space="preserve">Seven CIS </w:t>
      </w:r>
      <w:r w:rsidRPr="002B64E2">
        <w:rPr>
          <w:rFonts w:ascii="Aptos" w:eastAsia="Aptos" w:hAnsi="Aptos" w:cs="Arial"/>
          <w:kern w:val="2"/>
          <w:sz w:val="22"/>
          <w:szCs w:val="22"/>
          <w14:ligatures w14:val="standardContextual"/>
        </w:rPr>
        <w:t>countries have established their national CIRTs, and many are participating in regional cyber exercises. Still, there is need for further development of these CIRTS, particularly among lower- and upper-middle income countries, and expanding efforts around the protection of critical information infrastructure.</w:t>
      </w:r>
    </w:p>
    <w:p w14:paraId="3B67349D" w14:textId="77777777"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lastRenderedPageBreak/>
        <w:t>Global Cybersecurity Index scores, by pillar and overall, 2024</w:t>
      </w:r>
    </w:p>
    <w:p w14:paraId="7C28988A" w14:textId="0DE53EB4" w:rsidR="006C41B5" w:rsidRPr="002B64E2" w:rsidRDefault="00261E09" w:rsidP="00B1004A">
      <w:pPr>
        <w:pStyle w:val="notetext"/>
      </w:pPr>
      <w:r w:rsidRPr="002B64E2">
        <w:rPr>
          <w:noProof/>
        </w:rPr>
        <w:drawing>
          <wp:inline distT="0" distB="0" distL="0" distR="0" wp14:anchorId="2EA3479F" wp14:editId="20B87372">
            <wp:extent cx="6120765" cy="2809875"/>
            <wp:effectExtent l="0" t="0" r="0" b="9525"/>
            <wp:docPr id="8787546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754601" name=""/>
                    <pic:cNvPicPr/>
                  </pic:nvPicPr>
                  <pic:blipFill>
                    <a:blip r:embed="rId120">
                      <a:extLst>
                        <a:ext uri="{96DAC541-7B7A-43D3-8B79-37D633B846F1}">
                          <asvg:svgBlip xmlns:asvg="http://schemas.microsoft.com/office/drawing/2016/SVG/main" r:embed="rId121"/>
                        </a:ext>
                      </a:extLst>
                    </a:blip>
                    <a:stretch>
                      <a:fillRect/>
                    </a:stretch>
                  </pic:blipFill>
                  <pic:spPr>
                    <a:xfrm>
                      <a:off x="0" y="0"/>
                      <a:ext cx="6120765" cy="2809875"/>
                    </a:xfrm>
                    <a:prstGeom prst="rect">
                      <a:avLst/>
                    </a:prstGeom>
                  </pic:spPr>
                </pic:pic>
              </a:graphicData>
            </a:graphic>
          </wp:inline>
        </w:drawing>
      </w:r>
      <w:r w:rsidR="006C41B5" w:rsidRPr="002B64E2">
        <w:t>Note: The overall CGI score shown is the sum of the score of the five pillars</w:t>
      </w:r>
    </w:p>
    <w:p w14:paraId="3C70DF12" w14:textId="77777777" w:rsidR="006C41B5" w:rsidRPr="002B64E2" w:rsidRDefault="006C41B5" w:rsidP="00B1004A">
      <w:pPr>
        <w:pStyle w:val="Sourcetext"/>
      </w:pPr>
      <w:r w:rsidRPr="002B64E2">
        <w:t>Source: ITU</w:t>
      </w:r>
    </w:p>
    <w:p w14:paraId="65648792" w14:textId="235E00D3" w:rsidR="00F104D3" w:rsidRPr="002B64E2" w:rsidRDefault="00F104D3" w:rsidP="00F104D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Child Online Protection (COP) encompasses strategies and initiatives designed to protect children from harm or exploitation online. This includes ensuring children are using age-appropriate software and filtering tools and educating parents and children about staying safe online. Child Online Protection is tracked through questions under the Legal, Organizational, and Capacity Development pillars. A total of 164 countries reported having legal measures on Child Online Protection in the GCI 2024, compared to 130 countries in the previous edition. These measures were sometimes part of other rules, regulations, and substantive law, such as on online crime or sexual exploitation. </w:t>
      </w:r>
      <w:r w:rsidR="00D02B27" w:rsidRPr="002B64E2">
        <w:rPr>
          <w:rFonts w:ascii="Aptos" w:eastAsia="Aptos" w:hAnsi="Aptos" w:cs="Arial"/>
          <w:kern w:val="2"/>
          <w:sz w:val="22"/>
          <w:szCs w:val="22"/>
          <w14:ligatures w14:val="standardContextual"/>
        </w:rPr>
        <w:t>Thiry-three</w:t>
      </w:r>
      <w:r w:rsidR="00F35A8C" w:rsidRPr="002B64E2">
        <w:rPr>
          <w:rFonts w:ascii="Aptos" w:eastAsia="Aptos" w:hAnsi="Aptos" w:cs="Arial"/>
          <w:kern w:val="2"/>
          <w:sz w:val="22"/>
          <w:szCs w:val="22"/>
          <w14:ligatures w14:val="standardContextual"/>
        </w:rPr>
        <w:t xml:space="preserve"> per cent</w:t>
      </w:r>
      <w:r w:rsidRPr="002B64E2">
        <w:rPr>
          <w:rFonts w:ascii="Aptos" w:eastAsia="Aptos" w:hAnsi="Aptos" w:cs="Arial"/>
          <w:kern w:val="2"/>
          <w:sz w:val="22"/>
          <w:szCs w:val="22"/>
          <w14:ligatures w14:val="standardContextual"/>
        </w:rPr>
        <w:t xml:space="preserve"> (3) of countries in the CIS region have some form of a Child Online Protection strategy with associated actions. Linking these efforts to educational efforts for educators, parents, and policy makers is key for long term impact. </w:t>
      </w:r>
    </w:p>
    <w:p w14:paraId="1835A1DD" w14:textId="40A4101B" w:rsidR="00500CF9" w:rsidRPr="002B64E2" w:rsidRDefault="00F104D3" w:rsidP="00807CE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Finally, to meet the demand for cybersecurity professionals, countries are increasingly developing cybersecurity skills within their populations. While 67</w:t>
      </w:r>
      <w:r w:rsidR="0063707F" w:rsidRPr="002B64E2">
        <w:rPr>
          <w:rFonts w:ascii="Aptos" w:eastAsia="Aptos" w:hAnsi="Aptos" w:cs="Arial"/>
          <w:kern w:val="2"/>
          <w:sz w:val="22"/>
          <w:szCs w:val="22"/>
          <w14:ligatures w14:val="standardContextual"/>
        </w:rPr>
        <w:t xml:space="preserve"> per cent</w:t>
      </w:r>
      <w:r w:rsidRPr="002B64E2">
        <w:rPr>
          <w:rFonts w:ascii="Aptos" w:eastAsia="Aptos" w:hAnsi="Aptos" w:cs="Arial"/>
          <w:kern w:val="2"/>
          <w:sz w:val="22"/>
          <w:szCs w:val="22"/>
          <w14:ligatures w14:val="standardContextual"/>
        </w:rPr>
        <w:t xml:space="preserve"> (6) countries in the CIS region have training courses for cybersecurity professionals, countries still need to work to ensure that there are multiple pathways towards building cybersecurity competency to meet ongoing cyber needs. </w:t>
      </w:r>
    </w:p>
    <w:p w14:paraId="25F0EDAF" w14:textId="77777777" w:rsidR="00500CF9" w:rsidRPr="002B64E2" w:rsidRDefault="00500CF9">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14:ligatures w14:val="standardContextual"/>
        </w:rPr>
      </w:pPr>
      <w:r w:rsidRPr="002B64E2">
        <w:rPr>
          <w:rFonts w:ascii="Aptos Display" w:eastAsia="Yu Gothic Light" w:hAnsi="Aptos Display"/>
          <w:color w:val="0F4761"/>
          <w:kern w:val="2"/>
          <w:sz w:val="32"/>
          <w:szCs w:val="32"/>
          <w14:ligatures w14:val="standardContextual"/>
        </w:rPr>
        <w:br w:type="page"/>
      </w:r>
    </w:p>
    <w:p w14:paraId="2D7E8F86" w14:textId="6A85B155" w:rsidR="006C41B5" w:rsidRPr="002B64E2" w:rsidRDefault="006C41B5" w:rsidP="000C3666">
      <w:pPr>
        <w:pStyle w:val="Section"/>
      </w:pPr>
      <w:bookmarkStart w:id="19" w:name="_Toc192868606"/>
      <w:r w:rsidRPr="002B64E2">
        <w:lastRenderedPageBreak/>
        <w:t>E-waste management</w:t>
      </w:r>
      <w:bookmarkEnd w:id="19"/>
    </w:p>
    <w:p w14:paraId="362023B0" w14:textId="274FE0CC" w:rsidR="000061CF" w:rsidRPr="002B64E2" w:rsidRDefault="002846FD" w:rsidP="000061C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noProof/>
          <w:kern w:val="2"/>
          <w:sz w:val="22"/>
          <w:szCs w:val="22"/>
          <w14:ligatures w14:val="standardContextual"/>
        </w:rPr>
      </w:pPr>
      <w:r w:rsidRPr="002B64E2">
        <w:rPr>
          <w:rFonts w:ascii="Aptos" w:eastAsia="Aptos" w:hAnsi="Aptos" w:cs="Arial"/>
          <w:b/>
          <w:bCs/>
          <w:i/>
          <w:iCs/>
          <w:noProof/>
          <w:kern w:val="2"/>
          <w:sz w:val="22"/>
          <w:szCs w:val="22"/>
          <w14:ligatures w14:val="standardContextual"/>
        </w:rPr>
        <w:t>E-waste recycling rates remain critically low</w:t>
      </w:r>
      <w:r w:rsidR="000061CF" w:rsidRPr="002B64E2">
        <w:rPr>
          <w:rFonts w:ascii="Aptos" w:eastAsia="Aptos" w:hAnsi="Aptos" w:cs="Arial"/>
          <w:b/>
          <w:bCs/>
          <w:i/>
          <w:iCs/>
          <w:noProof/>
          <w:kern w:val="2"/>
          <w:sz w:val="22"/>
          <w:szCs w:val="22"/>
          <w14:ligatures w14:val="standardContextual"/>
        </w:rPr>
        <w:t xml:space="preserve"> </w:t>
      </w:r>
    </w:p>
    <w:p w14:paraId="0CBBF4F0" w14:textId="77777777" w:rsidR="00F57571" w:rsidRPr="002B64E2" w:rsidRDefault="00F57571" w:rsidP="00F57571">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14:ligatures w14:val="standardContextual"/>
        </w:rPr>
      </w:pPr>
      <w:r w:rsidRPr="002B64E2">
        <w:rPr>
          <w:rFonts w:ascii="Aptos" w:eastAsia="Aptos" w:hAnsi="Aptos"/>
          <w:kern w:val="2"/>
          <w:sz w:val="22"/>
          <w14:ligatures w14:val="standardContextual"/>
        </w:rPr>
        <w:t>As countries strive to harness the benefits of technology to drive economic growth and achieve their national development priorities, the challenge of managing electronic waste has become increasingly urgent. Strengthened e-waste policy and regulatory e-waste management are pivotal for ensuring environmental sustainability, supporting circular economy practices, and advancing progress towards the sustainable development goals (SDGs).</w:t>
      </w:r>
    </w:p>
    <w:p w14:paraId="21B04CF1" w14:textId="7BC11F28" w:rsidR="00F57571" w:rsidRPr="002B64E2" w:rsidRDefault="00F57571" w:rsidP="00F57571">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t xml:space="preserve">E-waste generated, in millions of </w:t>
      </w:r>
      <w:r w:rsidR="00723598" w:rsidRPr="002B64E2">
        <w:rPr>
          <w:rFonts w:ascii="AvenirNext LT Pro Light" w:eastAsia="Yu Gothic Light" w:hAnsi="AvenirNext LT Pro Light" w:cs="Calibri"/>
          <w:color w:val="0070C0"/>
          <w:spacing w:val="-10"/>
          <w:kern w:val="28"/>
          <w:szCs w:val="24"/>
        </w:rPr>
        <w:t>kilograms</w:t>
      </w:r>
      <w:r w:rsidRPr="002B64E2">
        <w:rPr>
          <w:rFonts w:ascii="AvenirNext LT Pro Light" w:eastAsia="Yu Gothic Light" w:hAnsi="AvenirNext LT Pro Light" w:cs="Calibri"/>
          <w:color w:val="0070C0"/>
          <w:spacing w:val="-10"/>
          <w:kern w:val="28"/>
          <w:szCs w:val="24"/>
        </w:rPr>
        <w:t xml:space="preserve">, 2022 </w:t>
      </w:r>
    </w:p>
    <w:p w14:paraId="34B0179E" w14:textId="285E02A6" w:rsidR="006C41B5" w:rsidRPr="002B64E2" w:rsidRDefault="000C70B6" w:rsidP="00B1004A">
      <w:pPr>
        <w:pStyle w:val="Sourcetext"/>
        <w:rPr>
          <w:rFonts w:eastAsia="Aptos" w:cs="Arial"/>
        </w:rPr>
      </w:pPr>
      <w:r w:rsidRPr="002B64E2">
        <w:rPr>
          <w:noProof/>
        </w:rPr>
        <w:drawing>
          <wp:inline distT="0" distB="0" distL="0" distR="0" wp14:anchorId="41CC3B64" wp14:editId="530F3CB3">
            <wp:extent cx="6120765" cy="2721610"/>
            <wp:effectExtent l="0" t="0" r="0" b="2540"/>
            <wp:docPr id="8413157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15789" name=""/>
                    <pic:cNvPicPr/>
                  </pic:nvPicPr>
                  <pic:blipFill>
                    <a:blip r:embed="rId122">
                      <a:extLst>
                        <a:ext uri="{96DAC541-7B7A-43D3-8B79-37D633B846F1}">
                          <asvg:svgBlip xmlns:asvg="http://schemas.microsoft.com/office/drawing/2016/SVG/main" r:embed="rId123"/>
                        </a:ext>
                      </a:extLst>
                    </a:blip>
                    <a:stretch>
                      <a:fillRect/>
                    </a:stretch>
                  </pic:blipFill>
                  <pic:spPr>
                    <a:xfrm>
                      <a:off x="0" y="0"/>
                      <a:ext cx="6120765" cy="2721610"/>
                    </a:xfrm>
                    <a:prstGeom prst="rect">
                      <a:avLst/>
                    </a:prstGeom>
                  </pic:spPr>
                </pic:pic>
              </a:graphicData>
            </a:graphic>
          </wp:inline>
        </w:drawing>
      </w:r>
      <w:r w:rsidRPr="002B64E2">
        <w:rPr>
          <w:rFonts w:eastAsia="Aptos" w:cs="Arial"/>
        </w:rPr>
        <w:t xml:space="preserve"> </w:t>
      </w:r>
      <w:r w:rsidR="006C41B5" w:rsidRPr="002B64E2">
        <w:rPr>
          <w:rFonts w:eastAsia="Aptos" w:cs="Arial"/>
        </w:rPr>
        <w:t xml:space="preserve">Source: ITU and UNITAR, </w:t>
      </w:r>
      <w:hyperlink r:id="rId124" w:history="1">
        <w:r w:rsidR="006C41B5" w:rsidRPr="002B64E2">
          <w:rPr>
            <w:rFonts w:eastAsia="Aptos" w:cs="Arial"/>
            <w:color w:val="467886"/>
            <w:u w:val="single"/>
          </w:rPr>
          <w:t>Global E-waste Monitor, 2024</w:t>
        </w:r>
      </w:hyperlink>
    </w:p>
    <w:p w14:paraId="1A6926BE" w14:textId="61EDB8B6" w:rsidR="006A0A53" w:rsidRPr="002B64E2" w:rsidRDefault="006A0A53" w:rsidP="006A0A5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14:ligatures w14:val="standardContextual"/>
        </w:rPr>
      </w:pPr>
      <w:r w:rsidRPr="002B64E2">
        <w:rPr>
          <w:rFonts w:ascii="Aptos" w:eastAsia="Aptos" w:hAnsi="Aptos"/>
          <w:kern w:val="2"/>
          <w:sz w:val="22"/>
          <w:szCs w:val="22"/>
          <w14:ligatures w14:val="standardContextual"/>
        </w:rPr>
        <w:t xml:space="preserve">The </w:t>
      </w:r>
      <w:hyperlink r:id="rId125" w:history="1">
        <w:r w:rsidRPr="002B64E2">
          <w:rPr>
            <w:rStyle w:val="Hyperlink"/>
            <w:rFonts w:ascii="Aptos" w:eastAsia="Aptos" w:hAnsi="Aptos"/>
            <w:kern w:val="2"/>
            <w:sz w:val="22"/>
            <w:szCs w:val="22"/>
            <w14:ligatures w14:val="standardContextual"/>
          </w:rPr>
          <w:t>Global E-waste Monitor 2024</w:t>
        </w:r>
      </w:hyperlink>
      <w:r w:rsidRPr="002B64E2">
        <w:rPr>
          <w:rFonts w:ascii="Aptos" w:eastAsia="Aptos" w:hAnsi="Aptos"/>
          <w:kern w:val="2"/>
          <w:sz w:val="22"/>
          <w:szCs w:val="22"/>
          <w14:ligatures w14:val="standardContextual"/>
        </w:rPr>
        <w:t xml:space="preserve"> finds that in 2022, the CIS countries generated approximately</w:t>
      </w:r>
      <w:r w:rsidRPr="002B64E2">
        <w:rPr>
          <w:rFonts w:ascii="Aptos" w:eastAsia="Aptos" w:hAnsi="Aptos"/>
          <w:kern w:val="2"/>
          <w:sz w:val="22"/>
          <w14:ligatures w14:val="standardContextual"/>
        </w:rPr>
        <w:t xml:space="preserve"> 2.5 billion kg of e-waste, representing almost 4.1 per</w:t>
      </w:r>
      <w:r w:rsidR="00F1709C" w:rsidRPr="002B64E2">
        <w:rPr>
          <w:rFonts w:ascii="Aptos" w:eastAsia="Aptos" w:hAnsi="Aptos"/>
          <w:kern w:val="2"/>
          <w:sz w:val="22"/>
          <w14:ligatures w14:val="standardContextual"/>
        </w:rPr>
        <w:t xml:space="preserve"> </w:t>
      </w:r>
      <w:r w:rsidRPr="002B64E2">
        <w:rPr>
          <w:rFonts w:ascii="Aptos" w:eastAsia="Aptos" w:hAnsi="Aptos"/>
          <w:kern w:val="2"/>
          <w:sz w:val="22"/>
          <w14:ligatures w14:val="standardContextual"/>
        </w:rPr>
        <w:t>cent of global e-waste generation (62 billion kg). However, significant disparities exist across the region. The Russian Federation is the largest contributor, generating 1.9 billion kg, and accounting for more than 75 per cent of the region’s total e-waste. In contrast, smaller countries like Kyrgyzstan and Tajikistan generated 26 million kg of e-waste combined, representing less than 1.1 per</w:t>
      </w:r>
      <w:r w:rsidR="00F1709C" w:rsidRPr="002B64E2">
        <w:rPr>
          <w:rFonts w:ascii="Aptos" w:eastAsia="Aptos" w:hAnsi="Aptos"/>
          <w:kern w:val="2"/>
          <w:sz w:val="22"/>
          <w14:ligatures w14:val="standardContextual"/>
        </w:rPr>
        <w:t xml:space="preserve"> </w:t>
      </w:r>
      <w:r w:rsidRPr="002B64E2">
        <w:rPr>
          <w:rFonts w:ascii="Aptos" w:eastAsia="Aptos" w:hAnsi="Aptos"/>
          <w:kern w:val="2"/>
          <w:sz w:val="22"/>
          <w14:ligatures w14:val="standardContextual"/>
        </w:rPr>
        <w:t xml:space="preserve">cent of the total. This significant variation reflects differences in population size, economic development, and technological adoption across the region. </w:t>
      </w:r>
    </w:p>
    <w:p w14:paraId="6CF82071" w14:textId="77777777" w:rsidR="006C41B5" w:rsidRPr="00970C56"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lang w:val="it-IT"/>
        </w:rPr>
      </w:pPr>
      <w:r w:rsidRPr="00970C56">
        <w:rPr>
          <w:rFonts w:ascii="AvenirNext LT Pro Light" w:eastAsia="Yu Gothic Light" w:hAnsi="AvenirNext LT Pro Light" w:cs="Calibri"/>
          <w:color w:val="0070C0"/>
          <w:spacing w:val="-10"/>
          <w:kern w:val="28"/>
          <w:szCs w:val="24"/>
          <w:lang w:val="it-IT"/>
        </w:rPr>
        <w:lastRenderedPageBreak/>
        <w:t>E-waste per capita generated in kg, 2022</w:t>
      </w:r>
    </w:p>
    <w:p w14:paraId="085DAA6A" w14:textId="7E7D1674" w:rsidR="006C41B5" w:rsidRPr="002B64E2" w:rsidRDefault="00BB5537" w:rsidP="00B1004A">
      <w:pPr>
        <w:pStyle w:val="Sourcetext"/>
        <w:rPr>
          <w:rFonts w:eastAsia="Aptos" w:cs="Arial"/>
        </w:rPr>
      </w:pPr>
      <w:r w:rsidRPr="002B64E2">
        <w:rPr>
          <w:noProof/>
        </w:rPr>
        <w:drawing>
          <wp:inline distT="0" distB="0" distL="0" distR="0" wp14:anchorId="1FD351CF" wp14:editId="434A1E35">
            <wp:extent cx="6120765" cy="2956560"/>
            <wp:effectExtent l="0" t="0" r="0" b="0"/>
            <wp:docPr id="74152791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27917" name=""/>
                    <pic:cNvPicPr/>
                  </pic:nvPicPr>
                  <pic:blipFill>
                    <a:blip r:embed="rId126">
                      <a:extLst>
                        <a:ext uri="{96DAC541-7B7A-43D3-8B79-37D633B846F1}">
                          <asvg:svgBlip xmlns:asvg="http://schemas.microsoft.com/office/drawing/2016/SVG/main" r:embed="rId127"/>
                        </a:ext>
                      </a:extLst>
                    </a:blip>
                    <a:stretch>
                      <a:fillRect/>
                    </a:stretch>
                  </pic:blipFill>
                  <pic:spPr>
                    <a:xfrm>
                      <a:off x="0" y="0"/>
                      <a:ext cx="6120765" cy="2956560"/>
                    </a:xfrm>
                    <a:prstGeom prst="rect">
                      <a:avLst/>
                    </a:prstGeom>
                  </pic:spPr>
                </pic:pic>
              </a:graphicData>
            </a:graphic>
          </wp:inline>
        </w:drawing>
      </w:r>
      <w:r w:rsidR="006C41B5" w:rsidRPr="002B64E2">
        <w:rPr>
          <w:rFonts w:eastAsia="Aptos" w:cs="Arial"/>
        </w:rPr>
        <w:t xml:space="preserve">Source: ITU and UNITAR, </w:t>
      </w:r>
      <w:hyperlink r:id="rId128" w:history="1">
        <w:r w:rsidR="006C41B5" w:rsidRPr="002B64E2">
          <w:rPr>
            <w:rFonts w:eastAsia="Aptos" w:cs="Arial"/>
            <w:color w:val="467886"/>
            <w:u w:val="single"/>
          </w:rPr>
          <w:t>Global E-waste Monitor, 2024</w:t>
        </w:r>
      </w:hyperlink>
    </w:p>
    <w:p w14:paraId="6004E624" w14:textId="10DCC2DF" w:rsidR="00D12D78" w:rsidRPr="002B64E2" w:rsidRDefault="00D12D78" w:rsidP="00D12D7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szCs w:val="22"/>
          <w14:ligatures w14:val="standardContextual"/>
        </w:rPr>
      </w:pPr>
      <w:r w:rsidRPr="002B64E2">
        <w:rPr>
          <w:rFonts w:ascii="Aptos" w:eastAsia="Aptos" w:hAnsi="Aptos"/>
          <w:kern w:val="2"/>
          <w:sz w:val="22"/>
          <w:szCs w:val="22"/>
          <w14:ligatures w14:val="standardContextual"/>
        </w:rPr>
        <w:t xml:space="preserve">The analysis of e-waste trends in the CIS can be further deepened by examining per capita e-waste generation. While the CIS countries collectively </w:t>
      </w:r>
      <w:r w:rsidR="009C09A8" w:rsidRPr="002B64E2">
        <w:rPr>
          <w:rFonts w:ascii="Aptos" w:eastAsia="Aptos" w:hAnsi="Aptos"/>
          <w:kern w:val="2"/>
          <w:sz w:val="22"/>
          <w:szCs w:val="22"/>
          <w14:ligatures w14:val="standardContextual"/>
        </w:rPr>
        <w:t>are above</w:t>
      </w:r>
      <w:r w:rsidRPr="002B64E2">
        <w:rPr>
          <w:rFonts w:ascii="Aptos" w:eastAsia="Aptos" w:hAnsi="Aptos"/>
          <w:kern w:val="2"/>
          <w:sz w:val="22"/>
          <w:szCs w:val="22"/>
          <w14:ligatures w14:val="standardContextual"/>
        </w:rPr>
        <w:t xml:space="preserve"> the global per capita e-waste average of 7.8 kg, disparities between countries are stark. The regional average of </w:t>
      </w:r>
      <w:r w:rsidR="00E7382A" w:rsidRPr="002B64E2">
        <w:rPr>
          <w:rFonts w:ascii="Aptos" w:eastAsia="Aptos" w:hAnsi="Aptos"/>
          <w:kern w:val="2"/>
          <w:sz w:val="22"/>
          <w:szCs w:val="22"/>
          <w14:ligatures w14:val="standardContextual"/>
        </w:rPr>
        <w:t>10</w:t>
      </w:r>
      <w:r w:rsidRPr="002B64E2">
        <w:rPr>
          <w:rFonts w:ascii="Aptos" w:eastAsia="Aptos" w:hAnsi="Aptos"/>
          <w:kern w:val="2"/>
          <w:sz w:val="22"/>
          <w:szCs w:val="22"/>
          <w14:ligatures w14:val="standardContextual"/>
        </w:rPr>
        <w:t xml:space="preserve">.3 kg per capita reflects a diverse landscape where larger countries significantly drive up the overall figure. For instance, the Russian Federation stands out with the highest per capita generation at 13.2 kg, which is more than 1.5 times the global average. Mid-range contributors such as Turkmenistan (7.1 kg) and Armenia (7.8 kg) hover closer to the global average. Meanwhile, lower-income countries such as Kyrgyzstan and Tajikistan, with per capita e-waste generation of 2.2 kg and 1.2 kg, respectively, generate significantly less. </w:t>
      </w:r>
    </w:p>
    <w:p w14:paraId="36FDCF77" w14:textId="376C4DB5" w:rsidR="00D12D78" w:rsidRPr="002B64E2" w:rsidRDefault="001C3999" w:rsidP="00D12D7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szCs w:val="22"/>
          <w14:ligatures w14:val="standardContextual"/>
        </w:rPr>
      </w:pPr>
      <w:r>
        <w:rPr>
          <w:rFonts w:ascii="Aptos" w:eastAsia="Aptos" w:hAnsi="Aptos"/>
          <w:kern w:val="2"/>
          <w:sz w:val="22"/>
          <w:szCs w:val="22"/>
          <w14:ligatures w14:val="standardContextual"/>
        </w:rPr>
        <w:t>O</w:t>
      </w:r>
      <w:r w:rsidR="00D12D78" w:rsidRPr="002B64E2">
        <w:rPr>
          <w:rFonts w:ascii="Aptos" w:eastAsia="Aptos" w:hAnsi="Aptos"/>
          <w:kern w:val="2"/>
          <w:sz w:val="22"/>
          <w:szCs w:val="22"/>
          <w14:ligatures w14:val="standardContextual"/>
        </w:rPr>
        <w:t>nly 6.5 per</w:t>
      </w:r>
      <w:r w:rsidR="00F1709C" w:rsidRPr="6751E70B">
        <w:rPr>
          <w:rFonts w:ascii="Aptos" w:eastAsia="Aptos" w:hAnsi="Aptos"/>
          <w:sz w:val="22"/>
          <w:szCs w:val="22"/>
        </w:rPr>
        <w:t xml:space="preserve"> </w:t>
      </w:r>
      <w:r w:rsidR="00D12D78" w:rsidRPr="002B64E2">
        <w:rPr>
          <w:rFonts w:ascii="Aptos" w:eastAsia="Aptos" w:hAnsi="Aptos"/>
          <w:kern w:val="2"/>
          <w:sz w:val="22"/>
          <w:szCs w:val="22"/>
          <w14:ligatures w14:val="standardContextual"/>
        </w:rPr>
        <w:t>cent of (164.3 million kg) of the e-waste generated was documented as properly collected and recycled – well below the global average of 22.3 per</w:t>
      </w:r>
      <w:r w:rsidR="00F1709C" w:rsidRPr="6751E70B">
        <w:rPr>
          <w:rFonts w:ascii="Aptos" w:eastAsia="Aptos" w:hAnsi="Aptos"/>
          <w:sz w:val="22"/>
          <w:szCs w:val="22"/>
        </w:rPr>
        <w:t xml:space="preserve"> </w:t>
      </w:r>
      <w:r w:rsidR="00D12D78" w:rsidRPr="002B64E2">
        <w:rPr>
          <w:rFonts w:ascii="Aptos" w:eastAsia="Aptos" w:hAnsi="Aptos"/>
          <w:kern w:val="2"/>
          <w:sz w:val="22"/>
          <w:szCs w:val="22"/>
          <w14:ligatures w14:val="standardContextual"/>
        </w:rPr>
        <w:t xml:space="preserve">cent.  </w:t>
      </w:r>
      <w:r w:rsidR="2E03E81B" w:rsidRPr="6751E70B">
        <w:rPr>
          <w:rFonts w:ascii="Aptos" w:eastAsia="Aptos" w:hAnsi="Aptos"/>
          <w:sz w:val="22"/>
          <w:szCs w:val="22"/>
        </w:rPr>
        <w:t xml:space="preserve">Armenia, </w:t>
      </w:r>
      <w:r w:rsidR="00D12D78" w:rsidRPr="002B64E2">
        <w:rPr>
          <w:rFonts w:ascii="Aptos" w:eastAsia="Aptos" w:hAnsi="Aptos"/>
          <w:kern w:val="2"/>
          <w:sz w:val="22"/>
          <w:szCs w:val="22"/>
          <w14:ligatures w14:val="standardContextual"/>
        </w:rPr>
        <w:t>Azerbaijan, Belarus, Kazakhstan</w:t>
      </w:r>
      <w:r w:rsidR="65ADF2C4" w:rsidRPr="002B64E2">
        <w:rPr>
          <w:rFonts w:ascii="Aptos" w:eastAsia="Aptos" w:hAnsi="Aptos"/>
          <w:kern w:val="2"/>
          <w:sz w:val="22"/>
          <w:szCs w:val="22"/>
          <w14:ligatures w14:val="standardContextual"/>
        </w:rPr>
        <w:t xml:space="preserve">, Tajikistan and </w:t>
      </w:r>
      <w:r w:rsidR="3E06351B" w:rsidRPr="002B64E2">
        <w:rPr>
          <w:rFonts w:ascii="Aptos" w:eastAsia="Aptos" w:hAnsi="Aptos"/>
          <w:kern w:val="2"/>
          <w:sz w:val="22"/>
          <w:szCs w:val="22"/>
          <w14:ligatures w14:val="standardContextual"/>
        </w:rPr>
        <w:t>the Russian Federation</w:t>
      </w:r>
      <w:r w:rsidR="00FA2100" w:rsidRPr="6751E70B">
        <w:rPr>
          <w:rFonts w:ascii="Aptos" w:eastAsia="Aptos" w:hAnsi="Aptos"/>
          <w:sz w:val="22"/>
          <w:szCs w:val="22"/>
        </w:rPr>
        <w:t xml:space="preserve"> </w:t>
      </w:r>
      <w:r w:rsidR="00D12D78" w:rsidRPr="002B64E2">
        <w:rPr>
          <w:rFonts w:ascii="Aptos" w:eastAsia="Aptos" w:hAnsi="Aptos"/>
          <w:kern w:val="2"/>
          <w:sz w:val="22"/>
          <w:szCs w:val="22"/>
          <w14:ligatures w14:val="standardContextual"/>
        </w:rPr>
        <w:t xml:space="preserve">report formal collection and recycling initiatives. </w:t>
      </w:r>
      <w:r w:rsidR="00214CFA">
        <w:rPr>
          <w:rFonts w:ascii="Aptos" w:eastAsia="Aptos" w:hAnsi="Aptos"/>
          <w:kern w:val="2"/>
          <w:sz w:val="22"/>
          <w:szCs w:val="22"/>
          <w14:ligatures w14:val="standardContextual"/>
        </w:rPr>
        <w:t xml:space="preserve">The </w:t>
      </w:r>
      <w:r w:rsidR="00214CFA">
        <w:rPr>
          <w:rFonts w:ascii="Aptos" w:eastAsia="Aptos" w:hAnsi="Aptos"/>
          <w:sz w:val="22"/>
          <w:szCs w:val="22"/>
        </w:rPr>
        <w:t>o</w:t>
      </w:r>
      <w:r w:rsidR="4E050952" w:rsidRPr="6751E70B">
        <w:rPr>
          <w:rFonts w:ascii="Aptos" w:eastAsia="Aptos" w:hAnsi="Aptos"/>
          <w:sz w:val="22"/>
          <w:szCs w:val="22"/>
        </w:rPr>
        <w:t>ther</w:t>
      </w:r>
      <w:r w:rsidR="006E3065" w:rsidRPr="6751E70B">
        <w:rPr>
          <w:rFonts w:ascii="Aptos" w:eastAsia="Aptos" w:hAnsi="Aptos"/>
          <w:sz w:val="22"/>
          <w:szCs w:val="22"/>
        </w:rPr>
        <w:t xml:space="preserve"> </w:t>
      </w:r>
      <w:r w:rsidR="00D12D78" w:rsidRPr="002B64E2">
        <w:rPr>
          <w:rFonts w:ascii="Aptos" w:eastAsia="Aptos" w:hAnsi="Aptos"/>
          <w:kern w:val="2"/>
          <w:sz w:val="22"/>
          <w:szCs w:val="22"/>
          <w14:ligatures w14:val="standardContextual"/>
        </w:rPr>
        <w:t xml:space="preserve">countries </w:t>
      </w:r>
      <w:r w:rsidR="6B79B40E" w:rsidRPr="002B64E2">
        <w:rPr>
          <w:rFonts w:ascii="Aptos" w:eastAsia="Aptos" w:hAnsi="Aptos"/>
          <w:kern w:val="2"/>
          <w:sz w:val="22"/>
          <w:szCs w:val="22"/>
          <w14:ligatures w14:val="standardContextual"/>
        </w:rPr>
        <w:t xml:space="preserve">reportedly </w:t>
      </w:r>
      <w:r w:rsidR="00D12D78" w:rsidRPr="002B64E2">
        <w:rPr>
          <w:rFonts w:ascii="Aptos" w:eastAsia="Aptos" w:hAnsi="Aptos"/>
          <w:kern w:val="2"/>
          <w:sz w:val="22"/>
          <w:szCs w:val="22"/>
          <w14:ligatures w14:val="standardContextual"/>
        </w:rPr>
        <w:t xml:space="preserve">lack significant formal recycling activity. </w:t>
      </w:r>
    </w:p>
    <w:p w14:paraId="26A873C9" w14:textId="77777777" w:rsidR="00795D13" w:rsidRPr="002B64E2" w:rsidRDefault="00795D13">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br w:type="page"/>
      </w:r>
    </w:p>
    <w:p w14:paraId="382CF483" w14:textId="6FFBB700"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lastRenderedPageBreak/>
        <w:t>E-waste policies and regulations in place, 2022</w:t>
      </w:r>
    </w:p>
    <w:tbl>
      <w:tblPr>
        <w:tblW w:w="5000" w:type="pct"/>
        <w:tblLook w:val="04A0" w:firstRow="1" w:lastRow="0" w:firstColumn="1" w:lastColumn="0" w:noHBand="0" w:noVBand="1"/>
      </w:tblPr>
      <w:tblGrid>
        <w:gridCol w:w="2263"/>
        <w:gridCol w:w="2020"/>
        <w:gridCol w:w="2141"/>
        <w:gridCol w:w="1639"/>
        <w:gridCol w:w="1566"/>
      </w:tblGrid>
      <w:tr w:rsidR="006C41B5" w:rsidRPr="002B64E2" w14:paraId="43D5D3B1" w14:textId="77777777" w:rsidTr="0063119E">
        <w:trPr>
          <w:trHeight w:val="20"/>
        </w:trPr>
        <w:tc>
          <w:tcPr>
            <w:tcW w:w="1175" w:type="pct"/>
            <w:tcBorders>
              <w:top w:val="single" w:sz="4" w:space="0" w:color="auto"/>
              <w:left w:val="single" w:sz="4" w:space="0" w:color="auto"/>
              <w:bottom w:val="single" w:sz="4" w:space="0" w:color="auto"/>
              <w:right w:val="single" w:sz="4" w:space="0" w:color="auto"/>
            </w:tcBorders>
            <w:shd w:val="clear" w:color="000000" w:fill="CAEDFB"/>
            <w:vAlign w:val="center"/>
          </w:tcPr>
          <w:p w14:paraId="2FAD09ED" w14:textId="77777777" w:rsidR="006C41B5" w:rsidRPr="002B64E2"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b/>
                <w:color w:val="404040"/>
                <w:sz w:val="18"/>
                <w:szCs w:val="18"/>
                <w:lang w:eastAsia="en-GB"/>
              </w:rPr>
            </w:pPr>
          </w:p>
        </w:tc>
        <w:tc>
          <w:tcPr>
            <w:tcW w:w="1049" w:type="pct"/>
            <w:tcBorders>
              <w:top w:val="single" w:sz="4" w:space="0" w:color="auto"/>
              <w:left w:val="nil"/>
              <w:bottom w:val="single" w:sz="4" w:space="0" w:color="auto"/>
              <w:right w:val="single" w:sz="4" w:space="0" w:color="auto"/>
            </w:tcBorders>
            <w:shd w:val="clear" w:color="000000" w:fill="CAEDFB"/>
            <w:vAlign w:val="center"/>
            <w:hideMark/>
          </w:tcPr>
          <w:p w14:paraId="1C6295C0" w14:textId="77777777" w:rsidR="006C41B5" w:rsidRPr="002B64E2"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18"/>
                <w:szCs w:val="18"/>
                <w:lang w:eastAsia="en-GB"/>
              </w:rPr>
            </w:pPr>
            <w:r w:rsidRPr="002B64E2">
              <w:rPr>
                <w:rFonts w:ascii="Aptos" w:hAnsi="Aptos"/>
                <w:b/>
                <w:color w:val="404040"/>
                <w:sz w:val="18"/>
                <w:szCs w:val="18"/>
                <w:lang w:eastAsia="en-GB"/>
              </w:rPr>
              <w:t xml:space="preserve">National e-waste legislation/policy or regulation </w:t>
            </w:r>
          </w:p>
        </w:tc>
        <w:tc>
          <w:tcPr>
            <w:tcW w:w="1112" w:type="pct"/>
            <w:tcBorders>
              <w:top w:val="single" w:sz="4" w:space="0" w:color="auto"/>
              <w:left w:val="nil"/>
              <w:bottom w:val="single" w:sz="4" w:space="0" w:color="auto"/>
              <w:right w:val="single" w:sz="4" w:space="0" w:color="auto"/>
            </w:tcBorders>
            <w:shd w:val="clear" w:color="000000" w:fill="CAEDFB"/>
            <w:vAlign w:val="center"/>
            <w:hideMark/>
          </w:tcPr>
          <w:p w14:paraId="0D17B9A0" w14:textId="0A3E8F12" w:rsidR="006C41B5" w:rsidRPr="002B64E2"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18"/>
                <w:szCs w:val="18"/>
                <w:lang w:eastAsia="en-GB"/>
              </w:rPr>
            </w:pPr>
            <w:r w:rsidRPr="002B64E2">
              <w:rPr>
                <w:rFonts w:ascii="Aptos" w:hAnsi="Aptos"/>
                <w:b/>
                <w:color w:val="404040"/>
                <w:sz w:val="18"/>
                <w:szCs w:val="18"/>
                <w:lang w:eastAsia="en-GB"/>
              </w:rPr>
              <w:t xml:space="preserve">Extended </w:t>
            </w:r>
            <w:r w:rsidR="0090627A" w:rsidRPr="002B64E2">
              <w:rPr>
                <w:rFonts w:ascii="Aptos" w:hAnsi="Aptos"/>
                <w:b/>
                <w:color w:val="404040"/>
                <w:sz w:val="18"/>
                <w:szCs w:val="18"/>
                <w:lang w:eastAsia="en-GB"/>
              </w:rPr>
              <w:t>p</w:t>
            </w:r>
            <w:r w:rsidRPr="002B64E2">
              <w:rPr>
                <w:rFonts w:ascii="Aptos" w:hAnsi="Aptos"/>
                <w:b/>
                <w:color w:val="404040"/>
                <w:sz w:val="18"/>
                <w:szCs w:val="18"/>
                <w:lang w:eastAsia="en-GB"/>
              </w:rPr>
              <w:t xml:space="preserve">roducer </w:t>
            </w:r>
            <w:r w:rsidR="008C00E1" w:rsidRPr="002B64E2">
              <w:rPr>
                <w:rFonts w:ascii="Aptos" w:hAnsi="Aptos"/>
                <w:b/>
                <w:color w:val="404040"/>
                <w:sz w:val="18"/>
                <w:szCs w:val="18"/>
                <w:lang w:eastAsia="en-GB"/>
              </w:rPr>
              <w:t>r</w:t>
            </w:r>
            <w:r w:rsidRPr="002B64E2">
              <w:rPr>
                <w:rFonts w:ascii="Aptos" w:hAnsi="Aptos"/>
                <w:b/>
                <w:color w:val="404040"/>
                <w:sz w:val="18"/>
                <w:szCs w:val="18"/>
                <w:lang w:eastAsia="en-GB"/>
              </w:rPr>
              <w:t>esponsibility (EPR) framework for e-waste</w:t>
            </w:r>
          </w:p>
        </w:tc>
        <w:tc>
          <w:tcPr>
            <w:tcW w:w="851" w:type="pct"/>
            <w:tcBorders>
              <w:top w:val="single" w:sz="4" w:space="0" w:color="auto"/>
              <w:left w:val="nil"/>
              <w:bottom w:val="single" w:sz="4" w:space="0" w:color="auto"/>
              <w:right w:val="single" w:sz="4" w:space="0" w:color="auto"/>
            </w:tcBorders>
            <w:shd w:val="clear" w:color="000000" w:fill="CAEDFB"/>
            <w:vAlign w:val="center"/>
            <w:hideMark/>
          </w:tcPr>
          <w:p w14:paraId="6238DE8E" w14:textId="77777777" w:rsidR="006C41B5" w:rsidRPr="002B64E2"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18"/>
                <w:szCs w:val="18"/>
                <w:lang w:eastAsia="en-GB"/>
              </w:rPr>
            </w:pPr>
            <w:r w:rsidRPr="002B64E2">
              <w:rPr>
                <w:rFonts w:ascii="Aptos" w:hAnsi="Aptos"/>
                <w:b/>
                <w:color w:val="404040"/>
                <w:sz w:val="18"/>
                <w:szCs w:val="18"/>
                <w:lang w:eastAsia="en-GB"/>
              </w:rPr>
              <w:t>Collection targets</w:t>
            </w:r>
          </w:p>
        </w:tc>
        <w:tc>
          <w:tcPr>
            <w:tcW w:w="813" w:type="pct"/>
            <w:tcBorders>
              <w:top w:val="single" w:sz="4" w:space="0" w:color="auto"/>
              <w:left w:val="nil"/>
              <w:bottom w:val="single" w:sz="4" w:space="0" w:color="auto"/>
              <w:right w:val="single" w:sz="4" w:space="0" w:color="auto"/>
            </w:tcBorders>
            <w:shd w:val="clear" w:color="000000" w:fill="CAEDFB"/>
            <w:vAlign w:val="center"/>
            <w:hideMark/>
          </w:tcPr>
          <w:p w14:paraId="3ABEC69A" w14:textId="77777777" w:rsidR="006C41B5" w:rsidRPr="002B64E2"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18"/>
                <w:szCs w:val="18"/>
                <w:lang w:eastAsia="en-GB"/>
              </w:rPr>
            </w:pPr>
            <w:r w:rsidRPr="002B64E2">
              <w:rPr>
                <w:rFonts w:ascii="Aptos" w:hAnsi="Aptos"/>
                <w:b/>
                <w:color w:val="404040"/>
                <w:sz w:val="18"/>
                <w:szCs w:val="18"/>
                <w:lang w:eastAsia="en-GB"/>
              </w:rPr>
              <w:t>Recycling targets</w:t>
            </w:r>
          </w:p>
        </w:tc>
      </w:tr>
      <w:tr w:rsidR="005D7E89" w:rsidRPr="002B64E2" w14:paraId="501CEA4D"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73BE7D28" w14:textId="76B69974" w:rsidR="005D7E89" w:rsidRPr="002B64E2" w:rsidRDefault="005D7E89" w:rsidP="005D7E89">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2B64E2">
              <w:rPr>
                <w:rFonts w:ascii="Aptos" w:hAnsi="Aptos"/>
                <w:sz w:val="18"/>
                <w:szCs w:val="18"/>
              </w:rPr>
              <w:t>Armenia</w:t>
            </w:r>
          </w:p>
        </w:tc>
        <w:tc>
          <w:tcPr>
            <w:tcW w:w="1049" w:type="pct"/>
            <w:tcBorders>
              <w:top w:val="nil"/>
              <w:left w:val="nil"/>
              <w:bottom w:val="single" w:sz="4" w:space="0" w:color="auto"/>
              <w:right w:val="single" w:sz="4" w:space="0" w:color="auto"/>
            </w:tcBorders>
            <w:shd w:val="clear" w:color="auto" w:fill="auto"/>
            <w:noWrap/>
          </w:tcPr>
          <w:p w14:paraId="6DD46542" w14:textId="1DA7B806"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083D8D64" w14:textId="5A22AB5F"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3C65E4E8" w14:textId="6C700692"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2C0B7F3C" w14:textId="74BEA3F6"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r>
      <w:tr w:rsidR="005D7E89" w:rsidRPr="002B64E2" w14:paraId="0A219B73"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00556D15" w14:textId="21988D03" w:rsidR="005D7E89" w:rsidRPr="002B64E2" w:rsidRDefault="005D7E89" w:rsidP="005D7E89">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2B64E2">
              <w:rPr>
                <w:rFonts w:ascii="Aptos" w:hAnsi="Aptos"/>
                <w:sz w:val="18"/>
                <w:szCs w:val="18"/>
              </w:rPr>
              <w:t>Azerbaijan</w:t>
            </w:r>
          </w:p>
        </w:tc>
        <w:tc>
          <w:tcPr>
            <w:tcW w:w="1049" w:type="pct"/>
            <w:tcBorders>
              <w:top w:val="nil"/>
              <w:left w:val="nil"/>
              <w:bottom w:val="single" w:sz="4" w:space="0" w:color="auto"/>
              <w:right w:val="single" w:sz="4" w:space="0" w:color="auto"/>
            </w:tcBorders>
            <w:shd w:val="clear" w:color="auto" w:fill="auto"/>
            <w:noWrap/>
          </w:tcPr>
          <w:p w14:paraId="684681B0" w14:textId="64614168"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73EA2C94" w14:textId="4D487386"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79BD2AB7" w14:textId="505D01B1"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691C9F8C" w14:textId="514EEC2A"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r>
      <w:tr w:rsidR="005D7E89" w:rsidRPr="002B64E2" w14:paraId="7268D072"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4655393C" w14:textId="1A7AC0AA" w:rsidR="005D7E89" w:rsidRPr="002B64E2" w:rsidRDefault="005D7E89" w:rsidP="005D7E89">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2B64E2">
              <w:rPr>
                <w:rFonts w:ascii="Aptos" w:hAnsi="Aptos"/>
                <w:sz w:val="18"/>
                <w:szCs w:val="18"/>
              </w:rPr>
              <w:t>Belarus</w:t>
            </w:r>
          </w:p>
        </w:tc>
        <w:tc>
          <w:tcPr>
            <w:tcW w:w="1049" w:type="pct"/>
            <w:tcBorders>
              <w:top w:val="nil"/>
              <w:left w:val="nil"/>
              <w:bottom w:val="single" w:sz="4" w:space="0" w:color="auto"/>
              <w:right w:val="single" w:sz="4" w:space="0" w:color="auto"/>
            </w:tcBorders>
            <w:shd w:val="clear" w:color="auto" w:fill="auto"/>
            <w:noWrap/>
          </w:tcPr>
          <w:p w14:paraId="4E817DF3" w14:textId="7970F9D6"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Yes</w:t>
            </w:r>
          </w:p>
        </w:tc>
        <w:tc>
          <w:tcPr>
            <w:tcW w:w="1112" w:type="pct"/>
            <w:tcBorders>
              <w:top w:val="nil"/>
              <w:left w:val="nil"/>
              <w:bottom w:val="single" w:sz="4" w:space="0" w:color="auto"/>
              <w:right w:val="single" w:sz="4" w:space="0" w:color="auto"/>
            </w:tcBorders>
            <w:shd w:val="clear" w:color="auto" w:fill="auto"/>
            <w:noWrap/>
          </w:tcPr>
          <w:p w14:paraId="58C9B43C" w14:textId="306E6864"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Yes</w:t>
            </w:r>
          </w:p>
        </w:tc>
        <w:tc>
          <w:tcPr>
            <w:tcW w:w="851" w:type="pct"/>
            <w:tcBorders>
              <w:top w:val="nil"/>
              <w:left w:val="nil"/>
              <w:bottom w:val="single" w:sz="4" w:space="0" w:color="auto"/>
              <w:right w:val="single" w:sz="4" w:space="0" w:color="auto"/>
            </w:tcBorders>
            <w:shd w:val="clear" w:color="auto" w:fill="auto"/>
            <w:noWrap/>
          </w:tcPr>
          <w:p w14:paraId="4D143D49" w14:textId="35943E81"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1C7FEB0B" w14:textId="7F92892F"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r>
      <w:tr w:rsidR="005D7E89" w:rsidRPr="002B64E2" w14:paraId="17FE3C3B"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3A11A23F" w14:textId="4DF95A80" w:rsidR="005D7E89" w:rsidRPr="002B64E2" w:rsidRDefault="005D7E89" w:rsidP="005D7E89">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2B64E2">
              <w:rPr>
                <w:rFonts w:ascii="Aptos" w:hAnsi="Aptos"/>
                <w:sz w:val="18"/>
                <w:szCs w:val="18"/>
              </w:rPr>
              <w:t>Kazakhstan</w:t>
            </w:r>
          </w:p>
        </w:tc>
        <w:tc>
          <w:tcPr>
            <w:tcW w:w="1049" w:type="pct"/>
            <w:tcBorders>
              <w:top w:val="nil"/>
              <w:left w:val="nil"/>
              <w:bottom w:val="single" w:sz="4" w:space="0" w:color="auto"/>
              <w:right w:val="single" w:sz="4" w:space="0" w:color="auto"/>
            </w:tcBorders>
            <w:shd w:val="clear" w:color="auto" w:fill="auto"/>
            <w:noWrap/>
          </w:tcPr>
          <w:p w14:paraId="518A160A" w14:textId="79681A3B"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Yes</w:t>
            </w:r>
          </w:p>
        </w:tc>
        <w:tc>
          <w:tcPr>
            <w:tcW w:w="1112" w:type="pct"/>
            <w:tcBorders>
              <w:top w:val="nil"/>
              <w:left w:val="nil"/>
              <w:bottom w:val="single" w:sz="4" w:space="0" w:color="auto"/>
              <w:right w:val="single" w:sz="4" w:space="0" w:color="auto"/>
            </w:tcBorders>
            <w:shd w:val="clear" w:color="auto" w:fill="auto"/>
            <w:noWrap/>
          </w:tcPr>
          <w:p w14:paraId="397C5E97" w14:textId="403B0E96"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Yes</w:t>
            </w:r>
          </w:p>
        </w:tc>
        <w:tc>
          <w:tcPr>
            <w:tcW w:w="851" w:type="pct"/>
            <w:tcBorders>
              <w:top w:val="nil"/>
              <w:left w:val="nil"/>
              <w:bottom w:val="single" w:sz="4" w:space="0" w:color="auto"/>
              <w:right w:val="single" w:sz="4" w:space="0" w:color="auto"/>
            </w:tcBorders>
            <w:shd w:val="clear" w:color="auto" w:fill="auto"/>
            <w:noWrap/>
          </w:tcPr>
          <w:p w14:paraId="7345A257" w14:textId="2D57C4DB"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Yes</w:t>
            </w:r>
          </w:p>
        </w:tc>
        <w:tc>
          <w:tcPr>
            <w:tcW w:w="813" w:type="pct"/>
            <w:tcBorders>
              <w:top w:val="nil"/>
              <w:left w:val="nil"/>
              <w:bottom w:val="single" w:sz="4" w:space="0" w:color="auto"/>
              <w:right w:val="single" w:sz="4" w:space="0" w:color="auto"/>
            </w:tcBorders>
            <w:shd w:val="clear" w:color="auto" w:fill="auto"/>
            <w:noWrap/>
          </w:tcPr>
          <w:p w14:paraId="5171DB7D" w14:textId="62DA876D"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r>
      <w:tr w:rsidR="005D7E89" w:rsidRPr="002B64E2" w14:paraId="3048C3EC"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0F59538A" w14:textId="2F65536A" w:rsidR="005D7E89" w:rsidRPr="002B64E2" w:rsidRDefault="005D7E89" w:rsidP="005D7E89">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2B64E2">
              <w:rPr>
                <w:rFonts w:ascii="Aptos" w:hAnsi="Aptos"/>
                <w:sz w:val="18"/>
                <w:szCs w:val="18"/>
              </w:rPr>
              <w:t>Kyrgyzstan</w:t>
            </w:r>
          </w:p>
        </w:tc>
        <w:tc>
          <w:tcPr>
            <w:tcW w:w="1049" w:type="pct"/>
            <w:tcBorders>
              <w:top w:val="nil"/>
              <w:left w:val="nil"/>
              <w:bottom w:val="single" w:sz="4" w:space="0" w:color="auto"/>
              <w:right w:val="single" w:sz="4" w:space="0" w:color="auto"/>
            </w:tcBorders>
            <w:shd w:val="clear" w:color="auto" w:fill="auto"/>
            <w:noWrap/>
          </w:tcPr>
          <w:p w14:paraId="70E6A022" w14:textId="7632C962"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5A9A31BC" w14:textId="50B5F465"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6872DD06" w14:textId="5F210BA2"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19962651" w14:textId="46C20BF9"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r>
      <w:tr w:rsidR="005D7E89" w:rsidRPr="002B64E2" w14:paraId="37C4E2F4"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72910E0C" w14:textId="27733F99" w:rsidR="005D7E89" w:rsidRPr="002B64E2" w:rsidRDefault="005D7E89" w:rsidP="005D7E89">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2B64E2">
              <w:rPr>
                <w:rFonts w:ascii="Aptos" w:hAnsi="Aptos"/>
                <w:sz w:val="18"/>
                <w:szCs w:val="18"/>
              </w:rPr>
              <w:t>Russian Federation</w:t>
            </w:r>
          </w:p>
        </w:tc>
        <w:tc>
          <w:tcPr>
            <w:tcW w:w="1049" w:type="pct"/>
            <w:tcBorders>
              <w:top w:val="nil"/>
              <w:left w:val="nil"/>
              <w:bottom w:val="single" w:sz="4" w:space="0" w:color="auto"/>
              <w:right w:val="single" w:sz="4" w:space="0" w:color="auto"/>
            </w:tcBorders>
            <w:shd w:val="clear" w:color="auto" w:fill="auto"/>
            <w:noWrap/>
          </w:tcPr>
          <w:p w14:paraId="41D4CFFB" w14:textId="714F7993"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Yes</w:t>
            </w:r>
          </w:p>
        </w:tc>
        <w:tc>
          <w:tcPr>
            <w:tcW w:w="1112" w:type="pct"/>
            <w:tcBorders>
              <w:top w:val="nil"/>
              <w:left w:val="nil"/>
              <w:bottom w:val="single" w:sz="4" w:space="0" w:color="auto"/>
              <w:right w:val="single" w:sz="4" w:space="0" w:color="auto"/>
            </w:tcBorders>
            <w:shd w:val="clear" w:color="auto" w:fill="auto"/>
            <w:noWrap/>
          </w:tcPr>
          <w:p w14:paraId="1C3BA022" w14:textId="148B9918"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Yes</w:t>
            </w:r>
          </w:p>
        </w:tc>
        <w:tc>
          <w:tcPr>
            <w:tcW w:w="851" w:type="pct"/>
            <w:tcBorders>
              <w:top w:val="nil"/>
              <w:left w:val="nil"/>
              <w:bottom w:val="single" w:sz="4" w:space="0" w:color="auto"/>
              <w:right w:val="single" w:sz="4" w:space="0" w:color="auto"/>
            </w:tcBorders>
            <w:shd w:val="clear" w:color="auto" w:fill="auto"/>
            <w:noWrap/>
          </w:tcPr>
          <w:p w14:paraId="367B0AEC" w14:textId="34032AE6"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295EE005" w14:textId="003B649F"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r>
      <w:tr w:rsidR="005D7E89" w:rsidRPr="002B64E2" w14:paraId="0FA07ADB"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17437AE4" w14:textId="513C413E" w:rsidR="005D7E89" w:rsidRPr="002B64E2" w:rsidRDefault="005D7E89" w:rsidP="005D7E89">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2B64E2">
              <w:rPr>
                <w:rFonts w:ascii="Aptos" w:hAnsi="Aptos"/>
                <w:sz w:val="18"/>
                <w:szCs w:val="18"/>
              </w:rPr>
              <w:t>Tajikistan</w:t>
            </w:r>
          </w:p>
        </w:tc>
        <w:tc>
          <w:tcPr>
            <w:tcW w:w="1049" w:type="pct"/>
            <w:tcBorders>
              <w:top w:val="nil"/>
              <w:left w:val="nil"/>
              <w:bottom w:val="single" w:sz="4" w:space="0" w:color="auto"/>
              <w:right w:val="single" w:sz="4" w:space="0" w:color="auto"/>
            </w:tcBorders>
            <w:shd w:val="clear" w:color="auto" w:fill="auto"/>
            <w:noWrap/>
          </w:tcPr>
          <w:p w14:paraId="12CE44EA" w14:textId="0855F3C4"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0E366E72" w14:textId="060BEF40"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5937D00C" w14:textId="22AD279F"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4D3544E2" w14:textId="0F203D6F"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r>
      <w:tr w:rsidR="005D7E89" w:rsidRPr="002B64E2" w14:paraId="593F8DBB"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1A95D47D" w14:textId="7D70EDF9" w:rsidR="005D7E89" w:rsidRPr="002B64E2" w:rsidRDefault="005D7E89" w:rsidP="005D7E89">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2B64E2">
              <w:rPr>
                <w:rFonts w:ascii="Aptos" w:hAnsi="Aptos"/>
                <w:sz w:val="18"/>
                <w:szCs w:val="18"/>
              </w:rPr>
              <w:t>Turkmenistan</w:t>
            </w:r>
          </w:p>
        </w:tc>
        <w:tc>
          <w:tcPr>
            <w:tcW w:w="1049" w:type="pct"/>
            <w:tcBorders>
              <w:top w:val="nil"/>
              <w:left w:val="nil"/>
              <w:bottom w:val="single" w:sz="4" w:space="0" w:color="auto"/>
              <w:right w:val="single" w:sz="4" w:space="0" w:color="auto"/>
            </w:tcBorders>
            <w:shd w:val="clear" w:color="auto" w:fill="auto"/>
            <w:noWrap/>
          </w:tcPr>
          <w:p w14:paraId="01058A58" w14:textId="022BB4BB"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4C98F7A8" w14:textId="49CE4898"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2361CFE3" w14:textId="35B4C541"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7A70ECF6" w14:textId="6590392B"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r>
      <w:tr w:rsidR="005D7E89" w:rsidRPr="002B64E2" w14:paraId="02415202"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762D1C37" w14:textId="233E1229" w:rsidR="005D7E89" w:rsidRPr="002B64E2" w:rsidRDefault="005D7E89" w:rsidP="005D7E89">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2B64E2">
              <w:rPr>
                <w:rFonts w:ascii="Aptos" w:hAnsi="Aptos"/>
                <w:sz w:val="18"/>
                <w:szCs w:val="18"/>
              </w:rPr>
              <w:t>Uzbekistan</w:t>
            </w:r>
          </w:p>
        </w:tc>
        <w:tc>
          <w:tcPr>
            <w:tcW w:w="1049" w:type="pct"/>
            <w:tcBorders>
              <w:top w:val="nil"/>
              <w:left w:val="nil"/>
              <w:bottom w:val="single" w:sz="4" w:space="0" w:color="auto"/>
              <w:right w:val="single" w:sz="4" w:space="0" w:color="auto"/>
            </w:tcBorders>
            <w:shd w:val="clear" w:color="auto" w:fill="auto"/>
            <w:noWrap/>
          </w:tcPr>
          <w:p w14:paraId="3BA06FA7" w14:textId="0FBC67B6"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14E8354F" w14:textId="35AD94D6"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2B51D0CC" w14:textId="5CEF3848"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7CC3E551" w14:textId="545C5252" w:rsidR="005D7E89" w:rsidRPr="002B64E2" w:rsidRDefault="005D7E89" w:rsidP="005D7E89">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2B64E2">
              <w:rPr>
                <w:rFonts w:ascii="Aptos" w:hAnsi="Aptos"/>
                <w:sz w:val="18"/>
                <w:szCs w:val="18"/>
              </w:rPr>
              <w:t>No</w:t>
            </w:r>
          </w:p>
        </w:tc>
      </w:tr>
    </w:tbl>
    <w:p w14:paraId="60BA3804" w14:textId="77777777" w:rsidR="006C41B5" w:rsidRPr="002B64E2" w:rsidRDefault="006C41B5" w:rsidP="00B1004A">
      <w:pPr>
        <w:pStyle w:val="Sourcetext"/>
        <w:rPr>
          <w:rFonts w:eastAsia="Aptos" w:cs="Arial"/>
        </w:rPr>
      </w:pPr>
      <w:r w:rsidRPr="002B64E2">
        <w:rPr>
          <w:rFonts w:eastAsia="Aptos" w:cs="Arial"/>
        </w:rPr>
        <w:t xml:space="preserve">Source: ITU and UNITAR, </w:t>
      </w:r>
      <w:hyperlink r:id="rId129" w:history="1">
        <w:r w:rsidRPr="002B64E2">
          <w:rPr>
            <w:rFonts w:eastAsia="Aptos" w:cs="Arial"/>
          </w:rPr>
          <w:t>Global E-waste Monitor, 2024</w:t>
        </w:r>
      </w:hyperlink>
    </w:p>
    <w:p w14:paraId="72AE9B90" w14:textId="77777777" w:rsidR="0060314C" w:rsidRPr="002B64E2" w:rsidRDefault="0060314C" w:rsidP="0060314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szCs w:val="22"/>
          <w14:ligatures w14:val="standardContextual"/>
        </w:rPr>
      </w:pPr>
      <w:r w:rsidRPr="002B64E2">
        <w:rPr>
          <w:rFonts w:ascii="Aptos" w:eastAsia="Aptos" w:hAnsi="Aptos"/>
          <w:kern w:val="2"/>
          <w:sz w:val="22"/>
          <w:szCs w:val="22"/>
          <w14:ligatures w14:val="standardContextual"/>
        </w:rPr>
        <w:t xml:space="preserve">The lack of comprehensive policies for e-waste management remains a significant challenge in the CIS, where only 3 countries have implemented national e-waste legislation and extended producer responsibility (EPR) frameworks. Globally, 42 per cent of countries (81 out of 193) have enacted national e-waste policies, legislation, or regulations. In contrast, only Belarus, Kazakhstan, and the Russian Federation have a national e-waste policy, legislation or regulation in place, which accounts for 33.3 per cent of the region. </w:t>
      </w:r>
    </w:p>
    <w:p w14:paraId="2F92D4FB" w14:textId="77777777" w:rsidR="0060314C" w:rsidRPr="002B64E2" w:rsidRDefault="0060314C" w:rsidP="0060314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szCs w:val="22"/>
          <w14:ligatures w14:val="standardContextual"/>
        </w:rPr>
      </w:pPr>
      <w:r w:rsidRPr="002B64E2">
        <w:rPr>
          <w:rFonts w:ascii="Aptos" w:eastAsia="Aptos" w:hAnsi="Aptos"/>
          <w:kern w:val="2"/>
          <w:sz w:val="22"/>
          <w:szCs w:val="22"/>
          <w14:ligatures w14:val="standardContextual"/>
        </w:rPr>
        <w:t>Moreover, only 3 countries in the CIS (Belarus, Kazakhstan, and the Russian Federation) have introduced EPR frameworks for e-waste, which are essential for holding producers accountable for the entire lifecycle of their products. The absence of these frameworks across most of the CIS exacerbates the region’s e-waste challenges, contributing to the continued reliance on unregulated waste management practices that are harmful to both the environment and public health.</w:t>
      </w:r>
    </w:p>
    <w:p w14:paraId="2F0169CA" w14:textId="77777777" w:rsidR="0060314C" w:rsidRPr="002B64E2" w:rsidRDefault="0060314C" w:rsidP="0060314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szCs w:val="22"/>
          <w14:ligatures w14:val="standardContextual"/>
        </w:rPr>
      </w:pPr>
      <w:r w:rsidRPr="002B64E2">
        <w:rPr>
          <w:rFonts w:ascii="Aptos" w:eastAsia="Aptos" w:hAnsi="Aptos"/>
          <w:kern w:val="2"/>
          <w:sz w:val="22"/>
          <w:szCs w:val="22"/>
          <w14:ligatures w14:val="standardContextual"/>
        </w:rPr>
        <w:t>Globally, countries with a policy or legal instrument that includes collection targets have a collection rate of 25 per cent on average, higher than the global average of 22 per cent. In the CIS region, only Kazakhstan has set e-waste collection targets in its regulatory framework. Without sustainable e-waste policies, the region risks missing key opportunities to advance towards a circular economy and reduce its environmental footprint.</w:t>
      </w:r>
    </w:p>
    <w:p w14:paraId="37A261FC" w14:textId="77777777" w:rsidR="006C41B5" w:rsidRPr="002B64E2"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br w:type="page"/>
      </w:r>
    </w:p>
    <w:p w14:paraId="5E09C4E6" w14:textId="7D935ED2" w:rsidR="006C41B5" w:rsidRPr="002B64E2" w:rsidRDefault="006C41B5" w:rsidP="000C3666">
      <w:pPr>
        <w:pStyle w:val="Section"/>
      </w:pPr>
      <w:bookmarkStart w:id="20" w:name="_Toc192868607"/>
      <w:r w:rsidRPr="002B64E2">
        <w:lastRenderedPageBreak/>
        <w:t xml:space="preserve">Overview of data availability in </w:t>
      </w:r>
      <w:r w:rsidR="004C3CCC" w:rsidRPr="002B64E2">
        <w:t>t</w:t>
      </w:r>
      <w:r w:rsidR="00060A76" w:rsidRPr="002B64E2">
        <w:t xml:space="preserve">he </w:t>
      </w:r>
      <w:r w:rsidR="00220A01" w:rsidRPr="002B64E2">
        <w:t>CIS region</w:t>
      </w:r>
      <w:bookmarkEnd w:id="20"/>
    </w:p>
    <w:p w14:paraId="216E6E68" w14:textId="5CC5FF51" w:rsidR="000061CF" w:rsidRPr="002B64E2" w:rsidRDefault="0075203F" w:rsidP="000061C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noProof/>
          <w:kern w:val="2"/>
          <w:sz w:val="22"/>
          <w:szCs w:val="22"/>
          <w14:ligatures w14:val="standardContextual"/>
        </w:rPr>
      </w:pPr>
      <w:r w:rsidRPr="002B64E2">
        <w:rPr>
          <w:rFonts w:ascii="Aptos" w:eastAsia="Aptos" w:hAnsi="Aptos" w:cs="Arial"/>
          <w:b/>
          <w:bCs/>
          <w:i/>
          <w:iCs/>
          <w:noProof/>
          <w:kern w:val="2"/>
          <w:sz w:val="22"/>
          <w:szCs w:val="22"/>
          <w14:ligatures w14:val="standardContextual"/>
        </w:rPr>
        <w:t>Data availability generally good in the region</w:t>
      </w:r>
    </w:p>
    <w:p w14:paraId="37D38BB0" w14:textId="77777777" w:rsidR="006C41B5" w:rsidRPr="002B64E2"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Data plays a key role in achieving universal and meaningful connectivity. Reliable and timely data equips policymakers to identify needs, set priorities, design effective interventions, track progress, and measure impact. Investing in data yields substantial returns by enabling better decision-making and more efficient interventions.</w:t>
      </w:r>
    </w:p>
    <w:p w14:paraId="49A2BA80" w14:textId="77777777" w:rsidR="006C41B5" w:rsidRPr="002B64E2" w:rsidRDefault="006C41B5" w:rsidP="006C41B5">
      <w:pPr>
        <w:tabs>
          <w:tab w:val="clear" w:pos="794"/>
          <w:tab w:val="clear" w:pos="1191"/>
          <w:tab w:val="clear" w:pos="1588"/>
          <w:tab w:val="clear" w:pos="1985"/>
        </w:tabs>
        <w:overflowPunct/>
        <w:autoSpaceDE/>
        <w:autoSpaceDN/>
        <w:adjustRightInd/>
        <w:spacing w:before="0" w:after="120"/>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The importance of data for the delivery of the Kigali Action Plan was acknowledged by the BDT’s Telecommunication Development Advisory Group, which adopted five key performance indicators (KPIs) tracking the extent to which Member States submit timely ICT data to ITU, including KPIs related to the submission of ICT skills data and data on Internet use disaggregated by location and gender.</w:t>
      </w:r>
    </w:p>
    <w:p w14:paraId="264BB487" w14:textId="2284FCDD" w:rsidR="005C3080" w:rsidRPr="002B64E2" w:rsidRDefault="005C3080" w:rsidP="002F519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The availability and quality of ICT statistics in </w:t>
      </w:r>
      <w:r w:rsidR="004C3CCC" w:rsidRPr="002B64E2">
        <w:rPr>
          <w:rFonts w:ascii="Aptos" w:eastAsia="Aptos" w:hAnsi="Aptos" w:cs="Arial"/>
          <w:kern w:val="2"/>
          <w:sz w:val="22"/>
          <w:szCs w:val="22"/>
          <w14:ligatures w14:val="standardContextual"/>
        </w:rPr>
        <w:t>t</w:t>
      </w:r>
      <w:r w:rsidR="00060A76" w:rsidRPr="002B64E2">
        <w:rPr>
          <w:rFonts w:ascii="Aptos" w:eastAsia="Aptos" w:hAnsi="Aptos" w:cs="Arial"/>
          <w:kern w:val="2"/>
          <w:sz w:val="22"/>
          <w:szCs w:val="22"/>
          <w14:ligatures w14:val="standardContextual"/>
        </w:rPr>
        <w:t xml:space="preserve">he </w:t>
      </w:r>
      <w:r w:rsidR="00220A01" w:rsidRPr="002B64E2">
        <w:rPr>
          <w:rFonts w:ascii="Aptos" w:eastAsia="Aptos" w:hAnsi="Aptos" w:cs="Arial"/>
          <w:kern w:val="2"/>
          <w:sz w:val="22"/>
          <w:szCs w:val="22"/>
          <w14:ligatures w14:val="standardContextual"/>
        </w:rPr>
        <w:t>CIS region</w:t>
      </w:r>
      <w:r w:rsidRPr="002B64E2">
        <w:rPr>
          <w:rFonts w:ascii="Aptos" w:eastAsia="Aptos" w:hAnsi="Aptos" w:cs="Arial"/>
          <w:kern w:val="2"/>
          <w:sz w:val="22"/>
          <w:szCs w:val="22"/>
          <w14:ligatures w14:val="standardContextual"/>
        </w:rPr>
        <w:t xml:space="preserve">, including both administrative indicators and those derived from household surveys, are generally </w:t>
      </w:r>
      <w:r w:rsidR="000B562A" w:rsidRPr="002B64E2">
        <w:rPr>
          <w:rFonts w:ascii="Aptos" w:eastAsia="Aptos" w:hAnsi="Aptos" w:cs="Arial"/>
          <w:kern w:val="2"/>
          <w:sz w:val="22"/>
          <w:szCs w:val="22"/>
          <w14:ligatures w14:val="standardContextual"/>
        </w:rPr>
        <w:t xml:space="preserve">good and </w:t>
      </w:r>
      <w:r w:rsidRPr="002B64E2">
        <w:rPr>
          <w:rFonts w:ascii="Aptos" w:eastAsia="Aptos" w:hAnsi="Aptos" w:cs="Arial"/>
          <w:kern w:val="2"/>
          <w:sz w:val="22"/>
          <w:szCs w:val="22"/>
          <w14:ligatures w14:val="standardContextual"/>
        </w:rPr>
        <w:t xml:space="preserve">surpass those of </w:t>
      </w:r>
      <w:r w:rsidR="00AF7AE2" w:rsidRPr="002B64E2">
        <w:rPr>
          <w:rFonts w:ascii="Aptos" w:eastAsia="Aptos" w:hAnsi="Aptos" w:cs="Arial"/>
          <w:kern w:val="2"/>
          <w:sz w:val="22"/>
          <w:szCs w:val="22"/>
          <w14:ligatures w14:val="standardContextual"/>
        </w:rPr>
        <w:t xml:space="preserve">most </w:t>
      </w:r>
      <w:r w:rsidRPr="002B64E2">
        <w:rPr>
          <w:rFonts w:ascii="Aptos" w:eastAsia="Aptos" w:hAnsi="Aptos" w:cs="Arial"/>
          <w:kern w:val="2"/>
          <w:sz w:val="22"/>
          <w:szCs w:val="22"/>
          <w14:ligatures w14:val="standardContextual"/>
        </w:rPr>
        <w:t>other regions.</w:t>
      </w:r>
    </w:p>
    <w:p w14:paraId="02D998FF" w14:textId="18D889F2" w:rsidR="006C41B5" w:rsidRPr="002B64E2" w:rsidRDefault="006C41B5" w:rsidP="002F519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Availability for a core set of 1</w:t>
      </w:r>
      <w:r w:rsidR="00050E9A" w:rsidRPr="002B64E2">
        <w:rPr>
          <w:rFonts w:ascii="Aptos" w:eastAsia="Aptos" w:hAnsi="Aptos" w:cs="Arial"/>
          <w:kern w:val="2"/>
          <w:sz w:val="22"/>
          <w:szCs w:val="22"/>
          <w14:ligatures w14:val="standardContextual"/>
        </w:rPr>
        <w:t>4</w:t>
      </w:r>
      <w:r w:rsidRPr="002B64E2">
        <w:rPr>
          <w:rFonts w:ascii="Aptos" w:eastAsia="Aptos" w:hAnsi="Aptos" w:cs="Arial"/>
          <w:kern w:val="2"/>
          <w:sz w:val="22"/>
          <w:szCs w:val="22"/>
          <w14:ligatures w14:val="standardContextual"/>
        </w:rPr>
        <w:t xml:space="preserve"> core administrative ICT indicators, typically collected by national regulatory authorities or ministries, is </w:t>
      </w:r>
      <w:r w:rsidR="00996D7B" w:rsidRPr="002B64E2">
        <w:rPr>
          <w:rFonts w:ascii="Aptos" w:eastAsia="Aptos" w:hAnsi="Aptos" w:cs="Arial"/>
          <w:kern w:val="2"/>
          <w:sz w:val="22"/>
          <w:szCs w:val="22"/>
          <w14:ligatures w14:val="standardContextual"/>
        </w:rPr>
        <w:t xml:space="preserve">on average </w:t>
      </w:r>
      <w:r w:rsidR="00C40A86" w:rsidRPr="002B64E2">
        <w:rPr>
          <w:rFonts w:ascii="Aptos" w:eastAsia="Aptos" w:hAnsi="Aptos" w:cs="Arial"/>
          <w:kern w:val="2"/>
          <w:sz w:val="22"/>
          <w:szCs w:val="22"/>
          <w14:ligatures w14:val="standardContextual"/>
        </w:rPr>
        <w:t>82</w:t>
      </w:r>
      <w:r w:rsidR="00D8430B" w:rsidRPr="002B64E2">
        <w:rPr>
          <w:rFonts w:ascii="Aptos" w:eastAsia="Aptos" w:hAnsi="Aptos" w:cs="Arial"/>
          <w:kern w:val="2"/>
          <w:sz w:val="22"/>
          <w:szCs w:val="22"/>
          <w14:ligatures w14:val="standardContextual"/>
        </w:rPr>
        <w:t xml:space="preserve"> per cent in the region</w:t>
      </w:r>
      <w:r w:rsidR="00C7145A" w:rsidRPr="002B64E2">
        <w:rPr>
          <w:rFonts w:ascii="Aptos" w:eastAsia="Aptos" w:hAnsi="Aptos" w:cs="Arial"/>
          <w:kern w:val="2"/>
          <w:sz w:val="22"/>
          <w:szCs w:val="22"/>
          <w14:ligatures w14:val="standardContextual"/>
        </w:rPr>
        <w:t xml:space="preserve"> (see</w:t>
      </w:r>
      <w:r w:rsidR="0081086E" w:rsidRPr="002B64E2">
        <w:rPr>
          <w:rFonts w:ascii="Aptos" w:eastAsia="Aptos" w:hAnsi="Aptos" w:cs="Arial"/>
          <w:kern w:val="2"/>
          <w:sz w:val="22"/>
          <w:szCs w:val="22"/>
          <w14:ligatures w14:val="standardContextual"/>
        </w:rPr>
        <w:t xml:space="preserve"> indicator</w:t>
      </w:r>
      <w:r w:rsidR="00C7145A" w:rsidRPr="002B64E2">
        <w:rPr>
          <w:rFonts w:ascii="Aptos" w:eastAsia="Aptos" w:hAnsi="Aptos" w:cs="Arial"/>
          <w:kern w:val="2"/>
          <w:sz w:val="22"/>
          <w:szCs w:val="22"/>
          <w14:ligatures w14:val="standardContextual"/>
        </w:rPr>
        <w:t xml:space="preserve"> list in the note of the figure</w:t>
      </w:r>
      <w:r w:rsidR="00B02247" w:rsidRPr="002B64E2">
        <w:rPr>
          <w:rFonts w:ascii="Aptos" w:eastAsia="Aptos" w:hAnsi="Aptos" w:cs="Arial"/>
          <w:kern w:val="2"/>
          <w:sz w:val="22"/>
          <w:szCs w:val="22"/>
          <w14:ligatures w14:val="standardContextual"/>
        </w:rPr>
        <w:t xml:space="preserve"> below</w:t>
      </w:r>
      <w:r w:rsidR="00C7145A" w:rsidRPr="002B64E2">
        <w:rPr>
          <w:rFonts w:ascii="Aptos" w:eastAsia="Aptos" w:hAnsi="Aptos" w:cs="Arial"/>
          <w:kern w:val="2"/>
          <w:sz w:val="22"/>
          <w:szCs w:val="22"/>
          <w14:ligatures w14:val="standardContextual"/>
        </w:rPr>
        <w:t>)</w:t>
      </w:r>
      <w:r w:rsidR="00600367" w:rsidRPr="002B64E2">
        <w:rPr>
          <w:rFonts w:ascii="Aptos" w:eastAsia="Aptos" w:hAnsi="Aptos" w:cs="Arial"/>
          <w:kern w:val="2"/>
          <w:sz w:val="22"/>
          <w:szCs w:val="22"/>
          <w14:ligatures w14:val="standardContextual"/>
        </w:rPr>
        <w:t xml:space="preserve">. </w:t>
      </w:r>
      <w:r w:rsidR="009D2E06" w:rsidRPr="002B64E2">
        <w:rPr>
          <w:rFonts w:ascii="Aptos" w:eastAsia="Aptos" w:hAnsi="Aptos" w:cs="Arial"/>
          <w:kern w:val="2"/>
          <w:sz w:val="22"/>
          <w:szCs w:val="22"/>
          <w14:ligatures w14:val="standardContextual"/>
        </w:rPr>
        <w:t xml:space="preserve">Six of the nine </w:t>
      </w:r>
      <w:r w:rsidR="00753DB3" w:rsidRPr="002B64E2">
        <w:rPr>
          <w:rFonts w:ascii="Aptos" w:eastAsia="Aptos" w:hAnsi="Aptos" w:cs="Arial"/>
          <w:kern w:val="2"/>
          <w:sz w:val="22"/>
          <w:szCs w:val="22"/>
          <w14:ligatures w14:val="standardContextual"/>
        </w:rPr>
        <w:t>countries</w:t>
      </w:r>
      <w:r w:rsidR="008F08FC" w:rsidRPr="002B64E2">
        <w:rPr>
          <w:rFonts w:ascii="Aptos" w:eastAsia="Aptos" w:hAnsi="Aptos" w:cs="Arial"/>
          <w:kern w:val="2"/>
          <w:sz w:val="22"/>
          <w:szCs w:val="22"/>
          <w14:ligatures w14:val="standardContextual"/>
        </w:rPr>
        <w:t xml:space="preserve"> </w:t>
      </w:r>
      <w:r w:rsidR="004D6FF4" w:rsidRPr="002B64E2">
        <w:rPr>
          <w:rFonts w:ascii="Aptos" w:eastAsia="Aptos" w:hAnsi="Aptos" w:cs="Arial"/>
          <w:kern w:val="2"/>
          <w:sz w:val="22"/>
          <w:szCs w:val="22"/>
          <w14:ligatures w14:val="standardContextual"/>
        </w:rPr>
        <w:t xml:space="preserve">report </w:t>
      </w:r>
      <w:r w:rsidR="008F08FC" w:rsidRPr="002B64E2">
        <w:rPr>
          <w:rFonts w:ascii="Aptos" w:eastAsia="Aptos" w:hAnsi="Aptos" w:cs="Arial"/>
          <w:kern w:val="2"/>
          <w:sz w:val="22"/>
          <w:szCs w:val="22"/>
          <w14:ligatures w14:val="standardContextual"/>
        </w:rPr>
        <w:t>full availability</w:t>
      </w:r>
      <w:r w:rsidR="00753DB3" w:rsidRPr="002B64E2">
        <w:rPr>
          <w:rFonts w:ascii="Aptos" w:eastAsia="Aptos" w:hAnsi="Aptos" w:cs="Arial"/>
          <w:kern w:val="2"/>
          <w:sz w:val="22"/>
          <w:szCs w:val="22"/>
          <w14:ligatures w14:val="standardContextual"/>
        </w:rPr>
        <w:t xml:space="preserve">, </w:t>
      </w:r>
      <w:r w:rsidR="00B02247" w:rsidRPr="002B64E2">
        <w:rPr>
          <w:rFonts w:ascii="Aptos" w:eastAsia="Aptos" w:hAnsi="Aptos" w:cs="Arial"/>
          <w:kern w:val="2"/>
          <w:sz w:val="22"/>
          <w:szCs w:val="22"/>
          <w14:ligatures w14:val="standardContextual"/>
        </w:rPr>
        <w:t xml:space="preserve">while </w:t>
      </w:r>
      <w:r w:rsidR="00400B89" w:rsidRPr="002B64E2">
        <w:rPr>
          <w:rFonts w:ascii="Aptos" w:eastAsia="Aptos" w:hAnsi="Aptos" w:cs="Arial"/>
          <w:kern w:val="2"/>
          <w:sz w:val="22"/>
          <w:szCs w:val="22"/>
          <w14:ligatures w14:val="standardContextual"/>
        </w:rPr>
        <w:t xml:space="preserve">two indicators are not reported by one country. </w:t>
      </w:r>
      <w:r w:rsidR="002D612D" w:rsidRPr="002B64E2">
        <w:rPr>
          <w:rFonts w:ascii="Aptos" w:eastAsia="Aptos" w:hAnsi="Aptos" w:cs="Arial"/>
          <w:kern w:val="2"/>
          <w:sz w:val="22"/>
          <w:szCs w:val="22"/>
          <w14:ligatures w14:val="standardContextual"/>
        </w:rPr>
        <w:t>Submission of administrative data should be improved by the two remaining countries</w:t>
      </w:r>
      <w:r w:rsidR="001C6085" w:rsidRPr="002B64E2">
        <w:rPr>
          <w:rFonts w:ascii="Aptos" w:eastAsia="Aptos" w:hAnsi="Aptos" w:cs="Arial"/>
          <w:kern w:val="2"/>
          <w:sz w:val="22"/>
          <w:szCs w:val="22"/>
          <w14:ligatures w14:val="standardContextual"/>
        </w:rPr>
        <w:t>.</w:t>
      </w:r>
    </w:p>
    <w:p w14:paraId="70CF0F9A" w14:textId="77777777"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bCs/>
          <w:color w:val="0070C0"/>
          <w:spacing w:val="-10"/>
          <w:kern w:val="28"/>
          <w:szCs w:val="24"/>
        </w:rPr>
      </w:pPr>
      <w:r w:rsidRPr="002B64E2">
        <w:rPr>
          <w:rFonts w:ascii="AvenirNext LT Pro Light" w:eastAsia="Yu Gothic Light" w:hAnsi="AvenirNext LT Pro Light" w:cs="Calibri"/>
          <w:bCs/>
          <w:color w:val="0070C0"/>
          <w:spacing w:val="-10"/>
          <w:kern w:val="28"/>
          <w:szCs w:val="24"/>
        </w:rPr>
        <w:t>Percentage availability of selected administrative ICT indicators, 2022-2023</w:t>
      </w:r>
    </w:p>
    <w:p w14:paraId="08C58707" w14:textId="3A85B27D" w:rsidR="001E5B86" w:rsidRPr="002B64E2" w:rsidRDefault="004A618D" w:rsidP="00B1004A">
      <w:pPr>
        <w:pStyle w:val="notetext"/>
      </w:pPr>
      <w:r w:rsidRPr="002B64E2">
        <w:rPr>
          <w:noProof/>
        </w:rPr>
        <w:drawing>
          <wp:inline distT="0" distB="0" distL="0" distR="0" wp14:anchorId="361D3C1A" wp14:editId="1A97915B">
            <wp:extent cx="6086475" cy="2876550"/>
            <wp:effectExtent l="0" t="0" r="9525" b="0"/>
            <wp:docPr id="432184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8420" name=""/>
                    <pic:cNvPicPr/>
                  </pic:nvPicPr>
                  <pic:blipFill>
                    <a:blip r:embed="rId130">
                      <a:extLst>
                        <a:ext uri="{96DAC541-7B7A-43D3-8B79-37D633B846F1}">
                          <asvg:svgBlip xmlns:asvg="http://schemas.microsoft.com/office/drawing/2016/SVG/main" r:embed="rId131"/>
                        </a:ext>
                      </a:extLst>
                    </a:blip>
                    <a:stretch>
                      <a:fillRect/>
                    </a:stretch>
                  </pic:blipFill>
                  <pic:spPr>
                    <a:xfrm>
                      <a:off x="0" y="0"/>
                      <a:ext cx="6086475" cy="2876550"/>
                    </a:xfrm>
                    <a:prstGeom prst="rect">
                      <a:avLst/>
                    </a:prstGeom>
                  </pic:spPr>
                </pic:pic>
              </a:graphicData>
            </a:graphic>
          </wp:inline>
        </w:drawing>
      </w:r>
      <w:r w:rsidR="001E5B86" w:rsidRPr="002B64E2">
        <w:t xml:space="preserve">Note: An indicator is considered available if at least one value is available for the period in question. Assessment based on the following set: active mobile broadband subscriptions, fixed broadband subscriptions (total, as well as by speed-tiers: 256 Kbit/s to 2 Mbit/s, 2 Mbit/s to 10 Mbit/s, and above 10 Mbit/s), mobile network coverage indicators by technology (at least 2G, 3G, LTE/WiMAX, 5G), total fixed broadband Internet traffic, mobile broadband Internet traffic within the country, </w:t>
      </w:r>
      <w:r w:rsidR="00480A9A" w:rsidRPr="002B64E2">
        <w:t xml:space="preserve">international bandwidth usage, </w:t>
      </w:r>
      <w:r w:rsidR="001E5B86" w:rsidRPr="002B64E2">
        <w:t xml:space="preserve">total telecommunication revenues and investment in telecommunication services. </w:t>
      </w:r>
    </w:p>
    <w:p w14:paraId="738A03AA" w14:textId="77777777" w:rsidR="006C41B5" w:rsidRPr="002B64E2" w:rsidRDefault="006C41B5" w:rsidP="00B1004A">
      <w:pPr>
        <w:pStyle w:val="Sourcetext"/>
        <w:rPr>
          <w:highlight w:val="cyan"/>
        </w:rPr>
      </w:pPr>
      <w:r w:rsidRPr="002B64E2">
        <w:t>Source: ITU</w:t>
      </w:r>
    </w:p>
    <w:p w14:paraId="0B412994" w14:textId="2B47F73A" w:rsidR="00EB4F8F" w:rsidRPr="002B64E2" w:rsidRDefault="006147F5" w:rsidP="00E03647">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D</w:t>
      </w:r>
      <w:r w:rsidR="00322F3B" w:rsidRPr="002B64E2">
        <w:rPr>
          <w:rFonts w:ascii="Aptos" w:eastAsia="Aptos" w:hAnsi="Aptos" w:cs="Arial"/>
          <w:sz w:val="22"/>
          <w:szCs w:val="22"/>
        </w:rPr>
        <w:t xml:space="preserve">ata </w:t>
      </w:r>
      <w:r w:rsidR="006C41B5" w:rsidRPr="002B64E2">
        <w:rPr>
          <w:rFonts w:ascii="Aptos" w:eastAsia="Aptos" w:hAnsi="Aptos" w:cs="Arial"/>
          <w:kern w:val="2"/>
          <w:sz w:val="22"/>
          <w:szCs w:val="22"/>
          <w14:ligatures w14:val="standardContextual"/>
        </w:rPr>
        <w:t>on ICT access and usage by households and individuals</w:t>
      </w:r>
      <w:r w:rsidR="006B3B8D" w:rsidRPr="002B64E2">
        <w:rPr>
          <w:rFonts w:ascii="Aptos" w:eastAsia="Aptos" w:hAnsi="Aptos" w:cs="Arial"/>
          <w:kern w:val="2"/>
          <w:sz w:val="22"/>
          <w:szCs w:val="22"/>
          <w14:ligatures w14:val="standardContextual"/>
        </w:rPr>
        <w:t xml:space="preserve"> </w:t>
      </w:r>
      <w:r w:rsidR="00B25F10" w:rsidRPr="002B64E2">
        <w:rPr>
          <w:rFonts w:ascii="Aptos" w:eastAsia="Aptos" w:hAnsi="Aptos" w:cs="Arial"/>
          <w:kern w:val="2"/>
          <w:sz w:val="22"/>
          <w:szCs w:val="22"/>
          <w14:ligatures w14:val="standardContextual"/>
        </w:rPr>
        <w:t>is also</w:t>
      </w:r>
      <w:r w:rsidR="00394925" w:rsidRPr="002B64E2">
        <w:rPr>
          <w:rFonts w:ascii="Aptos" w:eastAsia="Aptos" w:hAnsi="Aptos" w:cs="Arial"/>
          <w:kern w:val="2"/>
          <w:sz w:val="22"/>
          <w:szCs w:val="22"/>
          <w14:ligatures w14:val="standardContextual"/>
        </w:rPr>
        <w:t xml:space="preserve"> </w:t>
      </w:r>
      <w:r w:rsidR="003B7D80" w:rsidRPr="002B64E2">
        <w:rPr>
          <w:rFonts w:ascii="Aptos" w:eastAsia="Aptos" w:hAnsi="Aptos" w:cs="Arial"/>
          <w:kern w:val="2"/>
          <w:sz w:val="22"/>
          <w:szCs w:val="22"/>
          <w14:ligatures w14:val="standardContextual"/>
        </w:rPr>
        <w:t xml:space="preserve">varied across </w:t>
      </w:r>
      <w:r w:rsidR="00B52B20" w:rsidRPr="002B64E2">
        <w:rPr>
          <w:rFonts w:ascii="Aptos" w:eastAsia="Aptos" w:hAnsi="Aptos" w:cs="Arial"/>
          <w:kern w:val="2"/>
          <w:sz w:val="22"/>
          <w:szCs w:val="22"/>
          <w14:ligatures w14:val="standardContextual"/>
        </w:rPr>
        <w:t xml:space="preserve">CIS countries. </w:t>
      </w:r>
      <w:r w:rsidR="006019B5" w:rsidRPr="002B64E2">
        <w:rPr>
          <w:rFonts w:ascii="Aptos" w:eastAsia="Aptos" w:hAnsi="Aptos" w:cs="Arial"/>
          <w:kern w:val="2"/>
          <w:sz w:val="22"/>
          <w:szCs w:val="22"/>
          <w14:ligatures w14:val="standardContextual"/>
        </w:rPr>
        <w:t>Six</w:t>
      </w:r>
      <w:r w:rsidR="00B52B20" w:rsidRPr="002B64E2">
        <w:rPr>
          <w:rFonts w:ascii="Aptos" w:eastAsia="Aptos" w:hAnsi="Aptos" w:cs="Arial"/>
          <w:kern w:val="2"/>
          <w:sz w:val="22"/>
          <w:szCs w:val="22"/>
          <w14:ligatures w14:val="standardContextual"/>
        </w:rPr>
        <w:t xml:space="preserve"> countries </w:t>
      </w:r>
      <w:r w:rsidR="00C930B4" w:rsidRPr="002B64E2">
        <w:rPr>
          <w:rFonts w:ascii="Aptos" w:eastAsia="Aptos" w:hAnsi="Aptos" w:cs="Arial"/>
          <w:sz w:val="22"/>
          <w:szCs w:val="22"/>
        </w:rPr>
        <w:t>(Armenia, Azerbaijan, Belarus, Kazakhstan,</w:t>
      </w:r>
      <w:r w:rsidR="00911B04" w:rsidRPr="002B64E2">
        <w:rPr>
          <w:rFonts w:ascii="Aptos" w:eastAsia="Aptos" w:hAnsi="Aptos" w:cs="Arial"/>
          <w:sz w:val="22"/>
          <w:szCs w:val="22"/>
        </w:rPr>
        <w:t xml:space="preserve"> the</w:t>
      </w:r>
      <w:r w:rsidR="00C930B4" w:rsidRPr="002B64E2">
        <w:rPr>
          <w:rFonts w:ascii="Aptos" w:eastAsia="Aptos" w:hAnsi="Aptos" w:cs="Arial"/>
          <w:sz w:val="22"/>
          <w:szCs w:val="22"/>
        </w:rPr>
        <w:t xml:space="preserve"> Russian Federation, and Uzbekistan) conduct regular </w:t>
      </w:r>
      <w:r w:rsidR="006019B5" w:rsidRPr="002B64E2">
        <w:rPr>
          <w:rFonts w:ascii="Aptos" w:eastAsia="Aptos" w:hAnsi="Aptos" w:cs="Arial"/>
          <w:sz w:val="22"/>
          <w:szCs w:val="22"/>
        </w:rPr>
        <w:t xml:space="preserve">ICT household surveys. </w:t>
      </w:r>
      <w:r w:rsidR="00A96CD3" w:rsidRPr="002B64E2">
        <w:rPr>
          <w:rFonts w:ascii="Aptos" w:eastAsia="Aptos" w:hAnsi="Aptos" w:cs="Arial"/>
          <w:sz w:val="22"/>
          <w:szCs w:val="22"/>
        </w:rPr>
        <w:t xml:space="preserve">In contrast, </w:t>
      </w:r>
      <w:r w:rsidR="006019B5" w:rsidRPr="002B64E2">
        <w:rPr>
          <w:rFonts w:ascii="Aptos" w:eastAsia="Aptos" w:hAnsi="Aptos" w:cs="Arial"/>
          <w:sz w:val="22"/>
          <w:szCs w:val="22"/>
        </w:rPr>
        <w:t xml:space="preserve">Kyrgyzstan has not provided data on ICT household indicators since </w:t>
      </w:r>
      <w:r w:rsidR="004F0A38" w:rsidRPr="002B64E2">
        <w:rPr>
          <w:rFonts w:ascii="Aptos" w:eastAsia="Aptos" w:hAnsi="Aptos" w:cs="Arial"/>
          <w:sz w:val="22"/>
          <w:szCs w:val="22"/>
        </w:rPr>
        <w:t>2020,</w:t>
      </w:r>
      <w:r w:rsidR="00A96CD3" w:rsidRPr="002B64E2">
        <w:rPr>
          <w:rFonts w:ascii="Aptos" w:eastAsia="Aptos" w:hAnsi="Aptos" w:cs="Arial"/>
          <w:sz w:val="22"/>
          <w:szCs w:val="22"/>
        </w:rPr>
        <w:t xml:space="preserve"> and Tajikistan and Turkmenistan </w:t>
      </w:r>
      <w:r w:rsidR="00D80941" w:rsidRPr="002B64E2">
        <w:rPr>
          <w:rFonts w:ascii="Aptos" w:eastAsia="Aptos" w:hAnsi="Aptos" w:cs="Arial"/>
          <w:sz w:val="22"/>
          <w:szCs w:val="22"/>
        </w:rPr>
        <w:t>have never provided any data on these indicators.</w:t>
      </w:r>
    </w:p>
    <w:p w14:paraId="78FA3BCC" w14:textId="77777777" w:rsidR="006C41B5" w:rsidRPr="002B64E2"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2B64E2">
        <w:rPr>
          <w:rFonts w:ascii="AvenirNext LT Pro Light" w:eastAsia="Yu Gothic Light" w:hAnsi="AvenirNext LT Pro Light" w:cs="Calibri"/>
          <w:color w:val="0070C0"/>
          <w:spacing w:val="-10"/>
          <w:kern w:val="28"/>
          <w:szCs w:val="24"/>
        </w:rPr>
        <w:lastRenderedPageBreak/>
        <w:t>Latest year of submission of ICT household survey data, by socio-economic attribute</w:t>
      </w:r>
    </w:p>
    <w:p w14:paraId="00126953" w14:textId="7E2284D3" w:rsidR="001505A7" w:rsidRPr="002B64E2" w:rsidRDefault="004C7845" w:rsidP="00756C9C">
      <w:pPr>
        <w:pStyle w:val="Sourcetext"/>
      </w:pPr>
      <w:r w:rsidRPr="002B64E2">
        <w:rPr>
          <w:noProof/>
        </w:rPr>
        <w:drawing>
          <wp:inline distT="0" distB="0" distL="0" distR="0" wp14:anchorId="7B745210" wp14:editId="584AD1AD">
            <wp:extent cx="6120765" cy="2146935"/>
            <wp:effectExtent l="0" t="0" r="0" b="5715"/>
            <wp:docPr id="1347877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20765" cy="2146935"/>
                    </a:xfrm>
                    <a:prstGeom prst="rect">
                      <a:avLst/>
                    </a:prstGeom>
                    <a:noFill/>
                    <a:ln>
                      <a:noFill/>
                    </a:ln>
                  </pic:spPr>
                </pic:pic>
              </a:graphicData>
            </a:graphic>
          </wp:inline>
        </w:drawing>
      </w:r>
    </w:p>
    <w:p w14:paraId="644FD988" w14:textId="6947BC5F" w:rsidR="006C41B5" w:rsidRPr="002B64E2" w:rsidRDefault="006C41B5" w:rsidP="00B1004A">
      <w:pPr>
        <w:pStyle w:val="Sourcetext"/>
      </w:pPr>
      <w:r w:rsidRPr="002B64E2">
        <w:t>Source: ITU</w:t>
      </w:r>
    </w:p>
    <w:p w14:paraId="214D9E79" w14:textId="69A3F61E" w:rsidR="004924C8" w:rsidRPr="002B64E2" w:rsidRDefault="004924C8" w:rsidP="004924C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The issue is similar for data disaggregated by socio-economic attributes</w:t>
      </w:r>
      <w:r w:rsidR="00047C22" w:rsidRPr="002B64E2">
        <w:rPr>
          <w:rFonts w:ascii="Aptos" w:eastAsia="Aptos" w:hAnsi="Aptos" w:cs="Arial"/>
          <w:kern w:val="2"/>
          <w:sz w:val="22"/>
          <w:szCs w:val="22"/>
          <w14:ligatures w14:val="standardContextual"/>
        </w:rPr>
        <w:t xml:space="preserve">. </w:t>
      </w:r>
      <w:r w:rsidR="00186FFF" w:rsidRPr="002B64E2">
        <w:rPr>
          <w:rFonts w:ascii="Aptos" w:eastAsia="Aptos" w:hAnsi="Aptos" w:cs="Arial"/>
          <w:kern w:val="2"/>
          <w:sz w:val="22"/>
          <w:szCs w:val="22"/>
          <w14:ligatures w14:val="standardContextual"/>
        </w:rPr>
        <w:t xml:space="preserve">Azerbaijan, </w:t>
      </w:r>
      <w:r w:rsidR="00047C22" w:rsidRPr="002B64E2">
        <w:rPr>
          <w:rFonts w:ascii="Aptos" w:eastAsia="Aptos" w:hAnsi="Aptos" w:cs="Arial"/>
          <w:kern w:val="2"/>
          <w:sz w:val="22"/>
          <w:szCs w:val="22"/>
          <w14:ligatures w14:val="standardContextual"/>
        </w:rPr>
        <w:t>Belarus, Kazakhstan, Russian Federation, and Uzbekistan</w:t>
      </w:r>
      <w:r w:rsidRPr="002B64E2">
        <w:rPr>
          <w:rFonts w:ascii="Aptos" w:eastAsia="Aptos" w:hAnsi="Aptos" w:cs="Arial"/>
          <w:kern w:val="2"/>
          <w:sz w:val="22"/>
          <w:szCs w:val="22"/>
          <w14:ligatures w14:val="standardContextual"/>
        </w:rPr>
        <w:t xml:space="preserve"> ha</w:t>
      </w:r>
      <w:r w:rsidR="00617496" w:rsidRPr="002B64E2">
        <w:rPr>
          <w:rFonts w:ascii="Aptos" w:eastAsia="Aptos" w:hAnsi="Aptos" w:cs="Arial"/>
          <w:kern w:val="2"/>
          <w:sz w:val="22"/>
          <w:szCs w:val="22"/>
          <w14:ligatures w14:val="standardContextual"/>
        </w:rPr>
        <w:t>ve</w:t>
      </w:r>
      <w:r w:rsidRPr="002B64E2">
        <w:rPr>
          <w:rFonts w:ascii="Aptos" w:eastAsia="Aptos" w:hAnsi="Aptos" w:cs="Arial"/>
          <w:kern w:val="2"/>
          <w:sz w:val="22"/>
          <w:szCs w:val="22"/>
          <w14:ligatures w14:val="standardContextual"/>
        </w:rPr>
        <w:t xml:space="preserve"> submitted recent data (2022 or more recent) for </w:t>
      </w:r>
      <w:r w:rsidR="00617496" w:rsidRPr="002B64E2">
        <w:rPr>
          <w:rFonts w:ascii="Aptos" w:eastAsia="Aptos" w:hAnsi="Aptos" w:cs="Arial"/>
          <w:kern w:val="2"/>
          <w:sz w:val="22"/>
          <w:szCs w:val="22"/>
          <w14:ligatures w14:val="standardContextual"/>
        </w:rPr>
        <w:t xml:space="preserve">at least five of the </w:t>
      </w:r>
      <w:r w:rsidRPr="002B64E2">
        <w:rPr>
          <w:rFonts w:ascii="Aptos" w:eastAsia="Aptos" w:hAnsi="Aptos" w:cs="Arial"/>
          <w:kern w:val="2"/>
          <w:sz w:val="22"/>
          <w:szCs w:val="22"/>
          <w14:ligatures w14:val="standardContextual"/>
        </w:rPr>
        <w:t>six attributes of interest.</w:t>
      </w:r>
    </w:p>
    <w:p w14:paraId="39C54B3E" w14:textId="77777777" w:rsidR="004924C8" w:rsidRPr="002B64E2" w:rsidRDefault="004924C8" w:rsidP="004924C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Even when data is available, it may suffer from poor sample design, inadequate collection methods, or low response rates. Such shortcomings are likely to yield misleading results and may result in misguided policies. (For example, overestimation of ICT skills could lead policymakers to shift focus away from supporting populations that need training in this area.) Addressing these challenges requires a dual approach targeting both the producers and users of data. Through continuous efforts in capacity building, technical assistance, and advocacy, ITU aims to enhance the availability and quality of ICT data globally.</w:t>
      </w:r>
    </w:p>
    <w:p w14:paraId="7310A60A" w14:textId="77777777" w:rsidR="00394925" w:rsidRPr="002B64E2" w:rsidRDefault="00394925">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40"/>
          <w:szCs w:val="40"/>
          <w14:ligatures w14:val="standardContextual"/>
        </w:rPr>
      </w:pPr>
      <w:r w:rsidRPr="002B64E2">
        <w:br w:type="page"/>
      </w:r>
    </w:p>
    <w:p w14:paraId="31D9AECE" w14:textId="7FDB611D" w:rsidR="006C41B5" w:rsidRPr="002B64E2" w:rsidRDefault="006C41B5" w:rsidP="000C3666">
      <w:pPr>
        <w:pStyle w:val="Parttitle0"/>
      </w:pPr>
      <w:bookmarkStart w:id="21" w:name="_Toc192868608"/>
      <w:r w:rsidRPr="002B64E2">
        <w:lastRenderedPageBreak/>
        <w:t>Part 2</w:t>
      </w:r>
      <w:r w:rsidR="006731EB" w:rsidRPr="002B64E2">
        <w:t>.</w:t>
      </w:r>
      <w:r w:rsidRPr="002B64E2">
        <w:t xml:space="preserve"> BDT4Impact: Selected case studies from </w:t>
      </w:r>
      <w:r w:rsidR="004C3CCC" w:rsidRPr="002B64E2">
        <w:t>t</w:t>
      </w:r>
      <w:r w:rsidR="00060A76" w:rsidRPr="002B64E2">
        <w:t xml:space="preserve">he </w:t>
      </w:r>
      <w:r w:rsidR="00220A01" w:rsidRPr="002B64E2">
        <w:t>CIS region</w:t>
      </w:r>
      <w:bookmarkEnd w:id="21"/>
    </w:p>
    <w:p w14:paraId="3F875D8D" w14:textId="77777777" w:rsidR="00525D20" w:rsidRPr="002B64E2" w:rsidRDefault="00525D20" w:rsidP="009D2F6B">
      <w:pPr>
        <w:pStyle w:val="Section"/>
      </w:pPr>
      <w:bookmarkStart w:id="22" w:name="_Toc192868609"/>
      <w:r w:rsidRPr="002B64E2">
        <w:t>Supporting connectivity in rural Armenia</w:t>
      </w:r>
      <w:bookmarkEnd w:id="22"/>
    </w:p>
    <w:p w14:paraId="36F07C18" w14:textId="77777777" w:rsidR="00525D20" w:rsidRPr="002B64E2" w:rsidRDefault="00525D20" w:rsidP="00525D20">
      <w:pPr>
        <w:pStyle w:val="ListParagraph"/>
        <w:shd w:val="clear" w:color="auto" w:fill="FAFAFA"/>
        <w:spacing w:before="90" w:after="150"/>
        <w:ind w:left="0"/>
        <w:rPr>
          <w:rFonts w:ascii="Aptos" w:hAnsi="Aptos" w:cs="Segoe UI"/>
          <w:color w:val="424242"/>
          <w:sz w:val="22"/>
          <w:szCs w:val="22"/>
          <w:lang w:eastAsia="en-GB"/>
        </w:rPr>
      </w:pPr>
      <w:r w:rsidRPr="002B64E2">
        <w:rPr>
          <w:rFonts w:ascii="Aptos" w:hAnsi="Aptos" w:cs="Segoe UI"/>
          <w:color w:val="424242"/>
          <w:sz w:val="22"/>
          <w:szCs w:val="22"/>
          <w:lang w:eastAsia="en-GB"/>
        </w:rPr>
        <w:t xml:space="preserve">A </w:t>
      </w:r>
      <w:hyperlink r:id="rId133" w:history="1">
        <w:r w:rsidRPr="002B64E2">
          <w:rPr>
            <w:rStyle w:val="Hyperlink"/>
            <w:rFonts w:ascii="Aptos" w:hAnsi="Aptos" w:cs="Segoe UI"/>
            <w:sz w:val="22"/>
            <w:szCs w:val="22"/>
            <w:lang w:eastAsia="en-GB"/>
          </w:rPr>
          <w:t>pilot project was implemented in 2024 in rural areas of Armenia</w:t>
        </w:r>
      </w:hyperlink>
      <w:r w:rsidRPr="002B64E2">
        <w:rPr>
          <w:rFonts w:ascii="Aptos" w:hAnsi="Aptos" w:cs="Segoe UI"/>
          <w:color w:val="424242"/>
          <w:sz w:val="22"/>
          <w:szCs w:val="22"/>
          <w:lang w:eastAsia="en-GB"/>
        </w:rPr>
        <w:t xml:space="preserve"> to boost connectivity and encourage innovation, sustainable development, and opportunities for social participation.</w:t>
      </w:r>
    </w:p>
    <w:p w14:paraId="1492D80B" w14:textId="77777777" w:rsidR="00525D20" w:rsidRPr="002B64E2" w:rsidRDefault="00525D20" w:rsidP="00294BE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The project, implemented by the ITU Telecommunication Development Bureau, deployed 18,000 meters of broadband network and conducted training sessions on computer literacy, digital skills, Internet safety, and entrepreneurship. </w:t>
      </w:r>
    </w:p>
    <w:p w14:paraId="4D6251AF" w14:textId="77777777" w:rsidR="00525D20" w:rsidRPr="002B64E2" w:rsidRDefault="00525D20" w:rsidP="00294BE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In six rural communities – </w:t>
      </w:r>
      <w:proofErr w:type="spellStart"/>
      <w:r w:rsidRPr="002B64E2">
        <w:rPr>
          <w:rFonts w:ascii="Aptos" w:eastAsia="Aptos" w:hAnsi="Aptos" w:cs="Arial"/>
          <w:kern w:val="2"/>
          <w:sz w:val="22"/>
          <w:szCs w:val="22"/>
          <w14:ligatures w14:val="standardContextual"/>
        </w:rPr>
        <w:t>Landjanist</w:t>
      </w:r>
      <w:proofErr w:type="spellEnd"/>
      <w:r w:rsidRPr="002B64E2">
        <w:rPr>
          <w:rFonts w:ascii="Aptos" w:eastAsia="Aptos" w:hAnsi="Aptos" w:cs="Arial"/>
          <w:kern w:val="2"/>
          <w:sz w:val="22"/>
          <w:szCs w:val="22"/>
          <w14:ligatures w14:val="standardContextual"/>
        </w:rPr>
        <w:t xml:space="preserve">, </w:t>
      </w:r>
      <w:proofErr w:type="spellStart"/>
      <w:r w:rsidRPr="002B64E2">
        <w:rPr>
          <w:rFonts w:ascii="Aptos" w:eastAsia="Aptos" w:hAnsi="Aptos" w:cs="Arial"/>
          <w:kern w:val="2"/>
          <w:sz w:val="22"/>
          <w:szCs w:val="22"/>
          <w14:ligatures w14:val="standardContextual"/>
        </w:rPr>
        <w:t>Lanjar</w:t>
      </w:r>
      <w:proofErr w:type="spellEnd"/>
      <w:r w:rsidRPr="002B64E2">
        <w:rPr>
          <w:rFonts w:ascii="Aptos" w:eastAsia="Aptos" w:hAnsi="Aptos" w:cs="Arial"/>
          <w:kern w:val="2"/>
          <w:sz w:val="22"/>
          <w:szCs w:val="22"/>
          <w14:ligatures w14:val="standardContextual"/>
        </w:rPr>
        <w:t xml:space="preserve">, </w:t>
      </w:r>
      <w:proofErr w:type="spellStart"/>
      <w:r w:rsidRPr="002B64E2">
        <w:rPr>
          <w:rFonts w:ascii="Aptos" w:eastAsia="Aptos" w:hAnsi="Aptos" w:cs="Arial"/>
          <w:kern w:val="2"/>
          <w:sz w:val="22"/>
          <w:szCs w:val="22"/>
          <w14:ligatures w14:val="standardContextual"/>
        </w:rPr>
        <w:t>Lusashogh</w:t>
      </w:r>
      <w:proofErr w:type="spellEnd"/>
      <w:r w:rsidRPr="002B64E2">
        <w:rPr>
          <w:rFonts w:ascii="Aptos" w:eastAsia="Aptos" w:hAnsi="Aptos" w:cs="Arial"/>
          <w:kern w:val="2"/>
          <w:sz w:val="22"/>
          <w:szCs w:val="22"/>
          <w14:ligatures w14:val="standardContextual"/>
        </w:rPr>
        <w:t xml:space="preserve">, </w:t>
      </w:r>
      <w:proofErr w:type="spellStart"/>
      <w:r w:rsidRPr="002B64E2">
        <w:rPr>
          <w:rFonts w:ascii="Aptos" w:eastAsia="Aptos" w:hAnsi="Aptos" w:cs="Arial"/>
          <w:kern w:val="2"/>
          <w:sz w:val="22"/>
          <w:szCs w:val="22"/>
          <w14:ligatures w14:val="standardContextual"/>
        </w:rPr>
        <w:t>Urtsalanj</w:t>
      </w:r>
      <w:proofErr w:type="spellEnd"/>
      <w:r w:rsidRPr="002B64E2">
        <w:rPr>
          <w:rFonts w:ascii="Aptos" w:eastAsia="Aptos" w:hAnsi="Aptos" w:cs="Arial"/>
          <w:kern w:val="2"/>
          <w:sz w:val="22"/>
          <w:szCs w:val="22"/>
          <w14:ligatures w14:val="standardContextual"/>
        </w:rPr>
        <w:t xml:space="preserve">, </w:t>
      </w:r>
      <w:proofErr w:type="spellStart"/>
      <w:r w:rsidRPr="002B64E2">
        <w:rPr>
          <w:rFonts w:ascii="Aptos" w:eastAsia="Aptos" w:hAnsi="Aptos" w:cs="Arial"/>
          <w:kern w:val="2"/>
          <w:sz w:val="22"/>
          <w:szCs w:val="22"/>
          <w14:ligatures w14:val="standardContextual"/>
        </w:rPr>
        <w:t>Vardashat</w:t>
      </w:r>
      <w:proofErr w:type="spellEnd"/>
      <w:r w:rsidRPr="002B64E2">
        <w:rPr>
          <w:rFonts w:ascii="Aptos" w:eastAsia="Aptos" w:hAnsi="Aptos" w:cs="Arial"/>
          <w:kern w:val="2"/>
          <w:sz w:val="22"/>
          <w:szCs w:val="22"/>
          <w14:ligatures w14:val="standardContextual"/>
        </w:rPr>
        <w:t xml:space="preserve">, and </w:t>
      </w:r>
      <w:proofErr w:type="spellStart"/>
      <w:r w:rsidRPr="002B64E2">
        <w:rPr>
          <w:rFonts w:ascii="Aptos" w:eastAsia="Aptos" w:hAnsi="Aptos" w:cs="Arial"/>
          <w:kern w:val="2"/>
          <w:sz w:val="22"/>
          <w:szCs w:val="22"/>
          <w14:ligatures w14:val="standardContextual"/>
        </w:rPr>
        <w:t>Zangakatun</w:t>
      </w:r>
      <w:proofErr w:type="spellEnd"/>
      <w:r w:rsidRPr="002B64E2">
        <w:rPr>
          <w:rFonts w:ascii="Aptos" w:eastAsia="Aptos" w:hAnsi="Aptos" w:cs="Arial"/>
          <w:kern w:val="2"/>
          <w:sz w:val="22"/>
          <w:szCs w:val="22"/>
          <w14:ligatures w14:val="standardContextual"/>
        </w:rPr>
        <w:t xml:space="preserve"> – the effort focused on improving Internet access and digital skills, enabling local businesses to reach a global audience, and promoting economic growth. The project achieved its goals through technical design, capacity and network development, and community engagement.</w:t>
      </w:r>
    </w:p>
    <w:p w14:paraId="594E646D" w14:textId="2EDC5BBC" w:rsidR="00525D20" w:rsidRPr="002B64E2" w:rsidRDefault="00525D20" w:rsidP="00E1379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The project was implemented in coordination with the Ministry of High-Tech Industry of the Republic of Armenia, local authorities, and partners.</w:t>
      </w:r>
    </w:p>
    <w:p w14:paraId="2F6F9D10" w14:textId="77777777" w:rsidR="00525D20" w:rsidRPr="002B64E2" w:rsidRDefault="00525D20" w:rsidP="009D2F6B">
      <w:pPr>
        <w:pStyle w:val="Section"/>
      </w:pPr>
      <w:bookmarkStart w:id="23" w:name="_Toc192868610"/>
      <w:r w:rsidRPr="002B64E2">
        <w:t>Promoting universal and meaningful connectivity in Uzbekistan</w:t>
      </w:r>
      <w:bookmarkEnd w:id="23"/>
    </w:p>
    <w:p w14:paraId="5F4D7222" w14:textId="26EC0785" w:rsidR="00525D20" w:rsidRPr="002B64E2" w:rsidRDefault="00525D20" w:rsidP="00E1379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A regional workshop in Uzbekistan explored the concept of universal and meaningful connectivity and considered how to streamline it into national digital policies.</w:t>
      </w:r>
    </w:p>
    <w:p w14:paraId="2AE20570" w14:textId="07CF26F1" w:rsidR="00525D20" w:rsidRPr="002B64E2" w:rsidRDefault="00525D20" w:rsidP="00E1379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The June 2024 event was intended for policymakers on digital connectivity, and stakeholders from CIS countries responsible for measuring the development of telecommunications and ICTs. These included regulators, telecom operators, research institutions, and representatives from ministries and national statistics offices. </w:t>
      </w:r>
    </w:p>
    <w:p w14:paraId="1D2F29B4" w14:textId="29F64AF7" w:rsidR="00525D20" w:rsidRPr="002B64E2" w:rsidRDefault="00525D20" w:rsidP="00E1379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Organized by the ITU Telecommunication Development Bureau in collaboration with the Ministry of Digital Technologies of the Republic of Uzbekistan, the CIS Statistics Committee, and the Regional Commonwealth in the field of Communications, the introductory workshop also aimed to improve the capacity of countries in the region to produce and disseminate statistical data and examined how to use data to identify good practices and policy recommendations.</w:t>
      </w:r>
    </w:p>
    <w:p w14:paraId="1A65EC30" w14:textId="6678B2FF" w:rsidR="00525D20" w:rsidRPr="002B64E2" w:rsidRDefault="00525D20" w:rsidP="00E1379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Over four days, participants in Tashkent, the country’s capital, attended sessions on embracing universal and meaningful digital connectivity and new requirements for ICT policies; data-driven decision-making; strategies for solving the challenges of measuring universal and meaningful connectivity; and the state of ICT statistics at country and regional level.</w:t>
      </w:r>
    </w:p>
    <w:p w14:paraId="7236662B" w14:textId="36EEB01D" w:rsidR="00525D20" w:rsidRPr="002B64E2" w:rsidRDefault="00525D20" w:rsidP="009D2F6B">
      <w:pPr>
        <w:pStyle w:val="Section"/>
      </w:pPr>
      <w:bookmarkStart w:id="24" w:name="_Toc192868611"/>
      <w:r w:rsidRPr="002B64E2">
        <w:t>Young people in five CIS countries learn to create and pitch startups</w:t>
      </w:r>
      <w:bookmarkEnd w:id="24"/>
      <w:r w:rsidRPr="002B64E2">
        <w:t xml:space="preserve"> </w:t>
      </w:r>
    </w:p>
    <w:p w14:paraId="2BFA7B8E" w14:textId="77777777" w:rsidR="00525D20" w:rsidRPr="002B64E2" w:rsidRDefault="00525D20" w:rsidP="00E1379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University students and aspiring entrepreneurs in Armenia, Kazakhstan, Kyrgyzstan, Russia, and Tajikistan</w:t>
      </w:r>
      <w:r w:rsidRPr="002B64E2" w:rsidDel="00DC0EB0">
        <w:rPr>
          <w:rFonts w:ascii="Aptos" w:eastAsia="Aptos" w:hAnsi="Aptos" w:cs="Arial"/>
          <w:kern w:val="2"/>
          <w:sz w:val="22"/>
          <w:szCs w:val="22"/>
          <w14:ligatures w14:val="standardContextual"/>
        </w:rPr>
        <w:t xml:space="preserve"> </w:t>
      </w:r>
      <w:r w:rsidRPr="002B64E2">
        <w:rPr>
          <w:rFonts w:ascii="Aptos" w:eastAsia="Aptos" w:hAnsi="Aptos" w:cs="Arial"/>
          <w:kern w:val="2"/>
          <w:sz w:val="22"/>
          <w:szCs w:val="22"/>
          <w14:ligatures w14:val="standardContextual"/>
        </w:rPr>
        <w:t xml:space="preserve">participated in two-day </w:t>
      </w:r>
      <w:proofErr w:type="spellStart"/>
      <w:r w:rsidRPr="002B64E2">
        <w:rPr>
          <w:rFonts w:ascii="Aptos" w:eastAsia="Aptos" w:hAnsi="Aptos" w:cs="Arial"/>
          <w:kern w:val="2"/>
          <w:sz w:val="22"/>
          <w:szCs w:val="22"/>
          <w14:ligatures w14:val="standardContextual"/>
        </w:rPr>
        <w:t>ideathons</w:t>
      </w:r>
      <w:proofErr w:type="spellEnd"/>
      <w:r w:rsidRPr="002B64E2">
        <w:rPr>
          <w:rFonts w:ascii="Aptos" w:eastAsia="Aptos" w:hAnsi="Aptos" w:cs="Arial"/>
          <w:kern w:val="2"/>
          <w:sz w:val="22"/>
          <w:szCs w:val="22"/>
          <w14:ligatures w14:val="standardContextual"/>
        </w:rPr>
        <w:t xml:space="preserve"> in 2023 and 2024 to learn what a startup is and what it takes to begin developing a business.</w:t>
      </w:r>
    </w:p>
    <w:p w14:paraId="4362BAD9" w14:textId="77777777" w:rsidR="00525D20" w:rsidRPr="002B64E2" w:rsidRDefault="00525D20" w:rsidP="00E1379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The students learned about the main approaches to generating ideas, how to formulate a problem and how to create a pitch deck, which is a presentation of a startup project for potential users and investors.</w:t>
      </w:r>
    </w:p>
    <w:p w14:paraId="3DA6DC84" w14:textId="77777777" w:rsidR="00525D20" w:rsidRPr="002B64E2" w:rsidRDefault="00525D20" w:rsidP="00E1379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lastRenderedPageBreak/>
        <w:t>The events, led by the ITU Telecommunication Development Bureau, were held in person at universities in each of the countries.</w:t>
      </w:r>
    </w:p>
    <w:p w14:paraId="45668AF2" w14:textId="77777777" w:rsidR="00525D20" w:rsidRPr="002B64E2" w:rsidRDefault="00525D20" w:rsidP="00E1379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The 180 participants pitched projects in </w:t>
      </w:r>
      <w:proofErr w:type="spellStart"/>
      <w:r w:rsidRPr="002B64E2">
        <w:rPr>
          <w:rFonts w:ascii="Aptos" w:eastAsia="Aptos" w:hAnsi="Aptos" w:cs="Arial"/>
          <w:kern w:val="2"/>
          <w:sz w:val="22"/>
          <w:szCs w:val="22"/>
          <w14:ligatures w14:val="standardContextual"/>
        </w:rPr>
        <w:t>agrotech</w:t>
      </w:r>
      <w:proofErr w:type="spellEnd"/>
      <w:r w:rsidRPr="002B64E2">
        <w:rPr>
          <w:rFonts w:ascii="Aptos" w:eastAsia="Aptos" w:hAnsi="Aptos" w:cs="Arial"/>
          <w:kern w:val="2"/>
          <w:sz w:val="22"/>
          <w:szCs w:val="22"/>
          <w14:ligatures w14:val="standardContextual"/>
        </w:rPr>
        <w:t>, logistics, education, human resources tech, tourism, and other areas.</w:t>
      </w:r>
    </w:p>
    <w:p w14:paraId="09ED3B56" w14:textId="77777777" w:rsidR="00525D20" w:rsidRPr="002B64E2" w:rsidRDefault="00525D20" w:rsidP="00E1379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The training included short lectures, interactive sessions, personalized work with mentors, and pitching of ideas. Along with ITU regional staff, experts with startup experience and representatives of incubators and accelerators provided feedback on the participants’ projects.</w:t>
      </w:r>
    </w:p>
    <w:p w14:paraId="34F1B0DC" w14:textId="0DDE14D9" w:rsidR="00525D20" w:rsidRPr="002B64E2" w:rsidRDefault="00525D20" w:rsidP="00525D20">
      <w:pPr>
        <w:rPr>
          <w:rFonts w:ascii="Aptos" w:hAnsi="Aptos"/>
          <w:sz w:val="22"/>
          <w:szCs w:val="22"/>
        </w:rPr>
      </w:pPr>
      <w:r w:rsidRPr="002B64E2">
        <w:rPr>
          <w:rFonts w:ascii="Aptos" w:hAnsi="Aptos"/>
          <w:sz w:val="22"/>
          <w:szCs w:val="22"/>
        </w:rPr>
        <w:t xml:space="preserve">The programme was shaped by an </w:t>
      </w:r>
      <w:hyperlink r:id="rId134" w:history="1">
        <w:r w:rsidRPr="002B64E2">
          <w:rPr>
            <w:rStyle w:val="Hyperlink"/>
            <w:rFonts w:ascii="Aptos" w:hAnsi="Aptos"/>
            <w:sz w:val="22"/>
            <w:szCs w:val="22"/>
          </w:rPr>
          <w:t>ITU regional study</w:t>
        </w:r>
      </w:hyperlink>
      <w:r w:rsidRPr="002B64E2">
        <w:rPr>
          <w:rFonts w:ascii="Aptos" w:hAnsi="Aptos"/>
          <w:sz w:val="22"/>
          <w:szCs w:val="22"/>
        </w:rPr>
        <w:t xml:space="preserve"> on the development of startup ecosystems in Central Eurasia. The study found that the academic community is one of the six building blocks of any start-up ecosystem.</w:t>
      </w:r>
    </w:p>
    <w:p w14:paraId="371AC68F" w14:textId="77777777" w:rsidR="00525D20" w:rsidRPr="002B64E2" w:rsidRDefault="00525D20" w:rsidP="009D2F6B">
      <w:pPr>
        <w:pStyle w:val="Section"/>
      </w:pPr>
      <w:bookmarkStart w:id="25" w:name="_Toc192868612"/>
      <w:r w:rsidRPr="002B64E2">
        <w:t>Enhancing Azerbaijan’s ICT data systems</w:t>
      </w:r>
      <w:bookmarkEnd w:id="25"/>
    </w:p>
    <w:p w14:paraId="19401F3D" w14:textId="77777777" w:rsidR="00525D20" w:rsidRPr="002B64E2" w:rsidRDefault="00525D20" w:rsidP="00525D20">
      <w:pPr>
        <w:rPr>
          <w:rFonts w:ascii="Aptos" w:hAnsi="Aptos"/>
          <w:sz w:val="22"/>
          <w:szCs w:val="22"/>
        </w:rPr>
      </w:pPr>
      <w:r w:rsidRPr="002B64E2">
        <w:rPr>
          <w:rFonts w:ascii="Aptos" w:hAnsi="Aptos"/>
          <w:sz w:val="22"/>
          <w:szCs w:val="22"/>
        </w:rPr>
        <w:t xml:space="preserve">Azerbaijan has received </w:t>
      </w:r>
      <w:hyperlink r:id="rId135" w:history="1">
        <w:r w:rsidRPr="002B64E2">
          <w:rPr>
            <w:rStyle w:val="Hyperlink"/>
            <w:rFonts w:ascii="Aptos" w:hAnsi="Aptos"/>
            <w:sz w:val="22"/>
            <w:szCs w:val="22"/>
          </w:rPr>
          <w:t>comprehensive expert and technical assistance to enhance its national ICT data-collection and analysis systems</w:t>
        </w:r>
      </w:hyperlink>
      <w:r w:rsidRPr="002B64E2">
        <w:rPr>
          <w:rFonts w:ascii="Aptos" w:hAnsi="Aptos"/>
          <w:sz w:val="22"/>
          <w:szCs w:val="22"/>
        </w:rPr>
        <w:t>.</w:t>
      </w:r>
    </w:p>
    <w:p w14:paraId="4BFB1EFB" w14:textId="77777777" w:rsidR="00525D20" w:rsidRPr="002B64E2" w:rsidRDefault="00525D20" w:rsidP="009D2F6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The assistance, provided through an initiative led by the ITU Telecommunication Development Bureau, aims to align Azerbaijan's ICT data methodologies with international standards, making it possible to compare and analyse data in a meaningful way on a global scale. ITU's support includes training sessions for local experts, the development of data-collection tools, and the establishment of robust data-analysis frameworks.</w:t>
      </w:r>
    </w:p>
    <w:p w14:paraId="7BE06962" w14:textId="77777777" w:rsidR="00525D20" w:rsidRPr="002B64E2" w:rsidRDefault="00525D20" w:rsidP="009D2F6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The work focused on improving the accuracy and reliability of ICT data, which is crucial for informed decision-making and policy development. By adopting ITU data methodologies, Azerbaijan can better monitor and evaluate the progress of its ICT sector, identify gaps, and implement effective strategies for growth.</w:t>
      </w:r>
    </w:p>
    <w:p w14:paraId="6B37CB83" w14:textId="77777777" w:rsidR="00525D20" w:rsidRPr="002B64E2" w:rsidRDefault="00525D20" w:rsidP="009D2F6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Jeyhun Huseynzade, Head of the Strategic Analysis, Innovation, and Digitalization Department at the Ministry of Digital Development and Transport,</w:t>
      </w:r>
      <w:r w:rsidRPr="002B64E2" w:rsidDel="00EA3DA5">
        <w:rPr>
          <w:rFonts w:ascii="Aptos" w:eastAsia="Aptos" w:hAnsi="Aptos" w:cs="Arial"/>
          <w:kern w:val="2"/>
          <w:sz w:val="22"/>
          <w:szCs w:val="22"/>
          <w14:ligatures w14:val="standardContextual"/>
        </w:rPr>
        <w:t xml:space="preserve"> </w:t>
      </w:r>
      <w:r w:rsidRPr="002B64E2">
        <w:rPr>
          <w:rFonts w:ascii="Aptos" w:eastAsia="Aptos" w:hAnsi="Aptos" w:cs="Arial"/>
          <w:kern w:val="2"/>
          <w:sz w:val="22"/>
          <w:szCs w:val="22"/>
          <w14:ligatures w14:val="standardContextual"/>
        </w:rPr>
        <w:t>emphasized that global standardization of data allows meaningful comparisons and analyses of ICT trends on a global scale.</w:t>
      </w:r>
    </w:p>
    <w:p w14:paraId="5687449E" w14:textId="77777777" w:rsidR="00525D20" w:rsidRPr="002B64E2" w:rsidRDefault="00525D20" w:rsidP="009D2F6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“Adopting ITU standards and methodologies raises a nation’s profile and acknowledgment of its data internationally, promoting a spirit of cooperation and enabling better evidenced-based decision-making,” Mr. Huseynzade said.</w:t>
      </w:r>
    </w:p>
    <w:p w14:paraId="1E604E1F" w14:textId="77777777" w:rsidR="00525D20" w:rsidRPr="002B64E2" w:rsidRDefault="00525D20" w:rsidP="009D2F6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This collaboration underscores the commitment to fostering digital development and enhancing the capabilities of Member States in the CIS region. By strengthening its ICT infrastructure, Azerbaijan is contributing to the country’s socioeconomic development and integration into the global digital economy.</w:t>
      </w:r>
    </w:p>
    <w:p w14:paraId="6FA1C43D" w14:textId="77777777" w:rsidR="00525D20" w:rsidRPr="002B64E2" w:rsidRDefault="00525D20" w:rsidP="009D2F6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Azerbaijan is preparing to host the 2025 World Telecommunication Development Conference (WTDC) in Baku, 17-28 November, where global leaders and stakeholders will gather to discuss and develop strategies for advancing telecommunications and ICT development worldwide.</w:t>
      </w:r>
    </w:p>
    <w:p w14:paraId="5C58783F" w14:textId="77777777" w:rsidR="000061CF" w:rsidRPr="002B64E2" w:rsidRDefault="000061CF">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14:ligatures w14:val="standardContextual"/>
        </w:rPr>
      </w:pPr>
      <w:r w:rsidRPr="002B64E2">
        <w:br w:type="page"/>
      </w:r>
    </w:p>
    <w:p w14:paraId="0ABBFEF8" w14:textId="11BB5FD7" w:rsidR="00525D20" w:rsidRPr="002B64E2" w:rsidRDefault="00525D20" w:rsidP="009D2F6B">
      <w:pPr>
        <w:pStyle w:val="Section"/>
      </w:pPr>
      <w:bookmarkStart w:id="26" w:name="_Toc192868613"/>
      <w:r w:rsidRPr="002B64E2">
        <w:lastRenderedPageBreak/>
        <w:t>Regional forum in Kyrgyzstan highlights strategies for meaningful connectivity</w:t>
      </w:r>
      <w:bookmarkEnd w:id="26"/>
      <w:r w:rsidRPr="002B64E2">
        <w:t xml:space="preserve"> </w:t>
      </w:r>
    </w:p>
    <w:p w14:paraId="6931175B" w14:textId="77777777" w:rsidR="00525D20" w:rsidRPr="002B64E2" w:rsidRDefault="00525D20" w:rsidP="009D2F6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Experts, policymakers, and industry leaders came together in Kyrgyzstan in August 2023 to delve into key aspects of digital transformation.</w:t>
      </w:r>
    </w:p>
    <w:p w14:paraId="1B59DECB" w14:textId="77777777" w:rsidR="00525D20" w:rsidRPr="002B64E2" w:rsidRDefault="00525D20" w:rsidP="009D2F6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The three-day ITU Regional Forum on Digital Transformation was organized in collaboration with the Ministry of Digital Development of the Kyrgyz Republic and emphasized the critical role of collaboration and innovation in driving digital progress across the region.</w:t>
      </w:r>
    </w:p>
    <w:p w14:paraId="61C4D854" w14:textId="77777777" w:rsidR="00525D20" w:rsidRPr="002B64E2" w:rsidRDefault="00525D20" w:rsidP="009D2F6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The event focused on developing national digital transformation strategies, exploring innovative regulatory approaches, and enhancing infrastructure and connectivity. Participants shared experiences and best practices and promoted robust governance, regulatory flexibility, and universal service financing to ensure meaningful connectivity for all.</w:t>
      </w:r>
    </w:p>
    <w:p w14:paraId="57ABEC66" w14:textId="77777777" w:rsidR="00525D20" w:rsidRPr="002B64E2" w:rsidRDefault="00525D20" w:rsidP="009D2F6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Key sessions included discussions on institutional frameworks for digital transformation, technical and regulatory solutions for connecting the unconnected, and capacity building for informed decision-making. The forum provided a platform for regional cooperation, aiming to advance digital development agendas and foster sustainable growth through technology.</w:t>
      </w:r>
    </w:p>
    <w:p w14:paraId="7998F5BE" w14:textId="77777777" w:rsidR="00525D20" w:rsidRPr="002B64E2" w:rsidRDefault="00525D20" w:rsidP="009D2F6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The insights gained from the forum are expected to guide future initiatives and policies in the region.</w:t>
      </w:r>
    </w:p>
    <w:p w14:paraId="5329C867" w14:textId="77777777" w:rsidR="00525D20" w:rsidRPr="002B64E2" w:rsidRDefault="00525D20" w:rsidP="009D2F6B">
      <w:pPr>
        <w:pStyle w:val="Section"/>
      </w:pPr>
      <w:bookmarkStart w:id="27" w:name="_Toc192868614"/>
      <w:proofErr w:type="spellStart"/>
      <w:r w:rsidRPr="002B64E2">
        <w:t>Cyberdrills</w:t>
      </w:r>
      <w:proofErr w:type="spellEnd"/>
      <w:r w:rsidRPr="002B64E2">
        <w:t xml:space="preserve"> boost cybersecurity readiness across CIS countries</w:t>
      </w:r>
      <w:bookmarkEnd w:id="27"/>
      <w:r w:rsidRPr="002B64E2">
        <w:t xml:space="preserve"> </w:t>
      </w:r>
    </w:p>
    <w:p w14:paraId="04F9EBDE" w14:textId="77777777" w:rsidR="00525D20" w:rsidRPr="002B64E2" w:rsidRDefault="00525D20" w:rsidP="009D2F6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In a push to bolster cybersecurity readiness across CIS countries, the ITU Telecommunication Development Bureau organized national and regional </w:t>
      </w:r>
      <w:proofErr w:type="spellStart"/>
      <w:r w:rsidRPr="002B64E2">
        <w:rPr>
          <w:rFonts w:ascii="Aptos" w:eastAsia="Aptos" w:hAnsi="Aptos" w:cs="Arial"/>
          <w:kern w:val="2"/>
          <w:sz w:val="22"/>
          <w:szCs w:val="22"/>
          <w14:ligatures w14:val="standardContextual"/>
        </w:rPr>
        <w:t>cyberdrills</w:t>
      </w:r>
      <w:proofErr w:type="spellEnd"/>
      <w:r w:rsidRPr="002B64E2">
        <w:rPr>
          <w:rFonts w:ascii="Aptos" w:eastAsia="Aptos" w:hAnsi="Aptos" w:cs="Arial"/>
          <w:kern w:val="2"/>
          <w:sz w:val="22"/>
          <w:szCs w:val="22"/>
          <w14:ligatures w14:val="standardContextual"/>
        </w:rPr>
        <w:t xml:space="preserve"> in 2023 and 2024.</w:t>
      </w:r>
    </w:p>
    <w:p w14:paraId="02DA4BF7" w14:textId="77777777" w:rsidR="00525D20" w:rsidRPr="002B64E2" w:rsidRDefault="00525D20" w:rsidP="009D2F6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The events underscored the need for robust measures and international cooperation to combat evolving cyber threats.</w:t>
      </w:r>
    </w:p>
    <w:p w14:paraId="0BA0EB92" w14:textId="77777777" w:rsidR="00525D20" w:rsidRPr="002B64E2" w:rsidRDefault="00525D20" w:rsidP="009D2F6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In October 2023, Abu Dhabi hosted the Arab-CIS Inter-regional </w:t>
      </w:r>
      <w:proofErr w:type="spellStart"/>
      <w:r w:rsidRPr="002B64E2">
        <w:rPr>
          <w:rFonts w:ascii="Aptos" w:eastAsia="Aptos" w:hAnsi="Aptos" w:cs="Arial"/>
          <w:kern w:val="2"/>
          <w:sz w:val="22"/>
          <w:szCs w:val="22"/>
          <w14:ligatures w14:val="standardContextual"/>
        </w:rPr>
        <w:t>Cyberdrill</w:t>
      </w:r>
      <w:proofErr w:type="spellEnd"/>
      <w:r w:rsidRPr="002B64E2">
        <w:rPr>
          <w:rFonts w:ascii="Aptos" w:eastAsia="Aptos" w:hAnsi="Aptos" w:cs="Arial"/>
          <w:kern w:val="2"/>
          <w:sz w:val="22"/>
          <w:szCs w:val="22"/>
          <w14:ligatures w14:val="standardContextual"/>
        </w:rPr>
        <w:t>, where experts repelled simulated cyber-attacks, sharing best practices and strategies. The cyber-training participants from the CIS region represented Armenia, Azerbaijan, Belarus, Kazakhstan, Kyrgyzstan, Russia, Tajikistan, Turkmenistan and Uzbekistan.</w:t>
      </w:r>
    </w:p>
    <w:p w14:paraId="3779F34B" w14:textId="77777777" w:rsidR="00525D20" w:rsidRPr="002B64E2" w:rsidRDefault="00525D20" w:rsidP="009D2F6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The event stressed the importance of national Computer Incident Response Teams (CIRTs) and Computer Security Incident Response Teams (CSIRTs) in building cyber resilience. The event concluded with a commitment to strengthen cybersecurity frameworks and international cooperation.</w:t>
      </w:r>
    </w:p>
    <w:p w14:paraId="5C775801" w14:textId="77777777" w:rsidR="00525D20" w:rsidRPr="002B64E2" w:rsidRDefault="00525D20" w:rsidP="009D2F6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In December 2024 in Yerevan, Armenia’s capital, a national </w:t>
      </w:r>
      <w:proofErr w:type="spellStart"/>
      <w:r w:rsidRPr="002B64E2">
        <w:rPr>
          <w:rFonts w:ascii="Aptos" w:eastAsia="Aptos" w:hAnsi="Aptos" w:cs="Arial"/>
          <w:kern w:val="2"/>
          <w:sz w:val="22"/>
          <w:szCs w:val="22"/>
          <w14:ligatures w14:val="standardContextual"/>
        </w:rPr>
        <w:t>cyberdrill</w:t>
      </w:r>
      <w:proofErr w:type="spellEnd"/>
      <w:r w:rsidRPr="002B64E2">
        <w:rPr>
          <w:rFonts w:ascii="Aptos" w:eastAsia="Aptos" w:hAnsi="Aptos" w:cs="Arial"/>
          <w:kern w:val="2"/>
          <w:sz w:val="22"/>
          <w:szCs w:val="22"/>
          <w14:ligatures w14:val="standardContextual"/>
        </w:rPr>
        <w:t xml:space="preserve"> boosted cybersecurity readiness and resilience among the country’s critical infrastructure operators. </w:t>
      </w:r>
    </w:p>
    <w:p w14:paraId="69781220" w14:textId="77777777" w:rsidR="00525D20" w:rsidRPr="002B64E2" w:rsidRDefault="00525D20" w:rsidP="009D2F6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“Such events are an excellent opportunity for our cyber-</w:t>
      </w:r>
      <w:proofErr w:type="spellStart"/>
      <w:r w:rsidRPr="002B64E2">
        <w:rPr>
          <w:rFonts w:ascii="Aptos" w:eastAsia="Aptos" w:hAnsi="Aptos" w:cs="Arial"/>
          <w:kern w:val="2"/>
          <w:sz w:val="22"/>
          <w:szCs w:val="22"/>
          <w14:ligatures w14:val="standardContextual"/>
        </w:rPr>
        <w:t>defense</w:t>
      </w:r>
      <w:proofErr w:type="spellEnd"/>
      <w:r w:rsidRPr="002B64E2">
        <w:rPr>
          <w:rFonts w:ascii="Aptos" w:eastAsia="Aptos" w:hAnsi="Aptos" w:cs="Arial"/>
          <w:kern w:val="2"/>
          <w:sz w:val="22"/>
          <w:szCs w:val="22"/>
          <w14:ligatures w14:val="standardContextual"/>
        </w:rPr>
        <w:t xml:space="preserve"> personnel to face realistic challenges and connect with other CIRTs, with whom we later establish continuous partnerships and share the experience,” said Dr Gevorg </w:t>
      </w:r>
      <w:proofErr w:type="spellStart"/>
      <w:r w:rsidRPr="002B64E2">
        <w:rPr>
          <w:rFonts w:ascii="Aptos" w:eastAsia="Aptos" w:hAnsi="Aptos" w:cs="Arial"/>
          <w:kern w:val="2"/>
          <w:sz w:val="22"/>
          <w:szCs w:val="22"/>
          <w14:ligatures w14:val="standardContextual"/>
        </w:rPr>
        <w:t>Mantashyan</w:t>
      </w:r>
      <w:proofErr w:type="spellEnd"/>
      <w:r w:rsidRPr="002B64E2">
        <w:rPr>
          <w:rFonts w:ascii="Aptos" w:eastAsia="Aptos" w:hAnsi="Aptos" w:cs="Arial"/>
          <w:kern w:val="2"/>
          <w:sz w:val="22"/>
          <w:szCs w:val="22"/>
          <w14:ligatures w14:val="standardContextual"/>
        </w:rPr>
        <w:t>, the Republic of Armenia’s First Deputy Minister of High-Tech Industry.</w:t>
      </w:r>
    </w:p>
    <w:p w14:paraId="3E5C47D1" w14:textId="77777777" w:rsidR="00525D20" w:rsidRPr="002B64E2" w:rsidRDefault="00525D20" w:rsidP="009D2F6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Armenia’s event highlighted cross-sector collaboration and capacity building and focused on the latest cybersecurity trends and challenges. More than 200 professionals participated.</w:t>
      </w:r>
    </w:p>
    <w:p w14:paraId="4B8D96EC" w14:textId="289C1765" w:rsidR="00E03647" w:rsidRPr="002B64E2" w:rsidRDefault="00E03647" w:rsidP="0039492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br w:type="page"/>
      </w:r>
    </w:p>
    <w:p w14:paraId="3EEF5D22" w14:textId="6C155758" w:rsidR="006C41B5" w:rsidRPr="002B64E2" w:rsidRDefault="006C41B5" w:rsidP="000C3666">
      <w:pPr>
        <w:pStyle w:val="Parttitle0"/>
      </w:pPr>
      <w:bookmarkStart w:id="28" w:name="_Toc192868615"/>
      <w:r w:rsidRPr="002B64E2">
        <w:lastRenderedPageBreak/>
        <w:t>Annex</w:t>
      </w:r>
      <w:r w:rsidR="00DC4955" w:rsidRPr="002B64E2">
        <w:t>:</w:t>
      </w:r>
      <w:r w:rsidRPr="002B64E2">
        <w:t xml:space="preserve"> Data resources</w:t>
      </w:r>
      <w:bookmarkEnd w:id="28"/>
      <w:r w:rsidRPr="002B64E2">
        <w:t xml:space="preserve"> </w:t>
      </w:r>
    </w:p>
    <w:p w14:paraId="68ABB30D" w14:textId="213A701E" w:rsidR="009F1CDD" w:rsidRPr="002B64E2" w:rsidRDefault="009F1CDD" w:rsidP="009F1CDD">
      <w:pPr>
        <w:autoSpaceDE/>
        <w:autoSpaceDN/>
        <w:adjustRightInd/>
        <w:spacing w:after="160" w:line="259" w:lineRule="auto"/>
        <w:textAlignment w:val="auto"/>
        <w:rPr>
          <w:rFonts w:ascii="Aptos" w:eastAsia="Aptos" w:hAnsi="Aptos" w:cs="Arial"/>
          <w:kern w:val="2"/>
          <w:sz w:val="22"/>
          <w:szCs w:val="22"/>
          <w14:ligatures w14:val="standardContextual"/>
        </w:rPr>
      </w:pPr>
      <w:r w:rsidRPr="002B64E2">
        <w:rPr>
          <w:rFonts w:ascii="Aptos" w:eastAsia="Aptos" w:hAnsi="Aptos" w:cs="Arial"/>
          <w:kern w:val="2"/>
          <w:sz w:val="22"/>
          <w:szCs w:val="22"/>
          <w14:ligatures w14:val="standardContextual"/>
        </w:rPr>
        <w:t xml:space="preserve">To ensure up-to-date information, and enhance readability, all data presented in this </w:t>
      </w:r>
      <w:r w:rsidR="00202F61" w:rsidRPr="002B64E2">
        <w:rPr>
          <w:rFonts w:ascii="Aptos" w:eastAsia="Aptos" w:hAnsi="Aptos" w:cs="Arial"/>
          <w:kern w:val="2"/>
          <w:sz w:val="22"/>
          <w:szCs w:val="22"/>
          <w14:ligatures w14:val="standardContextual"/>
        </w:rPr>
        <w:t>document</w:t>
      </w:r>
      <w:r w:rsidRPr="002B64E2">
        <w:rPr>
          <w:rFonts w:ascii="Aptos" w:eastAsia="Aptos" w:hAnsi="Aptos" w:cs="Arial"/>
          <w:kern w:val="2"/>
          <w:sz w:val="22"/>
          <w:szCs w:val="22"/>
          <w14:ligatures w14:val="standardContextual"/>
        </w:rPr>
        <w:t xml:space="preserve"> are available for download as Excel files:</w:t>
      </w:r>
    </w:p>
    <w:p w14:paraId="67232335" w14:textId="6D31D759" w:rsidR="005430F0" w:rsidRPr="002B64E2" w:rsidRDefault="005430F0" w:rsidP="003F2687">
      <w:pPr>
        <w:pStyle w:val="ListParagraph"/>
        <w:numPr>
          <w:ilvl w:val="0"/>
          <w:numId w:val="27"/>
        </w:numPr>
        <w:rPr>
          <w:rFonts w:ascii="Aptos" w:hAnsi="Aptos"/>
          <w:sz w:val="22"/>
          <w:szCs w:val="22"/>
        </w:rPr>
      </w:pPr>
      <w:hyperlink r:id="rId136" w:history="1">
        <w:r w:rsidRPr="002B64E2">
          <w:rPr>
            <w:rStyle w:val="Hyperlink"/>
            <w:rFonts w:ascii="Aptos" w:hAnsi="Aptos"/>
            <w:sz w:val="22"/>
            <w:szCs w:val="22"/>
          </w:rPr>
          <w:t>Country-level data</w:t>
        </w:r>
      </w:hyperlink>
      <w:r w:rsidRPr="002B64E2">
        <w:rPr>
          <w:rFonts w:ascii="Aptos" w:hAnsi="Aptos"/>
          <w:sz w:val="22"/>
          <w:szCs w:val="22"/>
        </w:rPr>
        <w:t xml:space="preserve"> organized by tabs corresponding to the sections of this </w:t>
      </w:r>
      <w:r w:rsidR="00202F61" w:rsidRPr="002B64E2">
        <w:rPr>
          <w:rFonts w:ascii="Aptos" w:hAnsi="Aptos"/>
          <w:sz w:val="22"/>
          <w:szCs w:val="22"/>
        </w:rPr>
        <w:t>document</w:t>
      </w:r>
      <w:r w:rsidRPr="002B64E2">
        <w:rPr>
          <w:rFonts w:ascii="Aptos" w:hAnsi="Aptos"/>
          <w:sz w:val="22"/>
          <w:szCs w:val="22"/>
        </w:rPr>
        <w:t xml:space="preserve"> (URL: </w:t>
      </w:r>
      <w:hyperlink r:id="rId137" w:history="1">
        <w:r w:rsidR="00445C66" w:rsidRPr="002B64E2">
          <w:rPr>
            <w:rStyle w:val="Hyperlink"/>
            <w:rFonts w:ascii="Aptos" w:eastAsia="Aptos" w:hAnsi="Aptos"/>
            <w:sz w:val="22"/>
            <w:szCs w:val="22"/>
          </w:rPr>
          <w:t>https://www.itu.int/en/ITU-D/Statistics/Documents/facts/rpm_cis_pub_2025_data.xlsx</w:t>
        </w:r>
      </w:hyperlink>
      <w:r w:rsidR="00326380" w:rsidRPr="002B64E2">
        <w:rPr>
          <w:rFonts w:ascii="Aptos" w:hAnsi="Aptos"/>
          <w:sz w:val="22"/>
          <w:szCs w:val="22"/>
        </w:rPr>
        <w:t>).</w:t>
      </w:r>
      <w:r w:rsidRPr="002B64E2">
        <w:rPr>
          <w:rFonts w:ascii="Aptos" w:hAnsi="Aptos"/>
          <w:sz w:val="22"/>
          <w:szCs w:val="22"/>
        </w:rPr>
        <w:t xml:space="preserve"> Country level data were extracted from the </w:t>
      </w:r>
      <w:hyperlink r:id="rId138" w:history="1">
        <w:r w:rsidRPr="002B64E2">
          <w:rPr>
            <w:rStyle w:val="Hyperlink"/>
            <w:rFonts w:ascii="Aptos" w:hAnsi="Aptos"/>
            <w:sz w:val="22"/>
            <w:szCs w:val="22"/>
          </w:rPr>
          <w:t xml:space="preserve">ITU </w:t>
        </w:r>
        <w:proofErr w:type="spellStart"/>
        <w:r w:rsidRPr="002B64E2">
          <w:rPr>
            <w:rStyle w:val="Hyperlink"/>
            <w:rFonts w:ascii="Aptos" w:hAnsi="Aptos"/>
            <w:sz w:val="22"/>
            <w:szCs w:val="22"/>
          </w:rPr>
          <w:t>DataHub</w:t>
        </w:r>
        <w:proofErr w:type="spellEnd"/>
      </w:hyperlink>
      <w:r w:rsidRPr="002B64E2">
        <w:rPr>
          <w:rFonts w:ascii="Aptos" w:hAnsi="Aptos"/>
          <w:sz w:val="22"/>
          <w:szCs w:val="22"/>
        </w:rPr>
        <w:t xml:space="preserve">, reflecting the </w:t>
      </w:r>
      <w:r w:rsidR="00ED6F1D" w:rsidRPr="002B64E2">
        <w:rPr>
          <w:rFonts w:ascii="Aptos" w:hAnsi="Aptos"/>
          <w:sz w:val="22"/>
          <w:szCs w:val="22"/>
        </w:rPr>
        <w:t>February</w:t>
      </w:r>
      <w:r w:rsidRPr="002B64E2">
        <w:rPr>
          <w:rFonts w:ascii="Aptos" w:hAnsi="Aptos"/>
          <w:sz w:val="22"/>
          <w:szCs w:val="22"/>
        </w:rPr>
        <w:t xml:space="preserve"> 2025 data release.</w:t>
      </w:r>
    </w:p>
    <w:p w14:paraId="4A0A93A0" w14:textId="5DC5FCC3" w:rsidR="005430F0" w:rsidRPr="002B64E2" w:rsidRDefault="005430F0" w:rsidP="003F2687">
      <w:pPr>
        <w:pStyle w:val="ListParagraph"/>
        <w:numPr>
          <w:ilvl w:val="0"/>
          <w:numId w:val="27"/>
        </w:numPr>
        <w:rPr>
          <w:rFonts w:ascii="Aptos" w:hAnsi="Aptos"/>
          <w:sz w:val="22"/>
          <w:szCs w:val="22"/>
        </w:rPr>
      </w:pPr>
      <w:hyperlink r:id="rId139" w:history="1">
        <w:r w:rsidRPr="002B64E2">
          <w:rPr>
            <w:rStyle w:val="Hyperlink"/>
            <w:rFonts w:ascii="Aptos" w:hAnsi="Aptos"/>
            <w:sz w:val="22"/>
            <w:szCs w:val="22"/>
          </w:rPr>
          <w:t>Regional and global estimates</w:t>
        </w:r>
      </w:hyperlink>
      <w:r w:rsidRPr="002B64E2">
        <w:rPr>
          <w:rFonts w:ascii="Aptos" w:hAnsi="Aptos"/>
          <w:sz w:val="22"/>
          <w:szCs w:val="22"/>
        </w:rPr>
        <w:t xml:space="preserve">, as compiled for </w:t>
      </w:r>
      <w:hyperlink r:id="rId140" w:history="1">
        <w:r w:rsidRPr="002B64E2">
          <w:rPr>
            <w:rStyle w:val="Hyperlink"/>
            <w:rFonts w:ascii="Aptos" w:hAnsi="Aptos"/>
            <w:sz w:val="22"/>
            <w:szCs w:val="22"/>
          </w:rPr>
          <w:t>Facts and Figures 2024</w:t>
        </w:r>
      </w:hyperlink>
      <w:r w:rsidR="00065473" w:rsidRPr="002B64E2">
        <w:t xml:space="preserve"> </w:t>
      </w:r>
      <w:r w:rsidRPr="002B64E2">
        <w:rPr>
          <w:rFonts w:ascii="Aptos" w:hAnsi="Aptos"/>
          <w:sz w:val="22"/>
          <w:szCs w:val="22"/>
        </w:rPr>
        <w:t>(URL:</w:t>
      </w:r>
      <w:r w:rsidR="003F2687" w:rsidRPr="002B64E2">
        <w:rPr>
          <w:rFonts w:ascii="Aptos" w:hAnsi="Aptos"/>
          <w:sz w:val="22"/>
          <w:szCs w:val="22"/>
        </w:rPr>
        <w:t xml:space="preserve"> </w:t>
      </w:r>
      <w:hyperlink r:id="rId141" w:history="1">
        <w:r w:rsidR="003F2687" w:rsidRPr="002B64E2">
          <w:rPr>
            <w:rStyle w:val="Hyperlink"/>
            <w:rFonts w:ascii="Aptos" w:hAnsi="Aptos"/>
            <w:sz w:val="22"/>
            <w:szCs w:val="22"/>
          </w:rPr>
          <w:t>https://www.itu.int/en/ITUD/Statistics/Documents/facts/ITU_regional_global_Key_ICT_indicator_aggregates_Nov_2024.xlsx</w:t>
        </w:r>
      </w:hyperlink>
      <w:r w:rsidRPr="002B64E2">
        <w:rPr>
          <w:rFonts w:ascii="Aptos" w:hAnsi="Aptos"/>
          <w:sz w:val="22"/>
          <w:szCs w:val="22"/>
        </w:rPr>
        <w:t>).</w:t>
      </w:r>
    </w:p>
    <w:p w14:paraId="5B29B2A3" w14:textId="3128A80E" w:rsidR="00923CF1" w:rsidRPr="002B64E2" w:rsidRDefault="008131AB" w:rsidP="008131AB">
      <w:pPr>
        <w:tabs>
          <w:tab w:val="clear" w:pos="794"/>
          <w:tab w:val="clear" w:pos="1191"/>
          <w:tab w:val="clear" w:pos="1588"/>
          <w:tab w:val="clear" w:pos="1985"/>
        </w:tabs>
        <w:overflowPunct/>
        <w:autoSpaceDE/>
        <w:autoSpaceDN/>
        <w:adjustRightInd/>
        <w:spacing w:before="0" w:after="160" w:line="259" w:lineRule="auto"/>
        <w:jc w:val="center"/>
        <w:textAlignment w:val="auto"/>
        <w:rPr>
          <w:rFonts w:ascii="Aptos" w:hAnsi="Aptos"/>
          <w:sz w:val="22"/>
          <w:szCs w:val="22"/>
        </w:rPr>
      </w:pPr>
      <w:r>
        <w:rPr>
          <w:rFonts w:ascii="Aptos" w:hAnsi="Aptos"/>
          <w:sz w:val="22"/>
          <w:szCs w:val="22"/>
        </w:rPr>
        <w:t>________________</w:t>
      </w:r>
    </w:p>
    <w:sectPr w:rsidR="00923CF1" w:rsidRPr="002B64E2" w:rsidSect="008C7A35">
      <w:headerReference w:type="default" r:id="rId142"/>
      <w:footerReference w:type="first" r:id="rId143"/>
      <w:pgSz w:w="11907" w:h="16834" w:code="9"/>
      <w:pgMar w:top="1418" w:right="1134" w:bottom="1418" w:left="1134" w:header="720"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7506A4" w14:textId="77777777" w:rsidR="00D77AB1" w:rsidRDefault="00D77AB1">
      <w:r>
        <w:separator/>
      </w:r>
    </w:p>
  </w:endnote>
  <w:endnote w:type="continuationSeparator" w:id="0">
    <w:p w14:paraId="35FFEE67" w14:textId="77777777" w:rsidR="00D77AB1" w:rsidRDefault="00D77AB1">
      <w:r>
        <w:continuationSeparator/>
      </w:r>
    </w:p>
  </w:endnote>
  <w:endnote w:type="continuationNotice" w:id="1">
    <w:p w14:paraId="0F9672C7" w14:textId="77777777" w:rsidR="00D77AB1" w:rsidRDefault="00D77AB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Avenir Next W1G">
    <w:altName w:val="Calibri"/>
    <w:panose1 w:val="00000000000000000000"/>
    <w:charset w:val="00"/>
    <w:family w:val="swiss"/>
    <w:notTrueType/>
    <w:pitch w:val="variable"/>
    <w:sig w:usb0="A00002EF" w:usb1="00000003"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AvenirNext LT Pro Light">
    <w:altName w:val="Calibri"/>
    <w:panose1 w:val="00000000000000000000"/>
    <w:charset w:val="00"/>
    <w:family w:val="swiss"/>
    <w:notTrueType/>
    <w:pitch w:val="variable"/>
    <w:sig w:usb0="A00000AF" w:usb1="5000204B"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rial Unicode MS">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Verdana">
    <w:panose1 w:val="020B0604030504040204"/>
    <w:charset w:val="CC"/>
    <w:family w:val="swiss"/>
    <w:pitch w:val="variable"/>
    <w:sig w:usb0="A00006FF" w:usb1="4000205B" w:usb2="00000010" w:usb3="00000000" w:csb0="0000019F" w:csb1="00000000"/>
  </w:font>
  <w:font w:name="Aptos Narrow">
    <w:altName w:val="Calibri"/>
    <w:charset w:val="00"/>
    <w:family w:val="swiss"/>
    <w:pitch w:val="variable"/>
    <w:sig w:usb0="20000287" w:usb1="00000003"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3" w:type="dxa"/>
      <w:tblLayout w:type="fixed"/>
      <w:tblLook w:val="04A0" w:firstRow="1" w:lastRow="0" w:firstColumn="1" w:lastColumn="0" w:noHBand="0" w:noVBand="1"/>
    </w:tblPr>
    <w:tblGrid>
      <w:gridCol w:w="1526"/>
      <w:gridCol w:w="2410"/>
      <w:gridCol w:w="5987"/>
    </w:tblGrid>
    <w:tr w:rsidR="00EA2854" w:rsidRPr="004D495C" w14:paraId="695D1810" w14:textId="77777777" w:rsidTr="00F44F26">
      <w:tc>
        <w:tcPr>
          <w:tcW w:w="1526" w:type="dxa"/>
          <w:tcBorders>
            <w:top w:val="single" w:sz="4" w:space="0" w:color="000000"/>
          </w:tcBorders>
          <w:shd w:val="clear" w:color="auto" w:fill="auto"/>
        </w:tcPr>
        <w:p w14:paraId="746E5A61" w14:textId="4D568A12" w:rsidR="00EA2854" w:rsidRPr="004D495C" w:rsidRDefault="00EA2854" w:rsidP="00EA2854">
          <w:pPr>
            <w:pStyle w:val="FirstFooter"/>
            <w:tabs>
              <w:tab w:val="left" w:pos="1559"/>
              <w:tab w:val="left" w:pos="3828"/>
            </w:tabs>
            <w:rPr>
              <w:sz w:val="18"/>
              <w:szCs w:val="18"/>
            </w:rPr>
          </w:pPr>
          <w:r w:rsidRPr="004D495C">
            <w:rPr>
              <w:sz w:val="18"/>
              <w:szCs w:val="18"/>
              <w:lang w:val="en-US"/>
            </w:rPr>
            <w:t>Contact:</w:t>
          </w:r>
        </w:p>
      </w:tc>
      <w:tc>
        <w:tcPr>
          <w:tcW w:w="2410" w:type="dxa"/>
          <w:tcBorders>
            <w:top w:val="single" w:sz="4" w:space="0" w:color="000000"/>
          </w:tcBorders>
          <w:shd w:val="clear" w:color="auto" w:fill="auto"/>
        </w:tcPr>
        <w:p w14:paraId="488E41E2" w14:textId="5351BA68" w:rsidR="00EA2854" w:rsidRPr="004D495C" w:rsidRDefault="00EA2854" w:rsidP="00EA2854">
          <w:pPr>
            <w:pStyle w:val="FirstFooter"/>
            <w:tabs>
              <w:tab w:val="left" w:pos="2302"/>
            </w:tabs>
            <w:ind w:left="2302" w:hanging="2302"/>
            <w:rPr>
              <w:sz w:val="18"/>
              <w:szCs w:val="18"/>
              <w:lang w:val="en-US"/>
            </w:rPr>
          </w:pPr>
          <w:r w:rsidRPr="004D495C">
            <w:rPr>
              <w:sz w:val="18"/>
              <w:szCs w:val="18"/>
              <w:lang w:val="en-US"/>
            </w:rPr>
            <w:t>Name/Organization/Entity:</w:t>
          </w:r>
        </w:p>
      </w:tc>
      <w:tc>
        <w:tcPr>
          <w:tcW w:w="5987" w:type="dxa"/>
          <w:tcBorders>
            <w:top w:val="single" w:sz="4" w:space="0" w:color="000000"/>
          </w:tcBorders>
        </w:tcPr>
        <w:p w14:paraId="148264AE" w14:textId="01690D03" w:rsidR="00EA2854" w:rsidRPr="00AF7A97" w:rsidRDefault="00EA2854" w:rsidP="00EA2854">
          <w:pPr>
            <w:pStyle w:val="FirstFooter"/>
            <w:tabs>
              <w:tab w:val="left" w:pos="2302"/>
            </w:tabs>
            <w:rPr>
              <w:sz w:val="18"/>
              <w:szCs w:val="18"/>
              <w:lang w:val="en-US"/>
            </w:rPr>
          </w:pPr>
          <w:proofErr w:type="spellStart"/>
          <w:r>
            <w:rPr>
              <w:sz w:val="18"/>
              <w:szCs w:val="18"/>
              <w:lang w:val="en-US"/>
            </w:rPr>
            <w:t>Mr</w:t>
          </w:r>
          <w:proofErr w:type="spellEnd"/>
          <w:r>
            <w:rPr>
              <w:sz w:val="18"/>
              <w:szCs w:val="18"/>
              <w:lang w:val="en-US"/>
            </w:rPr>
            <w:t xml:space="preserve"> Thierry Geiger, ITU/</w:t>
          </w:r>
          <w:r w:rsidRPr="00E65B99">
            <w:rPr>
              <w:sz w:val="18"/>
              <w:szCs w:val="18"/>
              <w:lang w:val="en-US"/>
            </w:rPr>
            <w:t>BDT/DKS/IDA</w:t>
          </w:r>
        </w:p>
      </w:tc>
      <w:bookmarkStart w:id="31" w:name="OrgName"/>
      <w:bookmarkEnd w:id="31"/>
    </w:tr>
    <w:tr w:rsidR="00EA2854" w:rsidRPr="004D495C" w14:paraId="61167678" w14:textId="77777777" w:rsidTr="00F44F26">
      <w:tc>
        <w:tcPr>
          <w:tcW w:w="1526" w:type="dxa"/>
          <w:shd w:val="clear" w:color="auto" w:fill="auto"/>
        </w:tcPr>
        <w:p w14:paraId="33710823" w14:textId="77777777" w:rsidR="00EA2854" w:rsidRPr="004D495C" w:rsidRDefault="00EA2854" w:rsidP="00EA2854">
          <w:pPr>
            <w:pStyle w:val="FirstFooter"/>
            <w:tabs>
              <w:tab w:val="left" w:pos="1559"/>
              <w:tab w:val="left" w:pos="3828"/>
            </w:tabs>
            <w:rPr>
              <w:sz w:val="20"/>
              <w:lang w:val="en-US"/>
            </w:rPr>
          </w:pPr>
        </w:p>
      </w:tc>
      <w:tc>
        <w:tcPr>
          <w:tcW w:w="2410" w:type="dxa"/>
          <w:shd w:val="clear" w:color="auto" w:fill="auto"/>
        </w:tcPr>
        <w:p w14:paraId="1251F6E4" w14:textId="41E91519" w:rsidR="00EA2854" w:rsidRPr="004D495C" w:rsidRDefault="00EA2854" w:rsidP="00EA2854">
          <w:pPr>
            <w:pStyle w:val="FirstFooter"/>
            <w:tabs>
              <w:tab w:val="left" w:pos="2302"/>
            </w:tabs>
            <w:rPr>
              <w:sz w:val="18"/>
              <w:szCs w:val="18"/>
              <w:lang w:val="en-US"/>
            </w:rPr>
          </w:pPr>
          <w:r w:rsidRPr="004D495C">
            <w:rPr>
              <w:sz w:val="18"/>
              <w:szCs w:val="18"/>
              <w:lang w:val="en-US"/>
            </w:rPr>
            <w:t>Phone number:</w:t>
          </w:r>
        </w:p>
      </w:tc>
      <w:tc>
        <w:tcPr>
          <w:tcW w:w="5987" w:type="dxa"/>
        </w:tcPr>
        <w:p w14:paraId="6D7949F0" w14:textId="25DB25FE" w:rsidR="00EA2854" w:rsidRPr="00AF7A97" w:rsidRDefault="00EA2854" w:rsidP="00EA2854">
          <w:pPr>
            <w:pStyle w:val="FirstFooter"/>
            <w:tabs>
              <w:tab w:val="left" w:pos="2302"/>
            </w:tabs>
            <w:rPr>
              <w:sz w:val="18"/>
              <w:szCs w:val="18"/>
              <w:lang w:val="en-US"/>
            </w:rPr>
          </w:pPr>
          <w:r w:rsidRPr="00803D44">
            <w:rPr>
              <w:sz w:val="18"/>
              <w:szCs w:val="18"/>
              <w:lang w:val="en-US"/>
            </w:rPr>
            <w:t>+41</w:t>
          </w:r>
          <w:r>
            <w:rPr>
              <w:sz w:val="18"/>
              <w:szCs w:val="18"/>
              <w:lang w:val="en-US"/>
            </w:rPr>
            <w:t xml:space="preserve"> </w:t>
          </w:r>
          <w:r w:rsidRPr="00803D44">
            <w:rPr>
              <w:sz w:val="18"/>
              <w:szCs w:val="18"/>
              <w:lang w:val="en-US"/>
            </w:rPr>
            <w:t>22</w:t>
          </w:r>
          <w:r>
            <w:rPr>
              <w:sz w:val="18"/>
              <w:szCs w:val="18"/>
              <w:lang w:val="en-US"/>
            </w:rPr>
            <w:t xml:space="preserve"> </w:t>
          </w:r>
          <w:r w:rsidRPr="00803D44">
            <w:rPr>
              <w:sz w:val="18"/>
              <w:szCs w:val="18"/>
              <w:lang w:val="en-US"/>
            </w:rPr>
            <w:t>730</w:t>
          </w:r>
          <w:r>
            <w:rPr>
              <w:sz w:val="18"/>
              <w:szCs w:val="18"/>
              <w:lang w:val="en-US"/>
            </w:rPr>
            <w:t xml:space="preserve"> </w:t>
          </w:r>
          <w:r w:rsidRPr="00803D44">
            <w:rPr>
              <w:sz w:val="18"/>
              <w:szCs w:val="18"/>
              <w:lang w:val="en-US"/>
            </w:rPr>
            <w:t>5094</w:t>
          </w:r>
        </w:p>
      </w:tc>
      <w:bookmarkStart w:id="32" w:name="PhoneNo"/>
      <w:bookmarkEnd w:id="32"/>
    </w:tr>
    <w:tr w:rsidR="00EA2854" w:rsidRPr="004D495C" w14:paraId="0299A231" w14:textId="77777777" w:rsidTr="00F44F26">
      <w:tc>
        <w:tcPr>
          <w:tcW w:w="1526" w:type="dxa"/>
          <w:shd w:val="clear" w:color="auto" w:fill="auto"/>
        </w:tcPr>
        <w:p w14:paraId="35CBC438" w14:textId="77777777" w:rsidR="00EA2854" w:rsidRPr="004D495C" w:rsidRDefault="00EA2854" w:rsidP="00EA2854">
          <w:pPr>
            <w:pStyle w:val="FirstFooter"/>
            <w:tabs>
              <w:tab w:val="left" w:pos="1559"/>
              <w:tab w:val="left" w:pos="3828"/>
            </w:tabs>
            <w:rPr>
              <w:sz w:val="20"/>
              <w:lang w:val="en-US"/>
            </w:rPr>
          </w:pPr>
        </w:p>
      </w:tc>
      <w:tc>
        <w:tcPr>
          <w:tcW w:w="2410" w:type="dxa"/>
          <w:shd w:val="clear" w:color="auto" w:fill="auto"/>
        </w:tcPr>
        <w:p w14:paraId="65335E06" w14:textId="26A23C42" w:rsidR="00EA2854" w:rsidRPr="004D495C" w:rsidRDefault="00EA2854" w:rsidP="00EA2854">
          <w:pPr>
            <w:pStyle w:val="FirstFooter"/>
            <w:tabs>
              <w:tab w:val="left" w:pos="2302"/>
            </w:tabs>
            <w:rPr>
              <w:sz w:val="18"/>
              <w:szCs w:val="18"/>
              <w:lang w:val="en-US"/>
            </w:rPr>
          </w:pPr>
          <w:r w:rsidRPr="004D495C">
            <w:rPr>
              <w:sz w:val="18"/>
              <w:szCs w:val="18"/>
              <w:lang w:val="en-US"/>
            </w:rPr>
            <w:t>E-mail:</w:t>
          </w:r>
        </w:p>
      </w:tc>
      <w:tc>
        <w:tcPr>
          <w:tcW w:w="5987" w:type="dxa"/>
        </w:tcPr>
        <w:p w14:paraId="7EAB0988" w14:textId="38EE6746" w:rsidR="00EA2854" w:rsidRPr="00AF7A97" w:rsidRDefault="00EA2854" w:rsidP="00EA2854">
          <w:pPr>
            <w:pStyle w:val="FirstFooter"/>
            <w:tabs>
              <w:tab w:val="left" w:pos="2302"/>
            </w:tabs>
            <w:rPr>
              <w:sz w:val="18"/>
              <w:szCs w:val="18"/>
              <w:lang w:val="en-US"/>
            </w:rPr>
          </w:pPr>
          <w:hyperlink r:id="rId1" w:history="1">
            <w:r w:rsidRPr="00A4380F">
              <w:rPr>
                <w:rStyle w:val="Hyperlink"/>
                <w:sz w:val="18"/>
                <w:szCs w:val="18"/>
                <w:lang w:val="en-US"/>
              </w:rPr>
              <w:t>thierry.geiger@itu.int</w:t>
            </w:r>
          </w:hyperlink>
          <w:r>
            <w:rPr>
              <w:sz w:val="18"/>
              <w:szCs w:val="18"/>
              <w:lang w:val="en-US"/>
            </w:rPr>
            <w:t xml:space="preserve"> </w:t>
          </w:r>
        </w:p>
      </w:tc>
      <w:bookmarkStart w:id="33" w:name="Email"/>
      <w:bookmarkEnd w:id="33"/>
    </w:tr>
  </w:tbl>
  <w:p w14:paraId="40A321D0" w14:textId="1C276101" w:rsidR="00721657" w:rsidRPr="004146FD" w:rsidRDefault="00721657" w:rsidP="00030397">
    <w:pPr>
      <w:pStyle w:val="Footer"/>
      <w:jc w:val="center"/>
      <w:rPr>
        <w:sz w:val="18"/>
        <w:szCs w:val="1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5F397" w14:textId="77777777" w:rsidR="00D77AB1" w:rsidRDefault="00D77AB1">
      <w:r>
        <w:t>____________________</w:t>
      </w:r>
    </w:p>
  </w:footnote>
  <w:footnote w:type="continuationSeparator" w:id="0">
    <w:p w14:paraId="2F16D046" w14:textId="77777777" w:rsidR="00D77AB1" w:rsidRDefault="00D77AB1">
      <w:r>
        <w:continuationSeparator/>
      </w:r>
    </w:p>
  </w:footnote>
  <w:footnote w:type="continuationNotice" w:id="1">
    <w:p w14:paraId="65746799" w14:textId="77777777" w:rsidR="00D77AB1" w:rsidRDefault="00D77AB1">
      <w:pPr>
        <w:spacing w:before="0"/>
      </w:pPr>
    </w:p>
  </w:footnote>
  <w:footnote w:id="2">
    <w:p w14:paraId="67833FAC" w14:textId="6CC1EBD7" w:rsidR="006C41B5" w:rsidRPr="00EF36CD" w:rsidRDefault="006C41B5" w:rsidP="004015CE">
      <w:pPr>
        <w:pStyle w:val="FootnoteText"/>
      </w:pPr>
      <w:r w:rsidRPr="0022019A">
        <w:rPr>
          <w:rStyle w:val="FootnoteReference"/>
        </w:rPr>
        <w:footnoteRef/>
      </w:r>
      <w:r w:rsidRPr="00EF36CD">
        <w:t xml:space="preserve"> As of </w:t>
      </w:r>
      <w:r w:rsidR="00DF2763">
        <w:t>March</w:t>
      </w:r>
      <w:r w:rsidR="005C04DE">
        <w:t xml:space="preserve"> </w:t>
      </w:r>
      <w:r w:rsidRPr="00EF36CD">
        <w:t>202</w:t>
      </w:r>
      <w:r w:rsidR="005C04DE">
        <w:t>5</w:t>
      </w:r>
      <w:r w:rsidRPr="00EF36CD">
        <w:t xml:space="preserve">, the </w:t>
      </w:r>
      <w:r w:rsidR="00220A01">
        <w:t>CIS region</w:t>
      </w:r>
      <w:r w:rsidRPr="00EF36CD">
        <w:t xml:space="preserve">, as defined by ITU, consists of the following </w:t>
      </w:r>
      <w:r w:rsidR="004015CE">
        <w:t>9</w:t>
      </w:r>
      <w:r w:rsidRPr="00EF36CD">
        <w:t xml:space="preserve"> economies:</w:t>
      </w:r>
      <w:r w:rsidR="00E624B0" w:rsidRPr="00E624B0">
        <w:t xml:space="preserve"> </w:t>
      </w:r>
      <w:r w:rsidR="004015CE">
        <w:t xml:space="preserve">Armenia, Azerbaijan, Belarus, Kazakhstan, Kyrgyzstan, Russian Federation, Tajikistan, Turkmenistan, </w:t>
      </w:r>
      <w:r w:rsidR="00DD1FF5">
        <w:t xml:space="preserve">and </w:t>
      </w:r>
      <w:r w:rsidR="004015CE">
        <w:t>Uzbekistan</w:t>
      </w:r>
      <w:r w:rsidR="009F0F3D">
        <w:t>.</w:t>
      </w:r>
    </w:p>
  </w:footnote>
  <w:footnote w:id="3">
    <w:p w14:paraId="049D5245" w14:textId="77777777" w:rsidR="00892F76" w:rsidRPr="00D579D0" w:rsidRDefault="00892F76" w:rsidP="00892F76">
      <w:pPr>
        <w:pStyle w:val="FootnoteText"/>
      </w:pPr>
      <w:r>
        <w:rPr>
          <w:rStyle w:val="FootnoteReference"/>
        </w:rPr>
        <w:footnoteRef/>
      </w:r>
      <w:r>
        <w:t xml:space="preserve"> </w:t>
      </w:r>
      <w:r w:rsidRPr="002E42CD">
        <w:rPr>
          <w:sz w:val="18"/>
          <w:szCs w:val="18"/>
        </w:rPr>
        <w:t>The tiers of the G5 Benchmark reflect a country's level of digital governance. The four levels, from least to most advanced, are: Limited, Transitioning, Advanced and Leading.</w:t>
      </w:r>
      <w:r>
        <w:rPr>
          <w:sz w:val="18"/>
          <w:szCs w:val="18"/>
        </w:rPr>
        <w:t xml:space="preserve"> </w:t>
      </w:r>
      <w:r w:rsidRPr="00882EFB">
        <w:rPr>
          <w:sz w:val="18"/>
          <w:szCs w:val="18"/>
        </w:rPr>
        <w:t>The four pillars of the G5 Benchmark encompass 119 targets across National Collaborative Governance, Policy Design Principles, Digital Development Toolbox, and National Digital Policy Agenda.</w:t>
      </w:r>
      <w:r>
        <w:rPr>
          <w:sz w:val="18"/>
          <w:szCs w:val="18"/>
        </w:rPr>
        <w:t xml:space="preserve"> See </w:t>
      </w:r>
      <w:hyperlink r:id="rId1" w:history="1">
        <w:r w:rsidRPr="00572FB2">
          <w:rPr>
            <w:rStyle w:val="Hyperlink"/>
            <w:sz w:val="18"/>
            <w:szCs w:val="18"/>
          </w:rPr>
          <w:t>gen5.digital/benchmark</w:t>
        </w:r>
      </w:hyperlink>
    </w:p>
  </w:footnote>
  <w:footnote w:id="4">
    <w:p w14:paraId="25C67F8D" w14:textId="77777777" w:rsidR="00D35BE9" w:rsidRPr="006549C0" w:rsidRDefault="00D35BE9" w:rsidP="00D35BE9">
      <w:pPr>
        <w:pStyle w:val="FootnoteText"/>
        <w:rPr>
          <w:lang w:val="en-US"/>
        </w:rPr>
      </w:pPr>
      <w:r w:rsidRPr="00F25C61">
        <w:rPr>
          <w:rStyle w:val="FootnoteReference"/>
        </w:rPr>
        <w:footnoteRef/>
      </w:r>
      <w:r w:rsidRPr="00F25C61">
        <w:t xml:space="preserve"> </w:t>
      </w:r>
      <w:hyperlink r:id="rId2" w:history="1">
        <w:r w:rsidRPr="00F25C61">
          <w:rPr>
            <w:rStyle w:val="Hyperlink"/>
          </w:rPr>
          <w:t>Programme of Action for LLDCs for the Decade 2024–2034</w:t>
        </w:r>
      </w:hyperlink>
      <w:r w:rsidRPr="00F25C61">
        <w:t xml:space="preserve"> </w:t>
      </w:r>
    </w:p>
  </w:footnote>
  <w:footnote w:id="5">
    <w:p w14:paraId="03047506" w14:textId="77777777" w:rsidR="00D5529A" w:rsidRPr="009848E5" w:rsidRDefault="00D5529A" w:rsidP="00D5529A">
      <w:pPr>
        <w:pStyle w:val="FootnoteText"/>
      </w:pPr>
      <w:r>
        <w:rPr>
          <w:rStyle w:val="FootnoteReference"/>
        </w:rPr>
        <w:footnoteRef/>
      </w:r>
      <w:r>
        <w:t xml:space="preserve"> </w:t>
      </w:r>
      <w:r w:rsidRPr="009848E5">
        <w:t>Considering that some people may never want to connect, as a matter of convention universality is taken to mean an Internet penetration rate of at least 95</w:t>
      </w:r>
      <w:r>
        <w:t> per cent</w:t>
      </w:r>
      <w:r w:rsidRPr="009848E5">
        <w:t>.</w:t>
      </w:r>
    </w:p>
  </w:footnote>
  <w:footnote w:id="6">
    <w:p w14:paraId="76ABA8D9" w14:textId="0F061C1F" w:rsidR="006C41B5" w:rsidRPr="004B35BA" w:rsidRDefault="006C41B5" w:rsidP="006C41B5">
      <w:pPr>
        <w:pStyle w:val="FootnoteText"/>
      </w:pPr>
      <w:r w:rsidRPr="00306F41">
        <w:rPr>
          <w:rStyle w:val="FootnoteReference"/>
        </w:rPr>
        <w:footnoteRef/>
      </w:r>
      <w:r w:rsidRPr="00306F41">
        <w:t xml:space="preserve"> In this document, for </w:t>
      </w:r>
      <w:r w:rsidR="00F84005" w:rsidRPr="00306F41">
        <w:t>f</w:t>
      </w:r>
      <w:r w:rsidRPr="00306F41">
        <w:t>igures reporting economy-level data, all economies are shown</w:t>
      </w:r>
      <w:r w:rsidR="006B3CD4" w:rsidRPr="00306F41">
        <w:t xml:space="preserve">. Countries are sorted </w:t>
      </w:r>
      <w:r w:rsidR="00950342" w:rsidRPr="00306F41">
        <w:t>by value</w:t>
      </w:r>
      <w:r w:rsidR="006B3CD4" w:rsidRPr="00306F41">
        <w:t xml:space="preserve"> of the indicator</w:t>
      </w:r>
      <w:r w:rsidRPr="00306F41">
        <w:t>. A data point is only shown if it is for the year 2020 or later, otherwise it is marked as not available (N/A)</w:t>
      </w:r>
      <w:r w:rsidR="00C25642" w:rsidRPr="00306F41">
        <w:t>, or excluded altogether</w:t>
      </w:r>
      <w:r w:rsidR="00DB0377" w:rsidRPr="00306F41">
        <w:t xml:space="preserve"> (</w:t>
      </w:r>
      <w:r w:rsidR="007863F9" w:rsidRPr="00306F41">
        <w:t xml:space="preserve">when </w:t>
      </w:r>
      <w:r w:rsidR="00DB0D63" w:rsidRPr="00306F41">
        <w:t>data are not available for many countries</w:t>
      </w:r>
      <w:r w:rsidR="00DB0377" w:rsidRPr="00306F41">
        <w:t>)</w:t>
      </w:r>
      <w:r w:rsidRPr="00306F41">
        <w:t xml:space="preserve">. In addition, a marker shows the data point for the year 2018, if available. Data are extracted from the </w:t>
      </w:r>
      <w:hyperlink r:id="rId3" w:history="1">
        <w:r w:rsidRPr="00306F41">
          <w:rPr>
            <w:rStyle w:val="Hyperlink"/>
          </w:rPr>
          <w:t xml:space="preserve">ITU </w:t>
        </w:r>
        <w:r w:rsidRPr="00306F41">
          <w:rPr>
            <w:rStyle w:val="Hyperlink"/>
          </w:rPr>
          <w:t>DataHub</w:t>
        </w:r>
      </w:hyperlink>
      <w:r w:rsidR="00293F8B" w:rsidRPr="00306F41">
        <w:t>,</w:t>
      </w:r>
      <w:r w:rsidRPr="00306F41">
        <w:t xml:space="preserve"> based on the data release of </w:t>
      </w:r>
      <w:r w:rsidR="00306F41" w:rsidRPr="00306F41">
        <w:t>February</w:t>
      </w:r>
      <w:r w:rsidR="00B5694F" w:rsidRPr="00306F41">
        <w:t xml:space="preserve"> 2025</w:t>
      </w:r>
      <w:r w:rsidRPr="00306F41">
        <w:t xml:space="preserve">. Since country-level data are available for the year 2023 at best, for comparison purposes, the regional average for the year 2023 is reported as well, as published in </w:t>
      </w:r>
      <w:hyperlink r:id="rId4" w:history="1">
        <w:r w:rsidRPr="00306F41">
          <w:rPr>
            <w:rStyle w:val="Hyperlink"/>
          </w:rPr>
          <w:t>Facts and Figures 2024</w:t>
        </w:r>
      </w:hyperlink>
      <w:r w:rsidRPr="00306F41">
        <w:t>.</w:t>
      </w:r>
    </w:p>
  </w:footnote>
  <w:footnote w:id="7">
    <w:p w14:paraId="1C5F261B" w14:textId="77777777" w:rsidR="00DA69C7" w:rsidRPr="005B254D" w:rsidRDefault="00DA69C7" w:rsidP="00DA69C7">
      <w:pPr>
        <w:pStyle w:val="FootnoteText"/>
      </w:pPr>
      <w:r w:rsidRPr="008648EC">
        <w:rPr>
          <w:rStyle w:val="FootnoteReference"/>
        </w:rPr>
        <w:footnoteRef/>
      </w:r>
      <w:r w:rsidRPr="008648EC">
        <w:t xml:space="preserve"> The gender parity score is calculated as the proportion of women who use the Internet divided by the proportion of men who use the Internet. A value less than one indicates that men are more likely to use the Internet than women, while a value greater than one indicates the opposite. Gender parity is considered achieved if the value lies between 0.98 and 1.02.</w:t>
      </w:r>
    </w:p>
  </w:footnote>
  <w:footnote w:id="8">
    <w:p w14:paraId="17747129" w14:textId="77777777" w:rsidR="002039F8" w:rsidRPr="00E9428B" w:rsidRDefault="002039F8" w:rsidP="002039F8">
      <w:pPr>
        <w:pStyle w:val="FootnoteText"/>
      </w:pPr>
      <w:r>
        <w:rPr>
          <w:rStyle w:val="FootnoteReference"/>
        </w:rPr>
        <w:footnoteRef/>
      </w:r>
      <w:r>
        <w:t xml:space="preserve"> </w:t>
      </w:r>
      <w:r w:rsidRPr="0009059A">
        <w:t>Considering only those countries for which data was available for all years from 2018 to 2024</w:t>
      </w:r>
      <w:r>
        <w:t>.</w:t>
      </w:r>
    </w:p>
  </w:footnote>
  <w:footnote w:id="9">
    <w:p w14:paraId="5DE7D6B7" w14:textId="77777777" w:rsidR="00415D50" w:rsidRPr="005E14BE" w:rsidRDefault="00415D50" w:rsidP="00415D50">
      <w:pPr>
        <w:pStyle w:val="FootnoteText"/>
      </w:pPr>
      <w:r>
        <w:rPr>
          <w:rStyle w:val="FootnoteReference"/>
        </w:rPr>
        <w:footnoteRef/>
      </w:r>
      <w:r>
        <w:t xml:space="preserve"> For a complete definition, see ISIC Rev. 4 class 61.</w:t>
      </w:r>
    </w:p>
  </w:footnote>
  <w:footnote w:id="10">
    <w:p w14:paraId="16690687" w14:textId="77777777" w:rsidR="0005248E" w:rsidRPr="008648EC" w:rsidRDefault="0005248E" w:rsidP="0005248E">
      <w:pPr>
        <w:pStyle w:val="FootnoteText"/>
      </w:pPr>
      <w:r w:rsidRPr="008648EC">
        <w:rPr>
          <w:rStyle w:val="FootnoteReference"/>
        </w:rPr>
        <w:footnoteRef/>
      </w:r>
      <w:r w:rsidRPr="008648EC">
        <w:t xml:space="preserve"> Investment statistics collected by ITU refer to acquiring or upgrading property (including tangible assets such as plants and non-tangible assets such as computer software) and networks. Expenditure on research and development, annual fees for operating licences and the use of radio spectrum, and investment in telecommunication software or equipment for internal use are excluded.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4FE77" w14:textId="235FDFF5" w:rsidR="00721657" w:rsidRPr="00362901" w:rsidRDefault="001D31BA" w:rsidP="001D31BA">
    <w:pPr>
      <w:tabs>
        <w:tab w:val="clear" w:pos="794"/>
        <w:tab w:val="clear" w:pos="1191"/>
        <w:tab w:val="clear" w:pos="1588"/>
        <w:tab w:val="clear" w:pos="1985"/>
        <w:tab w:val="center" w:pos="4820"/>
        <w:tab w:val="right" w:pos="10206"/>
      </w:tabs>
      <w:ind w:right="1"/>
      <w:rPr>
        <w:rStyle w:val="PageNumber"/>
        <w:smallCaps/>
        <w:spacing w:val="24"/>
        <w:sz w:val="22"/>
        <w:szCs w:val="22"/>
        <w:lang w:val="pt-BR"/>
      </w:rPr>
    </w:pPr>
    <w:r w:rsidRPr="004D495C">
      <w:rPr>
        <w:sz w:val="22"/>
        <w:szCs w:val="22"/>
      </w:rPr>
      <w:tab/>
    </w:r>
    <w:r w:rsidRPr="00DA31B2">
      <w:rPr>
        <w:sz w:val="22"/>
        <w:szCs w:val="22"/>
        <w:lang w:val="pt-BR"/>
      </w:rPr>
      <w:t>ITU-D/</w:t>
    </w:r>
    <w:bookmarkStart w:id="29" w:name="DocRef2"/>
    <w:bookmarkEnd w:id="29"/>
    <w:r w:rsidRPr="00DA31B2">
      <w:rPr>
        <w:sz w:val="22"/>
        <w:szCs w:val="22"/>
        <w:lang w:val="pt-BR"/>
      </w:rPr>
      <w:t>RPM-</w:t>
    </w:r>
    <w:r w:rsidR="00BB5F74" w:rsidRPr="00DA31B2">
      <w:rPr>
        <w:sz w:val="22"/>
        <w:szCs w:val="22"/>
        <w:lang w:val="pt-BR"/>
      </w:rPr>
      <w:t>CI</w:t>
    </w:r>
    <w:r w:rsidR="00AB777E" w:rsidRPr="00DA31B2">
      <w:rPr>
        <w:sz w:val="22"/>
        <w:szCs w:val="22"/>
        <w:lang w:val="pt-BR"/>
      </w:rPr>
      <w:t>S</w:t>
    </w:r>
    <w:r w:rsidRPr="00DA31B2">
      <w:rPr>
        <w:sz w:val="22"/>
        <w:szCs w:val="22"/>
        <w:lang w:val="pt-BR"/>
      </w:rPr>
      <w:t>25/</w:t>
    </w:r>
    <w:bookmarkStart w:id="30" w:name="DocNo2"/>
    <w:bookmarkEnd w:id="30"/>
    <w:r w:rsidR="00362901" w:rsidRPr="00DA31B2">
      <w:rPr>
        <w:sz w:val="22"/>
        <w:szCs w:val="22"/>
        <w:lang w:val="pt-BR"/>
      </w:rPr>
      <w:t>3</w:t>
    </w:r>
    <w:r w:rsidRPr="00DA31B2">
      <w:rPr>
        <w:sz w:val="22"/>
        <w:szCs w:val="22"/>
        <w:lang w:val="pt-BR"/>
      </w:rPr>
      <w:t>-E</w:t>
    </w:r>
    <w:r w:rsidRPr="00DA31B2">
      <w:rPr>
        <w:sz w:val="22"/>
        <w:szCs w:val="22"/>
        <w:lang w:val="pt-BR"/>
      </w:rPr>
      <w:tab/>
      <w:t xml:space="preserve">Page </w:t>
    </w:r>
    <w:r w:rsidRPr="00DA31B2">
      <w:rPr>
        <w:sz w:val="22"/>
        <w:szCs w:val="22"/>
      </w:rPr>
      <w:fldChar w:fldCharType="begin"/>
    </w:r>
    <w:r w:rsidRPr="00DA31B2">
      <w:rPr>
        <w:sz w:val="22"/>
        <w:szCs w:val="22"/>
        <w:lang w:val="pt-BR"/>
      </w:rPr>
      <w:instrText xml:space="preserve"> PAGE </w:instrText>
    </w:r>
    <w:r w:rsidRPr="00DA31B2">
      <w:rPr>
        <w:sz w:val="22"/>
        <w:szCs w:val="22"/>
      </w:rPr>
      <w:fldChar w:fldCharType="separate"/>
    </w:r>
    <w:r w:rsidRPr="00DA31B2">
      <w:rPr>
        <w:sz w:val="22"/>
        <w:szCs w:val="22"/>
        <w:lang w:val="pt-BR"/>
      </w:rPr>
      <w:t>2</w:t>
    </w:r>
    <w:r w:rsidRPr="00DA31B2">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F5907"/>
    <w:multiLevelType w:val="multilevel"/>
    <w:tmpl w:val="7A2ED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496D4E"/>
    <w:multiLevelType w:val="hybridMultilevel"/>
    <w:tmpl w:val="3374359A"/>
    <w:lvl w:ilvl="0" w:tplc="C610FBF4">
      <w:start w:val="1"/>
      <w:numFmt w:val="bullet"/>
      <w:lvlText w:val=""/>
      <w:lvlJc w:val="left"/>
      <w:pPr>
        <w:ind w:left="1020" w:hanging="360"/>
      </w:pPr>
      <w:rPr>
        <w:rFonts w:ascii="Symbol" w:hAnsi="Symbol"/>
      </w:rPr>
    </w:lvl>
    <w:lvl w:ilvl="1" w:tplc="691CAD06">
      <w:start w:val="1"/>
      <w:numFmt w:val="bullet"/>
      <w:lvlText w:val=""/>
      <w:lvlJc w:val="left"/>
      <w:pPr>
        <w:ind w:left="1020" w:hanging="360"/>
      </w:pPr>
      <w:rPr>
        <w:rFonts w:ascii="Symbol" w:hAnsi="Symbol"/>
      </w:rPr>
    </w:lvl>
    <w:lvl w:ilvl="2" w:tplc="6868E694">
      <w:start w:val="1"/>
      <w:numFmt w:val="bullet"/>
      <w:lvlText w:val=""/>
      <w:lvlJc w:val="left"/>
      <w:pPr>
        <w:ind w:left="1020" w:hanging="360"/>
      </w:pPr>
      <w:rPr>
        <w:rFonts w:ascii="Symbol" w:hAnsi="Symbol"/>
      </w:rPr>
    </w:lvl>
    <w:lvl w:ilvl="3" w:tplc="6D6A1ECA">
      <w:start w:val="1"/>
      <w:numFmt w:val="bullet"/>
      <w:lvlText w:val=""/>
      <w:lvlJc w:val="left"/>
      <w:pPr>
        <w:ind w:left="1020" w:hanging="360"/>
      </w:pPr>
      <w:rPr>
        <w:rFonts w:ascii="Symbol" w:hAnsi="Symbol"/>
      </w:rPr>
    </w:lvl>
    <w:lvl w:ilvl="4" w:tplc="6C5EB502">
      <w:start w:val="1"/>
      <w:numFmt w:val="bullet"/>
      <w:lvlText w:val=""/>
      <w:lvlJc w:val="left"/>
      <w:pPr>
        <w:ind w:left="1020" w:hanging="360"/>
      </w:pPr>
      <w:rPr>
        <w:rFonts w:ascii="Symbol" w:hAnsi="Symbol"/>
      </w:rPr>
    </w:lvl>
    <w:lvl w:ilvl="5" w:tplc="8A5E985A">
      <w:start w:val="1"/>
      <w:numFmt w:val="bullet"/>
      <w:lvlText w:val=""/>
      <w:lvlJc w:val="left"/>
      <w:pPr>
        <w:ind w:left="1020" w:hanging="360"/>
      </w:pPr>
      <w:rPr>
        <w:rFonts w:ascii="Symbol" w:hAnsi="Symbol"/>
      </w:rPr>
    </w:lvl>
    <w:lvl w:ilvl="6" w:tplc="39BC6026">
      <w:start w:val="1"/>
      <w:numFmt w:val="bullet"/>
      <w:lvlText w:val=""/>
      <w:lvlJc w:val="left"/>
      <w:pPr>
        <w:ind w:left="1020" w:hanging="360"/>
      </w:pPr>
      <w:rPr>
        <w:rFonts w:ascii="Symbol" w:hAnsi="Symbol"/>
      </w:rPr>
    </w:lvl>
    <w:lvl w:ilvl="7" w:tplc="F95A8A26">
      <w:start w:val="1"/>
      <w:numFmt w:val="bullet"/>
      <w:lvlText w:val=""/>
      <w:lvlJc w:val="left"/>
      <w:pPr>
        <w:ind w:left="1020" w:hanging="360"/>
      </w:pPr>
      <w:rPr>
        <w:rFonts w:ascii="Symbol" w:hAnsi="Symbol"/>
      </w:rPr>
    </w:lvl>
    <w:lvl w:ilvl="8" w:tplc="7938B9F2">
      <w:start w:val="1"/>
      <w:numFmt w:val="bullet"/>
      <w:lvlText w:val=""/>
      <w:lvlJc w:val="left"/>
      <w:pPr>
        <w:ind w:left="1020" w:hanging="360"/>
      </w:pPr>
      <w:rPr>
        <w:rFonts w:ascii="Symbol" w:hAnsi="Symbol"/>
      </w:rPr>
    </w:lvl>
  </w:abstractNum>
  <w:abstractNum w:abstractNumId="2" w15:restartNumberingAfterBreak="0">
    <w:nsid w:val="0AEC2226"/>
    <w:multiLevelType w:val="hybridMultilevel"/>
    <w:tmpl w:val="8104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A33113"/>
    <w:multiLevelType w:val="hybridMultilevel"/>
    <w:tmpl w:val="ABA8D0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DB4EEA"/>
    <w:multiLevelType w:val="hybridMultilevel"/>
    <w:tmpl w:val="F5EE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455DF2"/>
    <w:multiLevelType w:val="hybridMultilevel"/>
    <w:tmpl w:val="CC0C8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65749C"/>
    <w:multiLevelType w:val="hybridMultilevel"/>
    <w:tmpl w:val="A0881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B73CB2"/>
    <w:multiLevelType w:val="multilevel"/>
    <w:tmpl w:val="8490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0D3087"/>
    <w:multiLevelType w:val="hybridMultilevel"/>
    <w:tmpl w:val="C6705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2E204F"/>
    <w:multiLevelType w:val="multilevel"/>
    <w:tmpl w:val="82661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3D1A11"/>
    <w:multiLevelType w:val="hybridMultilevel"/>
    <w:tmpl w:val="812C1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8F90A0A"/>
    <w:multiLevelType w:val="hybridMultilevel"/>
    <w:tmpl w:val="A3044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1F07A2"/>
    <w:multiLevelType w:val="multilevel"/>
    <w:tmpl w:val="E0FCC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002390"/>
    <w:multiLevelType w:val="hybridMultilevel"/>
    <w:tmpl w:val="FEA83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184A05"/>
    <w:multiLevelType w:val="multilevel"/>
    <w:tmpl w:val="A74C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0C44FD"/>
    <w:multiLevelType w:val="hybridMultilevel"/>
    <w:tmpl w:val="9C667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BD6800"/>
    <w:multiLevelType w:val="hybridMultilevel"/>
    <w:tmpl w:val="31D8B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383A04"/>
    <w:multiLevelType w:val="multilevel"/>
    <w:tmpl w:val="B8B23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93366C0"/>
    <w:multiLevelType w:val="hybridMultilevel"/>
    <w:tmpl w:val="58FE7E0C"/>
    <w:lvl w:ilvl="0" w:tplc="3694506A">
      <w:start w:val="1"/>
      <w:numFmt w:val="bullet"/>
      <w:lvlText w:val=""/>
      <w:lvlJc w:val="left"/>
      <w:pPr>
        <w:ind w:left="1020" w:hanging="360"/>
      </w:pPr>
      <w:rPr>
        <w:rFonts w:ascii="Symbol" w:hAnsi="Symbol"/>
      </w:rPr>
    </w:lvl>
    <w:lvl w:ilvl="1" w:tplc="40ECF334">
      <w:start w:val="1"/>
      <w:numFmt w:val="bullet"/>
      <w:lvlText w:val=""/>
      <w:lvlJc w:val="left"/>
      <w:pPr>
        <w:ind w:left="1020" w:hanging="360"/>
      </w:pPr>
      <w:rPr>
        <w:rFonts w:ascii="Symbol" w:hAnsi="Symbol"/>
      </w:rPr>
    </w:lvl>
    <w:lvl w:ilvl="2" w:tplc="CD12AE32">
      <w:start w:val="1"/>
      <w:numFmt w:val="bullet"/>
      <w:lvlText w:val=""/>
      <w:lvlJc w:val="left"/>
      <w:pPr>
        <w:ind w:left="1020" w:hanging="360"/>
      </w:pPr>
      <w:rPr>
        <w:rFonts w:ascii="Symbol" w:hAnsi="Symbol"/>
      </w:rPr>
    </w:lvl>
    <w:lvl w:ilvl="3" w:tplc="435ECFC4">
      <w:start w:val="1"/>
      <w:numFmt w:val="bullet"/>
      <w:lvlText w:val=""/>
      <w:lvlJc w:val="left"/>
      <w:pPr>
        <w:ind w:left="1020" w:hanging="360"/>
      </w:pPr>
      <w:rPr>
        <w:rFonts w:ascii="Symbol" w:hAnsi="Symbol"/>
      </w:rPr>
    </w:lvl>
    <w:lvl w:ilvl="4" w:tplc="28F47298">
      <w:start w:val="1"/>
      <w:numFmt w:val="bullet"/>
      <w:lvlText w:val=""/>
      <w:lvlJc w:val="left"/>
      <w:pPr>
        <w:ind w:left="1020" w:hanging="360"/>
      </w:pPr>
      <w:rPr>
        <w:rFonts w:ascii="Symbol" w:hAnsi="Symbol"/>
      </w:rPr>
    </w:lvl>
    <w:lvl w:ilvl="5" w:tplc="ABD8FEA8">
      <w:start w:val="1"/>
      <w:numFmt w:val="bullet"/>
      <w:lvlText w:val=""/>
      <w:lvlJc w:val="left"/>
      <w:pPr>
        <w:ind w:left="1020" w:hanging="360"/>
      </w:pPr>
      <w:rPr>
        <w:rFonts w:ascii="Symbol" w:hAnsi="Symbol"/>
      </w:rPr>
    </w:lvl>
    <w:lvl w:ilvl="6" w:tplc="1038B760">
      <w:start w:val="1"/>
      <w:numFmt w:val="bullet"/>
      <w:lvlText w:val=""/>
      <w:lvlJc w:val="left"/>
      <w:pPr>
        <w:ind w:left="1020" w:hanging="360"/>
      </w:pPr>
      <w:rPr>
        <w:rFonts w:ascii="Symbol" w:hAnsi="Symbol"/>
      </w:rPr>
    </w:lvl>
    <w:lvl w:ilvl="7" w:tplc="73CCBBD0">
      <w:start w:val="1"/>
      <w:numFmt w:val="bullet"/>
      <w:lvlText w:val=""/>
      <w:lvlJc w:val="left"/>
      <w:pPr>
        <w:ind w:left="1020" w:hanging="360"/>
      </w:pPr>
      <w:rPr>
        <w:rFonts w:ascii="Symbol" w:hAnsi="Symbol"/>
      </w:rPr>
    </w:lvl>
    <w:lvl w:ilvl="8" w:tplc="95DA569E">
      <w:start w:val="1"/>
      <w:numFmt w:val="bullet"/>
      <w:lvlText w:val=""/>
      <w:lvlJc w:val="left"/>
      <w:pPr>
        <w:ind w:left="1020" w:hanging="360"/>
      </w:pPr>
      <w:rPr>
        <w:rFonts w:ascii="Symbol" w:hAnsi="Symbol"/>
      </w:rPr>
    </w:lvl>
  </w:abstractNum>
  <w:abstractNum w:abstractNumId="19" w15:restartNumberingAfterBreak="0">
    <w:nsid w:val="4E3B68E1"/>
    <w:multiLevelType w:val="hybridMultilevel"/>
    <w:tmpl w:val="C2BC21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4F2E6BE8"/>
    <w:multiLevelType w:val="multilevel"/>
    <w:tmpl w:val="E83A9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22" w15:restartNumberingAfterBreak="0">
    <w:nsid w:val="5C382357"/>
    <w:multiLevelType w:val="hybridMultilevel"/>
    <w:tmpl w:val="4538FC12"/>
    <w:lvl w:ilvl="0" w:tplc="F766AB0A">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5B5972"/>
    <w:multiLevelType w:val="hybridMultilevel"/>
    <w:tmpl w:val="44504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BC1D1B"/>
    <w:multiLevelType w:val="hybridMultilevel"/>
    <w:tmpl w:val="8F6EE0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0167203"/>
    <w:multiLevelType w:val="multilevel"/>
    <w:tmpl w:val="6A640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5B81247"/>
    <w:multiLevelType w:val="multilevel"/>
    <w:tmpl w:val="D4E28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5107F6"/>
    <w:multiLevelType w:val="hybridMultilevel"/>
    <w:tmpl w:val="0DFCF666"/>
    <w:lvl w:ilvl="0" w:tplc="1C38D086">
      <w:start w:val="1"/>
      <w:numFmt w:val="bullet"/>
      <w:lvlRestart w:val="0"/>
      <w:lvlText w:val="•"/>
      <w:lvlJc w:val="left"/>
      <w:pPr>
        <w:ind w:left="363" w:hanging="363"/>
      </w:pPr>
      <w:rPr>
        <w:rFonts w:ascii="Avenir Next W1G" w:hAnsi="Avenir Next W1G"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8" w15:restartNumberingAfterBreak="0">
    <w:nsid w:val="7BFD6E94"/>
    <w:multiLevelType w:val="hybridMultilevel"/>
    <w:tmpl w:val="EB803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3808767">
    <w:abstractNumId w:val="21"/>
  </w:num>
  <w:num w:numId="2" w16cid:durableId="1011488485">
    <w:abstractNumId w:val="3"/>
  </w:num>
  <w:num w:numId="3" w16cid:durableId="379672316">
    <w:abstractNumId w:val="25"/>
  </w:num>
  <w:num w:numId="4" w16cid:durableId="916474732">
    <w:abstractNumId w:val="15"/>
  </w:num>
  <w:num w:numId="5" w16cid:durableId="2130976733">
    <w:abstractNumId w:val="5"/>
  </w:num>
  <w:num w:numId="6" w16cid:durableId="2086758874">
    <w:abstractNumId w:val="7"/>
  </w:num>
  <w:num w:numId="7" w16cid:durableId="77137904">
    <w:abstractNumId w:val="1"/>
  </w:num>
  <w:num w:numId="8" w16cid:durableId="716323517">
    <w:abstractNumId w:val="18"/>
  </w:num>
  <w:num w:numId="9" w16cid:durableId="1225752095">
    <w:abstractNumId w:val="13"/>
  </w:num>
  <w:num w:numId="10" w16cid:durableId="883297556">
    <w:abstractNumId w:val="17"/>
  </w:num>
  <w:num w:numId="11" w16cid:durableId="442192808">
    <w:abstractNumId w:val="0"/>
  </w:num>
  <w:num w:numId="12" w16cid:durableId="1424957440">
    <w:abstractNumId w:val="24"/>
  </w:num>
  <w:num w:numId="13" w16cid:durableId="701516163">
    <w:abstractNumId w:val="9"/>
  </w:num>
  <w:num w:numId="14" w16cid:durableId="2094156602">
    <w:abstractNumId w:val="11"/>
  </w:num>
  <w:num w:numId="15" w16cid:durableId="1488085533">
    <w:abstractNumId w:val="19"/>
  </w:num>
  <w:num w:numId="16" w16cid:durableId="279066685">
    <w:abstractNumId w:val="16"/>
  </w:num>
  <w:num w:numId="17" w16cid:durableId="1044404833">
    <w:abstractNumId w:val="22"/>
  </w:num>
  <w:num w:numId="18" w16cid:durableId="742020862">
    <w:abstractNumId w:val="4"/>
  </w:num>
  <w:num w:numId="19" w16cid:durableId="1496990626">
    <w:abstractNumId w:val="20"/>
  </w:num>
  <w:num w:numId="20" w16cid:durableId="1870334765">
    <w:abstractNumId w:val="28"/>
  </w:num>
  <w:num w:numId="21" w16cid:durableId="623275208">
    <w:abstractNumId w:val="2"/>
  </w:num>
  <w:num w:numId="22" w16cid:durableId="1001547698">
    <w:abstractNumId w:val="23"/>
  </w:num>
  <w:num w:numId="23" w16cid:durableId="626356522">
    <w:abstractNumId w:val="8"/>
  </w:num>
  <w:num w:numId="24" w16cid:durableId="1719889230">
    <w:abstractNumId w:val="10"/>
  </w:num>
  <w:num w:numId="25" w16cid:durableId="136803954">
    <w:abstractNumId w:val="14"/>
  </w:num>
  <w:num w:numId="26" w16cid:durableId="926767242">
    <w:abstractNumId w:val="27"/>
  </w:num>
  <w:num w:numId="27" w16cid:durableId="11691014">
    <w:abstractNumId w:val="6"/>
  </w:num>
  <w:num w:numId="28" w16cid:durableId="1820221053">
    <w:abstractNumId w:val="26"/>
  </w:num>
  <w:num w:numId="29" w16cid:durableId="19454564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C43"/>
    <w:rsid w:val="0000086A"/>
    <w:rsid w:val="0000125E"/>
    <w:rsid w:val="00001612"/>
    <w:rsid w:val="00001648"/>
    <w:rsid w:val="000018FC"/>
    <w:rsid w:val="00001B79"/>
    <w:rsid w:val="00002716"/>
    <w:rsid w:val="00002870"/>
    <w:rsid w:val="0000318F"/>
    <w:rsid w:val="00003C43"/>
    <w:rsid w:val="000049A0"/>
    <w:rsid w:val="00004EF5"/>
    <w:rsid w:val="0000508A"/>
    <w:rsid w:val="00005332"/>
    <w:rsid w:val="00005791"/>
    <w:rsid w:val="000061CF"/>
    <w:rsid w:val="0000730D"/>
    <w:rsid w:val="00007A31"/>
    <w:rsid w:val="00007DEF"/>
    <w:rsid w:val="0001073D"/>
    <w:rsid w:val="00010827"/>
    <w:rsid w:val="00010A46"/>
    <w:rsid w:val="00010E3C"/>
    <w:rsid w:val="0001159D"/>
    <w:rsid w:val="00011788"/>
    <w:rsid w:val="000118D6"/>
    <w:rsid w:val="0001297D"/>
    <w:rsid w:val="000129F6"/>
    <w:rsid w:val="00012F29"/>
    <w:rsid w:val="0001449F"/>
    <w:rsid w:val="00014843"/>
    <w:rsid w:val="00014E01"/>
    <w:rsid w:val="00015089"/>
    <w:rsid w:val="0001558B"/>
    <w:rsid w:val="00015F3F"/>
    <w:rsid w:val="00016612"/>
    <w:rsid w:val="00016D24"/>
    <w:rsid w:val="00020340"/>
    <w:rsid w:val="00020A11"/>
    <w:rsid w:val="00020F74"/>
    <w:rsid w:val="00021196"/>
    <w:rsid w:val="000222B9"/>
    <w:rsid w:val="000224D4"/>
    <w:rsid w:val="00022EB8"/>
    <w:rsid w:val="000234C8"/>
    <w:rsid w:val="000240A4"/>
    <w:rsid w:val="00024DC0"/>
    <w:rsid w:val="00024FED"/>
    <w:rsid w:val="0002520B"/>
    <w:rsid w:val="00025BAC"/>
    <w:rsid w:val="0002708B"/>
    <w:rsid w:val="000279A5"/>
    <w:rsid w:val="00027A16"/>
    <w:rsid w:val="000302FE"/>
    <w:rsid w:val="00030397"/>
    <w:rsid w:val="00030F9E"/>
    <w:rsid w:val="000314C1"/>
    <w:rsid w:val="000318F3"/>
    <w:rsid w:val="00031C8E"/>
    <w:rsid w:val="00032076"/>
    <w:rsid w:val="0003226C"/>
    <w:rsid w:val="00032A2F"/>
    <w:rsid w:val="00032C3C"/>
    <w:rsid w:val="00032DE9"/>
    <w:rsid w:val="00032F52"/>
    <w:rsid w:val="00035936"/>
    <w:rsid w:val="00035AB1"/>
    <w:rsid w:val="00035EC1"/>
    <w:rsid w:val="000366BD"/>
    <w:rsid w:val="00036B28"/>
    <w:rsid w:val="00037A55"/>
    <w:rsid w:val="00037A9E"/>
    <w:rsid w:val="00037BAD"/>
    <w:rsid w:val="00037F91"/>
    <w:rsid w:val="000406D0"/>
    <w:rsid w:val="00041089"/>
    <w:rsid w:val="0004147F"/>
    <w:rsid w:val="00041EBB"/>
    <w:rsid w:val="0004203B"/>
    <w:rsid w:val="0004218D"/>
    <w:rsid w:val="0004241F"/>
    <w:rsid w:val="0004287F"/>
    <w:rsid w:val="00042A29"/>
    <w:rsid w:val="000439E1"/>
    <w:rsid w:val="00043A23"/>
    <w:rsid w:val="00043A75"/>
    <w:rsid w:val="00043E74"/>
    <w:rsid w:val="00044952"/>
    <w:rsid w:val="00044970"/>
    <w:rsid w:val="00044B88"/>
    <w:rsid w:val="00045A22"/>
    <w:rsid w:val="000462B6"/>
    <w:rsid w:val="00046D33"/>
    <w:rsid w:val="00047C22"/>
    <w:rsid w:val="00047C94"/>
    <w:rsid w:val="000502C1"/>
    <w:rsid w:val="00050E9A"/>
    <w:rsid w:val="0005118E"/>
    <w:rsid w:val="00051C91"/>
    <w:rsid w:val="00051E6F"/>
    <w:rsid w:val="000520CB"/>
    <w:rsid w:val="0005225A"/>
    <w:rsid w:val="00052391"/>
    <w:rsid w:val="0005248E"/>
    <w:rsid w:val="000529F1"/>
    <w:rsid w:val="00053671"/>
    <w:rsid w:val="000539F1"/>
    <w:rsid w:val="00054747"/>
    <w:rsid w:val="00054DC9"/>
    <w:rsid w:val="00054EC6"/>
    <w:rsid w:val="000557FD"/>
    <w:rsid w:val="0005592D"/>
    <w:rsid w:val="00055A2A"/>
    <w:rsid w:val="00057015"/>
    <w:rsid w:val="0005739A"/>
    <w:rsid w:val="0005783D"/>
    <w:rsid w:val="000578CF"/>
    <w:rsid w:val="00060029"/>
    <w:rsid w:val="00060A76"/>
    <w:rsid w:val="00060C15"/>
    <w:rsid w:val="000610FB"/>
    <w:rsid w:val="000615C1"/>
    <w:rsid w:val="00061675"/>
    <w:rsid w:val="00062054"/>
    <w:rsid w:val="00062B7C"/>
    <w:rsid w:val="00063125"/>
    <w:rsid w:val="00063ADB"/>
    <w:rsid w:val="00065473"/>
    <w:rsid w:val="0006618F"/>
    <w:rsid w:val="00066C91"/>
    <w:rsid w:val="000673A9"/>
    <w:rsid w:val="00067D7C"/>
    <w:rsid w:val="00071E79"/>
    <w:rsid w:val="000726F1"/>
    <w:rsid w:val="00072857"/>
    <w:rsid w:val="00072DF0"/>
    <w:rsid w:val="0007363A"/>
    <w:rsid w:val="000737EF"/>
    <w:rsid w:val="00073887"/>
    <w:rsid w:val="000743AA"/>
    <w:rsid w:val="000749C3"/>
    <w:rsid w:val="00075C45"/>
    <w:rsid w:val="00076479"/>
    <w:rsid w:val="000764E7"/>
    <w:rsid w:val="00076DC2"/>
    <w:rsid w:val="0007732F"/>
    <w:rsid w:val="00077359"/>
    <w:rsid w:val="000774A9"/>
    <w:rsid w:val="00077BCE"/>
    <w:rsid w:val="00077EA7"/>
    <w:rsid w:val="00080736"/>
    <w:rsid w:val="000808E9"/>
    <w:rsid w:val="00080C96"/>
    <w:rsid w:val="00081B83"/>
    <w:rsid w:val="00081C5B"/>
    <w:rsid w:val="00081D14"/>
    <w:rsid w:val="000821D6"/>
    <w:rsid w:val="00082420"/>
    <w:rsid w:val="00082D7B"/>
    <w:rsid w:val="00084378"/>
    <w:rsid w:val="000843EE"/>
    <w:rsid w:val="0008442C"/>
    <w:rsid w:val="00084621"/>
    <w:rsid w:val="00085060"/>
    <w:rsid w:val="00085697"/>
    <w:rsid w:val="00086E65"/>
    <w:rsid w:val="000870E0"/>
    <w:rsid w:val="000872B6"/>
    <w:rsid w:val="00087452"/>
    <w:rsid w:val="000879BB"/>
    <w:rsid w:val="00090555"/>
    <w:rsid w:val="0009076F"/>
    <w:rsid w:val="0009097E"/>
    <w:rsid w:val="00090B14"/>
    <w:rsid w:val="00091171"/>
    <w:rsid w:val="00091616"/>
    <w:rsid w:val="00091A71"/>
    <w:rsid w:val="00091D57"/>
    <w:rsid w:val="0009225C"/>
    <w:rsid w:val="000931E7"/>
    <w:rsid w:val="00093C9A"/>
    <w:rsid w:val="00094033"/>
    <w:rsid w:val="00094392"/>
    <w:rsid w:val="000943CD"/>
    <w:rsid w:val="00094477"/>
    <w:rsid w:val="0009500A"/>
    <w:rsid w:val="00096051"/>
    <w:rsid w:val="00096E66"/>
    <w:rsid w:val="00097633"/>
    <w:rsid w:val="00097BB9"/>
    <w:rsid w:val="00097E3A"/>
    <w:rsid w:val="000A0078"/>
    <w:rsid w:val="000A01C8"/>
    <w:rsid w:val="000A0400"/>
    <w:rsid w:val="000A17C4"/>
    <w:rsid w:val="000A18C8"/>
    <w:rsid w:val="000A237B"/>
    <w:rsid w:val="000A32B1"/>
    <w:rsid w:val="000A34CE"/>
    <w:rsid w:val="000A36A4"/>
    <w:rsid w:val="000A38EB"/>
    <w:rsid w:val="000A3F4B"/>
    <w:rsid w:val="000A4643"/>
    <w:rsid w:val="000A4AC2"/>
    <w:rsid w:val="000A536D"/>
    <w:rsid w:val="000A6725"/>
    <w:rsid w:val="000B068B"/>
    <w:rsid w:val="000B0EBF"/>
    <w:rsid w:val="000B1146"/>
    <w:rsid w:val="000B16CA"/>
    <w:rsid w:val="000B2133"/>
    <w:rsid w:val="000B2352"/>
    <w:rsid w:val="000B383B"/>
    <w:rsid w:val="000B3D87"/>
    <w:rsid w:val="000B3D94"/>
    <w:rsid w:val="000B4A6D"/>
    <w:rsid w:val="000B4BBC"/>
    <w:rsid w:val="000B5321"/>
    <w:rsid w:val="000B562A"/>
    <w:rsid w:val="000B57C7"/>
    <w:rsid w:val="000B65EB"/>
    <w:rsid w:val="000C062F"/>
    <w:rsid w:val="000C0657"/>
    <w:rsid w:val="000C2197"/>
    <w:rsid w:val="000C2347"/>
    <w:rsid w:val="000C2549"/>
    <w:rsid w:val="000C3666"/>
    <w:rsid w:val="000C383F"/>
    <w:rsid w:val="000C41E8"/>
    <w:rsid w:val="000C4754"/>
    <w:rsid w:val="000C4C74"/>
    <w:rsid w:val="000C6044"/>
    <w:rsid w:val="000C6ABE"/>
    <w:rsid w:val="000C6BEE"/>
    <w:rsid w:val="000C6E9E"/>
    <w:rsid w:val="000C70B6"/>
    <w:rsid w:val="000C7B84"/>
    <w:rsid w:val="000D0743"/>
    <w:rsid w:val="000D175D"/>
    <w:rsid w:val="000D1BEC"/>
    <w:rsid w:val="000D261B"/>
    <w:rsid w:val="000D2B23"/>
    <w:rsid w:val="000D3808"/>
    <w:rsid w:val="000D40F6"/>
    <w:rsid w:val="000D468F"/>
    <w:rsid w:val="000D4830"/>
    <w:rsid w:val="000D500E"/>
    <w:rsid w:val="000D50C4"/>
    <w:rsid w:val="000D50FC"/>
    <w:rsid w:val="000D58A3"/>
    <w:rsid w:val="000D5CA9"/>
    <w:rsid w:val="000D61B5"/>
    <w:rsid w:val="000D69FD"/>
    <w:rsid w:val="000D6A7C"/>
    <w:rsid w:val="000D6BFC"/>
    <w:rsid w:val="000D7726"/>
    <w:rsid w:val="000E068E"/>
    <w:rsid w:val="000E11C7"/>
    <w:rsid w:val="000E1547"/>
    <w:rsid w:val="000E174E"/>
    <w:rsid w:val="000E18B6"/>
    <w:rsid w:val="000E252E"/>
    <w:rsid w:val="000E2B6F"/>
    <w:rsid w:val="000E3079"/>
    <w:rsid w:val="000E316C"/>
    <w:rsid w:val="000E3508"/>
    <w:rsid w:val="000E35C1"/>
    <w:rsid w:val="000E3740"/>
    <w:rsid w:val="000E3AA8"/>
    <w:rsid w:val="000E3ABF"/>
    <w:rsid w:val="000E3C7B"/>
    <w:rsid w:val="000E3ED4"/>
    <w:rsid w:val="000E3F9C"/>
    <w:rsid w:val="000E4606"/>
    <w:rsid w:val="000E5238"/>
    <w:rsid w:val="000E5E08"/>
    <w:rsid w:val="000E62C3"/>
    <w:rsid w:val="000E65EE"/>
    <w:rsid w:val="000E67EC"/>
    <w:rsid w:val="000E6C63"/>
    <w:rsid w:val="000E6FE0"/>
    <w:rsid w:val="000E7493"/>
    <w:rsid w:val="000F1370"/>
    <w:rsid w:val="000F1550"/>
    <w:rsid w:val="000F2190"/>
    <w:rsid w:val="000F24F7"/>
    <w:rsid w:val="000F251B"/>
    <w:rsid w:val="000F26FB"/>
    <w:rsid w:val="000F2AC7"/>
    <w:rsid w:val="000F33B3"/>
    <w:rsid w:val="000F3867"/>
    <w:rsid w:val="000F3DBC"/>
    <w:rsid w:val="000F4329"/>
    <w:rsid w:val="000F55F2"/>
    <w:rsid w:val="000F5B20"/>
    <w:rsid w:val="000F5C1F"/>
    <w:rsid w:val="000F5FE8"/>
    <w:rsid w:val="000F6644"/>
    <w:rsid w:val="00100833"/>
    <w:rsid w:val="00100945"/>
    <w:rsid w:val="00100B58"/>
    <w:rsid w:val="00100C20"/>
    <w:rsid w:val="0010124E"/>
    <w:rsid w:val="001016E9"/>
    <w:rsid w:val="00101DD2"/>
    <w:rsid w:val="001026E5"/>
    <w:rsid w:val="00102F40"/>
    <w:rsid w:val="00102F72"/>
    <w:rsid w:val="00102F9D"/>
    <w:rsid w:val="00103209"/>
    <w:rsid w:val="001035CE"/>
    <w:rsid w:val="00103EAB"/>
    <w:rsid w:val="001042B1"/>
    <w:rsid w:val="0010444F"/>
    <w:rsid w:val="001053E6"/>
    <w:rsid w:val="00105AFF"/>
    <w:rsid w:val="00106F19"/>
    <w:rsid w:val="001074F8"/>
    <w:rsid w:val="00107E85"/>
    <w:rsid w:val="001102C8"/>
    <w:rsid w:val="00110640"/>
    <w:rsid w:val="00110914"/>
    <w:rsid w:val="00110B67"/>
    <w:rsid w:val="00110ECF"/>
    <w:rsid w:val="00110F23"/>
    <w:rsid w:val="001119E5"/>
    <w:rsid w:val="00111E7D"/>
    <w:rsid w:val="0011253B"/>
    <w:rsid w:val="0011260F"/>
    <w:rsid w:val="001130DC"/>
    <w:rsid w:val="00113562"/>
    <w:rsid w:val="00113EE8"/>
    <w:rsid w:val="0011455A"/>
    <w:rsid w:val="00114834"/>
    <w:rsid w:val="00114A65"/>
    <w:rsid w:val="00114F3A"/>
    <w:rsid w:val="0011566D"/>
    <w:rsid w:val="001179CA"/>
    <w:rsid w:val="001212EE"/>
    <w:rsid w:val="00121846"/>
    <w:rsid w:val="0012289D"/>
    <w:rsid w:val="00122C86"/>
    <w:rsid w:val="00122CBC"/>
    <w:rsid w:val="00123193"/>
    <w:rsid w:val="001236B2"/>
    <w:rsid w:val="0012381C"/>
    <w:rsid w:val="0012436C"/>
    <w:rsid w:val="00124A18"/>
    <w:rsid w:val="0012502F"/>
    <w:rsid w:val="001269EE"/>
    <w:rsid w:val="001270AE"/>
    <w:rsid w:val="0012721C"/>
    <w:rsid w:val="00127E12"/>
    <w:rsid w:val="001308AD"/>
    <w:rsid w:val="00131607"/>
    <w:rsid w:val="0013178F"/>
    <w:rsid w:val="00131BF7"/>
    <w:rsid w:val="001327DD"/>
    <w:rsid w:val="00132A4D"/>
    <w:rsid w:val="00133061"/>
    <w:rsid w:val="00133300"/>
    <w:rsid w:val="00133984"/>
    <w:rsid w:val="00133DCA"/>
    <w:rsid w:val="00134891"/>
    <w:rsid w:val="00134A03"/>
    <w:rsid w:val="00134A65"/>
    <w:rsid w:val="00134BFA"/>
    <w:rsid w:val="00134E3C"/>
    <w:rsid w:val="0013504E"/>
    <w:rsid w:val="001350D7"/>
    <w:rsid w:val="0013591E"/>
    <w:rsid w:val="00135F19"/>
    <w:rsid w:val="00136818"/>
    <w:rsid w:val="00136B1E"/>
    <w:rsid w:val="00136CA3"/>
    <w:rsid w:val="00136DEA"/>
    <w:rsid w:val="00137B41"/>
    <w:rsid w:val="00140FDB"/>
    <w:rsid w:val="00141699"/>
    <w:rsid w:val="001421CE"/>
    <w:rsid w:val="001423E1"/>
    <w:rsid w:val="0014265F"/>
    <w:rsid w:val="00142F27"/>
    <w:rsid w:val="00143527"/>
    <w:rsid w:val="00143DF3"/>
    <w:rsid w:val="00144D06"/>
    <w:rsid w:val="00147000"/>
    <w:rsid w:val="0014735B"/>
    <w:rsid w:val="00147E80"/>
    <w:rsid w:val="0015045F"/>
    <w:rsid w:val="001505A7"/>
    <w:rsid w:val="00151571"/>
    <w:rsid w:val="001520A6"/>
    <w:rsid w:val="00152412"/>
    <w:rsid w:val="0015272F"/>
    <w:rsid w:val="00152929"/>
    <w:rsid w:val="00153952"/>
    <w:rsid w:val="001539C5"/>
    <w:rsid w:val="00153FEF"/>
    <w:rsid w:val="001544EC"/>
    <w:rsid w:val="00154673"/>
    <w:rsid w:val="00155C04"/>
    <w:rsid w:val="00156E88"/>
    <w:rsid w:val="0015749F"/>
    <w:rsid w:val="00157AD3"/>
    <w:rsid w:val="00160752"/>
    <w:rsid w:val="00160BFB"/>
    <w:rsid w:val="00161085"/>
    <w:rsid w:val="0016124B"/>
    <w:rsid w:val="00161F2D"/>
    <w:rsid w:val="001625E7"/>
    <w:rsid w:val="00162636"/>
    <w:rsid w:val="00162711"/>
    <w:rsid w:val="00162734"/>
    <w:rsid w:val="00162A26"/>
    <w:rsid w:val="00162A3B"/>
    <w:rsid w:val="00163091"/>
    <w:rsid w:val="00163665"/>
    <w:rsid w:val="00163FEF"/>
    <w:rsid w:val="001645CB"/>
    <w:rsid w:val="0016499C"/>
    <w:rsid w:val="00165769"/>
    <w:rsid w:val="00165B3D"/>
    <w:rsid w:val="00166305"/>
    <w:rsid w:val="0016669A"/>
    <w:rsid w:val="00167218"/>
    <w:rsid w:val="0016741D"/>
    <w:rsid w:val="00167545"/>
    <w:rsid w:val="00167E5D"/>
    <w:rsid w:val="00170013"/>
    <w:rsid w:val="001703C6"/>
    <w:rsid w:val="00171534"/>
    <w:rsid w:val="001717BC"/>
    <w:rsid w:val="0017190E"/>
    <w:rsid w:val="00171EFC"/>
    <w:rsid w:val="001723B1"/>
    <w:rsid w:val="001723D4"/>
    <w:rsid w:val="00172FE0"/>
    <w:rsid w:val="00173285"/>
    <w:rsid w:val="0017347A"/>
    <w:rsid w:val="00173781"/>
    <w:rsid w:val="001741CB"/>
    <w:rsid w:val="00174A1A"/>
    <w:rsid w:val="00174A70"/>
    <w:rsid w:val="001753F5"/>
    <w:rsid w:val="00175ADF"/>
    <w:rsid w:val="00175CAE"/>
    <w:rsid w:val="00176762"/>
    <w:rsid w:val="00177236"/>
    <w:rsid w:val="001803A3"/>
    <w:rsid w:val="00180F48"/>
    <w:rsid w:val="001828DB"/>
    <w:rsid w:val="00183A69"/>
    <w:rsid w:val="00183F7F"/>
    <w:rsid w:val="00183FDB"/>
    <w:rsid w:val="00184719"/>
    <w:rsid w:val="001849DA"/>
    <w:rsid w:val="00184DA4"/>
    <w:rsid w:val="001850FE"/>
    <w:rsid w:val="00185135"/>
    <w:rsid w:val="001867C4"/>
    <w:rsid w:val="00186FDC"/>
    <w:rsid w:val="00186FFF"/>
    <w:rsid w:val="001871B1"/>
    <w:rsid w:val="0018742A"/>
    <w:rsid w:val="00187724"/>
    <w:rsid w:val="001877D5"/>
    <w:rsid w:val="0019037C"/>
    <w:rsid w:val="001905A9"/>
    <w:rsid w:val="001905FA"/>
    <w:rsid w:val="00191273"/>
    <w:rsid w:val="00191403"/>
    <w:rsid w:val="00192169"/>
    <w:rsid w:val="00192257"/>
    <w:rsid w:val="0019226A"/>
    <w:rsid w:val="001922BF"/>
    <w:rsid w:val="001924AB"/>
    <w:rsid w:val="0019287E"/>
    <w:rsid w:val="0019291C"/>
    <w:rsid w:val="0019303F"/>
    <w:rsid w:val="00193115"/>
    <w:rsid w:val="00193B73"/>
    <w:rsid w:val="001942A7"/>
    <w:rsid w:val="00194A8F"/>
    <w:rsid w:val="0019574B"/>
    <w:rsid w:val="0019587B"/>
    <w:rsid w:val="00196049"/>
    <w:rsid w:val="001963CB"/>
    <w:rsid w:val="00196E2F"/>
    <w:rsid w:val="001974ED"/>
    <w:rsid w:val="00197B05"/>
    <w:rsid w:val="001A0233"/>
    <w:rsid w:val="001A06A4"/>
    <w:rsid w:val="001A0CF3"/>
    <w:rsid w:val="001A15F2"/>
    <w:rsid w:val="001A163D"/>
    <w:rsid w:val="001A1E1E"/>
    <w:rsid w:val="001A210D"/>
    <w:rsid w:val="001A21CE"/>
    <w:rsid w:val="001A2919"/>
    <w:rsid w:val="001A2995"/>
    <w:rsid w:val="001A38D5"/>
    <w:rsid w:val="001A41B9"/>
    <w:rsid w:val="001A441E"/>
    <w:rsid w:val="001A4859"/>
    <w:rsid w:val="001A4FF6"/>
    <w:rsid w:val="001A6121"/>
    <w:rsid w:val="001A6733"/>
    <w:rsid w:val="001A6910"/>
    <w:rsid w:val="001A6FA2"/>
    <w:rsid w:val="001B1020"/>
    <w:rsid w:val="001B1826"/>
    <w:rsid w:val="001B1855"/>
    <w:rsid w:val="001B1FD2"/>
    <w:rsid w:val="001B255E"/>
    <w:rsid w:val="001B282C"/>
    <w:rsid w:val="001B2A1A"/>
    <w:rsid w:val="001B341E"/>
    <w:rsid w:val="001B357F"/>
    <w:rsid w:val="001B3B90"/>
    <w:rsid w:val="001B4016"/>
    <w:rsid w:val="001B46EC"/>
    <w:rsid w:val="001B5F51"/>
    <w:rsid w:val="001B6A21"/>
    <w:rsid w:val="001B734E"/>
    <w:rsid w:val="001B75B8"/>
    <w:rsid w:val="001B7621"/>
    <w:rsid w:val="001B7795"/>
    <w:rsid w:val="001C11D1"/>
    <w:rsid w:val="001C12BC"/>
    <w:rsid w:val="001C1522"/>
    <w:rsid w:val="001C17DE"/>
    <w:rsid w:val="001C207E"/>
    <w:rsid w:val="001C2610"/>
    <w:rsid w:val="001C3444"/>
    <w:rsid w:val="001C3702"/>
    <w:rsid w:val="001C38F4"/>
    <w:rsid w:val="001C3999"/>
    <w:rsid w:val="001C4656"/>
    <w:rsid w:val="001C46BC"/>
    <w:rsid w:val="001C5782"/>
    <w:rsid w:val="001C57B9"/>
    <w:rsid w:val="001C6085"/>
    <w:rsid w:val="001C6270"/>
    <w:rsid w:val="001C749B"/>
    <w:rsid w:val="001D00E8"/>
    <w:rsid w:val="001D018C"/>
    <w:rsid w:val="001D037E"/>
    <w:rsid w:val="001D04A7"/>
    <w:rsid w:val="001D0DC6"/>
    <w:rsid w:val="001D161B"/>
    <w:rsid w:val="001D1BC1"/>
    <w:rsid w:val="001D1E06"/>
    <w:rsid w:val="001D31BA"/>
    <w:rsid w:val="001D3653"/>
    <w:rsid w:val="001D3B7D"/>
    <w:rsid w:val="001D3D40"/>
    <w:rsid w:val="001D4053"/>
    <w:rsid w:val="001D45DF"/>
    <w:rsid w:val="001D51DF"/>
    <w:rsid w:val="001D5863"/>
    <w:rsid w:val="001D5B5A"/>
    <w:rsid w:val="001D5F05"/>
    <w:rsid w:val="001D69E3"/>
    <w:rsid w:val="001D7865"/>
    <w:rsid w:val="001D7896"/>
    <w:rsid w:val="001D78E3"/>
    <w:rsid w:val="001D7CF6"/>
    <w:rsid w:val="001E01E0"/>
    <w:rsid w:val="001E0979"/>
    <w:rsid w:val="001E0A46"/>
    <w:rsid w:val="001E31C6"/>
    <w:rsid w:val="001E47B2"/>
    <w:rsid w:val="001E486F"/>
    <w:rsid w:val="001E55B8"/>
    <w:rsid w:val="001E5829"/>
    <w:rsid w:val="001E5B86"/>
    <w:rsid w:val="001E5D41"/>
    <w:rsid w:val="001E69F1"/>
    <w:rsid w:val="001E751F"/>
    <w:rsid w:val="001E771F"/>
    <w:rsid w:val="001E77A4"/>
    <w:rsid w:val="001E7995"/>
    <w:rsid w:val="001F0D34"/>
    <w:rsid w:val="001F11A1"/>
    <w:rsid w:val="001F1A7B"/>
    <w:rsid w:val="001F23E6"/>
    <w:rsid w:val="001F28D1"/>
    <w:rsid w:val="001F2CD1"/>
    <w:rsid w:val="001F300F"/>
    <w:rsid w:val="001F4238"/>
    <w:rsid w:val="001F4268"/>
    <w:rsid w:val="001F5816"/>
    <w:rsid w:val="001F5854"/>
    <w:rsid w:val="001F5B1E"/>
    <w:rsid w:val="001F5FB8"/>
    <w:rsid w:val="001F67E5"/>
    <w:rsid w:val="001F6BD5"/>
    <w:rsid w:val="001F6D9D"/>
    <w:rsid w:val="001F7348"/>
    <w:rsid w:val="001F7CC8"/>
    <w:rsid w:val="001F7D35"/>
    <w:rsid w:val="0020004A"/>
    <w:rsid w:val="00200356"/>
    <w:rsid w:val="002005DA"/>
    <w:rsid w:val="00200A38"/>
    <w:rsid w:val="00200A46"/>
    <w:rsid w:val="00200F0F"/>
    <w:rsid w:val="00201A0A"/>
    <w:rsid w:val="002020EF"/>
    <w:rsid w:val="00202A2E"/>
    <w:rsid w:val="00202ADD"/>
    <w:rsid w:val="00202F61"/>
    <w:rsid w:val="002039F8"/>
    <w:rsid w:val="00203A56"/>
    <w:rsid w:val="0020474F"/>
    <w:rsid w:val="002048C6"/>
    <w:rsid w:val="00204DEE"/>
    <w:rsid w:val="00205836"/>
    <w:rsid w:val="00205D4A"/>
    <w:rsid w:val="00205F62"/>
    <w:rsid w:val="002062F8"/>
    <w:rsid w:val="00206956"/>
    <w:rsid w:val="00206CE5"/>
    <w:rsid w:val="00207CED"/>
    <w:rsid w:val="00207F0B"/>
    <w:rsid w:val="00207FC0"/>
    <w:rsid w:val="0021030E"/>
    <w:rsid w:val="002104C7"/>
    <w:rsid w:val="002106E9"/>
    <w:rsid w:val="00210AFB"/>
    <w:rsid w:val="00210C93"/>
    <w:rsid w:val="00210CBC"/>
    <w:rsid w:val="00210E9E"/>
    <w:rsid w:val="00211AA5"/>
    <w:rsid w:val="00211B6F"/>
    <w:rsid w:val="0021250C"/>
    <w:rsid w:val="00213821"/>
    <w:rsid w:val="0021440D"/>
    <w:rsid w:val="00214CFA"/>
    <w:rsid w:val="00214F4E"/>
    <w:rsid w:val="00215A5B"/>
    <w:rsid w:val="00215C23"/>
    <w:rsid w:val="00216392"/>
    <w:rsid w:val="0021692A"/>
    <w:rsid w:val="00217B3B"/>
    <w:rsid w:val="00217CC3"/>
    <w:rsid w:val="00217F9C"/>
    <w:rsid w:val="00220199"/>
    <w:rsid w:val="0022019A"/>
    <w:rsid w:val="002204D3"/>
    <w:rsid w:val="002206AD"/>
    <w:rsid w:val="002208C3"/>
    <w:rsid w:val="00220A01"/>
    <w:rsid w:val="00220AB6"/>
    <w:rsid w:val="00220CC3"/>
    <w:rsid w:val="00220D80"/>
    <w:rsid w:val="0022120F"/>
    <w:rsid w:val="002216B0"/>
    <w:rsid w:val="002226D5"/>
    <w:rsid w:val="00222749"/>
    <w:rsid w:val="00222C48"/>
    <w:rsid w:val="00222D80"/>
    <w:rsid w:val="002230A7"/>
    <w:rsid w:val="0022331E"/>
    <w:rsid w:val="0022351F"/>
    <w:rsid w:val="00223CDD"/>
    <w:rsid w:val="00225675"/>
    <w:rsid w:val="002256F4"/>
    <w:rsid w:val="002263D2"/>
    <w:rsid w:val="002265A3"/>
    <w:rsid w:val="002272D2"/>
    <w:rsid w:val="0022754A"/>
    <w:rsid w:val="0022760F"/>
    <w:rsid w:val="00227D5C"/>
    <w:rsid w:val="002300CB"/>
    <w:rsid w:val="0023153A"/>
    <w:rsid w:val="002315C6"/>
    <w:rsid w:val="0023179C"/>
    <w:rsid w:val="002317CB"/>
    <w:rsid w:val="00231E3E"/>
    <w:rsid w:val="00232368"/>
    <w:rsid w:val="00232DEE"/>
    <w:rsid w:val="00233421"/>
    <w:rsid w:val="002341E4"/>
    <w:rsid w:val="00234C96"/>
    <w:rsid w:val="00235BA4"/>
    <w:rsid w:val="00235E6F"/>
    <w:rsid w:val="00236560"/>
    <w:rsid w:val="0023662E"/>
    <w:rsid w:val="00236D32"/>
    <w:rsid w:val="00237A88"/>
    <w:rsid w:val="00237C8D"/>
    <w:rsid w:val="00237E37"/>
    <w:rsid w:val="00240660"/>
    <w:rsid w:val="002410D5"/>
    <w:rsid w:val="002411A4"/>
    <w:rsid w:val="002415ED"/>
    <w:rsid w:val="0024165B"/>
    <w:rsid w:val="002441AD"/>
    <w:rsid w:val="00244234"/>
    <w:rsid w:val="002443A3"/>
    <w:rsid w:val="00245D0F"/>
    <w:rsid w:val="00246390"/>
    <w:rsid w:val="00251ACD"/>
    <w:rsid w:val="00251EDE"/>
    <w:rsid w:val="00252462"/>
    <w:rsid w:val="002525D6"/>
    <w:rsid w:val="002525FE"/>
    <w:rsid w:val="0025281E"/>
    <w:rsid w:val="00252BCE"/>
    <w:rsid w:val="00252CBB"/>
    <w:rsid w:val="00253463"/>
    <w:rsid w:val="00253746"/>
    <w:rsid w:val="00253917"/>
    <w:rsid w:val="002548C3"/>
    <w:rsid w:val="002566AA"/>
    <w:rsid w:val="0025785F"/>
    <w:rsid w:val="00257AC9"/>
    <w:rsid w:val="00257ACD"/>
    <w:rsid w:val="00257AFD"/>
    <w:rsid w:val="00257C6E"/>
    <w:rsid w:val="00257F8E"/>
    <w:rsid w:val="0026006E"/>
    <w:rsid w:val="002606AC"/>
    <w:rsid w:val="0026079B"/>
    <w:rsid w:val="00260FCF"/>
    <w:rsid w:val="0026141C"/>
    <w:rsid w:val="00261783"/>
    <w:rsid w:val="002617A4"/>
    <w:rsid w:val="00261DD7"/>
    <w:rsid w:val="00261E09"/>
    <w:rsid w:val="00262908"/>
    <w:rsid w:val="002633A0"/>
    <w:rsid w:val="00263DFE"/>
    <w:rsid w:val="00263E8E"/>
    <w:rsid w:val="00264286"/>
    <w:rsid w:val="0026481D"/>
    <w:rsid w:val="002650F4"/>
    <w:rsid w:val="00265A2E"/>
    <w:rsid w:val="00267CB6"/>
    <w:rsid w:val="00267F33"/>
    <w:rsid w:val="00270263"/>
    <w:rsid w:val="00270351"/>
    <w:rsid w:val="00270E8F"/>
    <w:rsid w:val="00270F21"/>
    <w:rsid w:val="002712E0"/>
    <w:rsid w:val="002715FD"/>
    <w:rsid w:val="00272E2B"/>
    <w:rsid w:val="00272E85"/>
    <w:rsid w:val="002731FA"/>
    <w:rsid w:val="00273A6E"/>
    <w:rsid w:val="00274A1E"/>
    <w:rsid w:val="00274FAB"/>
    <w:rsid w:val="00275163"/>
    <w:rsid w:val="00275365"/>
    <w:rsid w:val="0027560D"/>
    <w:rsid w:val="00275C4B"/>
    <w:rsid w:val="0027645B"/>
    <w:rsid w:val="002767CC"/>
    <w:rsid w:val="00276C93"/>
    <w:rsid w:val="002770B1"/>
    <w:rsid w:val="00277591"/>
    <w:rsid w:val="00282756"/>
    <w:rsid w:val="00282D67"/>
    <w:rsid w:val="00282FFC"/>
    <w:rsid w:val="002835F8"/>
    <w:rsid w:val="002846FD"/>
    <w:rsid w:val="00284ABB"/>
    <w:rsid w:val="00284C62"/>
    <w:rsid w:val="0028506D"/>
    <w:rsid w:val="00285509"/>
    <w:rsid w:val="002859B2"/>
    <w:rsid w:val="00285B33"/>
    <w:rsid w:val="00285CB7"/>
    <w:rsid w:val="00286AFD"/>
    <w:rsid w:val="00286C50"/>
    <w:rsid w:val="00287667"/>
    <w:rsid w:val="00287A3C"/>
    <w:rsid w:val="00290538"/>
    <w:rsid w:val="00290F23"/>
    <w:rsid w:val="00291229"/>
    <w:rsid w:val="0029138F"/>
    <w:rsid w:val="00291E17"/>
    <w:rsid w:val="0029287E"/>
    <w:rsid w:val="00292EB8"/>
    <w:rsid w:val="00292F08"/>
    <w:rsid w:val="00293F8B"/>
    <w:rsid w:val="00293FCE"/>
    <w:rsid w:val="00293FCF"/>
    <w:rsid w:val="00294B49"/>
    <w:rsid w:val="00294BE6"/>
    <w:rsid w:val="0029524C"/>
    <w:rsid w:val="00295618"/>
    <w:rsid w:val="002958F6"/>
    <w:rsid w:val="00296CB4"/>
    <w:rsid w:val="002A0F3B"/>
    <w:rsid w:val="002A215F"/>
    <w:rsid w:val="002A2515"/>
    <w:rsid w:val="002A2FC6"/>
    <w:rsid w:val="002A3F25"/>
    <w:rsid w:val="002A3FE5"/>
    <w:rsid w:val="002A497F"/>
    <w:rsid w:val="002A4D1B"/>
    <w:rsid w:val="002A4EE5"/>
    <w:rsid w:val="002A6911"/>
    <w:rsid w:val="002A7257"/>
    <w:rsid w:val="002A7B79"/>
    <w:rsid w:val="002B0F72"/>
    <w:rsid w:val="002B0FA0"/>
    <w:rsid w:val="002B11D5"/>
    <w:rsid w:val="002B198C"/>
    <w:rsid w:val="002B1B8F"/>
    <w:rsid w:val="002B1C44"/>
    <w:rsid w:val="002B2B05"/>
    <w:rsid w:val="002B3091"/>
    <w:rsid w:val="002B439A"/>
    <w:rsid w:val="002B4B2C"/>
    <w:rsid w:val="002B5836"/>
    <w:rsid w:val="002B5CBA"/>
    <w:rsid w:val="002B5F5A"/>
    <w:rsid w:val="002B5F6F"/>
    <w:rsid w:val="002B64E2"/>
    <w:rsid w:val="002B6738"/>
    <w:rsid w:val="002B792C"/>
    <w:rsid w:val="002C0C1E"/>
    <w:rsid w:val="002C0D84"/>
    <w:rsid w:val="002C0FF5"/>
    <w:rsid w:val="002C14C4"/>
    <w:rsid w:val="002C18AC"/>
    <w:rsid w:val="002C1A95"/>
    <w:rsid w:val="002C1EC7"/>
    <w:rsid w:val="002C3015"/>
    <w:rsid w:val="002C4342"/>
    <w:rsid w:val="002C4ABA"/>
    <w:rsid w:val="002C4E6D"/>
    <w:rsid w:val="002C5CF8"/>
    <w:rsid w:val="002C65F0"/>
    <w:rsid w:val="002C7B02"/>
    <w:rsid w:val="002C7EA3"/>
    <w:rsid w:val="002D0346"/>
    <w:rsid w:val="002D1A20"/>
    <w:rsid w:val="002D20AE"/>
    <w:rsid w:val="002D223D"/>
    <w:rsid w:val="002D3677"/>
    <w:rsid w:val="002D3727"/>
    <w:rsid w:val="002D3B50"/>
    <w:rsid w:val="002D4156"/>
    <w:rsid w:val="002D415D"/>
    <w:rsid w:val="002D498E"/>
    <w:rsid w:val="002D5DD5"/>
    <w:rsid w:val="002D612D"/>
    <w:rsid w:val="002D6C61"/>
    <w:rsid w:val="002D7744"/>
    <w:rsid w:val="002E0AAB"/>
    <w:rsid w:val="002E1B97"/>
    <w:rsid w:val="002E2104"/>
    <w:rsid w:val="002E22C6"/>
    <w:rsid w:val="002E2B17"/>
    <w:rsid w:val="002E2CFD"/>
    <w:rsid w:val="002E2DAC"/>
    <w:rsid w:val="002E2E1D"/>
    <w:rsid w:val="002E360E"/>
    <w:rsid w:val="002E586C"/>
    <w:rsid w:val="002E5F29"/>
    <w:rsid w:val="002E637A"/>
    <w:rsid w:val="002E6963"/>
    <w:rsid w:val="002E6A4A"/>
    <w:rsid w:val="002E6B2D"/>
    <w:rsid w:val="002E6F8F"/>
    <w:rsid w:val="002E7EEF"/>
    <w:rsid w:val="002F00E5"/>
    <w:rsid w:val="002F05D8"/>
    <w:rsid w:val="002F1BEB"/>
    <w:rsid w:val="002F1F20"/>
    <w:rsid w:val="002F24FE"/>
    <w:rsid w:val="002F2D05"/>
    <w:rsid w:val="002F2DE0"/>
    <w:rsid w:val="002F3B72"/>
    <w:rsid w:val="002F3CEE"/>
    <w:rsid w:val="002F5190"/>
    <w:rsid w:val="002F54EE"/>
    <w:rsid w:val="002F5E25"/>
    <w:rsid w:val="002F609A"/>
    <w:rsid w:val="002F6F1E"/>
    <w:rsid w:val="002F7306"/>
    <w:rsid w:val="002F739E"/>
    <w:rsid w:val="002F75E5"/>
    <w:rsid w:val="00300307"/>
    <w:rsid w:val="00300796"/>
    <w:rsid w:val="00300870"/>
    <w:rsid w:val="00301206"/>
    <w:rsid w:val="00301AE4"/>
    <w:rsid w:val="00301B41"/>
    <w:rsid w:val="003020F5"/>
    <w:rsid w:val="00302143"/>
    <w:rsid w:val="00302CE1"/>
    <w:rsid w:val="00302E81"/>
    <w:rsid w:val="0030353C"/>
    <w:rsid w:val="003042BF"/>
    <w:rsid w:val="003046DD"/>
    <w:rsid w:val="00304BA3"/>
    <w:rsid w:val="00304CC2"/>
    <w:rsid w:val="003050E9"/>
    <w:rsid w:val="0030530E"/>
    <w:rsid w:val="00306724"/>
    <w:rsid w:val="00306B5F"/>
    <w:rsid w:val="00306F41"/>
    <w:rsid w:val="0030713E"/>
    <w:rsid w:val="00307769"/>
    <w:rsid w:val="00307F07"/>
    <w:rsid w:val="003108C1"/>
    <w:rsid w:val="003108F5"/>
    <w:rsid w:val="003114FE"/>
    <w:rsid w:val="00311E9F"/>
    <w:rsid w:val="00312353"/>
    <w:rsid w:val="003123DF"/>
    <w:rsid w:val="003125C3"/>
    <w:rsid w:val="003128B8"/>
    <w:rsid w:val="00312AE6"/>
    <w:rsid w:val="003135C8"/>
    <w:rsid w:val="0031473D"/>
    <w:rsid w:val="0031482C"/>
    <w:rsid w:val="0031495F"/>
    <w:rsid w:val="00314A98"/>
    <w:rsid w:val="00314C02"/>
    <w:rsid w:val="00315155"/>
    <w:rsid w:val="00316164"/>
    <w:rsid w:val="00316F8E"/>
    <w:rsid w:val="0031741F"/>
    <w:rsid w:val="003179C8"/>
    <w:rsid w:val="00317D1A"/>
    <w:rsid w:val="003201D1"/>
    <w:rsid w:val="003203EA"/>
    <w:rsid w:val="00320FDD"/>
    <w:rsid w:val="003211FF"/>
    <w:rsid w:val="00322D20"/>
    <w:rsid w:val="00322F3B"/>
    <w:rsid w:val="00323693"/>
    <w:rsid w:val="00323FE8"/>
    <w:rsid w:val="003242AB"/>
    <w:rsid w:val="00324D69"/>
    <w:rsid w:val="00325762"/>
    <w:rsid w:val="0032579F"/>
    <w:rsid w:val="00325868"/>
    <w:rsid w:val="00326380"/>
    <w:rsid w:val="0032670F"/>
    <w:rsid w:val="0032683E"/>
    <w:rsid w:val="00326B38"/>
    <w:rsid w:val="00326BD8"/>
    <w:rsid w:val="00327247"/>
    <w:rsid w:val="003275A9"/>
    <w:rsid w:val="0032774B"/>
    <w:rsid w:val="003278A9"/>
    <w:rsid w:val="00327A9D"/>
    <w:rsid w:val="00330382"/>
    <w:rsid w:val="00330E20"/>
    <w:rsid w:val="00330FE0"/>
    <w:rsid w:val="00331009"/>
    <w:rsid w:val="0033104B"/>
    <w:rsid w:val="0033130E"/>
    <w:rsid w:val="00331670"/>
    <w:rsid w:val="003318E7"/>
    <w:rsid w:val="0033269C"/>
    <w:rsid w:val="00332D8C"/>
    <w:rsid w:val="00333131"/>
    <w:rsid w:val="00335931"/>
    <w:rsid w:val="00335DB1"/>
    <w:rsid w:val="00336D91"/>
    <w:rsid w:val="00337735"/>
    <w:rsid w:val="003407FA"/>
    <w:rsid w:val="00342B40"/>
    <w:rsid w:val="00343696"/>
    <w:rsid w:val="0034404A"/>
    <w:rsid w:val="00344764"/>
    <w:rsid w:val="0034510C"/>
    <w:rsid w:val="00346555"/>
    <w:rsid w:val="00346BEB"/>
    <w:rsid w:val="003470D2"/>
    <w:rsid w:val="00350394"/>
    <w:rsid w:val="00350950"/>
    <w:rsid w:val="00350A8D"/>
    <w:rsid w:val="00351543"/>
    <w:rsid w:val="003517BA"/>
    <w:rsid w:val="00351C79"/>
    <w:rsid w:val="00351FE2"/>
    <w:rsid w:val="00352228"/>
    <w:rsid w:val="003522A9"/>
    <w:rsid w:val="00352D9A"/>
    <w:rsid w:val="0035383E"/>
    <w:rsid w:val="0035423C"/>
    <w:rsid w:val="003546D9"/>
    <w:rsid w:val="0035516C"/>
    <w:rsid w:val="0035530A"/>
    <w:rsid w:val="00355673"/>
    <w:rsid w:val="00355A0D"/>
    <w:rsid w:val="00355A4C"/>
    <w:rsid w:val="00355D9E"/>
    <w:rsid w:val="003563C3"/>
    <w:rsid w:val="0035752E"/>
    <w:rsid w:val="003602F9"/>
    <w:rsid w:val="003604FB"/>
    <w:rsid w:val="00360B73"/>
    <w:rsid w:val="003619CC"/>
    <w:rsid w:val="003626D3"/>
    <w:rsid w:val="003627C3"/>
    <w:rsid w:val="00362901"/>
    <w:rsid w:val="00362AD7"/>
    <w:rsid w:val="00362FCA"/>
    <w:rsid w:val="00363113"/>
    <w:rsid w:val="0036325F"/>
    <w:rsid w:val="003634AB"/>
    <w:rsid w:val="00364161"/>
    <w:rsid w:val="00364F91"/>
    <w:rsid w:val="0036531C"/>
    <w:rsid w:val="0036612F"/>
    <w:rsid w:val="003667CA"/>
    <w:rsid w:val="00366BA6"/>
    <w:rsid w:val="003673F2"/>
    <w:rsid w:val="00367469"/>
    <w:rsid w:val="003674F9"/>
    <w:rsid w:val="00367B06"/>
    <w:rsid w:val="00371FBA"/>
    <w:rsid w:val="003736FB"/>
    <w:rsid w:val="00374B19"/>
    <w:rsid w:val="00374DD4"/>
    <w:rsid w:val="003767A1"/>
    <w:rsid w:val="0037700B"/>
    <w:rsid w:val="003777F8"/>
    <w:rsid w:val="003805E0"/>
    <w:rsid w:val="003806B8"/>
    <w:rsid w:val="00380B71"/>
    <w:rsid w:val="0038365A"/>
    <w:rsid w:val="003837E3"/>
    <w:rsid w:val="003848B4"/>
    <w:rsid w:val="00385D51"/>
    <w:rsid w:val="00386408"/>
    <w:rsid w:val="003867E6"/>
    <w:rsid w:val="00386936"/>
    <w:rsid w:val="003869C2"/>
    <w:rsid w:val="00386A89"/>
    <w:rsid w:val="0038760B"/>
    <w:rsid w:val="0039013E"/>
    <w:rsid w:val="0039060B"/>
    <w:rsid w:val="00391636"/>
    <w:rsid w:val="0039181D"/>
    <w:rsid w:val="00391B26"/>
    <w:rsid w:val="00391B98"/>
    <w:rsid w:val="00392A29"/>
    <w:rsid w:val="003936A5"/>
    <w:rsid w:val="0039378D"/>
    <w:rsid w:val="003939D4"/>
    <w:rsid w:val="00394925"/>
    <w:rsid w:val="00394A30"/>
    <w:rsid w:val="00395039"/>
    <w:rsid w:val="00395AC8"/>
    <w:rsid w:val="00395C8A"/>
    <w:rsid w:val="00395DD9"/>
    <w:rsid w:val="00396362"/>
    <w:rsid w:val="0039648E"/>
    <w:rsid w:val="0039673E"/>
    <w:rsid w:val="00396AD2"/>
    <w:rsid w:val="003A0468"/>
    <w:rsid w:val="003A0C71"/>
    <w:rsid w:val="003A1D83"/>
    <w:rsid w:val="003A2702"/>
    <w:rsid w:val="003A27BF"/>
    <w:rsid w:val="003A2D9D"/>
    <w:rsid w:val="003A3140"/>
    <w:rsid w:val="003A32F6"/>
    <w:rsid w:val="003A46A4"/>
    <w:rsid w:val="003A4E67"/>
    <w:rsid w:val="003A4F8F"/>
    <w:rsid w:val="003A5AFE"/>
    <w:rsid w:val="003A5D5F"/>
    <w:rsid w:val="003A6D81"/>
    <w:rsid w:val="003A6DAA"/>
    <w:rsid w:val="003A6F0C"/>
    <w:rsid w:val="003A7FFE"/>
    <w:rsid w:val="003B0A63"/>
    <w:rsid w:val="003B107F"/>
    <w:rsid w:val="003B1726"/>
    <w:rsid w:val="003B2000"/>
    <w:rsid w:val="003B20F9"/>
    <w:rsid w:val="003B2F06"/>
    <w:rsid w:val="003B3448"/>
    <w:rsid w:val="003B3E19"/>
    <w:rsid w:val="003B3FE1"/>
    <w:rsid w:val="003B40A4"/>
    <w:rsid w:val="003B4E79"/>
    <w:rsid w:val="003B50E1"/>
    <w:rsid w:val="003B512E"/>
    <w:rsid w:val="003B51CB"/>
    <w:rsid w:val="003B585C"/>
    <w:rsid w:val="003B5B70"/>
    <w:rsid w:val="003B65AB"/>
    <w:rsid w:val="003B732E"/>
    <w:rsid w:val="003B7585"/>
    <w:rsid w:val="003B7653"/>
    <w:rsid w:val="003B78DD"/>
    <w:rsid w:val="003B7A09"/>
    <w:rsid w:val="003B7B0A"/>
    <w:rsid w:val="003B7D80"/>
    <w:rsid w:val="003C0334"/>
    <w:rsid w:val="003C04B9"/>
    <w:rsid w:val="003C06D8"/>
    <w:rsid w:val="003C1278"/>
    <w:rsid w:val="003C1746"/>
    <w:rsid w:val="003C1F10"/>
    <w:rsid w:val="003C2AA9"/>
    <w:rsid w:val="003C37BE"/>
    <w:rsid w:val="003C4729"/>
    <w:rsid w:val="003C58BF"/>
    <w:rsid w:val="003C6255"/>
    <w:rsid w:val="003C7EF3"/>
    <w:rsid w:val="003D03C4"/>
    <w:rsid w:val="003D0AEA"/>
    <w:rsid w:val="003D280E"/>
    <w:rsid w:val="003D292B"/>
    <w:rsid w:val="003D2EE4"/>
    <w:rsid w:val="003D3132"/>
    <w:rsid w:val="003D3634"/>
    <w:rsid w:val="003D3CEE"/>
    <w:rsid w:val="003D3E09"/>
    <w:rsid w:val="003D451D"/>
    <w:rsid w:val="003D4CCA"/>
    <w:rsid w:val="003D589C"/>
    <w:rsid w:val="003D5BC5"/>
    <w:rsid w:val="003D6261"/>
    <w:rsid w:val="003D6AC0"/>
    <w:rsid w:val="003D741E"/>
    <w:rsid w:val="003D7CBC"/>
    <w:rsid w:val="003E06B1"/>
    <w:rsid w:val="003E0849"/>
    <w:rsid w:val="003E1757"/>
    <w:rsid w:val="003E187D"/>
    <w:rsid w:val="003E1FE8"/>
    <w:rsid w:val="003E272F"/>
    <w:rsid w:val="003E2BE1"/>
    <w:rsid w:val="003E2D6B"/>
    <w:rsid w:val="003E2DB6"/>
    <w:rsid w:val="003E3C22"/>
    <w:rsid w:val="003E5436"/>
    <w:rsid w:val="003E5B0B"/>
    <w:rsid w:val="003E754B"/>
    <w:rsid w:val="003E79C3"/>
    <w:rsid w:val="003E79F4"/>
    <w:rsid w:val="003F0277"/>
    <w:rsid w:val="003F0545"/>
    <w:rsid w:val="003F0964"/>
    <w:rsid w:val="003F2687"/>
    <w:rsid w:val="003F2DD8"/>
    <w:rsid w:val="003F2F64"/>
    <w:rsid w:val="003F3F2D"/>
    <w:rsid w:val="003F4534"/>
    <w:rsid w:val="003F4E3D"/>
    <w:rsid w:val="003F4F61"/>
    <w:rsid w:val="003F50B2"/>
    <w:rsid w:val="003F5C35"/>
    <w:rsid w:val="003F5C50"/>
    <w:rsid w:val="003F5F40"/>
    <w:rsid w:val="003F6838"/>
    <w:rsid w:val="003F73E1"/>
    <w:rsid w:val="003F785E"/>
    <w:rsid w:val="00400802"/>
    <w:rsid w:val="004008AD"/>
    <w:rsid w:val="00400B89"/>
    <w:rsid w:val="00400CA3"/>
    <w:rsid w:val="00400CCF"/>
    <w:rsid w:val="004012FF"/>
    <w:rsid w:val="00401487"/>
    <w:rsid w:val="004015CE"/>
    <w:rsid w:val="004015ED"/>
    <w:rsid w:val="00401711"/>
    <w:rsid w:val="00401BFF"/>
    <w:rsid w:val="00402773"/>
    <w:rsid w:val="00402AEE"/>
    <w:rsid w:val="004032B8"/>
    <w:rsid w:val="0040334F"/>
    <w:rsid w:val="00404179"/>
    <w:rsid w:val="004042F9"/>
    <w:rsid w:val="00404424"/>
    <w:rsid w:val="00404450"/>
    <w:rsid w:val="00404AAE"/>
    <w:rsid w:val="00404BAC"/>
    <w:rsid w:val="00404C03"/>
    <w:rsid w:val="00405AC7"/>
    <w:rsid w:val="0040629D"/>
    <w:rsid w:val="00406C27"/>
    <w:rsid w:val="00407156"/>
    <w:rsid w:val="004071A8"/>
    <w:rsid w:val="0040729B"/>
    <w:rsid w:val="004076EE"/>
    <w:rsid w:val="00410613"/>
    <w:rsid w:val="0041156B"/>
    <w:rsid w:val="004118F6"/>
    <w:rsid w:val="00412207"/>
    <w:rsid w:val="004122C5"/>
    <w:rsid w:val="00412760"/>
    <w:rsid w:val="00412BC3"/>
    <w:rsid w:val="00412E8A"/>
    <w:rsid w:val="004132EF"/>
    <w:rsid w:val="00413B78"/>
    <w:rsid w:val="004145C9"/>
    <w:rsid w:val="004146FD"/>
    <w:rsid w:val="00414752"/>
    <w:rsid w:val="00415D50"/>
    <w:rsid w:val="0041652E"/>
    <w:rsid w:val="00416DDE"/>
    <w:rsid w:val="00417AB5"/>
    <w:rsid w:val="00417BC1"/>
    <w:rsid w:val="00420720"/>
    <w:rsid w:val="004210D2"/>
    <w:rsid w:val="00421175"/>
    <w:rsid w:val="004212F2"/>
    <w:rsid w:val="004212FD"/>
    <w:rsid w:val="004213E1"/>
    <w:rsid w:val="00422387"/>
    <w:rsid w:val="00422F75"/>
    <w:rsid w:val="004244E2"/>
    <w:rsid w:val="00424703"/>
    <w:rsid w:val="00425089"/>
    <w:rsid w:val="004253FD"/>
    <w:rsid w:val="00425A38"/>
    <w:rsid w:val="00426191"/>
    <w:rsid w:val="004261F8"/>
    <w:rsid w:val="004268F1"/>
    <w:rsid w:val="00426C11"/>
    <w:rsid w:val="004318B7"/>
    <w:rsid w:val="00431DCB"/>
    <w:rsid w:val="00432329"/>
    <w:rsid w:val="00432BA2"/>
    <w:rsid w:val="00432F0D"/>
    <w:rsid w:val="00432FBE"/>
    <w:rsid w:val="0043392A"/>
    <w:rsid w:val="00433F81"/>
    <w:rsid w:val="004344E7"/>
    <w:rsid w:val="00434C39"/>
    <w:rsid w:val="0043564C"/>
    <w:rsid w:val="0043619E"/>
    <w:rsid w:val="004361C2"/>
    <w:rsid w:val="00436C1D"/>
    <w:rsid w:val="0043740B"/>
    <w:rsid w:val="00437D71"/>
    <w:rsid w:val="00440053"/>
    <w:rsid w:val="00440257"/>
    <w:rsid w:val="0044042B"/>
    <w:rsid w:val="004412A3"/>
    <w:rsid w:val="0044158E"/>
    <w:rsid w:val="00441716"/>
    <w:rsid w:val="00441B49"/>
    <w:rsid w:val="00441EDF"/>
    <w:rsid w:val="0044233B"/>
    <w:rsid w:val="0044255E"/>
    <w:rsid w:val="004435ED"/>
    <w:rsid w:val="00443CD8"/>
    <w:rsid w:val="0044411E"/>
    <w:rsid w:val="0044447C"/>
    <w:rsid w:val="004459DF"/>
    <w:rsid w:val="00445A24"/>
    <w:rsid w:val="00445C66"/>
    <w:rsid w:val="004470E3"/>
    <w:rsid w:val="00447E6E"/>
    <w:rsid w:val="00450BD2"/>
    <w:rsid w:val="00450D20"/>
    <w:rsid w:val="00451B1F"/>
    <w:rsid w:val="00451F9C"/>
    <w:rsid w:val="0045334E"/>
    <w:rsid w:val="00453435"/>
    <w:rsid w:val="00453D8A"/>
    <w:rsid w:val="00455170"/>
    <w:rsid w:val="0045541F"/>
    <w:rsid w:val="0045574A"/>
    <w:rsid w:val="00455C99"/>
    <w:rsid w:val="00456765"/>
    <w:rsid w:val="00457475"/>
    <w:rsid w:val="004575C8"/>
    <w:rsid w:val="004575FD"/>
    <w:rsid w:val="00460089"/>
    <w:rsid w:val="00460B1C"/>
    <w:rsid w:val="00460F76"/>
    <w:rsid w:val="0046141C"/>
    <w:rsid w:val="00461BD9"/>
    <w:rsid w:val="00461F9D"/>
    <w:rsid w:val="00462208"/>
    <w:rsid w:val="00463089"/>
    <w:rsid w:val="00463B96"/>
    <w:rsid w:val="00464383"/>
    <w:rsid w:val="004644F6"/>
    <w:rsid w:val="004646A7"/>
    <w:rsid w:val="00464FA5"/>
    <w:rsid w:val="00466398"/>
    <w:rsid w:val="00466C83"/>
    <w:rsid w:val="004710FD"/>
    <w:rsid w:val="004712A4"/>
    <w:rsid w:val="00472B16"/>
    <w:rsid w:val="0047306D"/>
    <w:rsid w:val="00473107"/>
    <w:rsid w:val="004733F0"/>
    <w:rsid w:val="00473791"/>
    <w:rsid w:val="0047483C"/>
    <w:rsid w:val="00474FB1"/>
    <w:rsid w:val="00475305"/>
    <w:rsid w:val="00475529"/>
    <w:rsid w:val="00475959"/>
    <w:rsid w:val="0047619F"/>
    <w:rsid w:val="00476559"/>
    <w:rsid w:val="004765C0"/>
    <w:rsid w:val="00476647"/>
    <w:rsid w:val="00476E48"/>
    <w:rsid w:val="004771A7"/>
    <w:rsid w:val="00480259"/>
    <w:rsid w:val="00480A9A"/>
    <w:rsid w:val="00480C7C"/>
    <w:rsid w:val="004818ED"/>
    <w:rsid w:val="00481DE9"/>
    <w:rsid w:val="00482C12"/>
    <w:rsid w:val="00483C5E"/>
    <w:rsid w:val="00484B2D"/>
    <w:rsid w:val="00484CEF"/>
    <w:rsid w:val="004851FF"/>
    <w:rsid w:val="0048691C"/>
    <w:rsid w:val="00486C31"/>
    <w:rsid w:val="00486D2E"/>
    <w:rsid w:val="00487121"/>
    <w:rsid w:val="004901D6"/>
    <w:rsid w:val="004902C0"/>
    <w:rsid w:val="004908A7"/>
    <w:rsid w:val="00490C57"/>
    <w:rsid w:val="00490C76"/>
    <w:rsid w:val="00490E75"/>
    <w:rsid w:val="0049128B"/>
    <w:rsid w:val="00491391"/>
    <w:rsid w:val="0049151B"/>
    <w:rsid w:val="00491705"/>
    <w:rsid w:val="004924C8"/>
    <w:rsid w:val="00492592"/>
    <w:rsid w:val="0049289A"/>
    <w:rsid w:val="004932CF"/>
    <w:rsid w:val="00493388"/>
    <w:rsid w:val="00493B31"/>
    <w:rsid w:val="00493B49"/>
    <w:rsid w:val="00493DC7"/>
    <w:rsid w:val="00493E1D"/>
    <w:rsid w:val="00494808"/>
    <w:rsid w:val="00495129"/>
    <w:rsid w:val="00495501"/>
    <w:rsid w:val="004959B5"/>
    <w:rsid w:val="00495BBA"/>
    <w:rsid w:val="00495D95"/>
    <w:rsid w:val="00495EB9"/>
    <w:rsid w:val="004969FE"/>
    <w:rsid w:val="00496E74"/>
    <w:rsid w:val="0049748F"/>
    <w:rsid w:val="00497740"/>
    <w:rsid w:val="004978C3"/>
    <w:rsid w:val="00497CE0"/>
    <w:rsid w:val="004A070A"/>
    <w:rsid w:val="004A076E"/>
    <w:rsid w:val="004A1F72"/>
    <w:rsid w:val="004A21BE"/>
    <w:rsid w:val="004A21C4"/>
    <w:rsid w:val="004A2336"/>
    <w:rsid w:val="004A301E"/>
    <w:rsid w:val="004A320E"/>
    <w:rsid w:val="004A331C"/>
    <w:rsid w:val="004A385A"/>
    <w:rsid w:val="004A4E9C"/>
    <w:rsid w:val="004A51BF"/>
    <w:rsid w:val="004A54D2"/>
    <w:rsid w:val="004A618D"/>
    <w:rsid w:val="004A6867"/>
    <w:rsid w:val="004A6C13"/>
    <w:rsid w:val="004A7857"/>
    <w:rsid w:val="004A7E61"/>
    <w:rsid w:val="004B11BE"/>
    <w:rsid w:val="004B1A3C"/>
    <w:rsid w:val="004B1D33"/>
    <w:rsid w:val="004B2A6D"/>
    <w:rsid w:val="004B3908"/>
    <w:rsid w:val="004B441D"/>
    <w:rsid w:val="004B465A"/>
    <w:rsid w:val="004B4CBE"/>
    <w:rsid w:val="004B58B4"/>
    <w:rsid w:val="004B5D44"/>
    <w:rsid w:val="004B616B"/>
    <w:rsid w:val="004B6A0D"/>
    <w:rsid w:val="004B6E3C"/>
    <w:rsid w:val="004B79C3"/>
    <w:rsid w:val="004B7C25"/>
    <w:rsid w:val="004B7DEF"/>
    <w:rsid w:val="004C0402"/>
    <w:rsid w:val="004C0C19"/>
    <w:rsid w:val="004C0E53"/>
    <w:rsid w:val="004C15CC"/>
    <w:rsid w:val="004C2666"/>
    <w:rsid w:val="004C3540"/>
    <w:rsid w:val="004C39C7"/>
    <w:rsid w:val="004C3CCC"/>
    <w:rsid w:val="004C4830"/>
    <w:rsid w:val="004C4A3E"/>
    <w:rsid w:val="004C4F47"/>
    <w:rsid w:val="004C618A"/>
    <w:rsid w:val="004C62B8"/>
    <w:rsid w:val="004C6731"/>
    <w:rsid w:val="004C6E7D"/>
    <w:rsid w:val="004C7016"/>
    <w:rsid w:val="004C7845"/>
    <w:rsid w:val="004C79E9"/>
    <w:rsid w:val="004D0282"/>
    <w:rsid w:val="004D038C"/>
    <w:rsid w:val="004D25F7"/>
    <w:rsid w:val="004D276A"/>
    <w:rsid w:val="004D29CD"/>
    <w:rsid w:val="004D29FD"/>
    <w:rsid w:val="004D2CC3"/>
    <w:rsid w:val="004D35CB"/>
    <w:rsid w:val="004D3A06"/>
    <w:rsid w:val="004D3E60"/>
    <w:rsid w:val="004D3F4A"/>
    <w:rsid w:val="004D4377"/>
    <w:rsid w:val="004D45E8"/>
    <w:rsid w:val="004D4FE9"/>
    <w:rsid w:val="004D51C7"/>
    <w:rsid w:val="004D52EF"/>
    <w:rsid w:val="004D5F04"/>
    <w:rsid w:val="004D6FF4"/>
    <w:rsid w:val="004D7DAB"/>
    <w:rsid w:val="004E0437"/>
    <w:rsid w:val="004E04A5"/>
    <w:rsid w:val="004E13AD"/>
    <w:rsid w:val="004E168B"/>
    <w:rsid w:val="004E17EB"/>
    <w:rsid w:val="004E1B41"/>
    <w:rsid w:val="004E20E5"/>
    <w:rsid w:val="004E2836"/>
    <w:rsid w:val="004E2B62"/>
    <w:rsid w:val="004E2BE6"/>
    <w:rsid w:val="004E32DA"/>
    <w:rsid w:val="004E4579"/>
    <w:rsid w:val="004E4CE0"/>
    <w:rsid w:val="004E5473"/>
    <w:rsid w:val="004E54DE"/>
    <w:rsid w:val="004E64EA"/>
    <w:rsid w:val="004E6712"/>
    <w:rsid w:val="004E6A0B"/>
    <w:rsid w:val="004E71A9"/>
    <w:rsid w:val="004E7362"/>
    <w:rsid w:val="004E7828"/>
    <w:rsid w:val="004E7C4F"/>
    <w:rsid w:val="004F0A38"/>
    <w:rsid w:val="004F0BA8"/>
    <w:rsid w:val="004F1193"/>
    <w:rsid w:val="004F18EC"/>
    <w:rsid w:val="004F1BCF"/>
    <w:rsid w:val="004F2262"/>
    <w:rsid w:val="004F2361"/>
    <w:rsid w:val="004F46AA"/>
    <w:rsid w:val="004F4B9A"/>
    <w:rsid w:val="004F4F8E"/>
    <w:rsid w:val="004F568E"/>
    <w:rsid w:val="004F58E2"/>
    <w:rsid w:val="004F6056"/>
    <w:rsid w:val="004F6195"/>
    <w:rsid w:val="004F6A70"/>
    <w:rsid w:val="004F6F9A"/>
    <w:rsid w:val="00500323"/>
    <w:rsid w:val="00500642"/>
    <w:rsid w:val="00500778"/>
    <w:rsid w:val="00500AD7"/>
    <w:rsid w:val="00500CF9"/>
    <w:rsid w:val="00500DE8"/>
    <w:rsid w:val="00500DF4"/>
    <w:rsid w:val="00500E30"/>
    <w:rsid w:val="00501030"/>
    <w:rsid w:val="00501197"/>
    <w:rsid w:val="00501715"/>
    <w:rsid w:val="00501B50"/>
    <w:rsid w:val="0050289C"/>
    <w:rsid w:val="005028B3"/>
    <w:rsid w:val="005028BA"/>
    <w:rsid w:val="00502ABF"/>
    <w:rsid w:val="0050387B"/>
    <w:rsid w:val="005040F1"/>
    <w:rsid w:val="00504D00"/>
    <w:rsid w:val="00504DB0"/>
    <w:rsid w:val="005050C3"/>
    <w:rsid w:val="005061E6"/>
    <w:rsid w:val="005064EC"/>
    <w:rsid w:val="00506FFC"/>
    <w:rsid w:val="005078A4"/>
    <w:rsid w:val="005078E1"/>
    <w:rsid w:val="00507ABA"/>
    <w:rsid w:val="00507C35"/>
    <w:rsid w:val="00507FFC"/>
    <w:rsid w:val="00510125"/>
    <w:rsid w:val="00510714"/>
    <w:rsid w:val="00510735"/>
    <w:rsid w:val="00511FF3"/>
    <w:rsid w:val="005123B3"/>
    <w:rsid w:val="005135CF"/>
    <w:rsid w:val="0051391D"/>
    <w:rsid w:val="00513E86"/>
    <w:rsid w:val="00514811"/>
    <w:rsid w:val="00514D2F"/>
    <w:rsid w:val="005167F4"/>
    <w:rsid w:val="00516A9C"/>
    <w:rsid w:val="005173A6"/>
    <w:rsid w:val="00517432"/>
    <w:rsid w:val="00517AD9"/>
    <w:rsid w:val="005202CB"/>
    <w:rsid w:val="005204C0"/>
    <w:rsid w:val="005206EB"/>
    <w:rsid w:val="00521816"/>
    <w:rsid w:val="00522B64"/>
    <w:rsid w:val="005239C0"/>
    <w:rsid w:val="00523C86"/>
    <w:rsid w:val="00524D65"/>
    <w:rsid w:val="005251F8"/>
    <w:rsid w:val="00525539"/>
    <w:rsid w:val="00525D20"/>
    <w:rsid w:val="00525E34"/>
    <w:rsid w:val="005262AD"/>
    <w:rsid w:val="00526AF8"/>
    <w:rsid w:val="00526B35"/>
    <w:rsid w:val="00526E18"/>
    <w:rsid w:val="005270BE"/>
    <w:rsid w:val="005271CC"/>
    <w:rsid w:val="0052764B"/>
    <w:rsid w:val="00527CE9"/>
    <w:rsid w:val="00527D3F"/>
    <w:rsid w:val="005300F0"/>
    <w:rsid w:val="00530526"/>
    <w:rsid w:val="005317FF"/>
    <w:rsid w:val="00532695"/>
    <w:rsid w:val="00532EEF"/>
    <w:rsid w:val="00533CB0"/>
    <w:rsid w:val="00534611"/>
    <w:rsid w:val="005346F7"/>
    <w:rsid w:val="00534B86"/>
    <w:rsid w:val="005353DB"/>
    <w:rsid w:val="00536130"/>
    <w:rsid w:val="00537260"/>
    <w:rsid w:val="005374A1"/>
    <w:rsid w:val="005374E0"/>
    <w:rsid w:val="0053761F"/>
    <w:rsid w:val="00542207"/>
    <w:rsid w:val="005430C3"/>
    <w:rsid w:val="005430F0"/>
    <w:rsid w:val="0054420E"/>
    <w:rsid w:val="00544212"/>
    <w:rsid w:val="005445B3"/>
    <w:rsid w:val="0054499A"/>
    <w:rsid w:val="00544D1B"/>
    <w:rsid w:val="00545246"/>
    <w:rsid w:val="00545828"/>
    <w:rsid w:val="00545AC3"/>
    <w:rsid w:val="00545DC0"/>
    <w:rsid w:val="00545F6C"/>
    <w:rsid w:val="005460D4"/>
    <w:rsid w:val="00546A15"/>
    <w:rsid w:val="005470D9"/>
    <w:rsid w:val="0054775F"/>
    <w:rsid w:val="005477D9"/>
    <w:rsid w:val="00547F19"/>
    <w:rsid w:val="00550382"/>
    <w:rsid w:val="005505EB"/>
    <w:rsid w:val="00550FBA"/>
    <w:rsid w:val="0055220A"/>
    <w:rsid w:val="00553CFE"/>
    <w:rsid w:val="00554ABD"/>
    <w:rsid w:val="00554E41"/>
    <w:rsid w:val="00555323"/>
    <w:rsid w:val="005553E8"/>
    <w:rsid w:val="00555C01"/>
    <w:rsid w:val="00555F05"/>
    <w:rsid w:val="00555FDE"/>
    <w:rsid w:val="005562D2"/>
    <w:rsid w:val="0055630A"/>
    <w:rsid w:val="005569C6"/>
    <w:rsid w:val="00557006"/>
    <w:rsid w:val="0055720C"/>
    <w:rsid w:val="005572CE"/>
    <w:rsid w:val="00557C24"/>
    <w:rsid w:val="005601C4"/>
    <w:rsid w:val="00561796"/>
    <w:rsid w:val="00562BED"/>
    <w:rsid w:val="00562D7D"/>
    <w:rsid w:val="00563230"/>
    <w:rsid w:val="005632DD"/>
    <w:rsid w:val="00563452"/>
    <w:rsid w:val="00563F4A"/>
    <w:rsid w:val="0056423B"/>
    <w:rsid w:val="005649D4"/>
    <w:rsid w:val="00564C39"/>
    <w:rsid w:val="00565386"/>
    <w:rsid w:val="005658D0"/>
    <w:rsid w:val="0056644E"/>
    <w:rsid w:val="0056689E"/>
    <w:rsid w:val="00566BDC"/>
    <w:rsid w:val="00566CA6"/>
    <w:rsid w:val="00567CCA"/>
    <w:rsid w:val="0057027C"/>
    <w:rsid w:val="005708DE"/>
    <w:rsid w:val="0057100D"/>
    <w:rsid w:val="0057164A"/>
    <w:rsid w:val="00571799"/>
    <w:rsid w:val="0057279A"/>
    <w:rsid w:val="00572937"/>
    <w:rsid w:val="00573424"/>
    <w:rsid w:val="005737E7"/>
    <w:rsid w:val="0057402F"/>
    <w:rsid w:val="00574167"/>
    <w:rsid w:val="00574C5A"/>
    <w:rsid w:val="00574F49"/>
    <w:rsid w:val="00575CF9"/>
    <w:rsid w:val="005761B7"/>
    <w:rsid w:val="005764B8"/>
    <w:rsid w:val="005766ED"/>
    <w:rsid w:val="00577331"/>
    <w:rsid w:val="00577D9F"/>
    <w:rsid w:val="00577E13"/>
    <w:rsid w:val="00580E10"/>
    <w:rsid w:val="00581064"/>
    <w:rsid w:val="00581252"/>
    <w:rsid w:val="00581653"/>
    <w:rsid w:val="00581DDE"/>
    <w:rsid w:val="00582029"/>
    <w:rsid w:val="00582D05"/>
    <w:rsid w:val="0058350E"/>
    <w:rsid w:val="00584836"/>
    <w:rsid w:val="005849D6"/>
    <w:rsid w:val="005849FD"/>
    <w:rsid w:val="00585149"/>
    <w:rsid w:val="005852DA"/>
    <w:rsid w:val="00585367"/>
    <w:rsid w:val="005855E4"/>
    <w:rsid w:val="00585701"/>
    <w:rsid w:val="0058571E"/>
    <w:rsid w:val="00585810"/>
    <w:rsid w:val="005858FD"/>
    <w:rsid w:val="005867B4"/>
    <w:rsid w:val="00586DD6"/>
    <w:rsid w:val="005871A1"/>
    <w:rsid w:val="0058737E"/>
    <w:rsid w:val="005878EB"/>
    <w:rsid w:val="00590023"/>
    <w:rsid w:val="005920D2"/>
    <w:rsid w:val="0059217C"/>
    <w:rsid w:val="00592348"/>
    <w:rsid w:val="00592518"/>
    <w:rsid w:val="00592E87"/>
    <w:rsid w:val="0059363C"/>
    <w:rsid w:val="0059420B"/>
    <w:rsid w:val="0059421A"/>
    <w:rsid w:val="00594C4D"/>
    <w:rsid w:val="00595DB9"/>
    <w:rsid w:val="00596724"/>
    <w:rsid w:val="00597665"/>
    <w:rsid w:val="005976F8"/>
    <w:rsid w:val="005A0518"/>
    <w:rsid w:val="005A0ACB"/>
    <w:rsid w:val="005A0C11"/>
    <w:rsid w:val="005A13AC"/>
    <w:rsid w:val="005A1A03"/>
    <w:rsid w:val="005A2453"/>
    <w:rsid w:val="005A2505"/>
    <w:rsid w:val="005A265C"/>
    <w:rsid w:val="005A322E"/>
    <w:rsid w:val="005A3271"/>
    <w:rsid w:val="005A33B0"/>
    <w:rsid w:val="005A3FDC"/>
    <w:rsid w:val="005A406D"/>
    <w:rsid w:val="005A4481"/>
    <w:rsid w:val="005A4AB8"/>
    <w:rsid w:val="005A4F5C"/>
    <w:rsid w:val="005A58A6"/>
    <w:rsid w:val="005A5A09"/>
    <w:rsid w:val="005A727C"/>
    <w:rsid w:val="005A76A0"/>
    <w:rsid w:val="005B0061"/>
    <w:rsid w:val="005B0B62"/>
    <w:rsid w:val="005B0C9B"/>
    <w:rsid w:val="005B0DDF"/>
    <w:rsid w:val="005B0E74"/>
    <w:rsid w:val="005B11E3"/>
    <w:rsid w:val="005B15A4"/>
    <w:rsid w:val="005B1965"/>
    <w:rsid w:val="005B1ACC"/>
    <w:rsid w:val="005B1BF2"/>
    <w:rsid w:val="005B21F1"/>
    <w:rsid w:val="005B2295"/>
    <w:rsid w:val="005B2B24"/>
    <w:rsid w:val="005B2E46"/>
    <w:rsid w:val="005B34C3"/>
    <w:rsid w:val="005B37A8"/>
    <w:rsid w:val="005B3BEF"/>
    <w:rsid w:val="005B3CE0"/>
    <w:rsid w:val="005B4D80"/>
    <w:rsid w:val="005B4DA5"/>
    <w:rsid w:val="005B50AD"/>
    <w:rsid w:val="005B6435"/>
    <w:rsid w:val="005B65E9"/>
    <w:rsid w:val="005B664B"/>
    <w:rsid w:val="005B7930"/>
    <w:rsid w:val="005B7BDA"/>
    <w:rsid w:val="005C04DE"/>
    <w:rsid w:val="005C0CDA"/>
    <w:rsid w:val="005C203F"/>
    <w:rsid w:val="005C241B"/>
    <w:rsid w:val="005C2DC2"/>
    <w:rsid w:val="005C304A"/>
    <w:rsid w:val="005C3080"/>
    <w:rsid w:val="005C30D2"/>
    <w:rsid w:val="005C3D69"/>
    <w:rsid w:val="005C4361"/>
    <w:rsid w:val="005C46ED"/>
    <w:rsid w:val="005C5044"/>
    <w:rsid w:val="005C5464"/>
    <w:rsid w:val="005C5E35"/>
    <w:rsid w:val="005C5FEB"/>
    <w:rsid w:val="005C6632"/>
    <w:rsid w:val="005C6A28"/>
    <w:rsid w:val="005C6C2C"/>
    <w:rsid w:val="005C6CD0"/>
    <w:rsid w:val="005C6FC4"/>
    <w:rsid w:val="005C76BA"/>
    <w:rsid w:val="005C78E9"/>
    <w:rsid w:val="005C7C98"/>
    <w:rsid w:val="005D0ABC"/>
    <w:rsid w:val="005D0CE9"/>
    <w:rsid w:val="005D0F9C"/>
    <w:rsid w:val="005D12D3"/>
    <w:rsid w:val="005D1E6D"/>
    <w:rsid w:val="005D2605"/>
    <w:rsid w:val="005D2C3A"/>
    <w:rsid w:val="005D37FB"/>
    <w:rsid w:val="005D4061"/>
    <w:rsid w:val="005D4573"/>
    <w:rsid w:val="005D4FF2"/>
    <w:rsid w:val="005D5023"/>
    <w:rsid w:val="005D527B"/>
    <w:rsid w:val="005D55A4"/>
    <w:rsid w:val="005D57C8"/>
    <w:rsid w:val="005D63D1"/>
    <w:rsid w:val="005D70BA"/>
    <w:rsid w:val="005D7309"/>
    <w:rsid w:val="005D7761"/>
    <w:rsid w:val="005D7CD3"/>
    <w:rsid w:val="005D7E89"/>
    <w:rsid w:val="005E0278"/>
    <w:rsid w:val="005E05D1"/>
    <w:rsid w:val="005E090D"/>
    <w:rsid w:val="005E18A9"/>
    <w:rsid w:val="005E1F81"/>
    <w:rsid w:val="005E2D6F"/>
    <w:rsid w:val="005E2E4D"/>
    <w:rsid w:val="005E2EBF"/>
    <w:rsid w:val="005E2FFB"/>
    <w:rsid w:val="005E38FF"/>
    <w:rsid w:val="005E3CA0"/>
    <w:rsid w:val="005E449A"/>
    <w:rsid w:val="005E44B1"/>
    <w:rsid w:val="005E4EE5"/>
    <w:rsid w:val="005E507D"/>
    <w:rsid w:val="005E50BC"/>
    <w:rsid w:val="005E538D"/>
    <w:rsid w:val="005E6077"/>
    <w:rsid w:val="005E63FF"/>
    <w:rsid w:val="005E661D"/>
    <w:rsid w:val="005E67B0"/>
    <w:rsid w:val="005E687F"/>
    <w:rsid w:val="005E6E59"/>
    <w:rsid w:val="005E6F46"/>
    <w:rsid w:val="005E7047"/>
    <w:rsid w:val="005E71B9"/>
    <w:rsid w:val="005E777F"/>
    <w:rsid w:val="005E7A0A"/>
    <w:rsid w:val="005E7B5E"/>
    <w:rsid w:val="005F020F"/>
    <w:rsid w:val="005F127B"/>
    <w:rsid w:val="005F1CA7"/>
    <w:rsid w:val="005F1ECF"/>
    <w:rsid w:val="005F229F"/>
    <w:rsid w:val="005F2309"/>
    <w:rsid w:val="005F23E3"/>
    <w:rsid w:val="005F249C"/>
    <w:rsid w:val="005F305B"/>
    <w:rsid w:val="005F4015"/>
    <w:rsid w:val="005F417C"/>
    <w:rsid w:val="005F43DD"/>
    <w:rsid w:val="005F469E"/>
    <w:rsid w:val="005F4969"/>
    <w:rsid w:val="005F51A9"/>
    <w:rsid w:val="005F5B35"/>
    <w:rsid w:val="005F5EDF"/>
    <w:rsid w:val="005F61C0"/>
    <w:rsid w:val="005F62C4"/>
    <w:rsid w:val="005F69A0"/>
    <w:rsid w:val="005F6BE1"/>
    <w:rsid w:val="005F6F7D"/>
    <w:rsid w:val="005F735A"/>
    <w:rsid w:val="005F7416"/>
    <w:rsid w:val="005F74ED"/>
    <w:rsid w:val="005F79E2"/>
    <w:rsid w:val="005F7C55"/>
    <w:rsid w:val="00600367"/>
    <w:rsid w:val="00600C11"/>
    <w:rsid w:val="0060111E"/>
    <w:rsid w:val="00601582"/>
    <w:rsid w:val="00601946"/>
    <w:rsid w:val="006019B5"/>
    <w:rsid w:val="006022A8"/>
    <w:rsid w:val="006022D1"/>
    <w:rsid w:val="0060314C"/>
    <w:rsid w:val="00604B41"/>
    <w:rsid w:val="00604E11"/>
    <w:rsid w:val="00605EBE"/>
    <w:rsid w:val="006062D6"/>
    <w:rsid w:val="006067EB"/>
    <w:rsid w:val="00606B89"/>
    <w:rsid w:val="006079B5"/>
    <w:rsid w:val="00607AD1"/>
    <w:rsid w:val="00610765"/>
    <w:rsid w:val="0061096C"/>
    <w:rsid w:val="006110C5"/>
    <w:rsid w:val="006110F6"/>
    <w:rsid w:val="00611225"/>
    <w:rsid w:val="00611EAF"/>
    <w:rsid w:val="00612B5B"/>
    <w:rsid w:val="00613BCC"/>
    <w:rsid w:val="00613F48"/>
    <w:rsid w:val="006144BF"/>
    <w:rsid w:val="006147BC"/>
    <w:rsid w:val="006147F5"/>
    <w:rsid w:val="00614DC0"/>
    <w:rsid w:val="00614DDA"/>
    <w:rsid w:val="00615AEA"/>
    <w:rsid w:val="00615F28"/>
    <w:rsid w:val="00616840"/>
    <w:rsid w:val="00617496"/>
    <w:rsid w:val="00617735"/>
    <w:rsid w:val="00620573"/>
    <w:rsid w:val="00621A35"/>
    <w:rsid w:val="006237BE"/>
    <w:rsid w:val="006237D7"/>
    <w:rsid w:val="00623F30"/>
    <w:rsid w:val="00624B02"/>
    <w:rsid w:val="00624B44"/>
    <w:rsid w:val="006258E7"/>
    <w:rsid w:val="00625B6E"/>
    <w:rsid w:val="00625FB8"/>
    <w:rsid w:val="006261BD"/>
    <w:rsid w:val="00627225"/>
    <w:rsid w:val="006274C3"/>
    <w:rsid w:val="00630417"/>
    <w:rsid w:val="00630D20"/>
    <w:rsid w:val="0063119E"/>
    <w:rsid w:val="00631BFD"/>
    <w:rsid w:val="006326CC"/>
    <w:rsid w:val="0063473E"/>
    <w:rsid w:val="00635EDB"/>
    <w:rsid w:val="00635EED"/>
    <w:rsid w:val="0063707F"/>
    <w:rsid w:val="00640791"/>
    <w:rsid w:val="006408A1"/>
    <w:rsid w:val="00640B8E"/>
    <w:rsid w:val="00641F71"/>
    <w:rsid w:val="00641FC0"/>
    <w:rsid w:val="006420D1"/>
    <w:rsid w:val="006420F2"/>
    <w:rsid w:val="006421CD"/>
    <w:rsid w:val="0064262C"/>
    <w:rsid w:val="00642C3C"/>
    <w:rsid w:val="006432E5"/>
    <w:rsid w:val="006433FD"/>
    <w:rsid w:val="00643A03"/>
    <w:rsid w:val="00643A45"/>
    <w:rsid w:val="00643A79"/>
    <w:rsid w:val="00644785"/>
    <w:rsid w:val="00644EF4"/>
    <w:rsid w:val="00645F8C"/>
    <w:rsid w:val="00646DD5"/>
    <w:rsid w:val="0064734E"/>
    <w:rsid w:val="00647F6C"/>
    <w:rsid w:val="00650137"/>
    <w:rsid w:val="006509D7"/>
    <w:rsid w:val="00651CE8"/>
    <w:rsid w:val="006523CE"/>
    <w:rsid w:val="00652D85"/>
    <w:rsid w:val="00652EA5"/>
    <w:rsid w:val="0065322F"/>
    <w:rsid w:val="0065342D"/>
    <w:rsid w:val="00653462"/>
    <w:rsid w:val="00653664"/>
    <w:rsid w:val="0065521B"/>
    <w:rsid w:val="00655869"/>
    <w:rsid w:val="00655E2D"/>
    <w:rsid w:val="006567DF"/>
    <w:rsid w:val="00657464"/>
    <w:rsid w:val="00657589"/>
    <w:rsid w:val="00660195"/>
    <w:rsid w:val="00661CFA"/>
    <w:rsid w:val="0066299B"/>
    <w:rsid w:val="006635A3"/>
    <w:rsid w:val="006636D8"/>
    <w:rsid w:val="00663E78"/>
    <w:rsid w:val="00664451"/>
    <w:rsid w:val="00664FC7"/>
    <w:rsid w:val="006653D6"/>
    <w:rsid w:val="00665973"/>
    <w:rsid w:val="00665C96"/>
    <w:rsid w:val="00666014"/>
    <w:rsid w:val="0066654A"/>
    <w:rsid w:val="00667B1B"/>
    <w:rsid w:val="00667D2D"/>
    <w:rsid w:val="006701A6"/>
    <w:rsid w:val="00670411"/>
    <w:rsid w:val="00670782"/>
    <w:rsid w:val="006708A8"/>
    <w:rsid w:val="00671314"/>
    <w:rsid w:val="0067161F"/>
    <w:rsid w:val="00671EF6"/>
    <w:rsid w:val="0067205B"/>
    <w:rsid w:val="00672592"/>
    <w:rsid w:val="00672D28"/>
    <w:rsid w:val="00672EB5"/>
    <w:rsid w:val="006731EB"/>
    <w:rsid w:val="00673F7C"/>
    <w:rsid w:val="006744A9"/>
    <w:rsid w:val="006748F8"/>
    <w:rsid w:val="006749F5"/>
    <w:rsid w:val="00674F34"/>
    <w:rsid w:val="006751FC"/>
    <w:rsid w:val="0067588E"/>
    <w:rsid w:val="006758B6"/>
    <w:rsid w:val="00675F7D"/>
    <w:rsid w:val="00675FF6"/>
    <w:rsid w:val="00676041"/>
    <w:rsid w:val="00676BCC"/>
    <w:rsid w:val="00676EBD"/>
    <w:rsid w:val="0067788F"/>
    <w:rsid w:val="00677BBF"/>
    <w:rsid w:val="00680489"/>
    <w:rsid w:val="00680533"/>
    <w:rsid w:val="00681A17"/>
    <w:rsid w:val="00681D0E"/>
    <w:rsid w:val="00683856"/>
    <w:rsid w:val="00683C32"/>
    <w:rsid w:val="00683EB2"/>
    <w:rsid w:val="00684156"/>
    <w:rsid w:val="006843F6"/>
    <w:rsid w:val="00684C3D"/>
    <w:rsid w:val="00684DBC"/>
    <w:rsid w:val="006852DD"/>
    <w:rsid w:val="00685FDE"/>
    <w:rsid w:val="006860C4"/>
    <w:rsid w:val="00687931"/>
    <w:rsid w:val="006909A7"/>
    <w:rsid w:val="00690BB2"/>
    <w:rsid w:val="00690E90"/>
    <w:rsid w:val="006916B1"/>
    <w:rsid w:val="00691AF7"/>
    <w:rsid w:val="00691C35"/>
    <w:rsid w:val="00692A8F"/>
    <w:rsid w:val="00692B82"/>
    <w:rsid w:val="0069390E"/>
    <w:rsid w:val="00693D09"/>
    <w:rsid w:val="00694CFD"/>
    <w:rsid w:val="00694E3F"/>
    <w:rsid w:val="00694FD2"/>
    <w:rsid w:val="00695116"/>
    <w:rsid w:val="0069537D"/>
    <w:rsid w:val="00695F0C"/>
    <w:rsid w:val="00696B44"/>
    <w:rsid w:val="00696D2D"/>
    <w:rsid w:val="006971B8"/>
    <w:rsid w:val="0069722B"/>
    <w:rsid w:val="00697471"/>
    <w:rsid w:val="006975EE"/>
    <w:rsid w:val="006A09E8"/>
    <w:rsid w:val="006A0A53"/>
    <w:rsid w:val="006A0C66"/>
    <w:rsid w:val="006A0D3F"/>
    <w:rsid w:val="006A14E8"/>
    <w:rsid w:val="006A1922"/>
    <w:rsid w:val="006A1DE0"/>
    <w:rsid w:val="006A23EC"/>
    <w:rsid w:val="006A249D"/>
    <w:rsid w:val="006A37CE"/>
    <w:rsid w:val="006A41A6"/>
    <w:rsid w:val="006A4882"/>
    <w:rsid w:val="006A4A56"/>
    <w:rsid w:val="006A4A79"/>
    <w:rsid w:val="006A4E26"/>
    <w:rsid w:val="006A541B"/>
    <w:rsid w:val="006A64BC"/>
    <w:rsid w:val="006A6549"/>
    <w:rsid w:val="006A66FC"/>
    <w:rsid w:val="006A7710"/>
    <w:rsid w:val="006A77FA"/>
    <w:rsid w:val="006A7A61"/>
    <w:rsid w:val="006A7B4B"/>
    <w:rsid w:val="006A7BAC"/>
    <w:rsid w:val="006A7BF7"/>
    <w:rsid w:val="006B11E4"/>
    <w:rsid w:val="006B1800"/>
    <w:rsid w:val="006B1B40"/>
    <w:rsid w:val="006B1E59"/>
    <w:rsid w:val="006B206D"/>
    <w:rsid w:val="006B226F"/>
    <w:rsid w:val="006B2871"/>
    <w:rsid w:val="006B2FFB"/>
    <w:rsid w:val="006B305D"/>
    <w:rsid w:val="006B3996"/>
    <w:rsid w:val="006B3B8D"/>
    <w:rsid w:val="006B3CD4"/>
    <w:rsid w:val="006B3D0F"/>
    <w:rsid w:val="006B3E64"/>
    <w:rsid w:val="006B4FB3"/>
    <w:rsid w:val="006B503E"/>
    <w:rsid w:val="006B521A"/>
    <w:rsid w:val="006B5A64"/>
    <w:rsid w:val="006B5E53"/>
    <w:rsid w:val="006B5EFF"/>
    <w:rsid w:val="006B665F"/>
    <w:rsid w:val="006B67F9"/>
    <w:rsid w:val="006B6FE3"/>
    <w:rsid w:val="006B7A44"/>
    <w:rsid w:val="006B7C65"/>
    <w:rsid w:val="006C075B"/>
    <w:rsid w:val="006C0D6E"/>
    <w:rsid w:val="006C106A"/>
    <w:rsid w:val="006C10A2"/>
    <w:rsid w:val="006C1A79"/>
    <w:rsid w:val="006C1F18"/>
    <w:rsid w:val="006C2373"/>
    <w:rsid w:val="006C23B9"/>
    <w:rsid w:val="006C26B5"/>
    <w:rsid w:val="006C2704"/>
    <w:rsid w:val="006C2B6A"/>
    <w:rsid w:val="006C2DEA"/>
    <w:rsid w:val="006C3AA7"/>
    <w:rsid w:val="006C3D36"/>
    <w:rsid w:val="006C41B5"/>
    <w:rsid w:val="006C6139"/>
    <w:rsid w:val="006C6391"/>
    <w:rsid w:val="006C6951"/>
    <w:rsid w:val="006C6E02"/>
    <w:rsid w:val="006C6F2B"/>
    <w:rsid w:val="006C772C"/>
    <w:rsid w:val="006C79C2"/>
    <w:rsid w:val="006D00F9"/>
    <w:rsid w:val="006D02BE"/>
    <w:rsid w:val="006D089D"/>
    <w:rsid w:val="006D1089"/>
    <w:rsid w:val="006D1BEE"/>
    <w:rsid w:val="006D21B9"/>
    <w:rsid w:val="006D2C74"/>
    <w:rsid w:val="006D3F12"/>
    <w:rsid w:val="006D40D5"/>
    <w:rsid w:val="006D449E"/>
    <w:rsid w:val="006D49D9"/>
    <w:rsid w:val="006D4EA0"/>
    <w:rsid w:val="006D506C"/>
    <w:rsid w:val="006D5E18"/>
    <w:rsid w:val="006D64B1"/>
    <w:rsid w:val="006D6BF2"/>
    <w:rsid w:val="006D6EB0"/>
    <w:rsid w:val="006D7087"/>
    <w:rsid w:val="006E0006"/>
    <w:rsid w:val="006E00D6"/>
    <w:rsid w:val="006E04CC"/>
    <w:rsid w:val="006E12EB"/>
    <w:rsid w:val="006E1710"/>
    <w:rsid w:val="006E1AE5"/>
    <w:rsid w:val="006E226E"/>
    <w:rsid w:val="006E2988"/>
    <w:rsid w:val="006E3065"/>
    <w:rsid w:val="006E37A2"/>
    <w:rsid w:val="006E39BC"/>
    <w:rsid w:val="006E40AD"/>
    <w:rsid w:val="006E5561"/>
    <w:rsid w:val="006E558E"/>
    <w:rsid w:val="006E55F5"/>
    <w:rsid w:val="006E5D26"/>
    <w:rsid w:val="006E5DF4"/>
    <w:rsid w:val="006E69EC"/>
    <w:rsid w:val="006E6AAF"/>
    <w:rsid w:val="006E70AC"/>
    <w:rsid w:val="006E72D0"/>
    <w:rsid w:val="006F009A"/>
    <w:rsid w:val="006F04BD"/>
    <w:rsid w:val="006F0751"/>
    <w:rsid w:val="006F0883"/>
    <w:rsid w:val="006F0B00"/>
    <w:rsid w:val="006F0C9E"/>
    <w:rsid w:val="006F0D1B"/>
    <w:rsid w:val="006F117F"/>
    <w:rsid w:val="006F209E"/>
    <w:rsid w:val="006F24AF"/>
    <w:rsid w:val="006F2FB4"/>
    <w:rsid w:val="006F33D2"/>
    <w:rsid w:val="006F3D93"/>
    <w:rsid w:val="006F4263"/>
    <w:rsid w:val="006F451C"/>
    <w:rsid w:val="006F4BE3"/>
    <w:rsid w:val="006F4FD1"/>
    <w:rsid w:val="006F50B2"/>
    <w:rsid w:val="006F5679"/>
    <w:rsid w:val="006F7193"/>
    <w:rsid w:val="00700E65"/>
    <w:rsid w:val="0070114D"/>
    <w:rsid w:val="00701966"/>
    <w:rsid w:val="007019B1"/>
    <w:rsid w:val="00702358"/>
    <w:rsid w:val="00702571"/>
    <w:rsid w:val="00703131"/>
    <w:rsid w:val="007036DC"/>
    <w:rsid w:val="0070445F"/>
    <w:rsid w:val="0070464E"/>
    <w:rsid w:val="00705478"/>
    <w:rsid w:val="00706440"/>
    <w:rsid w:val="00706620"/>
    <w:rsid w:val="0070687B"/>
    <w:rsid w:val="00706D6A"/>
    <w:rsid w:val="00706EAE"/>
    <w:rsid w:val="007079DA"/>
    <w:rsid w:val="00707A2A"/>
    <w:rsid w:val="007103FD"/>
    <w:rsid w:val="0071041C"/>
    <w:rsid w:val="00710757"/>
    <w:rsid w:val="00710CFE"/>
    <w:rsid w:val="007120D8"/>
    <w:rsid w:val="00712266"/>
    <w:rsid w:val="007138A2"/>
    <w:rsid w:val="007138D5"/>
    <w:rsid w:val="007142DD"/>
    <w:rsid w:val="00714A9A"/>
    <w:rsid w:val="00715474"/>
    <w:rsid w:val="00715C14"/>
    <w:rsid w:val="00716401"/>
    <w:rsid w:val="0071703D"/>
    <w:rsid w:val="007170B7"/>
    <w:rsid w:val="00717363"/>
    <w:rsid w:val="007173C1"/>
    <w:rsid w:val="00717A99"/>
    <w:rsid w:val="00717AE6"/>
    <w:rsid w:val="00717B45"/>
    <w:rsid w:val="00717E13"/>
    <w:rsid w:val="00720321"/>
    <w:rsid w:val="00721657"/>
    <w:rsid w:val="00722F24"/>
    <w:rsid w:val="00722F69"/>
    <w:rsid w:val="007231F0"/>
    <w:rsid w:val="00723598"/>
    <w:rsid w:val="00724418"/>
    <w:rsid w:val="007249D4"/>
    <w:rsid w:val="00724C3E"/>
    <w:rsid w:val="00724DC9"/>
    <w:rsid w:val="00725319"/>
    <w:rsid w:val="0072536C"/>
    <w:rsid w:val="007259E9"/>
    <w:rsid w:val="00726E7F"/>
    <w:rsid w:val="0072774E"/>
    <w:rsid w:val="007279A8"/>
    <w:rsid w:val="00727B1A"/>
    <w:rsid w:val="00727CC0"/>
    <w:rsid w:val="00730ABF"/>
    <w:rsid w:val="00731615"/>
    <w:rsid w:val="00731632"/>
    <w:rsid w:val="0073354B"/>
    <w:rsid w:val="007336D5"/>
    <w:rsid w:val="00733A9F"/>
    <w:rsid w:val="00733BB1"/>
    <w:rsid w:val="00734226"/>
    <w:rsid w:val="00734BAB"/>
    <w:rsid w:val="00735F0E"/>
    <w:rsid w:val="007361D2"/>
    <w:rsid w:val="00736255"/>
    <w:rsid w:val="007365BF"/>
    <w:rsid w:val="00736B9C"/>
    <w:rsid w:val="00736BBB"/>
    <w:rsid w:val="00736D0A"/>
    <w:rsid w:val="0073798F"/>
    <w:rsid w:val="007404B6"/>
    <w:rsid w:val="00740A2F"/>
    <w:rsid w:val="00740F6B"/>
    <w:rsid w:val="00741027"/>
    <w:rsid w:val="00741337"/>
    <w:rsid w:val="007416AD"/>
    <w:rsid w:val="007416B1"/>
    <w:rsid w:val="00741D36"/>
    <w:rsid w:val="00744277"/>
    <w:rsid w:val="00744EF2"/>
    <w:rsid w:val="007458E3"/>
    <w:rsid w:val="00746785"/>
    <w:rsid w:val="00746B9B"/>
    <w:rsid w:val="007470BE"/>
    <w:rsid w:val="007475B3"/>
    <w:rsid w:val="00750DEE"/>
    <w:rsid w:val="00751197"/>
    <w:rsid w:val="007516E1"/>
    <w:rsid w:val="007519F5"/>
    <w:rsid w:val="00751CE1"/>
    <w:rsid w:val="00751CEC"/>
    <w:rsid w:val="0075203F"/>
    <w:rsid w:val="00752258"/>
    <w:rsid w:val="007523BF"/>
    <w:rsid w:val="007529E1"/>
    <w:rsid w:val="007529E3"/>
    <w:rsid w:val="00752A7B"/>
    <w:rsid w:val="00753089"/>
    <w:rsid w:val="00753C3A"/>
    <w:rsid w:val="00753D79"/>
    <w:rsid w:val="00753DB3"/>
    <w:rsid w:val="00753FAE"/>
    <w:rsid w:val="007543EA"/>
    <w:rsid w:val="00754D41"/>
    <w:rsid w:val="00756954"/>
    <w:rsid w:val="00756C8F"/>
    <w:rsid w:val="00756C9C"/>
    <w:rsid w:val="00756D84"/>
    <w:rsid w:val="00756F18"/>
    <w:rsid w:val="00757979"/>
    <w:rsid w:val="00760E48"/>
    <w:rsid w:val="00761F14"/>
    <w:rsid w:val="0076272A"/>
    <w:rsid w:val="00762880"/>
    <w:rsid w:val="007628A9"/>
    <w:rsid w:val="00762AD6"/>
    <w:rsid w:val="00762E02"/>
    <w:rsid w:val="00763584"/>
    <w:rsid w:val="007635E9"/>
    <w:rsid w:val="007648AE"/>
    <w:rsid w:val="00765002"/>
    <w:rsid w:val="00766356"/>
    <w:rsid w:val="00766C13"/>
    <w:rsid w:val="007703E2"/>
    <w:rsid w:val="00770CC3"/>
    <w:rsid w:val="00771316"/>
    <w:rsid w:val="00771B44"/>
    <w:rsid w:val="00772025"/>
    <w:rsid w:val="00772290"/>
    <w:rsid w:val="00772B5D"/>
    <w:rsid w:val="00772ED9"/>
    <w:rsid w:val="00773457"/>
    <w:rsid w:val="00774B06"/>
    <w:rsid w:val="00774E29"/>
    <w:rsid w:val="00775F26"/>
    <w:rsid w:val="00775FA3"/>
    <w:rsid w:val="0077609C"/>
    <w:rsid w:val="00776EC0"/>
    <w:rsid w:val="00777265"/>
    <w:rsid w:val="007805E7"/>
    <w:rsid w:val="00780D56"/>
    <w:rsid w:val="00781079"/>
    <w:rsid w:val="007810AF"/>
    <w:rsid w:val="00781373"/>
    <w:rsid w:val="00781433"/>
    <w:rsid w:val="007814AC"/>
    <w:rsid w:val="007816FB"/>
    <w:rsid w:val="0078222A"/>
    <w:rsid w:val="00782B29"/>
    <w:rsid w:val="00782F86"/>
    <w:rsid w:val="007834CA"/>
    <w:rsid w:val="007837C4"/>
    <w:rsid w:val="00784594"/>
    <w:rsid w:val="00784700"/>
    <w:rsid w:val="00784AB3"/>
    <w:rsid w:val="00785352"/>
    <w:rsid w:val="00785BA2"/>
    <w:rsid w:val="00785E0C"/>
    <w:rsid w:val="007862C6"/>
    <w:rsid w:val="007863F9"/>
    <w:rsid w:val="007867ED"/>
    <w:rsid w:val="00787CA4"/>
    <w:rsid w:val="00787D48"/>
    <w:rsid w:val="00787F92"/>
    <w:rsid w:val="0079092F"/>
    <w:rsid w:val="00791074"/>
    <w:rsid w:val="00792112"/>
    <w:rsid w:val="00792168"/>
    <w:rsid w:val="00792920"/>
    <w:rsid w:val="0079299D"/>
    <w:rsid w:val="00792B1E"/>
    <w:rsid w:val="00793795"/>
    <w:rsid w:val="00794692"/>
    <w:rsid w:val="00794B10"/>
    <w:rsid w:val="00795294"/>
    <w:rsid w:val="0079595C"/>
    <w:rsid w:val="00795A13"/>
    <w:rsid w:val="00795D13"/>
    <w:rsid w:val="0079624F"/>
    <w:rsid w:val="00796822"/>
    <w:rsid w:val="00796A5A"/>
    <w:rsid w:val="00797BA8"/>
    <w:rsid w:val="00797C0E"/>
    <w:rsid w:val="007A0937"/>
    <w:rsid w:val="007A0BD3"/>
    <w:rsid w:val="007A0E15"/>
    <w:rsid w:val="007A1B82"/>
    <w:rsid w:val="007A1F36"/>
    <w:rsid w:val="007A243E"/>
    <w:rsid w:val="007A28E5"/>
    <w:rsid w:val="007A2D72"/>
    <w:rsid w:val="007A30C9"/>
    <w:rsid w:val="007A3335"/>
    <w:rsid w:val="007A33B1"/>
    <w:rsid w:val="007A3743"/>
    <w:rsid w:val="007A38F4"/>
    <w:rsid w:val="007A3B49"/>
    <w:rsid w:val="007A43E0"/>
    <w:rsid w:val="007A48F7"/>
    <w:rsid w:val="007A49D9"/>
    <w:rsid w:val="007A4E50"/>
    <w:rsid w:val="007A605A"/>
    <w:rsid w:val="007A665A"/>
    <w:rsid w:val="007A6901"/>
    <w:rsid w:val="007A6B4E"/>
    <w:rsid w:val="007A7A1C"/>
    <w:rsid w:val="007A7A66"/>
    <w:rsid w:val="007A7D13"/>
    <w:rsid w:val="007A7EB6"/>
    <w:rsid w:val="007B0013"/>
    <w:rsid w:val="007B0A61"/>
    <w:rsid w:val="007B18A7"/>
    <w:rsid w:val="007B1E2B"/>
    <w:rsid w:val="007B250E"/>
    <w:rsid w:val="007B3A1A"/>
    <w:rsid w:val="007B3F03"/>
    <w:rsid w:val="007B4003"/>
    <w:rsid w:val="007B5109"/>
    <w:rsid w:val="007B5B7D"/>
    <w:rsid w:val="007B5D5D"/>
    <w:rsid w:val="007B5DFF"/>
    <w:rsid w:val="007B60F1"/>
    <w:rsid w:val="007B642E"/>
    <w:rsid w:val="007B7825"/>
    <w:rsid w:val="007C0513"/>
    <w:rsid w:val="007C1CF3"/>
    <w:rsid w:val="007C27FC"/>
    <w:rsid w:val="007C2D80"/>
    <w:rsid w:val="007C3572"/>
    <w:rsid w:val="007C4DF9"/>
    <w:rsid w:val="007C51FF"/>
    <w:rsid w:val="007C525E"/>
    <w:rsid w:val="007C56D9"/>
    <w:rsid w:val="007C6C08"/>
    <w:rsid w:val="007C6F4E"/>
    <w:rsid w:val="007D0453"/>
    <w:rsid w:val="007D09F5"/>
    <w:rsid w:val="007D0B85"/>
    <w:rsid w:val="007D0BDC"/>
    <w:rsid w:val="007D0D16"/>
    <w:rsid w:val="007D14A1"/>
    <w:rsid w:val="007D1C46"/>
    <w:rsid w:val="007D3136"/>
    <w:rsid w:val="007D319E"/>
    <w:rsid w:val="007D3E4D"/>
    <w:rsid w:val="007D410E"/>
    <w:rsid w:val="007D4AA9"/>
    <w:rsid w:val="007D50E4"/>
    <w:rsid w:val="007D510C"/>
    <w:rsid w:val="007D5278"/>
    <w:rsid w:val="007D5C93"/>
    <w:rsid w:val="007D5F22"/>
    <w:rsid w:val="007D6039"/>
    <w:rsid w:val="007D714E"/>
    <w:rsid w:val="007D71F9"/>
    <w:rsid w:val="007D7438"/>
    <w:rsid w:val="007E0F81"/>
    <w:rsid w:val="007E10D3"/>
    <w:rsid w:val="007E1802"/>
    <w:rsid w:val="007E1C40"/>
    <w:rsid w:val="007E213C"/>
    <w:rsid w:val="007E282A"/>
    <w:rsid w:val="007E2DC5"/>
    <w:rsid w:val="007E2EF2"/>
    <w:rsid w:val="007E3290"/>
    <w:rsid w:val="007E33F9"/>
    <w:rsid w:val="007E4EAC"/>
    <w:rsid w:val="007E5161"/>
    <w:rsid w:val="007E53C2"/>
    <w:rsid w:val="007E560A"/>
    <w:rsid w:val="007E5CB5"/>
    <w:rsid w:val="007E6A5F"/>
    <w:rsid w:val="007E6E2D"/>
    <w:rsid w:val="007E6F21"/>
    <w:rsid w:val="007E72EC"/>
    <w:rsid w:val="007E7A40"/>
    <w:rsid w:val="007E7A5E"/>
    <w:rsid w:val="007F1063"/>
    <w:rsid w:val="007F1CC7"/>
    <w:rsid w:val="007F1FA4"/>
    <w:rsid w:val="007F20EF"/>
    <w:rsid w:val="007F284C"/>
    <w:rsid w:val="007F29D0"/>
    <w:rsid w:val="007F29D7"/>
    <w:rsid w:val="007F3377"/>
    <w:rsid w:val="007F3949"/>
    <w:rsid w:val="007F4233"/>
    <w:rsid w:val="007F4329"/>
    <w:rsid w:val="007F4C85"/>
    <w:rsid w:val="007F51C7"/>
    <w:rsid w:val="007F5D0C"/>
    <w:rsid w:val="008000C2"/>
    <w:rsid w:val="008006E0"/>
    <w:rsid w:val="00800860"/>
    <w:rsid w:val="00800C3A"/>
    <w:rsid w:val="00801E9E"/>
    <w:rsid w:val="00801FEA"/>
    <w:rsid w:val="0080201C"/>
    <w:rsid w:val="00802617"/>
    <w:rsid w:val="008027AC"/>
    <w:rsid w:val="008028CE"/>
    <w:rsid w:val="0080332E"/>
    <w:rsid w:val="008034AE"/>
    <w:rsid w:val="00803B8A"/>
    <w:rsid w:val="00804B69"/>
    <w:rsid w:val="008059F7"/>
    <w:rsid w:val="008074CA"/>
    <w:rsid w:val="00807582"/>
    <w:rsid w:val="00807CE9"/>
    <w:rsid w:val="0081086E"/>
    <w:rsid w:val="008109C3"/>
    <w:rsid w:val="008113BE"/>
    <w:rsid w:val="00811930"/>
    <w:rsid w:val="00811EE2"/>
    <w:rsid w:val="00811F75"/>
    <w:rsid w:val="008120A3"/>
    <w:rsid w:val="0081268F"/>
    <w:rsid w:val="00813125"/>
    <w:rsid w:val="008131AB"/>
    <w:rsid w:val="00813203"/>
    <w:rsid w:val="008136E9"/>
    <w:rsid w:val="008141B7"/>
    <w:rsid w:val="008141E0"/>
    <w:rsid w:val="008144E9"/>
    <w:rsid w:val="00814D5F"/>
    <w:rsid w:val="00815007"/>
    <w:rsid w:val="00816318"/>
    <w:rsid w:val="00816718"/>
    <w:rsid w:val="00816EE1"/>
    <w:rsid w:val="00816F88"/>
    <w:rsid w:val="008174A4"/>
    <w:rsid w:val="0081770A"/>
    <w:rsid w:val="0082065B"/>
    <w:rsid w:val="008209C9"/>
    <w:rsid w:val="00820CF5"/>
    <w:rsid w:val="00821164"/>
    <w:rsid w:val="0082168F"/>
    <w:rsid w:val="00821987"/>
    <w:rsid w:val="00821996"/>
    <w:rsid w:val="00821B72"/>
    <w:rsid w:val="00821CF6"/>
    <w:rsid w:val="00822323"/>
    <w:rsid w:val="008223A5"/>
    <w:rsid w:val="00822444"/>
    <w:rsid w:val="00823D33"/>
    <w:rsid w:val="00823FDA"/>
    <w:rsid w:val="00824425"/>
    <w:rsid w:val="00824656"/>
    <w:rsid w:val="00824AD6"/>
    <w:rsid w:val="00826864"/>
    <w:rsid w:val="00826A3E"/>
    <w:rsid w:val="00826F68"/>
    <w:rsid w:val="00827BC6"/>
    <w:rsid w:val="00827F86"/>
    <w:rsid w:val="008300AD"/>
    <w:rsid w:val="00831F1F"/>
    <w:rsid w:val="00832093"/>
    <w:rsid w:val="00833024"/>
    <w:rsid w:val="008335E5"/>
    <w:rsid w:val="00834B41"/>
    <w:rsid w:val="00835154"/>
    <w:rsid w:val="0083562B"/>
    <w:rsid w:val="00835A7B"/>
    <w:rsid w:val="00835B79"/>
    <w:rsid w:val="00835CCF"/>
    <w:rsid w:val="0083684D"/>
    <w:rsid w:val="0083704A"/>
    <w:rsid w:val="00837254"/>
    <w:rsid w:val="0083727D"/>
    <w:rsid w:val="00837DEA"/>
    <w:rsid w:val="00840981"/>
    <w:rsid w:val="00841702"/>
    <w:rsid w:val="008419B1"/>
    <w:rsid w:val="00841A58"/>
    <w:rsid w:val="0084274F"/>
    <w:rsid w:val="00842CD4"/>
    <w:rsid w:val="00843C3A"/>
    <w:rsid w:val="00844519"/>
    <w:rsid w:val="00844781"/>
    <w:rsid w:val="00844A0B"/>
    <w:rsid w:val="00844A56"/>
    <w:rsid w:val="00844DC5"/>
    <w:rsid w:val="00845458"/>
    <w:rsid w:val="00845B11"/>
    <w:rsid w:val="00845DA7"/>
    <w:rsid w:val="00846171"/>
    <w:rsid w:val="0084618D"/>
    <w:rsid w:val="00846200"/>
    <w:rsid w:val="00847469"/>
    <w:rsid w:val="00850319"/>
    <w:rsid w:val="00850524"/>
    <w:rsid w:val="00850943"/>
    <w:rsid w:val="00850EDE"/>
    <w:rsid w:val="008511EA"/>
    <w:rsid w:val="00851F73"/>
    <w:rsid w:val="00852038"/>
    <w:rsid w:val="00852081"/>
    <w:rsid w:val="0085251D"/>
    <w:rsid w:val="00852678"/>
    <w:rsid w:val="008527C0"/>
    <w:rsid w:val="008529A8"/>
    <w:rsid w:val="00853995"/>
    <w:rsid w:val="008539DA"/>
    <w:rsid w:val="00853A3C"/>
    <w:rsid w:val="00853C8A"/>
    <w:rsid w:val="008546AF"/>
    <w:rsid w:val="00854BC4"/>
    <w:rsid w:val="00854DE7"/>
    <w:rsid w:val="00855169"/>
    <w:rsid w:val="00855EE6"/>
    <w:rsid w:val="0085635B"/>
    <w:rsid w:val="008567DE"/>
    <w:rsid w:val="00856ABE"/>
    <w:rsid w:val="008572F7"/>
    <w:rsid w:val="00860001"/>
    <w:rsid w:val="008608B7"/>
    <w:rsid w:val="00860956"/>
    <w:rsid w:val="008619EB"/>
    <w:rsid w:val="00861FA7"/>
    <w:rsid w:val="0086265F"/>
    <w:rsid w:val="00863C81"/>
    <w:rsid w:val="00864097"/>
    <w:rsid w:val="00864EF9"/>
    <w:rsid w:val="008657D6"/>
    <w:rsid w:val="00866291"/>
    <w:rsid w:val="00867822"/>
    <w:rsid w:val="00867F58"/>
    <w:rsid w:val="00870000"/>
    <w:rsid w:val="008703BE"/>
    <w:rsid w:val="008710EC"/>
    <w:rsid w:val="00871D6A"/>
    <w:rsid w:val="00872703"/>
    <w:rsid w:val="00872B6E"/>
    <w:rsid w:val="00872DF9"/>
    <w:rsid w:val="00873330"/>
    <w:rsid w:val="00874278"/>
    <w:rsid w:val="008743A3"/>
    <w:rsid w:val="0087443C"/>
    <w:rsid w:val="00874C0D"/>
    <w:rsid w:val="00874DFD"/>
    <w:rsid w:val="00875447"/>
    <w:rsid w:val="00875B7B"/>
    <w:rsid w:val="00876704"/>
    <w:rsid w:val="0087698A"/>
    <w:rsid w:val="00877042"/>
    <w:rsid w:val="008774BA"/>
    <w:rsid w:val="0088009B"/>
    <w:rsid w:val="008802F9"/>
    <w:rsid w:val="0088080C"/>
    <w:rsid w:val="00880A21"/>
    <w:rsid w:val="00880AC5"/>
    <w:rsid w:val="00881B9C"/>
    <w:rsid w:val="0088223B"/>
    <w:rsid w:val="00883086"/>
    <w:rsid w:val="00883501"/>
    <w:rsid w:val="00884180"/>
    <w:rsid w:val="00886002"/>
    <w:rsid w:val="00886E85"/>
    <w:rsid w:val="00887532"/>
    <w:rsid w:val="0088778B"/>
    <w:rsid w:val="008879FD"/>
    <w:rsid w:val="00887B33"/>
    <w:rsid w:val="00887E66"/>
    <w:rsid w:val="0089050E"/>
    <w:rsid w:val="00890B50"/>
    <w:rsid w:val="0089146F"/>
    <w:rsid w:val="0089167D"/>
    <w:rsid w:val="00891755"/>
    <w:rsid w:val="00892007"/>
    <w:rsid w:val="0089288C"/>
    <w:rsid w:val="00892A70"/>
    <w:rsid w:val="00892F76"/>
    <w:rsid w:val="0089475E"/>
    <w:rsid w:val="00894B9D"/>
    <w:rsid w:val="00894C37"/>
    <w:rsid w:val="00894F5A"/>
    <w:rsid w:val="00895245"/>
    <w:rsid w:val="008959F1"/>
    <w:rsid w:val="00896216"/>
    <w:rsid w:val="0089703F"/>
    <w:rsid w:val="008970CC"/>
    <w:rsid w:val="00897A5F"/>
    <w:rsid w:val="00897AFF"/>
    <w:rsid w:val="008A00EA"/>
    <w:rsid w:val="008A0319"/>
    <w:rsid w:val="008A042D"/>
    <w:rsid w:val="008A1815"/>
    <w:rsid w:val="008A1F08"/>
    <w:rsid w:val="008A344B"/>
    <w:rsid w:val="008A3695"/>
    <w:rsid w:val="008A3A89"/>
    <w:rsid w:val="008A3F93"/>
    <w:rsid w:val="008A6236"/>
    <w:rsid w:val="008A6BA0"/>
    <w:rsid w:val="008A6CBB"/>
    <w:rsid w:val="008A6DE6"/>
    <w:rsid w:val="008A6E1C"/>
    <w:rsid w:val="008A72FD"/>
    <w:rsid w:val="008A73A0"/>
    <w:rsid w:val="008A73FB"/>
    <w:rsid w:val="008B06E7"/>
    <w:rsid w:val="008B1168"/>
    <w:rsid w:val="008B2187"/>
    <w:rsid w:val="008B2EDF"/>
    <w:rsid w:val="008B41AB"/>
    <w:rsid w:val="008B47C7"/>
    <w:rsid w:val="008B4948"/>
    <w:rsid w:val="008B54CB"/>
    <w:rsid w:val="008B5A3D"/>
    <w:rsid w:val="008B5D48"/>
    <w:rsid w:val="008B5EF4"/>
    <w:rsid w:val="008B62C4"/>
    <w:rsid w:val="008B64A0"/>
    <w:rsid w:val="008B787D"/>
    <w:rsid w:val="008B78E4"/>
    <w:rsid w:val="008B7E99"/>
    <w:rsid w:val="008C00E1"/>
    <w:rsid w:val="008C0452"/>
    <w:rsid w:val="008C0C83"/>
    <w:rsid w:val="008C1243"/>
    <w:rsid w:val="008C2499"/>
    <w:rsid w:val="008C2C40"/>
    <w:rsid w:val="008C33A8"/>
    <w:rsid w:val="008C3664"/>
    <w:rsid w:val="008C390F"/>
    <w:rsid w:val="008C39AD"/>
    <w:rsid w:val="008C4010"/>
    <w:rsid w:val="008C4317"/>
    <w:rsid w:val="008C4FDF"/>
    <w:rsid w:val="008C504E"/>
    <w:rsid w:val="008C5C56"/>
    <w:rsid w:val="008C5DCF"/>
    <w:rsid w:val="008C60A3"/>
    <w:rsid w:val="008C60BC"/>
    <w:rsid w:val="008C6597"/>
    <w:rsid w:val="008C685B"/>
    <w:rsid w:val="008C6B1F"/>
    <w:rsid w:val="008C6D74"/>
    <w:rsid w:val="008C7A35"/>
    <w:rsid w:val="008C7D94"/>
    <w:rsid w:val="008D1244"/>
    <w:rsid w:val="008D1549"/>
    <w:rsid w:val="008D1CCB"/>
    <w:rsid w:val="008D266C"/>
    <w:rsid w:val="008D2C10"/>
    <w:rsid w:val="008D2F95"/>
    <w:rsid w:val="008D38FC"/>
    <w:rsid w:val="008D4391"/>
    <w:rsid w:val="008D44CD"/>
    <w:rsid w:val="008D4B44"/>
    <w:rsid w:val="008D4DAE"/>
    <w:rsid w:val="008D4EB9"/>
    <w:rsid w:val="008D5AB5"/>
    <w:rsid w:val="008D5CFE"/>
    <w:rsid w:val="008D5E4F"/>
    <w:rsid w:val="008D67DE"/>
    <w:rsid w:val="008D6D21"/>
    <w:rsid w:val="008D7D3E"/>
    <w:rsid w:val="008E00F0"/>
    <w:rsid w:val="008E0C54"/>
    <w:rsid w:val="008E0DEE"/>
    <w:rsid w:val="008E1604"/>
    <w:rsid w:val="008E1AA4"/>
    <w:rsid w:val="008E1C64"/>
    <w:rsid w:val="008E1D69"/>
    <w:rsid w:val="008E298A"/>
    <w:rsid w:val="008E2B5E"/>
    <w:rsid w:val="008E2C10"/>
    <w:rsid w:val="008E329C"/>
    <w:rsid w:val="008E34F0"/>
    <w:rsid w:val="008E405D"/>
    <w:rsid w:val="008E45E4"/>
    <w:rsid w:val="008E4C62"/>
    <w:rsid w:val="008E52F4"/>
    <w:rsid w:val="008E56C6"/>
    <w:rsid w:val="008E6073"/>
    <w:rsid w:val="008E6DFB"/>
    <w:rsid w:val="008E705B"/>
    <w:rsid w:val="008E714E"/>
    <w:rsid w:val="008E71C9"/>
    <w:rsid w:val="008E743A"/>
    <w:rsid w:val="008E7696"/>
    <w:rsid w:val="008F0172"/>
    <w:rsid w:val="008F08FC"/>
    <w:rsid w:val="008F0AE8"/>
    <w:rsid w:val="008F14F5"/>
    <w:rsid w:val="008F1C84"/>
    <w:rsid w:val="008F204A"/>
    <w:rsid w:val="008F2FC9"/>
    <w:rsid w:val="008F3F5F"/>
    <w:rsid w:val="008F5D20"/>
    <w:rsid w:val="008F5F19"/>
    <w:rsid w:val="008F71C1"/>
    <w:rsid w:val="008F7311"/>
    <w:rsid w:val="008F7F1C"/>
    <w:rsid w:val="00900287"/>
    <w:rsid w:val="009019A6"/>
    <w:rsid w:val="00901F76"/>
    <w:rsid w:val="0090284E"/>
    <w:rsid w:val="00902A9C"/>
    <w:rsid w:val="00902D34"/>
    <w:rsid w:val="00902D41"/>
    <w:rsid w:val="00902F49"/>
    <w:rsid w:val="00904000"/>
    <w:rsid w:val="00904230"/>
    <w:rsid w:val="00904F17"/>
    <w:rsid w:val="0090627A"/>
    <w:rsid w:val="00906E83"/>
    <w:rsid w:val="00907022"/>
    <w:rsid w:val="009103A6"/>
    <w:rsid w:val="00910ED1"/>
    <w:rsid w:val="00911B04"/>
    <w:rsid w:val="00911C5F"/>
    <w:rsid w:val="00911F6F"/>
    <w:rsid w:val="00911F78"/>
    <w:rsid w:val="009120A3"/>
    <w:rsid w:val="00912606"/>
    <w:rsid w:val="00913241"/>
    <w:rsid w:val="00913F7B"/>
    <w:rsid w:val="00914004"/>
    <w:rsid w:val="00914052"/>
    <w:rsid w:val="00914076"/>
    <w:rsid w:val="0091485D"/>
    <w:rsid w:val="00916188"/>
    <w:rsid w:val="009165DD"/>
    <w:rsid w:val="0091685C"/>
    <w:rsid w:val="00916D5D"/>
    <w:rsid w:val="009209F6"/>
    <w:rsid w:val="00920F91"/>
    <w:rsid w:val="009216B1"/>
    <w:rsid w:val="00921B29"/>
    <w:rsid w:val="00921DCC"/>
    <w:rsid w:val="00922462"/>
    <w:rsid w:val="00922C73"/>
    <w:rsid w:val="00922EC1"/>
    <w:rsid w:val="0092331E"/>
    <w:rsid w:val="0092371A"/>
    <w:rsid w:val="00923CF1"/>
    <w:rsid w:val="009255E4"/>
    <w:rsid w:val="009257E2"/>
    <w:rsid w:val="009301F1"/>
    <w:rsid w:val="009307AA"/>
    <w:rsid w:val="009307DF"/>
    <w:rsid w:val="009309DC"/>
    <w:rsid w:val="00931C78"/>
    <w:rsid w:val="009325AC"/>
    <w:rsid w:val="00932BE3"/>
    <w:rsid w:val="00934375"/>
    <w:rsid w:val="00934557"/>
    <w:rsid w:val="009348E2"/>
    <w:rsid w:val="009349FF"/>
    <w:rsid w:val="00934B67"/>
    <w:rsid w:val="009359B8"/>
    <w:rsid w:val="00935FF0"/>
    <w:rsid w:val="009361E3"/>
    <w:rsid w:val="009370F7"/>
    <w:rsid w:val="00937B43"/>
    <w:rsid w:val="009400E3"/>
    <w:rsid w:val="00940AE3"/>
    <w:rsid w:val="00942866"/>
    <w:rsid w:val="00942D8E"/>
    <w:rsid w:val="009431F8"/>
    <w:rsid w:val="00943C20"/>
    <w:rsid w:val="00943D8A"/>
    <w:rsid w:val="00944548"/>
    <w:rsid w:val="00944A8E"/>
    <w:rsid w:val="00944A98"/>
    <w:rsid w:val="00945876"/>
    <w:rsid w:val="00945B7B"/>
    <w:rsid w:val="00945CB3"/>
    <w:rsid w:val="00947408"/>
    <w:rsid w:val="00947A35"/>
    <w:rsid w:val="00947E81"/>
    <w:rsid w:val="00947FE6"/>
    <w:rsid w:val="00950342"/>
    <w:rsid w:val="009504D2"/>
    <w:rsid w:val="00951822"/>
    <w:rsid w:val="00951834"/>
    <w:rsid w:val="00951D26"/>
    <w:rsid w:val="009522EC"/>
    <w:rsid w:val="00952667"/>
    <w:rsid w:val="009531C6"/>
    <w:rsid w:val="00955992"/>
    <w:rsid w:val="009563AF"/>
    <w:rsid w:val="009564F3"/>
    <w:rsid w:val="00956A93"/>
    <w:rsid w:val="00957261"/>
    <w:rsid w:val="00961797"/>
    <w:rsid w:val="00961E24"/>
    <w:rsid w:val="00961E29"/>
    <w:rsid w:val="0096201B"/>
    <w:rsid w:val="00962052"/>
    <w:rsid w:val="00962081"/>
    <w:rsid w:val="009627B2"/>
    <w:rsid w:val="00962AB8"/>
    <w:rsid w:val="00962B29"/>
    <w:rsid w:val="00962B89"/>
    <w:rsid w:val="00962E80"/>
    <w:rsid w:val="009631F5"/>
    <w:rsid w:val="00963D73"/>
    <w:rsid w:val="00963E8E"/>
    <w:rsid w:val="009641EA"/>
    <w:rsid w:val="009644D0"/>
    <w:rsid w:val="00964E18"/>
    <w:rsid w:val="00965327"/>
    <w:rsid w:val="00965D6C"/>
    <w:rsid w:val="00965DC3"/>
    <w:rsid w:val="009660F0"/>
    <w:rsid w:val="00966675"/>
    <w:rsid w:val="00966CB5"/>
    <w:rsid w:val="009674E4"/>
    <w:rsid w:val="00970C56"/>
    <w:rsid w:val="00971E28"/>
    <w:rsid w:val="009731E1"/>
    <w:rsid w:val="009736F1"/>
    <w:rsid w:val="00974190"/>
    <w:rsid w:val="00974587"/>
    <w:rsid w:val="00974B73"/>
    <w:rsid w:val="00974F5F"/>
    <w:rsid w:val="0097542A"/>
    <w:rsid w:val="00975786"/>
    <w:rsid w:val="00975F85"/>
    <w:rsid w:val="009762A8"/>
    <w:rsid w:val="0097650C"/>
    <w:rsid w:val="009766DF"/>
    <w:rsid w:val="00976B8A"/>
    <w:rsid w:val="00977160"/>
    <w:rsid w:val="00981422"/>
    <w:rsid w:val="00981CB7"/>
    <w:rsid w:val="00982360"/>
    <w:rsid w:val="00983AF5"/>
    <w:rsid w:val="00983E1F"/>
    <w:rsid w:val="00983FFA"/>
    <w:rsid w:val="009842AD"/>
    <w:rsid w:val="00984691"/>
    <w:rsid w:val="009848E5"/>
    <w:rsid w:val="00984962"/>
    <w:rsid w:val="00985911"/>
    <w:rsid w:val="009861D9"/>
    <w:rsid w:val="009869B0"/>
    <w:rsid w:val="0098756A"/>
    <w:rsid w:val="00987787"/>
    <w:rsid w:val="009901F5"/>
    <w:rsid w:val="00990372"/>
    <w:rsid w:val="009914C3"/>
    <w:rsid w:val="009916AB"/>
    <w:rsid w:val="00991D4A"/>
    <w:rsid w:val="00992B28"/>
    <w:rsid w:val="00992BE6"/>
    <w:rsid w:val="009935BE"/>
    <w:rsid w:val="00993632"/>
    <w:rsid w:val="009936FC"/>
    <w:rsid w:val="0099398A"/>
    <w:rsid w:val="00993D8D"/>
    <w:rsid w:val="00993F46"/>
    <w:rsid w:val="00994223"/>
    <w:rsid w:val="0099432F"/>
    <w:rsid w:val="00994A64"/>
    <w:rsid w:val="00994D99"/>
    <w:rsid w:val="00995508"/>
    <w:rsid w:val="00995713"/>
    <w:rsid w:val="00996D7B"/>
    <w:rsid w:val="00997358"/>
    <w:rsid w:val="009977C9"/>
    <w:rsid w:val="00997E84"/>
    <w:rsid w:val="009A00E5"/>
    <w:rsid w:val="009A1660"/>
    <w:rsid w:val="009A1905"/>
    <w:rsid w:val="009A2146"/>
    <w:rsid w:val="009A2602"/>
    <w:rsid w:val="009A303D"/>
    <w:rsid w:val="009A377F"/>
    <w:rsid w:val="009A38E3"/>
    <w:rsid w:val="009A3E28"/>
    <w:rsid w:val="009A42C3"/>
    <w:rsid w:val="009A452B"/>
    <w:rsid w:val="009A4B7C"/>
    <w:rsid w:val="009A4FCB"/>
    <w:rsid w:val="009A537D"/>
    <w:rsid w:val="009A57D4"/>
    <w:rsid w:val="009A6110"/>
    <w:rsid w:val="009A6274"/>
    <w:rsid w:val="009A6282"/>
    <w:rsid w:val="009A634C"/>
    <w:rsid w:val="009A67B5"/>
    <w:rsid w:val="009A6FB7"/>
    <w:rsid w:val="009A78EC"/>
    <w:rsid w:val="009B050C"/>
    <w:rsid w:val="009B074B"/>
    <w:rsid w:val="009B087F"/>
    <w:rsid w:val="009B1C54"/>
    <w:rsid w:val="009B1D10"/>
    <w:rsid w:val="009B2AF4"/>
    <w:rsid w:val="009B3020"/>
    <w:rsid w:val="009B344A"/>
    <w:rsid w:val="009B3675"/>
    <w:rsid w:val="009B4138"/>
    <w:rsid w:val="009B42A2"/>
    <w:rsid w:val="009B5F3E"/>
    <w:rsid w:val="009B695D"/>
    <w:rsid w:val="009B70BA"/>
    <w:rsid w:val="009C08E3"/>
    <w:rsid w:val="009C09A8"/>
    <w:rsid w:val="009C110B"/>
    <w:rsid w:val="009C1250"/>
    <w:rsid w:val="009C191A"/>
    <w:rsid w:val="009C1924"/>
    <w:rsid w:val="009C1C10"/>
    <w:rsid w:val="009C305D"/>
    <w:rsid w:val="009C343F"/>
    <w:rsid w:val="009C4138"/>
    <w:rsid w:val="009C45E0"/>
    <w:rsid w:val="009C4700"/>
    <w:rsid w:val="009C4C4E"/>
    <w:rsid w:val="009C4E04"/>
    <w:rsid w:val="009C5441"/>
    <w:rsid w:val="009C6266"/>
    <w:rsid w:val="009C6846"/>
    <w:rsid w:val="009C6AB8"/>
    <w:rsid w:val="009C6E11"/>
    <w:rsid w:val="009C6F15"/>
    <w:rsid w:val="009C73AB"/>
    <w:rsid w:val="009C76F0"/>
    <w:rsid w:val="009C7713"/>
    <w:rsid w:val="009C7B69"/>
    <w:rsid w:val="009C7D65"/>
    <w:rsid w:val="009D0D44"/>
    <w:rsid w:val="009D0D66"/>
    <w:rsid w:val="009D119F"/>
    <w:rsid w:val="009D1368"/>
    <w:rsid w:val="009D1DD1"/>
    <w:rsid w:val="009D2E06"/>
    <w:rsid w:val="009D2EAD"/>
    <w:rsid w:val="009D2F6B"/>
    <w:rsid w:val="009D3434"/>
    <w:rsid w:val="009D3718"/>
    <w:rsid w:val="009D3B85"/>
    <w:rsid w:val="009D3C7F"/>
    <w:rsid w:val="009D3DC3"/>
    <w:rsid w:val="009D3F87"/>
    <w:rsid w:val="009D4254"/>
    <w:rsid w:val="009D49A2"/>
    <w:rsid w:val="009D5A85"/>
    <w:rsid w:val="009D660C"/>
    <w:rsid w:val="009D6774"/>
    <w:rsid w:val="009D6BAA"/>
    <w:rsid w:val="009D72C7"/>
    <w:rsid w:val="009E1DFD"/>
    <w:rsid w:val="009E219F"/>
    <w:rsid w:val="009E2222"/>
    <w:rsid w:val="009E26B3"/>
    <w:rsid w:val="009E3050"/>
    <w:rsid w:val="009E31F3"/>
    <w:rsid w:val="009E338A"/>
    <w:rsid w:val="009E519E"/>
    <w:rsid w:val="009E635F"/>
    <w:rsid w:val="009E6997"/>
    <w:rsid w:val="009E6C5F"/>
    <w:rsid w:val="009E79C0"/>
    <w:rsid w:val="009E7A0D"/>
    <w:rsid w:val="009E7BE3"/>
    <w:rsid w:val="009E7F54"/>
    <w:rsid w:val="009F0160"/>
    <w:rsid w:val="009F0F3D"/>
    <w:rsid w:val="009F1A7F"/>
    <w:rsid w:val="009F1CDD"/>
    <w:rsid w:val="009F1F7F"/>
    <w:rsid w:val="009F2174"/>
    <w:rsid w:val="009F26CA"/>
    <w:rsid w:val="009F27A9"/>
    <w:rsid w:val="009F3940"/>
    <w:rsid w:val="009F3B02"/>
    <w:rsid w:val="009F3E30"/>
    <w:rsid w:val="009F3EB2"/>
    <w:rsid w:val="009F46AF"/>
    <w:rsid w:val="009F4B93"/>
    <w:rsid w:val="009F55FC"/>
    <w:rsid w:val="009F5BEC"/>
    <w:rsid w:val="009F6142"/>
    <w:rsid w:val="009F61FB"/>
    <w:rsid w:val="009F6AA8"/>
    <w:rsid w:val="009F6E9F"/>
    <w:rsid w:val="009F6EB1"/>
    <w:rsid w:val="009F73B1"/>
    <w:rsid w:val="009F75C4"/>
    <w:rsid w:val="009F75FC"/>
    <w:rsid w:val="009F7671"/>
    <w:rsid w:val="00A00AC7"/>
    <w:rsid w:val="00A00E88"/>
    <w:rsid w:val="00A00F02"/>
    <w:rsid w:val="00A01576"/>
    <w:rsid w:val="00A01816"/>
    <w:rsid w:val="00A02269"/>
    <w:rsid w:val="00A03139"/>
    <w:rsid w:val="00A039D8"/>
    <w:rsid w:val="00A04854"/>
    <w:rsid w:val="00A04E75"/>
    <w:rsid w:val="00A06179"/>
    <w:rsid w:val="00A0620B"/>
    <w:rsid w:val="00A06668"/>
    <w:rsid w:val="00A066F6"/>
    <w:rsid w:val="00A06742"/>
    <w:rsid w:val="00A06C93"/>
    <w:rsid w:val="00A0741F"/>
    <w:rsid w:val="00A103D2"/>
    <w:rsid w:val="00A10498"/>
    <w:rsid w:val="00A10714"/>
    <w:rsid w:val="00A11CF1"/>
    <w:rsid w:val="00A11D05"/>
    <w:rsid w:val="00A11F24"/>
    <w:rsid w:val="00A121C5"/>
    <w:rsid w:val="00A12970"/>
    <w:rsid w:val="00A130EC"/>
    <w:rsid w:val="00A13162"/>
    <w:rsid w:val="00A13181"/>
    <w:rsid w:val="00A14269"/>
    <w:rsid w:val="00A14AD1"/>
    <w:rsid w:val="00A15A7C"/>
    <w:rsid w:val="00A16336"/>
    <w:rsid w:val="00A16B4F"/>
    <w:rsid w:val="00A16CC9"/>
    <w:rsid w:val="00A1771B"/>
    <w:rsid w:val="00A177C8"/>
    <w:rsid w:val="00A17DBB"/>
    <w:rsid w:val="00A20267"/>
    <w:rsid w:val="00A207EF"/>
    <w:rsid w:val="00A20868"/>
    <w:rsid w:val="00A20BF3"/>
    <w:rsid w:val="00A2161F"/>
    <w:rsid w:val="00A217F8"/>
    <w:rsid w:val="00A221D2"/>
    <w:rsid w:val="00A225C6"/>
    <w:rsid w:val="00A22778"/>
    <w:rsid w:val="00A22EA8"/>
    <w:rsid w:val="00A233A3"/>
    <w:rsid w:val="00A24A1B"/>
    <w:rsid w:val="00A253A5"/>
    <w:rsid w:val="00A25F41"/>
    <w:rsid w:val="00A2613A"/>
    <w:rsid w:val="00A26975"/>
    <w:rsid w:val="00A269DE"/>
    <w:rsid w:val="00A27127"/>
    <w:rsid w:val="00A27BE0"/>
    <w:rsid w:val="00A27D41"/>
    <w:rsid w:val="00A30B7D"/>
    <w:rsid w:val="00A311BA"/>
    <w:rsid w:val="00A3158C"/>
    <w:rsid w:val="00A32DF3"/>
    <w:rsid w:val="00A3395A"/>
    <w:rsid w:val="00A33E32"/>
    <w:rsid w:val="00A34584"/>
    <w:rsid w:val="00A34875"/>
    <w:rsid w:val="00A34C71"/>
    <w:rsid w:val="00A358D5"/>
    <w:rsid w:val="00A3592E"/>
    <w:rsid w:val="00A35E20"/>
    <w:rsid w:val="00A36226"/>
    <w:rsid w:val="00A366E9"/>
    <w:rsid w:val="00A36F6D"/>
    <w:rsid w:val="00A37C4E"/>
    <w:rsid w:val="00A37D9B"/>
    <w:rsid w:val="00A37F12"/>
    <w:rsid w:val="00A4048B"/>
    <w:rsid w:val="00A408EA"/>
    <w:rsid w:val="00A40A79"/>
    <w:rsid w:val="00A40B3B"/>
    <w:rsid w:val="00A40C7C"/>
    <w:rsid w:val="00A40ED3"/>
    <w:rsid w:val="00A418C6"/>
    <w:rsid w:val="00A420B9"/>
    <w:rsid w:val="00A43CB7"/>
    <w:rsid w:val="00A45930"/>
    <w:rsid w:val="00A459EB"/>
    <w:rsid w:val="00A46F48"/>
    <w:rsid w:val="00A4733F"/>
    <w:rsid w:val="00A473F1"/>
    <w:rsid w:val="00A47C0D"/>
    <w:rsid w:val="00A50272"/>
    <w:rsid w:val="00A50701"/>
    <w:rsid w:val="00A507A3"/>
    <w:rsid w:val="00A50CA0"/>
    <w:rsid w:val="00A50DA8"/>
    <w:rsid w:val="00A51B24"/>
    <w:rsid w:val="00A525CC"/>
    <w:rsid w:val="00A525E8"/>
    <w:rsid w:val="00A526DD"/>
    <w:rsid w:val="00A52A60"/>
    <w:rsid w:val="00A531A7"/>
    <w:rsid w:val="00A5333B"/>
    <w:rsid w:val="00A535A3"/>
    <w:rsid w:val="00A53621"/>
    <w:rsid w:val="00A53E7C"/>
    <w:rsid w:val="00A540FF"/>
    <w:rsid w:val="00A54292"/>
    <w:rsid w:val="00A5429D"/>
    <w:rsid w:val="00A55377"/>
    <w:rsid w:val="00A55609"/>
    <w:rsid w:val="00A55803"/>
    <w:rsid w:val="00A559D5"/>
    <w:rsid w:val="00A55EAA"/>
    <w:rsid w:val="00A56078"/>
    <w:rsid w:val="00A572F2"/>
    <w:rsid w:val="00A57A82"/>
    <w:rsid w:val="00A60087"/>
    <w:rsid w:val="00A600D9"/>
    <w:rsid w:val="00A6050A"/>
    <w:rsid w:val="00A60F6A"/>
    <w:rsid w:val="00A616EC"/>
    <w:rsid w:val="00A617B3"/>
    <w:rsid w:val="00A618CD"/>
    <w:rsid w:val="00A61CB2"/>
    <w:rsid w:val="00A62642"/>
    <w:rsid w:val="00A627FC"/>
    <w:rsid w:val="00A63469"/>
    <w:rsid w:val="00A63833"/>
    <w:rsid w:val="00A63859"/>
    <w:rsid w:val="00A639EB"/>
    <w:rsid w:val="00A6546F"/>
    <w:rsid w:val="00A665D1"/>
    <w:rsid w:val="00A66891"/>
    <w:rsid w:val="00A6778B"/>
    <w:rsid w:val="00A67981"/>
    <w:rsid w:val="00A702B0"/>
    <w:rsid w:val="00A705E8"/>
    <w:rsid w:val="00A70DFE"/>
    <w:rsid w:val="00A71DF5"/>
    <w:rsid w:val="00A71E68"/>
    <w:rsid w:val="00A72013"/>
    <w:rsid w:val="00A72149"/>
    <w:rsid w:val="00A721F4"/>
    <w:rsid w:val="00A73605"/>
    <w:rsid w:val="00A73D26"/>
    <w:rsid w:val="00A74476"/>
    <w:rsid w:val="00A74A48"/>
    <w:rsid w:val="00A74EAB"/>
    <w:rsid w:val="00A75651"/>
    <w:rsid w:val="00A7656C"/>
    <w:rsid w:val="00A768EC"/>
    <w:rsid w:val="00A779D7"/>
    <w:rsid w:val="00A77B50"/>
    <w:rsid w:val="00A80C4A"/>
    <w:rsid w:val="00A81328"/>
    <w:rsid w:val="00A81464"/>
    <w:rsid w:val="00A81DD6"/>
    <w:rsid w:val="00A82187"/>
    <w:rsid w:val="00A834F7"/>
    <w:rsid w:val="00A83508"/>
    <w:rsid w:val="00A837AC"/>
    <w:rsid w:val="00A83B0D"/>
    <w:rsid w:val="00A84067"/>
    <w:rsid w:val="00A8550D"/>
    <w:rsid w:val="00A857FC"/>
    <w:rsid w:val="00A85CBA"/>
    <w:rsid w:val="00A87810"/>
    <w:rsid w:val="00A90738"/>
    <w:rsid w:val="00A91146"/>
    <w:rsid w:val="00A91BC9"/>
    <w:rsid w:val="00A92880"/>
    <w:rsid w:val="00A929DF"/>
    <w:rsid w:val="00A9372C"/>
    <w:rsid w:val="00A9392C"/>
    <w:rsid w:val="00A94082"/>
    <w:rsid w:val="00A94250"/>
    <w:rsid w:val="00A9462B"/>
    <w:rsid w:val="00A94965"/>
    <w:rsid w:val="00A95075"/>
    <w:rsid w:val="00A953BE"/>
    <w:rsid w:val="00A95501"/>
    <w:rsid w:val="00A959EF"/>
    <w:rsid w:val="00A95C33"/>
    <w:rsid w:val="00A96437"/>
    <w:rsid w:val="00A96C66"/>
    <w:rsid w:val="00A96CD3"/>
    <w:rsid w:val="00A96FC9"/>
    <w:rsid w:val="00A977D3"/>
    <w:rsid w:val="00A97835"/>
    <w:rsid w:val="00A97952"/>
    <w:rsid w:val="00A97C25"/>
    <w:rsid w:val="00A97D59"/>
    <w:rsid w:val="00AA0214"/>
    <w:rsid w:val="00AA03A3"/>
    <w:rsid w:val="00AA0648"/>
    <w:rsid w:val="00AA0963"/>
    <w:rsid w:val="00AA0E8B"/>
    <w:rsid w:val="00AA0EAD"/>
    <w:rsid w:val="00AA12D4"/>
    <w:rsid w:val="00AA1700"/>
    <w:rsid w:val="00AA30BE"/>
    <w:rsid w:val="00AA3C30"/>
    <w:rsid w:val="00AA3E09"/>
    <w:rsid w:val="00AA41EA"/>
    <w:rsid w:val="00AA4BEF"/>
    <w:rsid w:val="00AA5197"/>
    <w:rsid w:val="00AA6012"/>
    <w:rsid w:val="00AA611D"/>
    <w:rsid w:val="00AA6C3C"/>
    <w:rsid w:val="00AB03B0"/>
    <w:rsid w:val="00AB07D2"/>
    <w:rsid w:val="00AB12ED"/>
    <w:rsid w:val="00AB1659"/>
    <w:rsid w:val="00AB18FB"/>
    <w:rsid w:val="00AB1C24"/>
    <w:rsid w:val="00AB1D00"/>
    <w:rsid w:val="00AB3912"/>
    <w:rsid w:val="00AB39F4"/>
    <w:rsid w:val="00AB4962"/>
    <w:rsid w:val="00AB5187"/>
    <w:rsid w:val="00AB56CB"/>
    <w:rsid w:val="00AB5A4B"/>
    <w:rsid w:val="00AB640D"/>
    <w:rsid w:val="00AB64AC"/>
    <w:rsid w:val="00AB6513"/>
    <w:rsid w:val="00AB734E"/>
    <w:rsid w:val="00AB740F"/>
    <w:rsid w:val="00AB777E"/>
    <w:rsid w:val="00AC091C"/>
    <w:rsid w:val="00AC12AB"/>
    <w:rsid w:val="00AC200F"/>
    <w:rsid w:val="00AC207B"/>
    <w:rsid w:val="00AC239D"/>
    <w:rsid w:val="00AC2FCB"/>
    <w:rsid w:val="00AC35E6"/>
    <w:rsid w:val="00AC3BB3"/>
    <w:rsid w:val="00AC3D13"/>
    <w:rsid w:val="00AC46DF"/>
    <w:rsid w:val="00AC493D"/>
    <w:rsid w:val="00AC4D81"/>
    <w:rsid w:val="00AC53DD"/>
    <w:rsid w:val="00AC5555"/>
    <w:rsid w:val="00AC5FCD"/>
    <w:rsid w:val="00AC6116"/>
    <w:rsid w:val="00AC6668"/>
    <w:rsid w:val="00AC6F14"/>
    <w:rsid w:val="00AC7221"/>
    <w:rsid w:val="00AC7C4C"/>
    <w:rsid w:val="00AC7D65"/>
    <w:rsid w:val="00AD0490"/>
    <w:rsid w:val="00AD09AE"/>
    <w:rsid w:val="00AD1C66"/>
    <w:rsid w:val="00AD2D79"/>
    <w:rsid w:val="00AD33E4"/>
    <w:rsid w:val="00AD3611"/>
    <w:rsid w:val="00AD3FDD"/>
    <w:rsid w:val="00AD4677"/>
    <w:rsid w:val="00AD4B7B"/>
    <w:rsid w:val="00AD4D3C"/>
    <w:rsid w:val="00AD5081"/>
    <w:rsid w:val="00AD50AC"/>
    <w:rsid w:val="00AD5103"/>
    <w:rsid w:val="00AD70B8"/>
    <w:rsid w:val="00AD751A"/>
    <w:rsid w:val="00AD7B83"/>
    <w:rsid w:val="00AE0487"/>
    <w:rsid w:val="00AE07FB"/>
    <w:rsid w:val="00AE0DDB"/>
    <w:rsid w:val="00AE1332"/>
    <w:rsid w:val="00AE2338"/>
    <w:rsid w:val="00AE2BDC"/>
    <w:rsid w:val="00AE3A56"/>
    <w:rsid w:val="00AE42A0"/>
    <w:rsid w:val="00AE4502"/>
    <w:rsid w:val="00AE450A"/>
    <w:rsid w:val="00AE496B"/>
    <w:rsid w:val="00AE524B"/>
    <w:rsid w:val="00AE5961"/>
    <w:rsid w:val="00AE5D37"/>
    <w:rsid w:val="00AE7AB1"/>
    <w:rsid w:val="00AE7EA7"/>
    <w:rsid w:val="00AF045A"/>
    <w:rsid w:val="00AF0745"/>
    <w:rsid w:val="00AF1DE3"/>
    <w:rsid w:val="00AF20A7"/>
    <w:rsid w:val="00AF24D2"/>
    <w:rsid w:val="00AF2700"/>
    <w:rsid w:val="00AF2DE1"/>
    <w:rsid w:val="00AF357D"/>
    <w:rsid w:val="00AF3680"/>
    <w:rsid w:val="00AF368C"/>
    <w:rsid w:val="00AF390E"/>
    <w:rsid w:val="00AF443A"/>
    <w:rsid w:val="00AF4971"/>
    <w:rsid w:val="00AF4991"/>
    <w:rsid w:val="00AF5276"/>
    <w:rsid w:val="00AF5909"/>
    <w:rsid w:val="00AF5B3D"/>
    <w:rsid w:val="00AF7AE2"/>
    <w:rsid w:val="00AF7C86"/>
    <w:rsid w:val="00B01046"/>
    <w:rsid w:val="00B01293"/>
    <w:rsid w:val="00B013AF"/>
    <w:rsid w:val="00B016E1"/>
    <w:rsid w:val="00B02247"/>
    <w:rsid w:val="00B0299A"/>
    <w:rsid w:val="00B02F23"/>
    <w:rsid w:val="00B03564"/>
    <w:rsid w:val="00B03D77"/>
    <w:rsid w:val="00B03E28"/>
    <w:rsid w:val="00B04CB3"/>
    <w:rsid w:val="00B0563D"/>
    <w:rsid w:val="00B06E0D"/>
    <w:rsid w:val="00B075CB"/>
    <w:rsid w:val="00B1004A"/>
    <w:rsid w:val="00B10E5B"/>
    <w:rsid w:val="00B115AF"/>
    <w:rsid w:val="00B1249C"/>
    <w:rsid w:val="00B125B9"/>
    <w:rsid w:val="00B12C58"/>
    <w:rsid w:val="00B12DCC"/>
    <w:rsid w:val="00B13294"/>
    <w:rsid w:val="00B13462"/>
    <w:rsid w:val="00B135DC"/>
    <w:rsid w:val="00B1379A"/>
    <w:rsid w:val="00B137C4"/>
    <w:rsid w:val="00B13E02"/>
    <w:rsid w:val="00B13EDB"/>
    <w:rsid w:val="00B143A4"/>
    <w:rsid w:val="00B152FF"/>
    <w:rsid w:val="00B16621"/>
    <w:rsid w:val="00B16EAF"/>
    <w:rsid w:val="00B170A5"/>
    <w:rsid w:val="00B17347"/>
    <w:rsid w:val="00B177E3"/>
    <w:rsid w:val="00B17A23"/>
    <w:rsid w:val="00B17B39"/>
    <w:rsid w:val="00B201C6"/>
    <w:rsid w:val="00B21476"/>
    <w:rsid w:val="00B245EC"/>
    <w:rsid w:val="00B25001"/>
    <w:rsid w:val="00B25339"/>
    <w:rsid w:val="00B25407"/>
    <w:rsid w:val="00B258CD"/>
    <w:rsid w:val="00B25F10"/>
    <w:rsid w:val="00B27233"/>
    <w:rsid w:val="00B30D5E"/>
    <w:rsid w:val="00B310A4"/>
    <w:rsid w:val="00B310A8"/>
    <w:rsid w:val="00B310F9"/>
    <w:rsid w:val="00B31171"/>
    <w:rsid w:val="00B31875"/>
    <w:rsid w:val="00B31D36"/>
    <w:rsid w:val="00B32374"/>
    <w:rsid w:val="00B32432"/>
    <w:rsid w:val="00B32768"/>
    <w:rsid w:val="00B32C4B"/>
    <w:rsid w:val="00B34008"/>
    <w:rsid w:val="00B3464C"/>
    <w:rsid w:val="00B34696"/>
    <w:rsid w:val="00B34E71"/>
    <w:rsid w:val="00B35C0D"/>
    <w:rsid w:val="00B37764"/>
    <w:rsid w:val="00B37866"/>
    <w:rsid w:val="00B37B02"/>
    <w:rsid w:val="00B4023D"/>
    <w:rsid w:val="00B4054D"/>
    <w:rsid w:val="00B4072D"/>
    <w:rsid w:val="00B40B54"/>
    <w:rsid w:val="00B40BF9"/>
    <w:rsid w:val="00B412FB"/>
    <w:rsid w:val="00B416B1"/>
    <w:rsid w:val="00B41F47"/>
    <w:rsid w:val="00B4215D"/>
    <w:rsid w:val="00B42539"/>
    <w:rsid w:val="00B43204"/>
    <w:rsid w:val="00B436A4"/>
    <w:rsid w:val="00B43C2F"/>
    <w:rsid w:val="00B43EE5"/>
    <w:rsid w:val="00B44733"/>
    <w:rsid w:val="00B44BBE"/>
    <w:rsid w:val="00B44E72"/>
    <w:rsid w:val="00B4576B"/>
    <w:rsid w:val="00B46350"/>
    <w:rsid w:val="00B46394"/>
    <w:rsid w:val="00B46949"/>
    <w:rsid w:val="00B46DF3"/>
    <w:rsid w:val="00B46FBE"/>
    <w:rsid w:val="00B47582"/>
    <w:rsid w:val="00B4796E"/>
    <w:rsid w:val="00B47C51"/>
    <w:rsid w:val="00B506C1"/>
    <w:rsid w:val="00B50FDB"/>
    <w:rsid w:val="00B5163E"/>
    <w:rsid w:val="00B51B01"/>
    <w:rsid w:val="00B52059"/>
    <w:rsid w:val="00B52B20"/>
    <w:rsid w:val="00B531CB"/>
    <w:rsid w:val="00B53A3D"/>
    <w:rsid w:val="00B53C3F"/>
    <w:rsid w:val="00B5407C"/>
    <w:rsid w:val="00B542A7"/>
    <w:rsid w:val="00B54C2D"/>
    <w:rsid w:val="00B55619"/>
    <w:rsid w:val="00B55889"/>
    <w:rsid w:val="00B56414"/>
    <w:rsid w:val="00B5694F"/>
    <w:rsid w:val="00B56D6F"/>
    <w:rsid w:val="00B57050"/>
    <w:rsid w:val="00B57118"/>
    <w:rsid w:val="00B57897"/>
    <w:rsid w:val="00B5794F"/>
    <w:rsid w:val="00B600BB"/>
    <w:rsid w:val="00B609F9"/>
    <w:rsid w:val="00B60F31"/>
    <w:rsid w:val="00B618AF"/>
    <w:rsid w:val="00B61DFA"/>
    <w:rsid w:val="00B62CD5"/>
    <w:rsid w:val="00B634EC"/>
    <w:rsid w:val="00B6365E"/>
    <w:rsid w:val="00B6393D"/>
    <w:rsid w:val="00B64269"/>
    <w:rsid w:val="00B648C7"/>
    <w:rsid w:val="00B64EF9"/>
    <w:rsid w:val="00B64FEE"/>
    <w:rsid w:val="00B66DD1"/>
    <w:rsid w:val="00B66E8F"/>
    <w:rsid w:val="00B67035"/>
    <w:rsid w:val="00B67116"/>
    <w:rsid w:val="00B67ABC"/>
    <w:rsid w:val="00B67EE8"/>
    <w:rsid w:val="00B7017E"/>
    <w:rsid w:val="00B701D1"/>
    <w:rsid w:val="00B711EB"/>
    <w:rsid w:val="00B716F7"/>
    <w:rsid w:val="00B71FD8"/>
    <w:rsid w:val="00B727CE"/>
    <w:rsid w:val="00B72D36"/>
    <w:rsid w:val="00B736C8"/>
    <w:rsid w:val="00B7437E"/>
    <w:rsid w:val="00B75206"/>
    <w:rsid w:val="00B75E6D"/>
    <w:rsid w:val="00B75F9C"/>
    <w:rsid w:val="00B76012"/>
    <w:rsid w:val="00B761F2"/>
    <w:rsid w:val="00B77395"/>
    <w:rsid w:val="00B778D1"/>
    <w:rsid w:val="00B80157"/>
    <w:rsid w:val="00B80490"/>
    <w:rsid w:val="00B821EA"/>
    <w:rsid w:val="00B824C1"/>
    <w:rsid w:val="00B83B18"/>
    <w:rsid w:val="00B83D5E"/>
    <w:rsid w:val="00B84084"/>
    <w:rsid w:val="00B8418D"/>
    <w:rsid w:val="00B845D1"/>
    <w:rsid w:val="00B8460A"/>
    <w:rsid w:val="00B84BB0"/>
    <w:rsid w:val="00B8538E"/>
    <w:rsid w:val="00B854B2"/>
    <w:rsid w:val="00B8559B"/>
    <w:rsid w:val="00B86289"/>
    <w:rsid w:val="00B8650D"/>
    <w:rsid w:val="00B8706B"/>
    <w:rsid w:val="00B87151"/>
    <w:rsid w:val="00B8751D"/>
    <w:rsid w:val="00B879B4"/>
    <w:rsid w:val="00B90A72"/>
    <w:rsid w:val="00B90B87"/>
    <w:rsid w:val="00B90CB7"/>
    <w:rsid w:val="00B90F07"/>
    <w:rsid w:val="00B91B52"/>
    <w:rsid w:val="00B91DF3"/>
    <w:rsid w:val="00B91E62"/>
    <w:rsid w:val="00B92095"/>
    <w:rsid w:val="00B92613"/>
    <w:rsid w:val="00B92677"/>
    <w:rsid w:val="00B92C43"/>
    <w:rsid w:val="00B92E17"/>
    <w:rsid w:val="00B9343F"/>
    <w:rsid w:val="00B936FB"/>
    <w:rsid w:val="00B93ACE"/>
    <w:rsid w:val="00B95308"/>
    <w:rsid w:val="00B95791"/>
    <w:rsid w:val="00B959C6"/>
    <w:rsid w:val="00B95E99"/>
    <w:rsid w:val="00B96346"/>
    <w:rsid w:val="00B970D0"/>
    <w:rsid w:val="00B97912"/>
    <w:rsid w:val="00B9796A"/>
    <w:rsid w:val="00B97BB9"/>
    <w:rsid w:val="00B97D90"/>
    <w:rsid w:val="00BA0009"/>
    <w:rsid w:val="00BA0ABA"/>
    <w:rsid w:val="00BA0BB3"/>
    <w:rsid w:val="00BA0C34"/>
    <w:rsid w:val="00BA11AD"/>
    <w:rsid w:val="00BA1759"/>
    <w:rsid w:val="00BA1848"/>
    <w:rsid w:val="00BA263A"/>
    <w:rsid w:val="00BA3298"/>
    <w:rsid w:val="00BA43D3"/>
    <w:rsid w:val="00BA4467"/>
    <w:rsid w:val="00BA4B2D"/>
    <w:rsid w:val="00BA613E"/>
    <w:rsid w:val="00BA672F"/>
    <w:rsid w:val="00BA7C82"/>
    <w:rsid w:val="00BB02B5"/>
    <w:rsid w:val="00BB1863"/>
    <w:rsid w:val="00BB191C"/>
    <w:rsid w:val="00BB1BAE"/>
    <w:rsid w:val="00BB224F"/>
    <w:rsid w:val="00BB25EE"/>
    <w:rsid w:val="00BB28A8"/>
    <w:rsid w:val="00BB363A"/>
    <w:rsid w:val="00BB486E"/>
    <w:rsid w:val="00BB4873"/>
    <w:rsid w:val="00BB4D13"/>
    <w:rsid w:val="00BB4DDD"/>
    <w:rsid w:val="00BB5537"/>
    <w:rsid w:val="00BB5F74"/>
    <w:rsid w:val="00BB6365"/>
    <w:rsid w:val="00BB7369"/>
    <w:rsid w:val="00BB7546"/>
    <w:rsid w:val="00BB756E"/>
    <w:rsid w:val="00BC0724"/>
    <w:rsid w:val="00BC0B90"/>
    <w:rsid w:val="00BC0BB8"/>
    <w:rsid w:val="00BC10A0"/>
    <w:rsid w:val="00BC219B"/>
    <w:rsid w:val="00BC2579"/>
    <w:rsid w:val="00BC2667"/>
    <w:rsid w:val="00BC27BF"/>
    <w:rsid w:val="00BC2CDE"/>
    <w:rsid w:val="00BC2EFF"/>
    <w:rsid w:val="00BC2FF7"/>
    <w:rsid w:val="00BC3D79"/>
    <w:rsid w:val="00BC4D07"/>
    <w:rsid w:val="00BC4E41"/>
    <w:rsid w:val="00BC56F0"/>
    <w:rsid w:val="00BC5DD9"/>
    <w:rsid w:val="00BC6C31"/>
    <w:rsid w:val="00BC7BA2"/>
    <w:rsid w:val="00BD0369"/>
    <w:rsid w:val="00BD08B9"/>
    <w:rsid w:val="00BD0981"/>
    <w:rsid w:val="00BD11C3"/>
    <w:rsid w:val="00BD186F"/>
    <w:rsid w:val="00BD1AD7"/>
    <w:rsid w:val="00BD1C21"/>
    <w:rsid w:val="00BD2572"/>
    <w:rsid w:val="00BD2698"/>
    <w:rsid w:val="00BD2EC1"/>
    <w:rsid w:val="00BD426B"/>
    <w:rsid w:val="00BD4434"/>
    <w:rsid w:val="00BD4A8E"/>
    <w:rsid w:val="00BD4E56"/>
    <w:rsid w:val="00BD7619"/>
    <w:rsid w:val="00BD79F0"/>
    <w:rsid w:val="00BD7AED"/>
    <w:rsid w:val="00BE0B7E"/>
    <w:rsid w:val="00BE0D27"/>
    <w:rsid w:val="00BE0EBE"/>
    <w:rsid w:val="00BE0F37"/>
    <w:rsid w:val="00BE199F"/>
    <w:rsid w:val="00BE1FB9"/>
    <w:rsid w:val="00BE209B"/>
    <w:rsid w:val="00BE2125"/>
    <w:rsid w:val="00BE22D7"/>
    <w:rsid w:val="00BE24E7"/>
    <w:rsid w:val="00BE24FC"/>
    <w:rsid w:val="00BE28CD"/>
    <w:rsid w:val="00BE2B4D"/>
    <w:rsid w:val="00BE30D6"/>
    <w:rsid w:val="00BE3FD2"/>
    <w:rsid w:val="00BE4A2D"/>
    <w:rsid w:val="00BE5EA7"/>
    <w:rsid w:val="00BE610F"/>
    <w:rsid w:val="00BE69E0"/>
    <w:rsid w:val="00BE6A8E"/>
    <w:rsid w:val="00BF00F4"/>
    <w:rsid w:val="00BF0E18"/>
    <w:rsid w:val="00BF1493"/>
    <w:rsid w:val="00BF190F"/>
    <w:rsid w:val="00BF1A11"/>
    <w:rsid w:val="00BF1E19"/>
    <w:rsid w:val="00BF22A0"/>
    <w:rsid w:val="00BF2347"/>
    <w:rsid w:val="00BF263E"/>
    <w:rsid w:val="00BF27D7"/>
    <w:rsid w:val="00BF2B96"/>
    <w:rsid w:val="00BF335D"/>
    <w:rsid w:val="00BF5B5C"/>
    <w:rsid w:val="00BF61B3"/>
    <w:rsid w:val="00BF6582"/>
    <w:rsid w:val="00BF74B2"/>
    <w:rsid w:val="00BF7ADD"/>
    <w:rsid w:val="00C00808"/>
    <w:rsid w:val="00C00934"/>
    <w:rsid w:val="00C00CAB"/>
    <w:rsid w:val="00C015F8"/>
    <w:rsid w:val="00C01D01"/>
    <w:rsid w:val="00C02C2A"/>
    <w:rsid w:val="00C03A07"/>
    <w:rsid w:val="00C04424"/>
    <w:rsid w:val="00C05AED"/>
    <w:rsid w:val="00C06CF9"/>
    <w:rsid w:val="00C06E83"/>
    <w:rsid w:val="00C07294"/>
    <w:rsid w:val="00C07B90"/>
    <w:rsid w:val="00C07D98"/>
    <w:rsid w:val="00C07E26"/>
    <w:rsid w:val="00C10010"/>
    <w:rsid w:val="00C10017"/>
    <w:rsid w:val="00C1011C"/>
    <w:rsid w:val="00C10601"/>
    <w:rsid w:val="00C11DB1"/>
    <w:rsid w:val="00C12117"/>
    <w:rsid w:val="00C12F94"/>
    <w:rsid w:val="00C13661"/>
    <w:rsid w:val="00C13763"/>
    <w:rsid w:val="00C13D65"/>
    <w:rsid w:val="00C14954"/>
    <w:rsid w:val="00C15027"/>
    <w:rsid w:val="00C15C59"/>
    <w:rsid w:val="00C160EB"/>
    <w:rsid w:val="00C1623F"/>
    <w:rsid w:val="00C17306"/>
    <w:rsid w:val="00C173AE"/>
    <w:rsid w:val="00C17492"/>
    <w:rsid w:val="00C177C5"/>
    <w:rsid w:val="00C17B3C"/>
    <w:rsid w:val="00C214AD"/>
    <w:rsid w:val="00C21E25"/>
    <w:rsid w:val="00C221AB"/>
    <w:rsid w:val="00C2234A"/>
    <w:rsid w:val="00C226F3"/>
    <w:rsid w:val="00C22F05"/>
    <w:rsid w:val="00C23121"/>
    <w:rsid w:val="00C23312"/>
    <w:rsid w:val="00C23E35"/>
    <w:rsid w:val="00C240B4"/>
    <w:rsid w:val="00C24AF7"/>
    <w:rsid w:val="00C24D96"/>
    <w:rsid w:val="00C25642"/>
    <w:rsid w:val="00C25FF9"/>
    <w:rsid w:val="00C2648F"/>
    <w:rsid w:val="00C26F4D"/>
    <w:rsid w:val="00C3019E"/>
    <w:rsid w:val="00C3047D"/>
    <w:rsid w:val="00C308CF"/>
    <w:rsid w:val="00C31925"/>
    <w:rsid w:val="00C31C72"/>
    <w:rsid w:val="00C32537"/>
    <w:rsid w:val="00C32925"/>
    <w:rsid w:val="00C33248"/>
    <w:rsid w:val="00C3440C"/>
    <w:rsid w:val="00C34EC3"/>
    <w:rsid w:val="00C34F7F"/>
    <w:rsid w:val="00C356AD"/>
    <w:rsid w:val="00C361F5"/>
    <w:rsid w:val="00C371FB"/>
    <w:rsid w:val="00C37B9E"/>
    <w:rsid w:val="00C4026B"/>
    <w:rsid w:val="00C4038C"/>
    <w:rsid w:val="00C4042D"/>
    <w:rsid w:val="00C409DA"/>
    <w:rsid w:val="00C40A86"/>
    <w:rsid w:val="00C41618"/>
    <w:rsid w:val="00C41C0F"/>
    <w:rsid w:val="00C42189"/>
    <w:rsid w:val="00C42292"/>
    <w:rsid w:val="00C425C3"/>
    <w:rsid w:val="00C425E2"/>
    <w:rsid w:val="00C42BA2"/>
    <w:rsid w:val="00C43767"/>
    <w:rsid w:val="00C43EC6"/>
    <w:rsid w:val="00C44066"/>
    <w:rsid w:val="00C44CA9"/>
    <w:rsid w:val="00C44DD7"/>
    <w:rsid w:val="00C44E13"/>
    <w:rsid w:val="00C44E66"/>
    <w:rsid w:val="00C45251"/>
    <w:rsid w:val="00C45663"/>
    <w:rsid w:val="00C45666"/>
    <w:rsid w:val="00C45744"/>
    <w:rsid w:val="00C45AEF"/>
    <w:rsid w:val="00C45B9D"/>
    <w:rsid w:val="00C46E79"/>
    <w:rsid w:val="00C47395"/>
    <w:rsid w:val="00C4747A"/>
    <w:rsid w:val="00C47509"/>
    <w:rsid w:val="00C47738"/>
    <w:rsid w:val="00C500AA"/>
    <w:rsid w:val="00C50751"/>
    <w:rsid w:val="00C517EC"/>
    <w:rsid w:val="00C51B08"/>
    <w:rsid w:val="00C522C7"/>
    <w:rsid w:val="00C53118"/>
    <w:rsid w:val="00C53288"/>
    <w:rsid w:val="00C535C4"/>
    <w:rsid w:val="00C5424F"/>
    <w:rsid w:val="00C54A3A"/>
    <w:rsid w:val="00C55100"/>
    <w:rsid w:val="00C555D8"/>
    <w:rsid w:val="00C568EE"/>
    <w:rsid w:val="00C56CA9"/>
    <w:rsid w:val="00C5716A"/>
    <w:rsid w:val="00C57355"/>
    <w:rsid w:val="00C57D32"/>
    <w:rsid w:val="00C60303"/>
    <w:rsid w:val="00C60A41"/>
    <w:rsid w:val="00C60D3A"/>
    <w:rsid w:val="00C61087"/>
    <w:rsid w:val="00C61B80"/>
    <w:rsid w:val="00C61D14"/>
    <w:rsid w:val="00C62163"/>
    <w:rsid w:val="00C6227D"/>
    <w:rsid w:val="00C6282D"/>
    <w:rsid w:val="00C62CB8"/>
    <w:rsid w:val="00C62DE8"/>
    <w:rsid w:val="00C62DFB"/>
    <w:rsid w:val="00C630E6"/>
    <w:rsid w:val="00C63812"/>
    <w:rsid w:val="00C6382A"/>
    <w:rsid w:val="00C63A08"/>
    <w:rsid w:val="00C63C9F"/>
    <w:rsid w:val="00C63F07"/>
    <w:rsid w:val="00C641F5"/>
    <w:rsid w:val="00C64AF3"/>
    <w:rsid w:val="00C64BA1"/>
    <w:rsid w:val="00C64BE0"/>
    <w:rsid w:val="00C64E0F"/>
    <w:rsid w:val="00C65D47"/>
    <w:rsid w:val="00C665EC"/>
    <w:rsid w:val="00C66F4D"/>
    <w:rsid w:val="00C672E7"/>
    <w:rsid w:val="00C678C9"/>
    <w:rsid w:val="00C67BB5"/>
    <w:rsid w:val="00C70381"/>
    <w:rsid w:val="00C7145A"/>
    <w:rsid w:val="00C72713"/>
    <w:rsid w:val="00C72A17"/>
    <w:rsid w:val="00C73881"/>
    <w:rsid w:val="00C738AC"/>
    <w:rsid w:val="00C73A80"/>
    <w:rsid w:val="00C74E79"/>
    <w:rsid w:val="00C7502F"/>
    <w:rsid w:val="00C75297"/>
    <w:rsid w:val="00C75359"/>
    <w:rsid w:val="00C7634B"/>
    <w:rsid w:val="00C76427"/>
    <w:rsid w:val="00C76F1D"/>
    <w:rsid w:val="00C77317"/>
    <w:rsid w:val="00C775FD"/>
    <w:rsid w:val="00C777E5"/>
    <w:rsid w:val="00C8003A"/>
    <w:rsid w:val="00C80548"/>
    <w:rsid w:val="00C81D24"/>
    <w:rsid w:val="00C832FD"/>
    <w:rsid w:val="00C8374C"/>
    <w:rsid w:val="00C83CE6"/>
    <w:rsid w:val="00C848EF"/>
    <w:rsid w:val="00C853AA"/>
    <w:rsid w:val="00C8569C"/>
    <w:rsid w:val="00C85B92"/>
    <w:rsid w:val="00C860DB"/>
    <w:rsid w:val="00C86600"/>
    <w:rsid w:val="00C87BCA"/>
    <w:rsid w:val="00C87EED"/>
    <w:rsid w:val="00C91518"/>
    <w:rsid w:val="00C915D4"/>
    <w:rsid w:val="00C919EC"/>
    <w:rsid w:val="00C91FBE"/>
    <w:rsid w:val="00C92927"/>
    <w:rsid w:val="00C92E8E"/>
    <w:rsid w:val="00C92F11"/>
    <w:rsid w:val="00C930B4"/>
    <w:rsid w:val="00C930F4"/>
    <w:rsid w:val="00C9373A"/>
    <w:rsid w:val="00C9378D"/>
    <w:rsid w:val="00C94506"/>
    <w:rsid w:val="00C94B51"/>
    <w:rsid w:val="00C952E1"/>
    <w:rsid w:val="00C954BC"/>
    <w:rsid w:val="00C95D34"/>
    <w:rsid w:val="00C973F4"/>
    <w:rsid w:val="00C97A12"/>
    <w:rsid w:val="00C97ED1"/>
    <w:rsid w:val="00CA04B7"/>
    <w:rsid w:val="00CA0C4A"/>
    <w:rsid w:val="00CA0CC5"/>
    <w:rsid w:val="00CA12D7"/>
    <w:rsid w:val="00CA1537"/>
    <w:rsid w:val="00CA188E"/>
    <w:rsid w:val="00CA19C3"/>
    <w:rsid w:val="00CA1F0B"/>
    <w:rsid w:val="00CA255C"/>
    <w:rsid w:val="00CA50FE"/>
    <w:rsid w:val="00CA5807"/>
    <w:rsid w:val="00CA5E6F"/>
    <w:rsid w:val="00CA661D"/>
    <w:rsid w:val="00CA66EB"/>
    <w:rsid w:val="00CA69E6"/>
    <w:rsid w:val="00CA6FBA"/>
    <w:rsid w:val="00CA76B6"/>
    <w:rsid w:val="00CA7B98"/>
    <w:rsid w:val="00CB0534"/>
    <w:rsid w:val="00CB110F"/>
    <w:rsid w:val="00CB1428"/>
    <w:rsid w:val="00CB2A2E"/>
    <w:rsid w:val="00CB2C4A"/>
    <w:rsid w:val="00CB2E07"/>
    <w:rsid w:val="00CB3037"/>
    <w:rsid w:val="00CB338A"/>
    <w:rsid w:val="00CB3649"/>
    <w:rsid w:val="00CB376F"/>
    <w:rsid w:val="00CB42F7"/>
    <w:rsid w:val="00CB44F5"/>
    <w:rsid w:val="00CB4F26"/>
    <w:rsid w:val="00CB5736"/>
    <w:rsid w:val="00CB5911"/>
    <w:rsid w:val="00CB59E5"/>
    <w:rsid w:val="00CB60EC"/>
    <w:rsid w:val="00CB64F3"/>
    <w:rsid w:val="00CB695B"/>
    <w:rsid w:val="00CB6B39"/>
    <w:rsid w:val="00CB6E6B"/>
    <w:rsid w:val="00CB751B"/>
    <w:rsid w:val="00CB76CB"/>
    <w:rsid w:val="00CB79C5"/>
    <w:rsid w:val="00CC017E"/>
    <w:rsid w:val="00CC0729"/>
    <w:rsid w:val="00CC0A5C"/>
    <w:rsid w:val="00CC0AEB"/>
    <w:rsid w:val="00CC2438"/>
    <w:rsid w:val="00CC411F"/>
    <w:rsid w:val="00CC4AE4"/>
    <w:rsid w:val="00CC4B75"/>
    <w:rsid w:val="00CC5612"/>
    <w:rsid w:val="00CC6041"/>
    <w:rsid w:val="00CC68F6"/>
    <w:rsid w:val="00CC6C70"/>
    <w:rsid w:val="00CC6ED1"/>
    <w:rsid w:val="00CC72D4"/>
    <w:rsid w:val="00CC732E"/>
    <w:rsid w:val="00CC75CE"/>
    <w:rsid w:val="00CC7E89"/>
    <w:rsid w:val="00CD084C"/>
    <w:rsid w:val="00CD18D3"/>
    <w:rsid w:val="00CD1A4D"/>
    <w:rsid w:val="00CD1B8B"/>
    <w:rsid w:val="00CD1E50"/>
    <w:rsid w:val="00CD203F"/>
    <w:rsid w:val="00CD2A91"/>
    <w:rsid w:val="00CD2A98"/>
    <w:rsid w:val="00CD2FCD"/>
    <w:rsid w:val="00CD30DE"/>
    <w:rsid w:val="00CD32C4"/>
    <w:rsid w:val="00CD35E5"/>
    <w:rsid w:val="00CD384A"/>
    <w:rsid w:val="00CD3B13"/>
    <w:rsid w:val="00CD4C37"/>
    <w:rsid w:val="00CD50C5"/>
    <w:rsid w:val="00CD5361"/>
    <w:rsid w:val="00CD53EA"/>
    <w:rsid w:val="00CD566C"/>
    <w:rsid w:val="00CD5D42"/>
    <w:rsid w:val="00CD618A"/>
    <w:rsid w:val="00CD6A67"/>
    <w:rsid w:val="00CD7207"/>
    <w:rsid w:val="00CE021A"/>
    <w:rsid w:val="00CE0422"/>
    <w:rsid w:val="00CE0739"/>
    <w:rsid w:val="00CE0A71"/>
    <w:rsid w:val="00CE0DBE"/>
    <w:rsid w:val="00CE1231"/>
    <w:rsid w:val="00CE2B66"/>
    <w:rsid w:val="00CE3CF8"/>
    <w:rsid w:val="00CE4665"/>
    <w:rsid w:val="00CE5342"/>
    <w:rsid w:val="00CE5E4D"/>
    <w:rsid w:val="00CE6E90"/>
    <w:rsid w:val="00CE71FC"/>
    <w:rsid w:val="00CE7A9F"/>
    <w:rsid w:val="00CF02C4"/>
    <w:rsid w:val="00CF06BE"/>
    <w:rsid w:val="00CF0A57"/>
    <w:rsid w:val="00CF167F"/>
    <w:rsid w:val="00CF21B0"/>
    <w:rsid w:val="00CF25A1"/>
    <w:rsid w:val="00CF2AD4"/>
    <w:rsid w:val="00CF3105"/>
    <w:rsid w:val="00CF3288"/>
    <w:rsid w:val="00CF374F"/>
    <w:rsid w:val="00CF47A8"/>
    <w:rsid w:val="00CF5103"/>
    <w:rsid w:val="00CF5231"/>
    <w:rsid w:val="00CF5634"/>
    <w:rsid w:val="00CF56B9"/>
    <w:rsid w:val="00CF5E92"/>
    <w:rsid w:val="00CF680A"/>
    <w:rsid w:val="00CF6D86"/>
    <w:rsid w:val="00CF72E5"/>
    <w:rsid w:val="00CF7319"/>
    <w:rsid w:val="00CF7D03"/>
    <w:rsid w:val="00D00923"/>
    <w:rsid w:val="00D00CE4"/>
    <w:rsid w:val="00D01020"/>
    <w:rsid w:val="00D013EE"/>
    <w:rsid w:val="00D01414"/>
    <w:rsid w:val="00D01792"/>
    <w:rsid w:val="00D01F38"/>
    <w:rsid w:val="00D01F54"/>
    <w:rsid w:val="00D02B27"/>
    <w:rsid w:val="00D03186"/>
    <w:rsid w:val="00D03414"/>
    <w:rsid w:val="00D040F7"/>
    <w:rsid w:val="00D041A6"/>
    <w:rsid w:val="00D042FE"/>
    <w:rsid w:val="00D0485D"/>
    <w:rsid w:val="00D048B0"/>
    <w:rsid w:val="00D048FC"/>
    <w:rsid w:val="00D049CC"/>
    <w:rsid w:val="00D04A76"/>
    <w:rsid w:val="00D04C6F"/>
    <w:rsid w:val="00D05C7B"/>
    <w:rsid w:val="00D068BF"/>
    <w:rsid w:val="00D06B6B"/>
    <w:rsid w:val="00D07E2B"/>
    <w:rsid w:val="00D108E6"/>
    <w:rsid w:val="00D10FC7"/>
    <w:rsid w:val="00D112EC"/>
    <w:rsid w:val="00D1194D"/>
    <w:rsid w:val="00D126A8"/>
    <w:rsid w:val="00D12D78"/>
    <w:rsid w:val="00D135F2"/>
    <w:rsid w:val="00D14A0F"/>
    <w:rsid w:val="00D14DC2"/>
    <w:rsid w:val="00D1514C"/>
    <w:rsid w:val="00D1519F"/>
    <w:rsid w:val="00D157A9"/>
    <w:rsid w:val="00D15C90"/>
    <w:rsid w:val="00D1703C"/>
    <w:rsid w:val="00D171D1"/>
    <w:rsid w:val="00D17453"/>
    <w:rsid w:val="00D17C13"/>
    <w:rsid w:val="00D2077A"/>
    <w:rsid w:val="00D20811"/>
    <w:rsid w:val="00D20E99"/>
    <w:rsid w:val="00D20FEA"/>
    <w:rsid w:val="00D212A3"/>
    <w:rsid w:val="00D21C83"/>
    <w:rsid w:val="00D2274C"/>
    <w:rsid w:val="00D23162"/>
    <w:rsid w:val="00D23E3B"/>
    <w:rsid w:val="00D23E50"/>
    <w:rsid w:val="00D2440F"/>
    <w:rsid w:val="00D254DC"/>
    <w:rsid w:val="00D26125"/>
    <w:rsid w:val="00D26A82"/>
    <w:rsid w:val="00D2700E"/>
    <w:rsid w:val="00D27AC5"/>
    <w:rsid w:val="00D30B95"/>
    <w:rsid w:val="00D312C2"/>
    <w:rsid w:val="00D313B0"/>
    <w:rsid w:val="00D3194D"/>
    <w:rsid w:val="00D31981"/>
    <w:rsid w:val="00D31F07"/>
    <w:rsid w:val="00D31F2A"/>
    <w:rsid w:val="00D331A1"/>
    <w:rsid w:val="00D33E48"/>
    <w:rsid w:val="00D3419C"/>
    <w:rsid w:val="00D35355"/>
    <w:rsid w:val="00D35799"/>
    <w:rsid w:val="00D35BDD"/>
    <w:rsid w:val="00D35BE9"/>
    <w:rsid w:val="00D35E31"/>
    <w:rsid w:val="00D37A15"/>
    <w:rsid w:val="00D37DAF"/>
    <w:rsid w:val="00D37E49"/>
    <w:rsid w:val="00D406C1"/>
    <w:rsid w:val="00D4082D"/>
    <w:rsid w:val="00D411B0"/>
    <w:rsid w:val="00D4150B"/>
    <w:rsid w:val="00D4257F"/>
    <w:rsid w:val="00D425A3"/>
    <w:rsid w:val="00D42C8F"/>
    <w:rsid w:val="00D434FF"/>
    <w:rsid w:val="00D43CA1"/>
    <w:rsid w:val="00D43D6B"/>
    <w:rsid w:val="00D43DE1"/>
    <w:rsid w:val="00D43E98"/>
    <w:rsid w:val="00D444C5"/>
    <w:rsid w:val="00D44623"/>
    <w:rsid w:val="00D446A4"/>
    <w:rsid w:val="00D44DEF"/>
    <w:rsid w:val="00D46C3B"/>
    <w:rsid w:val="00D470D7"/>
    <w:rsid w:val="00D470E7"/>
    <w:rsid w:val="00D5032F"/>
    <w:rsid w:val="00D507A7"/>
    <w:rsid w:val="00D50D7C"/>
    <w:rsid w:val="00D50DE6"/>
    <w:rsid w:val="00D50F32"/>
    <w:rsid w:val="00D5116F"/>
    <w:rsid w:val="00D51353"/>
    <w:rsid w:val="00D5143E"/>
    <w:rsid w:val="00D515FF"/>
    <w:rsid w:val="00D51ED7"/>
    <w:rsid w:val="00D51F58"/>
    <w:rsid w:val="00D52505"/>
    <w:rsid w:val="00D529CF"/>
    <w:rsid w:val="00D5391D"/>
    <w:rsid w:val="00D540C0"/>
    <w:rsid w:val="00D54D90"/>
    <w:rsid w:val="00D54F85"/>
    <w:rsid w:val="00D5529A"/>
    <w:rsid w:val="00D552C1"/>
    <w:rsid w:val="00D55E66"/>
    <w:rsid w:val="00D5686B"/>
    <w:rsid w:val="00D56B66"/>
    <w:rsid w:val="00D57181"/>
    <w:rsid w:val="00D57976"/>
    <w:rsid w:val="00D579D0"/>
    <w:rsid w:val="00D57B66"/>
    <w:rsid w:val="00D601C8"/>
    <w:rsid w:val="00D609A9"/>
    <w:rsid w:val="00D60F82"/>
    <w:rsid w:val="00D6130C"/>
    <w:rsid w:val="00D614C4"/>
    <w:rsid w:val="00D62121"/>
    <w:rsid w:val="00D622B6"/>
    <w:rsid w:val="00D6295B"/>
    <w:rsid w:val="00D62F78"/>
    <w:rsid w:val="00D63006"/>
    <w:rsid w:val="00D63982"/>
    <w:rsid w:val="00D64798"/>
    <w:rsid w:val="00D6496D"/>
    <w:rsid w:val="00D64D42"/>
    <w:rsid w:val="00D66EE8"/>
    <w:rsid w:val="00D67797"/>
    <w:rsid w:val="00D67937"/>
    <w:rsid w:val="00D7065C"/>
    <w:rsid w:val="00D70995"/>
    <w:rsid w:val="00D711D8"/>
    <w:rsid w:val="00D71344"/>
    <w:rsid w:val="00D71C0F"/>
    <w:rsid w:val="00D72301"/>
    <w:rsid w:val="00D727E4"/>
    <w:rsid w:val="00D74317"/>
    <w:rsid w:val="00D7538E"/>
    <w:rsid w:val="00D75695"/>
    <w:rsid w:val="00D76426"/>
    <w:rsid w:val="00D764F5"/>
    <w:rsid w:val="00D77AB1"/>
    <w:rsid w:val="00D8016F"/>
    <w:rsid w:val="00D80741"/>
    <w:rsid w:val="00D80776"/>
    <w:rsid w:val="00D80941"/>
    <w:rsid w:val="00D81B83"/>
    <w:rsid w:val="00D81C35"/>
    <w:rsid w:val="00D81D06"/>
    <w:rsid w:val="00D81EE2"/>
    <w:rsid w:val="00D82C2C"/>
    <w:rsid w:val="00D82DE7"/>
    <w:rsid w:val="00D82DE8"/>
    <w:rsid w:val="00D837D1"/>
    <w:rsid w:val="00D84016"/>
    <w:rsid w:val="00D8430B"/>
    <w:rsid w:val="00D8528E"/>
    <w:rsid w:val="00D864A1"/>
    <w:rsid w:val="00D90201"/>
    <w:rsid w:val="00D90228"/>
    <w:rsid w:val="00D902A9"/>
    <w:rsid w:val="00D9068E"/>
    <w:rsid w:val="00D9087E"/>
    <w:rsid w:val="00D911DE"/>
    <w:rsid w:val="00D9121B"/>
    <w:rsid w:val="00D91548"/>
    <w:rsid w:val="00D91B97"/>
    <w:rsid w:val="00D92455"/>
    <w:rsid w:val="00D92667"/>
    <w:rsid w:val="00D92D18"/>
    <w:rsid w:val="00D9355C"/>
    <w:rsid w:val="00D936A8"/>
    <w:rsid w:val="00D93980"/>
    <w:rsid w:val="00D93ACC"/>
    <w:rsid w:val="00D93C08"/>
    <w:rsid w:val="00D93E4E"/>
    <w:rsid w:val="00D94D66"/>
    <w:rsid w:val="00D95806"/>
    <w:rsid w:val="00D95A59"/>
    <w:rsid w:val="00D95DAC"/>
    <w:rsid w:val="00D962C6"/>
    <w:rsid w:val="00D96CEB"/>
    <w:rsid w:val="00D9796F"/>
    <w:rsid w:val="00D97B5A"/>
    <w:rsid w:val="00DA0157"/>
    <w:rsid w:val="00DA0B53"/>
    <w:rsid w:val="00DA1542"/>
    <w:rsid w:val="00DA1685"/>
    <w:rsid w:val="00DA1CD8"/>
    <w:rsid w:val="00DA31B2"/>
    <w:rsid w:val="00DA32A9"/>
    <w:rsid w:val="00DA3FF5"/>
    <w:rsid w:val="00DA4AAE"/>
    <w:rsid w:val="00DA505A"/>
    <w:rsid w:val="00DA69C7"/>
    <w:rsid w:val="00DA767D"/>
    <w:rsid w:val="00DA7E15"/>
    <w:rsid w:val="00DA7F5D"/>
    <w:rsid w:val="00DA7F69"/>
    <w:rsid w:val="00DB0377"/>
    <w:rsid w:val="00DB098C"/>
    <w:rsid w:val="00DB0D63"/>
    <w:rsid w:val="00DB1171"/>
    <w:rsid w:val="00DB1519"/>
    <w:rsid w:val="00DB1D90"/>
    <w:rsid w:val="00DB2840"/>
    <w:rsid w:val="00DB2B6C"/>
    <w:rsid w:val="00DB2C48"/>
    <w:rsid w:val="00DB2FA0"/>
    <w:rsid w:val="00DB3AB5"/>
    <w:rsid w:val="00DB473E"/>
    <w:rsid w:val="00DB478B"/>
    <w:rsid w:val="00DB4C97"/>
    <w:rsid w:val="00DB5214"/>
    <w:rsid w:val="00DB5579"/>
    <w:rsid w:val="00DB5CA5"/>
    <w:rsid w:val="00DB5EA0"/>
    <w:rsid w:val="00DB5F68"/>
    <w:rsid w:val="00DB62F9"/>
    <w:rsid w:val="00DB6566"/>
    <w:rsid w:val="00DB6A2F"/>
    <w:rsid w:val="00DB7A69"/>
    <w:rsid w:val="00DC027B"/>
    <w:rsid w:val="00DC0C6E"/>
    <w:rsid w:val="00DC1BD3"/>
    <w:rsid w:val="00DC2418"/>
    <w:rsid w:val="00DC253C"/>
    <w:rsid w:val="00DC2B69"/>
    <w:rsid w:val="00DC2C1A"/>
    <w:rsid w:val="00DC3C27"/>
    <w:rsid w:val="00DC3CB6"/>
    <w:rsid w:val="00DC432A"/>
    <w:rsid w:val="00DC4955"/>
    <w:rsid w:val="00DC6CD1"/>
    <w:rsid w:val="00DC798B"/>
    <w:rsid w:val="00DC7CCB"/>
    <w:rsid w:val="00DD0545"/>
    <w:rsid w:val="00DD0E1D"/>
    <w:rsid w:val="00DD1FF5"/>
    <w:rsid w:val="00DD3904"/>
    <w:rsid w:val="00DD3BD9"/>
    <w:rsid w:val="00DD413B"/>
    <w:rsid w:val="00DD4362"/>
    <w:rsid w:val="00DD43BA"/>
    <w:rsid w:val="00DD4803"/>
    <w:rsid w:val="00DD5AAB"/>
    <w:rsid w:val="00DD602A"/>
    <w:rsid w:val="00DD64C6"/>
    <w:rsid w:val="00DD66B4"/>
    <w:rsid w:val="00DD6CA4"/>
    <w:rsid w:val="00DD70FB"/>
    <w:rsid w:val="00DE032F"/>
    <w:rsid w:val="00DE048C"/>
    <w:rsid w:val="00DE04C1"/>
    <w:rsid w:val="00DE0771"/>
    <w:rsid w:val="00DE08AE"/>
    <w:rsid w:val="00DE0DD4"/>
    <w:rsid w:val="00DE110C"/>
    <w:rsid w:val="00DE1553"/>
    <w:rsid w:val="00DE17B0"/>
    <w:rsid w:val="00DE1972"/>
    <w:rsid w:val="00DE1E82"/>
    <w:rsid w:val="00DE1E8B"/>
    <w:rsid w:val="00DE2090"/>
    <w:rsid w:val="00DE27AB"/>
    <w:rsid w:val="00DE2B48"/>
    <w:rsid w:val="00DE3F0C"/>
    <w:rsid w:val="00DE450C"/>
    <w:rsid w:val="00DE558B"/>
    <w:rsid w:val="00DE58A0"/>
    <w:rsid w:val="00DE6EDA"/>
    <w:rsid w:val="00DE7056"/>
    <w:rsid w:val="00DF006A"/>
    <w:rsid w:val="00DF035C"/>
    <w:rsid w:val="00DF07D0"/>
    <w:rsid w:val="00DF1457"/>
    <w:rsid w:val="00DF1568"/>
    <w:rsid w:val="00DF1B23"/>
    <w:rsid w:val="00DF1FAF"/>
    <w:rsid w:val="00DF21CB"/>
    <w:rsid w:val="00DF225B"/>
    <w:rsid w:val="00DF25CC"/>
    <w:rsid w:val="00DF268F"/>
    <w:rsid w:val="00DF2763"/>
    <w:rsid w:val="00DF2AB3"/>
    <w:rsid w:val="00DF3251"/>
    <w:rsid w:val="00DF39DE"/>
    <w:rsid w:val="00DF3AD4"/>
    <w:rsid w:val="00DF445C"/>
    <w:rsid w:val="00DF4C69"/>
    <w:rsid w:val="00DF4F59"/>
    <w:rsid w:val="00DF5C8B"/>
    <w:rsid w:val="00DF633F"/>
    <w:rsid w:val="00DF6553"/>
    <w:rsid w:val="00DF6617"/>
    <w:rsid w:val="00DF70E6"/>
    <w:rsid w:val="00DF7250"/>
    <w:rsid w:val="00DF7D16"/>
    <w:rsid w:val="00E00587"/>
    <w:rsid w:val="00E00CAA"/>
    <w:rsid w:val="00E01B32"/>
    <w:rsid w:val="00E0239C"/>
    <w:rsid w:val="00E02853"/>
    <w:rsid w:val="00E02CD7"/>
    <w:rsid w:val="00E03063"/>
    <w:rsid w:val="00E033A3"/>
    <w:rsid w:val="00E034BD"/>
    <w:rsid w:val="00E03647"/>
    <w:rsid w:val="00E039E5"/>
    <w:rsid w:val="00E03EBF"/>
    <w:rsid w:val="00E048FC"/>
    <w:rsid w:val="00E04E92"/>
    <w:rsid w:val="00E05209"/>
    <w:rsid w:val="00E05AC1"/>
    <w:rsid w:val="00E05CA4"/>
    <w:rsid w:val="00E060C9"/>
    <w:rsid w:val="00E06F02"/>
    <w:rsid w:val="00E10252"/>
    <w:rsid w:val="00E104FC"/>
    <w:rsid w:val="00E11451"/>
    <w:rsid w:val="00E11BCF"/>
    <w:rsid w:val="00E1368A"/>
    <w:rsid w:val="00E1379F"/>
    <w:rsid w:val="00E137A6"/>
    <w:rsid w:val="00E13ECA"/>
    <w:rsid w:val="00E15370"/>
    <w:rsid w:val="00E15EE4"/>
    <w:rsid w:val="00E16108"/>
    <w:rsid w:val="00E1696B"/>
    <w:rsid w:val="00E17502"/>
    <w:rsid w:val="00E1777F"/>
    <w:rsid w:val="00E179B8"/>
    <w:rsid w:val="00E17A1D"/>
    <w:rsid w:val="00E20227"/>
    <w:rsid w:val="00E212FB"/>
    <w:rsid w:val="00E21887"/>
    <w:rsid w:val="00E2219E"/>
    <w:rsid w:val="00E2258E"/>
    <w:rsid w:val="00E22593"/>
    <w:rsid w:val="00E22649"/>
    <w:rsid w:val="00E22751"/>
    <w:rsid w:val="00E22AE5"/>
    <w:rsid w:val="00E231F8"/>
    <w:rsid w:val="00E23569"/>
    <w:rsid w:val="00E23A9D"/>
    <w:rsid w:val="00E24806"/>
    <w:rsid w:val="00E24A90"/>
    <w:rsid w:val="00E25D62"/>
    <w:rsid w:val="00E25DA3"/>
    <w:rsid w:val="00E260C2"/>
    <w:rsid w:val="00E264D5"/>
    <w:rsid w:val="00E264E3"/>
    <w:rsid w:val="00E267B6"/>
    <w:rsid w:val="00E2682D"/>
    <w:rsid w:val="00E30239"/>
    <w:rsid w:val="00E305EB"/>
    <w:rsid w:val="00E3165C"/>
    <w:rsid w:val="00E324A0"/>
    <w:rsid w:val="00E32596"/>
    <w:rsid w:val="00E32E04"/>
    <w:rsid w:val="00E32E61"/>
    <w:rsid w:val="00E33034"/>
    <w:rsid w:val="00E342B2"/>
    <w:rsid w:val="00E34C7B"/>
    <w:rsid w:val="00E3622D"/>
    <w:rsid w:val="00E364D6"/>
    <w:rsid w:val="00E364FB"/>
    <w:rsid w:val="00E368F7"/>
    <w:rsid w:val="00E36BC6"/>
    <w:rsid w:val="00E36EB8"/>
    <w:rsid w:val="00E3763F"/>
    <w:rsid w:val="00E37FB8"/>
    <w:rsid w:val="00E40201"/>
    <w:rsid w:val="00E4070E"/>
    <w:rsid w:val="00E40B07"/>
    <w:rsid w:val="00E415AE"/>
    <w:rsid w:val="00E41708"/>
    <w:rsid w:val="00E41BE1"/>
    <w:rsid w:val="00E42326"/>
    <w:rsid w:val="00E42551"/>
    <w:rsid w:val="00E42998"/>
    <w:rsid w:val="00E42A54"/>
    <w:rsid w:val="00E43544"/>
    <w:rsid w:val="00E448C5"/>
    <w:rsid w:val="00E44D89"/>
    <w:rsid w:val="00E45392"/>
    <w:rsid w:val="00E4639C"/>
    <w:rsid w:val="00E46401"/>
    <w:rsid w:val="00E46909"/>
    <w:rsid w:val="00E469A8"/>
    <w:rsid w:val="00E46D9C"/>
    <w:rsid w:val="00E46DE3"/>
    <w:rsid w:val="00E477EA"/>
    <w:rsid w:val="00E50240"/>
    <w:rsid w:val="00E502E5"/>
    <w:rsid w:val="00E50699"/>
    <w:rsid w:val="00E5073F"/>
    <w:rsid w:val="00E51368"/>
    <w:rsid w:val="00E51A5D"/>
    <w:rsid w:val="00E5270A"/>
    <w:rsid w:val="00E52D2C"/>
    <w:rsid w:val="00E52DC7"/>
    <w:rsid w:val="00E52E79"/>
    <w:rsid w:val="00E5348C"/>
    <w:rsid w:val="00E54550"/>
    <w:rsid w:val="00E54AB8"/>
    <w:rsid w:val="00E54D1A"/>
    <w:rsid w:val="00E5516B"/>
    <w:rsid w:val="00E5568D"/>
    <w:rsid w:val="00E55807"/>
    <w:rsid w:val="00E56352"/>
    <w:rsid w:val="00E56C8E"/>
    <w:rsid w:val="00E57110"/>
    <w:rsid w:val="00E571D1"/>
    <w:rsid w:val="00E60794"/>
    <w:rsid w:val="00E61B56"/>
    <w:rsid w:val="00E621AD"/>
    <w:rsid w:val="00E624B0"/>
    <w:rsid w:val="00E627D7"/>
    <w:rsid w:val="00E62893"/>
    <w:rsid w:val="00E6324B"/>
    <w:rsid w:val="00E63B14"/>
    <w:rsid w:val="00E63C04"/>
    <w:rsid w:val="00E63E23"/>
    <w:rsid w:val="00E64531"/>
    <w:rsid w:val="00E64ED3"/>
    <w:rsid w:val="00E6513C"/>
    <w:rsid w:val="00E6535E"/>
    <w:rsid w:val="00E65CA0"/>
    <w:rsid w:val="00E65D27"/>
    <w:rsid w:val="00E6614A"/>
    <w:rsid w:val="00E674BE"/>
    <w:rsid w:val="00E675DF"/>
    <w:rsid w:val="00E700BF"/>
    <w:rsid w:val="00E70235"/>
    <w:rsid w:val="00E702CC"/>
    <w:rsid w:val="00E70911"/>
    <w:rsid w:val="00E70D9F"/>
    <w:rsid w:val="00E719DF"/>
    <w:rsid w:val="00E72E2B"/>
    <w:rsid w:val="00E730FF"/>
    <w:rsid w:val="00E737EF"/>
    <w:rsid w:val="00E7382A"/>
    <w:rsid w:val="00E7395E"/>
    <w:rsid w:val="00E74BE0"/>
    <w:rsid w:val="00E74C4B"/>
    <w:rsid w:val="00E7538E"/>
    <w:rsid w:val="00E7789D"/>
    <w:rsid w:val="00E778E4"/>
    <w:rsid w:val="00E77FDC"/>
    <w:rsid w:val="00E8076F"/>
    <w:rsid w:val="00E80F9F"/>
    <w:rsid w:val="00E81A12"/>
    <w:rsid w:val="00E81B5B"/>
    <w:rsid w:val="00E81C3D"/>
    <w:rsid w:val="00E832AE"/>
    <w:rsid w:val="00E836D9"/>
    <w:rsid w:val="00E83810"/>
    <w:rsid w:val="00E83C67"/>
    <w:rsid w:val="00E83D2A"/>
    <w:rsid w:val="00E84660"/>
    <w:rsid w:val="00E84C32"/>
    <w:rsid w:val="00E86703"/>
    <w:rsid w:val="00E86933"/>
    <w:rsid w:val="00E875CD"/>
    <w:rsid w:val="00E87CEB"/>
    <w:rsid w:val="00E901E8"/>
    <w:rsid w:val="00E90F83"/>
    <w:rsid w:val="00E9104C"/>
    <w:rsid w:val="00E910FF"/>
    <w:rsid w:val="00E91319"/>
    <w:rsid w:val="00E92B6B"/>
    <w:rsid w:val="00E9319F"/>
    <w:rsid w:val="00E93F06"/>
    <w:rsid w:val="00E94016"/>
    <w:rsid w:val="00E940A3"/>
    <w:rsid w:val="00E940DE"/>
    <w:rsid w:val="00E94198"/>
    <w:rsid w:val="00E94227"/>
    <w:rsid w:val="00E94344"/>
    <w:rsid w:val="00E9556A"/>
    <w:rsid w:val="00E95AAF"/>
    <w:rsid w:val="00E9605B"/>
    <w:rsid w:val="00E96367"/>
    <w:rsid w:val="00E968F2"/>
    <w:rsid w:val="00E971F5"/>
    <w:rsid w:val="00E97298"/>
    <w:rsid w:val="00E97753"/>
    <w:rsid w:val="00E97990"/>
    <w:rsid w:val="00EA0806"/>
    <w:rsid w:val="00EA0C51"/>
    <w:rsid w:val="00EA0EEC"/>
    <w:rsid w:val="00EA0F8B"/>
    <w:rsid w:val="00EA19DE"/>
    <w:rsid w:val="00EA207B"/>
    <w:rsid w:val="00EA24DE"/>
    <w:rsid w:val="00EA266C"/>
    <w:rsid w:val="00EA2854"/>
    <w:rsid w:val="00EA2C8D"/>
    <w:rsid w:val="00EA2D07"/>
    <w:rsid w:val="00EA2D9B"/>
    <w:rsid w:val="00EA2EBB"/>
    <w:rsid w:val="00EA34A6"/>
    <w:rsid w:val="00EA3D55"/>
    <w:rsid w:val="00EA4BA9"/>
    <w:rsid w:val="00EA6BD6"/>
    <w:rsid w:val="00EA6E03"/>
    <w:rsid w:val="00EA74D4"/>
    <w:rsid w:val="00EA7DE7"/>
    <w:rsid w:val="00EB05CD"/>
    <w:rsid w:val="00EB0805"/>
    <w:rsid w:val="00EB0CC0"/>
    <w:rsid w:val="00EB13F6"/>
    <w:rsid w:val="00EB15E6"/>
    <w:rsid w:val="00EB1FC7"/>
    <w:rsid w:val="00EB24F7"/>
    <w:rsid w:val="00EB27A7"/>
    <w:rsid w:val="00EB29E2"/>
    <w:rsid w:val="00EB2C49"/>
    <w:rsid w:val="00EB2EBE"/>
    <w:rsid w:val="00EB2EE7"/>
    <w:rsid w:val="00EB2F7A"/>
    <w:rsid w:val="00EB3673"/>
    <w:rsid w:val="00EB3E35"/>
    <w:rsid w:val="00EB4674"/>
    <w:rsid w:val="00EB4F8F"/>
    <w:rsid w:val="00EB5064"/>
    <w:rsid w:val="00EB5958"/>
    <w:rsid w:val="00EB5B67"/>
    <w:rsid w:val="00EB61BE"/>
    <w:rsid w:val="00EB6248"/>
    <w:rsid w:val="00EB64BE"/>
    <w:rsid w:val="00EB7A8A"/>
    <w:rsid w:val="00EB7FAC"/>
    <w:rsid w:val="00EC106A"/>
    <w:rsid w:val="00EC37EB"/>
    <w:rsid w:val="00EC41D8"/>
    <w:rsid w:val="00EC5186"/>
    <w:rsid w:val="00EC5DA9"/>
    <w:rsid w:val="00EC6B88"/>
    <w:rsid w:val="00EC6FED"/>
    <w:rsid w:val="00EC7F3B"/>
    <w:rsid w:val="00ED0A23"/>
    <w:rsid w:val="00ED0E5A"/>
    <w:rsid w:val="00ED1103"/>
    <w:rsid w:val="00ED1188"/>
    <w:rsid w:val="00ED12E5"/>
    <w:rsid w:val="00ED1653"/>
    <w:rsid w:val="00ED1660"/>
    <w:rsid w:val="00ED1BD1"/>
    <w:rsid w:val="00ED27CB"/>
    <w:rsid w:val="00ED280E"/>
    <w:rsid w:val="00ED4FE4"/>
    <w:rsid w:val="00ED5299"/>
    <w:rsid w:val="00ED591D"/>
    <w:rsid w:val="00ED5A10"/>
    <w:rsid w:val="00ED6F1D"/>
    <w:rsid w:val="00ED7716"/>
    <w:rsid w:val="00EE03EB"/>
    <w:rsid w:val="00EE0F0B"/>
    <w:rsid w:val="00EE1232"/>
    <w:rsid w:val="00EE148C"/>
    <w:rsid w:val="00EE151E"/>
    <w:rsid w:val="00EE15A9"/>
    <w:rsid w:val="00EE18B8"/>
    <w:rsid w:val="00EE1C04"/>
    <w:rsid w:val="00EE2989"/>
    <w:rsid w:val="00EE35CE"/>
    <w:rsid w:val="00EE3A64"/>
    <w:rsid w:val="00EE3F90"/>
    <w:rsid w:val="00EE4FC9"/>
    <w:rsid w:val="00EE50E5"/>
    <w:rsid w:val="00EE541E"/>
    <w:rsid w:val="00EF01CF"/>
    <w:rsid w:val="00EF0227"/>
    <w:rsid w:val="00EF03D2"/>
    <w:rsid w:val="00EF1930"/>
    <w:rsid w:val="00EF1A2B"/>
    <w:rsid w:val="00EF1EF8"/>
    <w:rsid w:val="00EF36CD"/>
    <w:rsid w:val="00EF399A"/>
    <w:rsid w:val="00EF5E0D"/>
    <w:rsid w:val="00EF6027"/>
    <w:rsid w:val="00EF6D10"/>
    <w:rsid w:val="00EF6D24"/>
    <w:rsid w:val="00EF7439"/>
    <w:rsid w:val="00EF7824"/>
    <w:rsid w:val="00F003B6"/>
    <w:rsid w:val="00F00BFC"/>
    <w:rsid w:val="00F00E65"/>
    <w:rsid w:val="00F0273C"/>
    <w:rsid w:val="00F02DDA"/>
    <w:rsid w:val="00F030AC"/>
    <w:rsid w:val="00F03590"/>
    <w:rsid w:val="00F03622"/>
    <w:rsid w:val="00F0403D"/>
    <w:rsid w:val="00F049AC"/>
    <w:rsid w:val="00F04EC8"/>
    <w:rsid w:val="00F06128"/>
    <w:rsid w:val="00F07048"/>
    <w:rsid w:val="00F077D9"/>
    <w:rsid w:val="00F077FD"/>
    <w:rsid w:val="00F07DDD"/>
    <w:rsid w:val="00F07E34"/>
    <w:rsid w:val="00F07F5C"/>
    <w:rsid w:val="00F103C5"/>
    <w:rsid w:val="00F104D3"/>
    <w:rsid w:val="00F10FAD"/>
    <w:rsid w:val="00F11093"/>
    <w:rsid w:val="00F12354"/>
    <w:rsid w:val="00F13992"/>
    <w:rsid w:val="00F13B40"/>
    <w:rsid w:val="00F14239"/>
    <w:rsid w:val="00F14E8A"/>
    <w:rsid w:val="00F152D0"/>
    <w:rsid w:val="00F152E2"/>
    <w:rsid w:val="00F15492"/>
    <w:rsid w:val="00F1554E"/>
    <w:rsid w:val="00F160C4"/>
    <w:rsid w:val="00F166B2"/>
    <w:rsid w:val="00F1690E"/>
    <w:rsid w:val="00F1709C"/>
    <w:rsid w:val="00F20430"/>
    <w:rsid w:val="00F204BE"/>
    <w:rsid w:val="00F204F3"/>
    <w:rsid w:val="00F20C55"/>
    <w:rsid w:val="00F20F09"/>
    <w:rsid w:val="00F210F1"/>
    <w:rsid w:val="00F218AB"/>
    <w:rsid w:val="00F21BBF"/>
    <w:rsid w:val="00F229D3"/>
    <w:rsid w:val="00F23549"/>
    <w:rsid w:val="00F238B3"/>
    <w:rsid w:val="00F23C61"/>
    <w:rsid w:val="00F23F11"/>
    <w:rsid w:val="00F24DE9"/>
    <w:rsid w:val="00F24FED"/>
    <w:rsid w:val="00F25032"/>
    <w:rsid w:val="00F25586"/>
    <w:rsid w:val="00F25BC7"/>
    <w:rsid w:val="00F2651D"/>
    <w:rsid w:val="00F266C8"/>
    <w:rsid w:val="00F267B7"/>
    <w:rsid w:val="00F26C98"/>
    <w:rsid w:val="00F26E14"/>
    <w:rsid w:val="00F27362"/>
    <w:rsid w:val="00F275D3"/>
    <w:rsid w:val="00F278E3"/>
    <w:rsid w:val="00F27A93"/>
    <w:rsid w:val="00F27F3C"/>
    <w:rsid w:val="00F30DF6"/>
    <w:rsid w:val="00F31230"/>
    <w:rsid w:val="00F31242"/>
    <w:rsid w:val="00F31498"/>
    <w:rsid w:val="00F31777"/>
    <w:rsid w:val="00F326B5"/>
    <w:rsid w:val="00F32AA4"/>
    <w:rsid w:val="00F32E0A"/>
    <w:rsid w:val="00F32FEF"/>
    <w:rsid w:val="00F34319"/>
    <w:rsid w:val="00F345C5"/>
    <w:rsid w:val="00F357F2"/>
    <w:rsid w:val="00F35A8C"/>
    <w:rsid w:val="00F36A10"/>
    <w:rsid w:val="00F36BB0"/>
    <w:rsid w:val="00F374BD"/>
    <w:rsid w:val="00F37AD5"/>
    <w:rsid w:val="00F415E1"/>
    <w:rsid w:val="00F418F1"/>
    <w:rsid w:val="00F41A58"/>
    <w:rsid w:val="00F41B1C"/>
    <w:rsid w:val="00F41E15"/>
    <w:rsid w:val="00F42E13"/>
    <w:rsid w:val="00F42E5E"/>
    <w:rsid w:val="00F42F1C"/>
    <w:rsid w:val="00F43065"/>
    <w:rsid w:val="00F43B44"/>
    <w:rsid w:val="00F440E5"/>
    <w:rsid w:val="00F4459C"/>
    <w:rsid w:val="00F448F6"/>
    <w:rsid w:val="00F44C5A"/>
    <w:rsid w:val="00F44E00"/>
    <w:rsid w:val="00F44E70"/>
    <w:rsid w:val="00F44EB0"/>
    <w:rsid w:val="00F44F26"/>
    <w:rsid w:val="00F4532A"/>
    <w:rsid w:val="00F4580E"/>
    <w:rsid w:val="00F459D1"/>
    <w:rsid w:val="00F45D1C"/>
    <w:rsid w:val="00F461E9"/>
    <w:rsid w:val="00F468ED"/>
    <w:rsid w:val="00F4695B"/>
    <w:rsid w:val="00F474C9"/>
    <w:rsid w:val="00F475FE"/>
    <w:rsid w:val="00F47DC1"/>
    <w:rsid w:val="00F47E81"/>
    <w:rsid w:val="00F506C7"/>
    <w:rsid w:val="00F50E9F"/>
    <w:rsid w:val="00F516D3"/>
    <w:rsid w:val="00F521F1"/>
    <w:rsid w:val="00F52337"/>
    <w:rsid w:val="00F52741"/>
    <w:rsid w:val="00F527BC"/>
    <w:rsid w:val="00F528D2"/>
    <w:rsid w:val="00F536AD"/>
    <w:rsid w:val="00F537BD"/>
    <w:rsid w:val="00F53880"/>
    <w:rsid w:val="00F53A03"/>
    <w:rsid w:val="00F53D8A"/>
    <w:rsid w:val="00F54028"/>
    <w:rsid w:val="00F54F35"/>
    <w:rsid w:val="00F555EE"/>
    <w:rsid w:val="00F55740"/>
    <w:rsid w:val="00F55AF9"/>
    <w:rsid w:val="00F56706"/>
    <w:rsid w:val="00F5750F"/>
    <w:rsid w:val="00F57571"/>
    <w:rsid w:val="00F578CC"/>
    <w:rsid w:val="00F57958"/>
    <w:rsid w:val="00F60619"/>
    <w:rsid w:val="00F6067A"/>
    <w:rsid w:val="00F6075D"/>
    <w:rsid w:val="00F60BD1"/>
    <w:rsid w:val="00F6155D"/>
    <w:rsid w:val="00F616AC"/>
    <w:rsid w:val="00F61BDA"/>
    <w:rsid w:val="00F61F0D"/>
    <w:rsid w:val="00F626F7"/>
    <w:rsid w:val="00F63007"/>
    <w:rsid w:val="00F648E9"/>
    <w:rsid w:val="00F65278"/>
    <w:rsid w:val="00F6574C"/>
    <w:rsid w:val="00F65880"/>
    <w:rsid w:val="00F6601F"/>
    <w:rsid w:val="00F6747F"/>
    <w:rsid w:val="00F67518"/>
    <w:rsid w:val="00F67D45"/>
    <w:rsid w:val="00F7068F"/>
    <w:rsid w:val="00F7111D"/>
    <w:rsid w:val="00F7171B"/>
    <w:rsid w:val="00F71F8E"/>
    <w:rsid w:val="00F72361"/>
    <w:rsid w:val="00F727F8"/>
    <w:rsid w:val="00F72C87"/>
    <w:rsid w:val="00F736F9"/>
    <w:rsid w:val="00F73833"/>
    <w:rsid w:val="00F748EA"/>
    <w:rsid w:val="00F74A0E"/>
    <w:rsid w:val="00F758CE"/>
    <w:rsid w:val="00F75943"/>
    <w:rsid w:val="00F75FA1"/>
    <w:rsid w:val="00F77576"/>
    <w:rsid w:val="00F779AF"/>
    <w:rsid w:val="00F77A4F"/>
    <w:rsid w:val="00F77C9C"/>
    <w:rsid w:val="00F802D4"/>
    <w:rsid w:val="00F80936"/>
    <w:rsid w:val="00F80BB9"/>
    <w:rsid w:val="00F81EF7"/>
    <w:rsid w:val="00F82328"/>
    <w:rsid w:val="00F828BA"/>
    <w:rsid w:val="00F83072"/>
    <w:rsid w:val="00F83A21"/>
    <w:rsid w:val="00F83EC6"/>
    <w:rsid w:val="00F84005"/>
    <w:rsid w:val="00F8432A"/>
    <w:rsid w:val="00F84DD8"/>
    <w:rsid w:val="00F85BCD"/>
    <w:rsid w:val="00F85E2E"/>
    <w:rsid w:val="00F86426"/>
    <w:rsid w:val="00F864A3"/>
    <w:rsid w:val="00F8719B"/>
    <w:rsid w:val="00F8777D"/>
    <w:rsid w:val="00F9052E"/>
    <w:rsid w:val="00F905BB"/>
    <w:rsid w:val="00F90634"/>
    <w:rsid w:val="00F90835"/>
    <w:rsid w:val="00F90BBD"/>
    <w:rsid w:val="00F9112D"/>
    <w:rsid w:val="00F916D9"/>
    <w:rsid w:val="00F9211C"/>
    <w:rsid w:val="00F92963"/>
    <w:rsid w:val="00F93AAB"/>
    <w:rsid w:val="00F94800"/>
    <w:rsid w:val="00F94EAE"/>
    <w:rsid w:val="00F95610"/>
    <w:rsid w:val="00F95709"/>
    <w:rsid w:val="00F96375"/>
    <w:rsid w:val="00F96991"/>
    <w:rsid w:val="00F96D75"/>
    <w:rsid w:val="00F97229"/>
    <w:rsid w:val="00FA079E"/>
    <w:rsid w:val="00FA095D"/>
    <w:rsid w:val="00FA0EEB"/>
    <w:rsid w:val="00FA0F3B"/>
    <w:rsid w:val="00FA2100"/>
    <w:rsid w:val="00FA350D"/>
    <w:rsid w:val="00FA3D1C"/>
    <w:rsid w:val="00FA5125"/>
    <w:rsid w:val="00FA527C"/>
    <w:rsid w:val="00FA67C6"/>
    <w:rsid w:val="00FA6C8B"/>
    <w:rsid w:val="00FA6CDA"/>
    <w:rsid w:val="00FA70C8"/>
    <w:rsid w:val="00FA74B7"/>
    <w:rsid w:val="00FA7C89"/>
    <w:rsid w:val="00FB1135"/>
    <w:rsid w:val="00FB1153"/>
    <w:rsid w:val="00FB12F9"/>
    <w:rsid w:val="00FB2284"/>
    <w:rsid w:val="00FB2369"/>
    <w:rsid w:val="00FB32F5"/>
    <w:rsid w:val="00FB3E40"/>
    <w:rsid w:val="00FB4139"/>
    <w:rsid w:val="00FB476E"/>
    <w:rsid w:val="00FB6F3A"/>
    <w:rsid w:val="00FB7311"/>
    <w:rsid w:val="00FB742A"/>
    <w:rsid w:val="00FB7AE5"/>
    <w:rsid w:val="00FB7F00"/>
    <w:rsid w:val="00FC0AD9"/>
    <w:rsid w:val="00FC0D90"/>
    <w:rsid w:val="00FC13A3"/>
    <w:rsid w:val="00FC16FE"/>
    <w:rsid w:val="00FC22F4"/>
    <w:rsid w:val="00FC27C5"/>
    <w:rsid w:val="00FC2C01"/>
    <w:rsid w:val="00FC40F0"/>
    <w:rsid w:val="00FC46C2"/>
    <w:rsid w:val="00FC4A7F"/>
    <w:rsid w:val="00FC4C1B"/>
    <w:rsid w:val="00FC4C2C"/>
    <w:rsid w:val="00FC4C31"/>
    <w:rsid w:val="00FC501E"/>
    <w:rsid w:val="00FC50E4"/>
    <w:rsid w:val="00FC5394"/>
    <w:rsid w:val="00FC53F9"/>
    <w:rsid w:val="00FC57AC"/>
    <w:rsid w:val="00FC6F7E"/>
    <w:rsid w:val="00FC71C9"/>
    <w:rsid w:val="00FC79D1"/>
    <w:rsid w:val="00FC7D8C"/>
    <w:rsid w:val="00FD0542"/>
    <w:rsid w:val="00FD0FBA"/>
    <w:rsid w:val="00FD15B5"/>
    <w:rsid w:val="00FD1C75"/>
    <w:rsid w:val="00FD1CED"/>
    <w:rsid w:val="00FD2040"/>
    <w:rsid w:val="00FD2620"/>
    <w:rsid w:val="00FD3980"/>
    <w:rsid w:val="00FD40B4"/>
    <w:rsid w:val="00FD419E"/>
    <w:rsid w:val="00FD431E"/>
    <w:rsid w:val="00FD44BF"/>
    <w:rsid w:val="00FD4C32"/>
    <w:rsid w:val="00FD4EE6"/>
    <w:rsid w:val="00FD5234"/>
    <w:rsid w:val="00FD58C7"/>
    <w:rsid w:val="00FD5A2C"/>
    <w:rsid w:val="00FD5C96"/>
    <w:rsid w:val="00FD6040"/>
    <w:rsid w:val="00FD62A2"/>
    <w:rsid w:val="00FD64D7"/>
    <w:rsid w:val="00FD730E"/>
    <w:rsid w:val="00FD73AF"/>
    <w:rsid w:val="00FD7861"/>
    <w:rsid w:val="00FE0CAA"/>
    <w:rsid w:val="00FE0D47"/>
    <w:rsid w:val="00FE1D5C"/>
    <w:rsid w:val="00FE2B34"/>
    <w:rsid w:val="00FE2D52"/>
    <w:rsid w:val="00FE2E3C"/>
    <w:rsid w:val="00FE2F8B"/>
    <w:rsid w:val="00FE3669"/>
    <w:rsid w:val="00FE3AB5"/>
    <w:rsid w:val="00FE4468"/>
    <w:rsid w:val="00FE493F"/>
    <w:rsid w:val="00FE4C43"/>
    <w:rsid w:val="00FE4FD8"/>
    <w:rsid w:val="00FE5204"/>
    <w:rsid w:val="00FE5DE9"/>
    <w:rsid w:val="00FE7CD3"/>
    <w:rsid w:val="00FF03A6"/>
    <w:rsid w:val="00FF10E6"/>
    <w:rsid w:val="00FF1198"/>
    <w:rsid w:val="00FF1E44"/>
    <w:rsid w:val="00FF21E6"/>
    <w:rsid w:val="00FF27A3"/>
    <w:rsid w:val="00FF287F"/>
    <w:rsid w:val="00FF3753"/>
    <w:rsid w:val="00FF37DC"/>
    <w:rsid w:val="00FF499C"/>
    <w:rsid w:val="00FF4CE1"/>
    <w:rsid w:val="00FF5465"/>
    <w:rsid w:val="00FF5808"/>
    <w:rsid w:val="00FF642A"/>
    <w:rsid w:val="00FF6574"/>
    <w:rsid w:val="00FF6958"/>
    <w:rsid w:val="00FF6E99"/>
    <w:rsid w:val="00FF74A8"/>
    <w:rsid w:val="00FF7873"/>
    <w:rsid w:val="00FF78CD"/>
    <w:rsid w:val="00FF7CFF"/>
    <w:rsid w:val="00FF7DA5"/>
    <w:rsid w:val="030F3267"/>
    <w:rsid w:val="09DFB2B9"/>
    <w:rsid w:val="0AB26E0D"/>
    <w:rsid w:val="0B92D65D"/>
    <w:rsid w:val="0B962AE2"/>
    <w:rsid w:val="0D0D50C3"/>
    <w:rsid w:val="0D54DA37"/>
    <w:rsid w:val="0EC19762"/>
    <w:rsid w:val="11BBAD3A"/>
    <w:rsid w:val="16A321C4"/>
    <w:rsid w:val="17E20DDE"/>
    <w:rsid w:val="18284236"/>
    <w:rsid w:val="19F8A062"/>
    <w:rsid w:val="1AA3960E"/>
    <w:rsid w:val="1AE6FDBC"/>
    <w:rsid w:val="1B91E55D"/>
    <w:rsid w:val="1E4DD283"/>
    <w:rsid w:val="1F1BBE28"/>
    <w:rsid w:val="1FB62B7F"/>
    <w:rsid w:val="2309AC90"/>
    <w:rsid w:val="234F4458"/>
    <w:rsid w:val="24AC3F25"/>
    <w:rsid w:val="25A19CF7"/>
    <w:rsid w:val="26430BE3"/>
    <w:rsid w:val="264CA0B2"/>
    <w:rsid w:val="2714BE94"/>
    <w:rsid w:val="2954280A"/>
    <w:rsid w:val="29A58481"/>
    <w:rsid w:val="29D56CC6"/>
    <w:rsid w:val="2A00FC19"/>
    <w:rsid w:val="2DB8DF56"/>
    <w:rsid w:val="2DC87D96"/>
    <w:rsid w:val="2E03E81B"/>
    <w:rsid w:val="2EE043C5"/>
    <w:rsid w:val="336BD28E"/>
    <w:rsid w:val="3E06351B"/>
    <w:rsid w:val="417C0F23"/>
    <w:rsid w:val="43D0A10F"/>
    <w:rsid w:val="44755D96"/>
    <w:rsid w:val="46C209FD"/>
    <w:rsid w:val="4E050952"/>
    <w:rsid w:val="4F832905"/>
    <w:rsid w:val="53A65DD1"/>
    <w:rsid w:val="54679C45"/>
    <w:rsid w:val="55EA000E"/>
    <w:rsid w:val="57F0979E"/>
    <w:rsid w:val="5B9D268D"/>
    <w:rsid w:val="5BA1DC4F"/>
    <w:rsid w:val="5D4616CA"/>
    <w:rsid w:val="60F24F58"/>
    <w:rsid w:val="621A9677"/>
    <w:rsid w:val="65ADF2C4"/>
    <w:rsid w:val="6751E70B"/>
    <w:rsid w:val="69541F49"/>
    <w:rsid w:val="6A36237C"/>
    <w:rsid w:val="6B08FC2A"/>
    <w:rsid w:val="6B79B40E"/>
    <w:rsid w:val="6B7D1B7F"/>
    <w:rsid w:val="6C0D4790"/>
    <w:rsid w:val="6D3414DC"/>
    <w:rsid w:val="70435E37"/>
    <w:rsid w:val="70C42331"/>
    <w:rsid w:val="71466AD9"/>
    <w:rsid w:val="73269AA3"/>
    <w:rsid w:val="777A3A10"/>
    <w:rsid w:val="7780F65B"/>
    <w:rsid w:val="789D8804"/>
    <w:rsid w:val="7B0C27DC"/>
    <w:rsid w:val="7B6B99E4"/>
    <w:rsid w:val="7B96E92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FAF29E"/>
  <w15:docId w15:val="{62138F2F-2DD0-4B1D-AD6E-7D62A7AD3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7C86"/>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uiPriority w:val="9"/>
    <w:qFormat/>
    <w:rsid w:val="00B37866"/>
    <w:pPr>
      <w:keepNext/>
      <w:keepLines/>
      <w:spacing w:before="280"/>
      <w:ind w:left="794" w:hanging="794"/>
      <w:outlineLvl w:val="0"/>
    </w:pPr>
    <w:rPr>
      <w:b/>
      <w:sz w:val="28"/>
    </w:rPr>
  </w:style>
  <w:style w:type="paragraph" w:styleId="Heading2">
    <w:name w:val="heading 2"/>
    <w:basedOn w:val="Heading1"/>
    <w:next w:val="Normal"/>
    <w:link w:val="Heading2Char"/>
    <w:uiPriority w:val="9"/>
    <w:qFormat/>
    <w:rsid w:val="00B37866"/>
    <w:pPr>
      <w:spacing w:before="200"/>
      <w:outlineLvl w:val="1"/>
    </w:pPr>
    <w:rPr>
      <w:sz w:val="24"/>
    </w:rPr>
  </w:style>
  <w:style w:type="paragraph" w:styleId="Heading3">
    <w:name w:val="heading 3"/>
    <w:basedOn w:val="Heading1"/>
    <w:next w:val="Normal"/>
    <w:link w:val="Heading3Char"/>
    <w:uiPriority w:val="9"/>
    <w:qFormat/>
    <w:rsid w:val="00B37866"/>
    <w:pPr>
      <w:spacing w:before="200"/>
      <w:outlineLvl w:val="2"/>
    </w:pPr>
    <w:rPr>
      <w:sz w:val="24"/>
    </w:rPr>
  </w:style>
  <w:style w:type="paragraph" w:styleId="Heading4">
    <w:name w:val="heading 4"/>
    <w:basedOn w:val="Heading3"/>
    <w:next w:val="Normal"/>
    <w:link w:val="Heading4Char"/>
    <w:uiPriority w:val="9"/>
    <w:qFormat/>
    <w:rsid w:val="00B37866"/>
    <w:pPr>
      <w:tabs>
        <w:tab w:val="clear" w:pos="794"/>
        <w:tab w:val="left" w:pos="992"/>
      </w:tabs>
      <w:ind w:left="992" w:hanging="992"/>
      <w:outlineLvl w:val="3"/>
    </w:pPr>
  </w:style>
  <w:style w:type="paragraph" w:styleId="Heading5">
    <w:name w:val="heading 5"/>
    <w:basedOn w:val="Heading4"/>
    <w:next w:val="Normal"/>
    <w:link w:val="Heading5Char"/>
    <w:uiPriority w:val="9"/>
    <w:qFormat/>
    <w:rsid w:val="00B37866"/>
    <w:pPr>
      <w:outlineLvl w:val="4"/>
    </w:pPr>
  </w:style>
  <w:style w:type="paragraph" w:styleId="Heading6">
    <w:name w:val="heading 6"/>
    <w:basedOn w:val="Heading4"/>
    <w:next w:val="Normal"/>
    <w:link w:val="Heading6Char"/>
    <w:uiPriority w:val="9"/>
    <w:qFormat/>
    <w:rsid w:val="00B37866"/>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B37866"/>
    <w:pPr>
      <w:outlineLvl w:val="6"/>
    </w:pPr>
  </w:style>
  <w:style w:type="paragraph" w:styleId="Heading8">
    <w:name w:val="heading 8"/>
    <w:basedOn w:val="Heading6"/>
    <w:next w:val="Normal"/>
    <w:link w:val="Heading8Char"/>
    <w:uiPriority w:val="9"/>
    <w:qFormat/>
    <w:rsid w:val="00B37866"/>
    <w:pPr>
      <w:outlineLvl w:val="7"/>
    </w:pPr>
  </w:style>
  <w:style w:type="paragraph" w:styleId="Heading9">
    <w:name w:val="heading 9"/>
    <w:basedOn w:val="Heading6"/>
    <w:next w:val="Normal"/>
    <w:link w:val="Heading9Char"/>
    <w:uiPriority w:val="9"/>
    <w:qFormat/>
    <w:rsid w:val="00B3786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B37866"/>
    <w:pPr>
      <w:ind w:left="1680"/>
    </w:pPr>
    <w:rPr>
      <w:i/>
      <w:iCs/>
    </w:rPr>
  </w:style>
  <w:style w:type="paragraph" w:styleId="TOC4">
    <w:name w:val="toc 4"/>
    <w:basedOn w:val="TOC3"/>
    <w:semiHidden/>
    <w:rsid w:val="00B37866"/>
    <w:pPr>
      <w:ind w:left="720"/>
    </w:pPr>
    <w:rPr>
      <w:b/>
      <w:bCs/>
    </w:rPr>
  </w:style>
  <w:style w:type="paragraph" w:styleId="TOC3">
    <w:name w:val="toc 3"/>
    <w:basedOn w:val="TOC2"/>
    <w:rsid w:val="00B37866"/>
    <w:pPr>
      <w:spacing w:before="0"/>
      <w:ind w:left="480"/>
    </w:pPr>
    <w:rPr>
      <w:i w:val="0"/>
      <w:iCs w:val="0"/>
    </w:rPr>
  </w:style>
  <w:style w:type="paragraph" w:styleId="TOC2">
    <w:name w:val="toc 2"/>
    <w:basedOn w:val="TOC1"/>
    <w:uiPriority w:val="39"/>
    <w:rsid w:val="00B37866"/>
    <w:pPr>
      <w:spacing w:before="120" w:after="0"/>
      <w:ind w:left="240"/>
    </w:pPr>
    <w:rPr>
      <w:b w:val="0"/>
      <w:bCs w:val="0"/>
      <w:i/>
      <w:iCs/>
    </w:rPr>
  </w:style>
  <w:style w:type="paragraph" w:styleId="TOC1">
    <w:name w:val="toc 1"/>
    <w:basedOn w:val="Normal"/>
    <w:uiPriority w:val="39"/>
    <w:rsid w:val="00B37866"/>
    <w:pPr>
      <w:tabs>
        <w:tab w:val="clear" w:pos="794"/>
        <w:tab w:val="clear" w:pos="1191"/>
        <w:tab w:val="clear" w:pos="1588"/>
        <w:tab w:val="clear" w:pos="1985"/>
      </w:tabs>
      <w:spacing w:before="240" w:after="120"/>
    </w:pPr>
    <w:rPr>
      <w:rFonts w:cstheme="minorHAnsi"/>
      <w:b/>
      <w:bCs/>
      <w:sz w:val="20"/>
    </w:rPr>
  </w:style>
  <w:style w:type="paragraph" w:styleId="TOC7">
    <w:name w:val="toc 7"/>
    <w:basedOn w:val="TOC4"/>
    <w:semiHidden/>
    <w:rsid w:val="00B37866"/>
    <w:pPr>
      <w:ind w:left="1440"/>
    </w:pPr>
    <w:rPr>
      <w:b w:val="0"/>
      <w:bCs w:val="0"/>
    </w:rPr>
  </w:style>
  <w:style w:type="paragraph" w:styleId="TOC6">
    <w:name w:val="toc 6"/>
    <w:basedOn w:val="TOC4"/>
    <w:semiHidden/>
    <w:rsid w:val="00B37866"/>
    <w:pPr>
      <w:ind w:left="1200"/>
    </w:pPr>
    <w:rPr>
      <w:b w:val="0"/>
      <w:bCs w:val="0"/>
    </w:rPr>
  </w:style>
  <w:style w:type="paragraph" w:styleId="TOC5">
    <w:name w:val="toc 5"/>
    <w:basedOn w:val="TOC4"/>
    <w:semiHidden/>
    <w:rsid w:val="00B37866"/>
    <w:pPr>
      <w:ind w:left="960"/>
    </w:pPr>
    <w:rPr>
      <w:b w:val="0"/>
      <w:bCs w:val="0"/>
    </w:rPr>
  </w:style>
  <w:style w:type="paragraph" w:styleId="Index7">
    <w:name w:val="index 7"/>
    <w:basedOn w:val="Normal"/>
    <w:next w:val="Normal"/>
    <w:semiHidden/>
    <w:rsid w:val="00B37866"/>
    <w:pPr>
      <w:ind w:left="1698"/>
    </w:pPr>
  </w:style>
  <w:style w:type="paragraph" w:styleId="Index6">
    <w:name w:val="index 6"/>
    <w:basedOn w:val="Normal"/>
    <w:next w:val="Normal"/>
    <w:semiHidden/>
    <w:rsid w:val="00B37866"/>
    <w:pPr>
      <w:ind w:left="1415"/>
    </w:pPr>
  </w:style>
  <w:style w:type="paragraph" w:styleId="Index5">
    <w:name w:val="index 5"/>
    <w:basedOn w:val="Normal"/>
    <w:next w:val="Normal"/>
    <w:semiHidden/>
    <w:rsid w:val="00B37866"/>
    <w:pPr>
      <w:ind w:left="1132"/>
    </w:pPr>
  </w:style>
  <w:style w:type="paragraph" w:styleId="Index4">
    <w:name w:val="index 4"/>
    <w:basedOn w:val="Normal"/>
    <w:next w:val="Normal"/>
    <w:semiHidden/>
    <w:rsid w:val="00B37866"/>
    <w:pPr>
      <w:ind w:left="849"/>
    </w:pPr>
  </w:style>
  <w:style w:type="paragraph" w:styleId="Index3">
    <w:name w:val="index 3"/>
    <w:basedOn w:val="Normal"/>
    <w:next w:val="Normal"/>
    <w:semiHidden/>
    <w:rsid w:val="00B37866"/>
    <w:pPr>
      <w:ind w:left="566"/>
    </w:pPr>
  </w:style>
  <w:style w:type="paragraph" w:styleId="Index2">
    <w:name w:val="index 2"/>
    <w:basedOn w:val="Normal"/>
    <w:next w:val="Normal"/>
    <w:semiHidden/>
    <w:rsid w:val="00B37866"/>
    <w:pPr>
      <w:ind w:left="283"/>
    </w:pPr>
  </w:style>
  <w:style w:type="paragraph" w:styleId="Index1">
    <w:name w:val="index 1"/>
    <w:basedOn w:val="Normal"/>
    <w:next w:val="Normal"/>
    <w:semiHidden/>
    <w:rsid w:val="00B37866"/>
  </w:style>
  <w:style w:type="character" w:styleId="LineNumber">
    <w:name w:val="line number"/>
    <w:basedOn w:val="DefaultParagraphFont"/>
    <w:rsid w:val="00B37866"/>
  </w:style>
  <w:style w:type="paragraph" w:styleId="IndexHeading">
    <w:name w:val="index heading"/>
    <w:basedOn w:val="Normal"/>
    <w:next w:val="Index1"/>
    <w:semiHidden/>
    <w:rsid w:val="00B37866"/>
  </w:style>
  <w:style w:type="paragraph" w:styleId="Footer">
    <w:name w:val="footer"/>
    <w:basedOn w:val="Normal"/>
    <w:link w:val="FooterChar"/>
    <w:uiPriority w:val="99"/>
    <w:rsid w:val="00B37866"/>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basedOn w:val="Normal"/>
    <w:link w:val="HeaderChar"/>
    <w:uiPriority w:val="99"/>
    <w:rsid w:val="00B37866"/>
    <w:pPr>
      <w:tabs>
        <w:tab w:val="clear" w:pos="794"/>
        <w:tab w:val="clear" w:pos="1191"/>
        <w:tab w:val="clear" w:pos="1588"/>
        <w:tab w:val="clear" w:pos="1985"/>
      </w:tabs>
      <w:spacing w:before="0"/>
      <w:jc w:val="center"/>
    </w:pPr>
    <w:rPr>
      <w:sz w:val="18"/>
      <w:lang w:val="fr-FR"/>
    </w:rPr>
  </w:style>
  <w:style w:type="character" w:styleId="FootnoteReference">
    <w:name w:val="footnote reference"/>
    <w:basedOn w:val="DefaultParagraphFont"/>
    <w:uiPriority w:val="99"/>
    <w:rsid w:val="006A4882"/>
    <w:rPr>
      <w:rFonts w:ascii="Aptos" w:hAnsi="Aptos"/>
      <w:position w:val="6"/>
      <w:sz w:val="16"/>
    </w:rPr>
  </w:style>
  <w:style w:type="paragraph" w:styleId="FootnoteText">
    <w:name w:val="footnote text"/>
    <w:basedOn w:val="Normal"/>
    <w:link w:val="FootnoteTextChar"/>
    <w:uiPriority w:val="99"/>
    <w:rsid w:val="00391B26"/>
    <w:pPr>
      <w:keepLines/>
      <w:tabs>
        <w:tab w:val="left" w:pos="255"/>
      </w:tabs>
      <w:spacing w:before="0"/>
    </w:pPr>
    <w:rPr>
      <w:rFonts w:ascii="Aptos" w:hAnsi="Aptos"/>
      <w:sz w:val="20"/>
    </w:rPr>
  </w:style>
  <w:style w:type="paragraph" w:styleId="NormalIndent">
    <w:name w:val="Normal Indent"/>
    <w:basedOn w:val="Normal"/>
    <w:rsid w:val="00B37866"/>
    <w:pPr>
      <w:ind w:left="794"/>
    </w:pPr>
  </w:style>
  <w:style w:type="paragraph" w:customStyle="1" w:styleId="enumlev1">
    <w:name w:val="enumlev1"/>
    <w:basedOn w:val="Normal"/>
    <w:rsid w:val="00B37866"/>
    <w:pPr>
      <w:spacing w:before="80"/>
      <w:ind w:left="794" w:hanging="794"/>
    </w:pPr>
  </w:style>
  <w:style w:type="paragraph" w:customStyle="1" w:styleId="enumlev2">
    <w:name w:val="enumlev2"/>
    <w:basedOn w:val="enumlev1"/>
    <w:rsid w:val="00B37866"/>
    <w:pPr>
      <w:ind w:left="1191" w:hanging="397"/>
    </w:pPr>
  </w:style>
  <w:style w:type="paragraph" w:customStyle="1" w:styleId="enumlev3">
    <w:name w:val="enumlev3"/>
    <w:basedOn w:val="enumlev2"/>
    <w:rsid w:val="00B37866"/>
    <w:pPr>
      <w:ind w:left="1588"/>
    </w:pPr>
  </w:style>
  <w:style w:type="paragraph" w:customStyle="1" w:styleId="Normalaftertitle">
    <w:name w:val="Normal after title"/>
    <w:basedOn w:val="Normal"/>
    <w:next w:val="Normal"/>
    <w:rsid w:val="00B37866"/>
    <w:pPr>
      <w:spacing w:before="280"/>
    </w:pPr>
  </w:style>
  <w:style w:type="paragraph" w:customStyle="1" w:styleId="Equation">
    <w:name w:val="Equation"/>
    <w:basedOn w:val="Normal"/>
    <w:rsid w:val="00B37866"/>
    <w:pPr>
      <w:tabs>
        <w:tab w:val="clear" w:pos="1191"/>
        <w:tab w:val="clear" w:pos="1588"/>
        <w:tab w:val="clear" w:pos="1985"/>
        <w:tab w:val="center" w:pos="4820"/>
        <w:tab w:val="right" w:pos="9639"/>
      </w:tabs>
    </w:pPr>
  </w:style>
  <w:style w:type="paragraph" w:customStyle="1" w:styleId="toc0">
    <w:name w:val="toc 0"/>
    <w:basedOn w:val="Normal"/>
    <w:next w:val="TOC1"/>
    <w:rsid w:val="00B37866"/>
    <w:pPr>
      <w:tabs>
        <w:tab w:val="clear" w:pos="794"/>
        <w:tab w:val="clear" w:pos="1191"/>
        <w:tab w:val="clear" w:pos="1588"/>
        <w:tab w:val="clear" w:pos="1985"/>
        <w:tab w:val="right" w:pos="9781"/>
      </w:tabs>
    </w:pPr>
    <w:rPr>
      <w:b/>
    </w:rPr>
  </w:style>
  <w:style w:type="paragraph" w:customStyle="1" w:styleId="AnnexNo">
    <w:name w:val="Annex_No"/>
    <w:basedOn w:val="Normal"/>
    <w:next w:val="Annexref"/>
    <w:rsid w:val="00B37866"/>
    <w:pPr>
      <w:keepNext/>
      <w:keepLines/>
      <w:spacing w:before="480" w:after="80"/>
      <w:jc w:val="center"/>
    </w:pPr>
    <w:rPr>
      <w:caps/>
      <w:sz w:val="28"/>
    </w:rPr>
  </w:style>
  <w:style w:type="paragraph" w:customStyle="1" w:styleId="ASN1">
    <w:name w:val="ASN.1"/>
    <w:basedOn w:val="Normal"/>
    <w:rsid w:val="00B3786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Note">
    <w:name w:val="Note"/>
    <w:basedOn w:val="Normal"/>
    <w:rsid w:val="00B37866"/>
    <w:pPr>
      <w:spacing w:before="80"/>
    </w:pPr>
  </w:style>
  <w:style w:type="paragraph" w:styleId="TOC9">
    <w:name w:val="toc 9"/>
    <w:basedOn w:val="TOC3"/>
    <w:next w:val="Normal"/>
    <w:semiHidden/>
    <w:rsid w:val="00B37866"/>
    <w:pPr>
      <w:ind w:left="1920"/>
    </w:pPr>
  </w:style>
  <w:style w:type="paragraph" w:customStyle="1" w:styleId="Source">
    <w:name w:val="Source"/>
    <w:basedOn w:val="Normal"/>
    <w:next w:val="Normalaftertitle"/>
    <w:rsid w:val="00EC6FED"/>
    <w:pPr>
      <w:spacing w:before="240" w:after="240"/>
      <w:jc w:val="center"/>
    </w:pPr>
    <w:rPr>
      <w:b/>
      <w:sz w:val="28"/>
    </w:rPr>
  </w:style>
  <w:style w:type="paragraph" w:customStyle="1" w:styleId="Title1">
    <w:name w:val="Title 1"/>
    <w:basedOn w:val="Source"/>
    <w:next w:val="Title2"/>
    <w:rsid w:val="00EC6FED"/>
    <w:pPr>
      <w:tabs>
        <w:tab w:val="clear" w:pos="794"/>
        <w:tab w:val="clear" w:pos="1191"/>
        <w:tab w:val="clear" w:pos="1588"/>
        <w:tab w:val="clear" w:pos="1985"/>
        <w:tab w:val="left" w:pos="567"/>
        <w:tab w:val="left" w:pos="1134"/>
        <w:tab w:val="left" w:pos="1701"/>
        <w:tab w:val="left" w:pos="2268"/>
        <w:tab w:val="left" w:pos="2835"/>
      </w:tabs>
      <w:spacing w:before="120" w:after="120"/>
    </w:pPr>
    <w:rPr>
      <w:rFonts w:cs="Times New Roman Bold"/>
      <w:b w:val="0"/>
    </w:rPr>
  </w:style>
  <w:style w:type="paragraph" w:customStyle="1" w:styleId="Title2">
    <w:name w:val="Title 2"/>
    <w:basedOn w:val="Title1"/>
    <w:next w:val="Title3"/>
    <w:rsid w:val="00B37866"/>
  </w:style>
  <w:style w:type="paragraph" w:customStyle="1" w:styleId="Title3">
    <w:name w:val="Title 3"/>
    <w:basedOn w:val="Title2"/>
    <w:next w:val="Title4"/>
    <w:rsid w:val="00B37866"/>
  </w:style>
  <w:style w:type="paragraph" w:customStyle="1" w:styleId="Title4">
    <w:name w:val="Title 4"/>
    <w:basedOn w:val="Title3"/>
    <w:next w:val="Heading1"/>
    <w:rsid w:val="00B37866"/>
  </w:style>
  <w:style w:type="paragraph" w:customStyle="1" w:styleId="FirstFooter">
    <w:name w:val="FirstFooter"/>
    <w:basedOn w:val="Footer"/>
    <w:rsid w:val="00B37866"/>
    <w:pPr>
      <w:tabs>
        <w:tab w:val="clear" w:pos="5954"/>
        <w:tab w:val="clear" w:pos="9639"/>
      </w:tabs>
      <w:overflowPunct/>
      <w:autoSpaceDE/>
      <w:autoSpaceDN/>
      <w:adjustRightInd/>
      <w:spacing w:before="40"/>
      <w:textAlignment w:val="auto"/>
    </w:pPr>
    <w:rPr>
      <w:caps w:val="0"/>
      <w:noProof w:val="0"/>
    </w:rPr>
  </w:style>
  <w:style w:type="paragraph" w:customStyle="1" w:styleId="Annexref">
    <w:name w:val="Annex_ref"/>
    <w:basedOn w:val="Normal"/>
    <w:next w:val="Annextitle"/>
    <w:rsid w:val="00B37866"/>
    <w:pPr>
      <w:keepNext/>
      <w:keepLines/>
      <w:spacing w:after="280"/>
      <w:jc w:val="center"/>
    </w:pPr>
  </w:style>
  <w:style w:type="paragraph" w:customStyle="1" w:styleId="Annextitle">
    <w:name w:val="Annex_title"/>
    <w:basedOn w:val="Normal"/>
    <w:next w:val="Normalaftertitle"/>
    <w:rsid w:val="00F52741"/>
    <w:pPr>
      <w:keepNext/>
      <w:keepLines/>
      <w:spacing w:before="240" w:after="280"/>
      <w:jc w:val="center"/>
    </w:pPr>
    <w:rPr>
      <w:b/>
      <w:sz w:val="28"/>
    </w:rPr>
  </w:style>
  <w:style w:type="character" w:customStyle="1" w:styleId="Appdef">
    <w:name w:val="App_def"/>
    <w:basedOn w:val="DefaultParagraphFont"/>
    <w:rsid w:val="00F52741"/>
    <w:rPr>
      <w:rFonts w:asciiTheme="minorHAnsi" w:hAnsiTheme="minorHAnsi"/>
      <w:b/>
    </w:rPr>
  </w:style>
  <w:style w:type="character" w:customStyle="1" w:styleId="Appref">
    <w:name w:val="App_ref"/>
    <w:basedOn w:val="DefaultParagraphFont"/>
    <w:rsid w:val="00F52741"/>
    <w:rPr>
      <w:rFonts w:asciiTheme="minorHAnsi" w:hAnsiTheme="minorHAnsi"/>
    </w:rPr>
  </w:style>
  <w:style w:type="paragraph" w:customStyle="1" w:styleId="AppendixNo">
    <w:name w:val="Appendix_No"/>
    <w:basedOn w:val="AnnexNo"/>
    <w:next w:val="Annexref"/>
    <w:rsid w:val="00B37866"/>
  </w:style>
  <w:style w:type="paragraph" w:customStyle="1" w:styleId="Appendixref">
    <w:name w:val="Appendix_ref"/>
    <w:basedOn w:val="Annexref"/>
    <w:next w:val="Annextitle"/>
    <w:rsid w:val="00B37866"/>
  </w:style>
  <w:style w:type="paragraph" w:customStyle="1" w:styleId="Appendixtitle">
    <w:name w:val="Appendix_title"/>
    <w:basedOn w:val="Annextitle"/>
    <w:next w:val="Normalaftertitle"/>
    <w:rsid w:val="00B37866"/>
  </w:style>
  <w:style w:type="character" w:customStyle="1" w:styleId="Artdef">
    <w:name w:val="Art_def"/>
    <w:basedOn w:val="DefaultParagraphFont"/>
    <w:rsid w:val="00F52741"/>
    <w:rPr>
      <w:rFonts w:asciiTheme="minorHAnsi" w:hAnsiTheme="minorHAnsi"/>
      <w:b/>
    </w:rPr>
  </w:style>
  <w:style w:type="paragraph" w:customStyle="1" w:styleId="Artheading">
    <w:name w:val="Art_heading"/>
    <w:basedOn w:val="Normal"/>
    <w:next w:val="Normalaftertitle"/>
    <w:rsid w:val="00F52741"/>
    <w:pPr>
      <w:spacing w:before="480"/>
      <w:jc w:val="center"/>
    </w:pPr>
    <w:rPr>
      <w:b/>
      <w:sz w:val="28"/>
    </w:rPr>
  </w:style>
  <w:style w:type="paragraph" w:customStyle="1" w:styleId="ArtNo">
    <w:name w:val="Art_No"/>
    <w:basedOn w:val="Normal"/>
    <w:next w:val="Arttitle"/>
    <w:rsid w:val="00B37866"/>
    <w:pPr>
      <w:keepNext/>
      <w:keepLines/>
      <w:spacing w:before="480"/>
      <w:jc w:val="center"/>
    </w:pPr>
    <w:rPr>
      <w:caps/>
      <w:sz w:val="28"/>
    </w:rPr>
  </w:style>
  <w:style w:type="paragraph" w:customStyle="1" w:styleId="Arttitle">
    <w:name w:val="Art_title"/>
    <w:basedOn w:val="Normal"/>
    <w:next w:val="Normalaftertitle"/>
    <w:rsid w:val="00B37866"/>
    <w:pPr>
      <w:keepNext/>
      <w:keepLines/>
      <w:spacing w:before="240"/>
      <w:jc w:val="center"/>
    </w:pPr>
    <w:rPr>
      <w:b/>
      <w:sz w:val="28"/>
    </w:rPr>
  </w:style>
  <w:style w:type="character" w:customStyle="1" w:styleId="Artref">
    <w:name w:val="Art_ref"/>
    <w:basedOn w:val="DefaultParagraphFont"/>
    <w:rsid w:val="00B37866"/>
  </w:style>
  <w:style w:type="paragraph" w:customStyle="1" w:styleId="Call">
    <w:name w:val="Call"/>
    <w:basedOn w:val="Normal"/>
    <w:next w:val="Normal"/>
    <w:rsid w:val="00B37866"/>
    <w:pPr>
      <w:keepNext/>
      <w:keepLines/>
      <w:spacing w:before="160"/>
      <w:ind w:left="794"/>
    </w:pPr>
    <w:rPr>
      <w:i/>
    </w:rPr>
  </w:style>
  <w:style w:type="paragraph" w:customStyle="1" w:styleId="ChapNo">
    <w:name w:val="Chap_No"/>
    <w:basedOn w:val="ArtNo"/>
    <w:next w:val="Chaptitle"/>
    <w:rsid w:val="00F52741"/>
    <w:rPr>
      <w:b/>
    </w:rPr>
  </w:style>
  <w:style w:type="paragraph" w:customStyle="1" w:styleId="Chaptitle">
    <w:name w:val="Chap_title"/>
    <w:basedOn w:val="Arttitle"/>
    <w:next w:val="Normalaftertitle"/>
    <w:rsid w:val="00B37866"/>
  </w:style>
  <w:style w:type="paragraph" w:customStyle="1" w:styleId="ddate">
    <w:name w:val="ddate"/>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uiPriority w:val="99"/>
    <w:semiHidden/>
    <w:rsid w:val="00B37866"/>
    <w:rPr>
      <w:vertAlign w:val="superscript"/>
    </w:rPr>
  </w:style>
  <w:style w:type="paragraph" w:customStyle="1" w:styleId="Equationlegend">
    <w:name w:val="Equation_legend"/>
    <w:basedOn w:val="Normal"/>
    <w:rsid w:val="00B37866"/>
    <w:pPr>
      <w:tabs>
        <w:tab w:val="clear" w:pos="794"/>
        <w:tab w:val="clear" w:pos="1191"/>
        <w:tab w:val="clear" w:pos="1588"/>
        <w:tab w:val="clear" w:pos="1985"/>
        <w:tab w:val="right" w:pos="1531"/>
        <w:tab w:val="left" w:pos="1701"/>
      </w:tabs>
      <w:spacing w:before="80"/>
      <w:ind w:left="1701" w:hanging="1701"/>
    </w:pPr>
  </w:style>
  <w:style w:type="paragraph" w:customStyle="1" w:styleId="Figurelegend">
    <w:name w:val="Figure_legend"/>
    <w:basedOn w:val="Normal"/>
    <w:rsid w:val="00B3786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37866"/>
    <w:pPr>
      <w:keepNext/>
      <w:keepLines/>
      <w:spacing w:before="480" w:after="120"/>
      <w:jc w:val="center"/>
    </w:pPr>
    <w:rPr>
      <w:caps/>
    </w:rPr>
  </w:style>
  <w:style w:type="paragraph" w:customStyle="1" w:styleId="Figuretitle">
    <w:name w:val="Figure_title"/>
    <w:basedOn w:val="Tabletitle"/>
    <w:next w:val="Normal"/>
    <w:rsid w:val="00F52741"/>
    <w:pPr>
      <w:keepNext w:val="0"/>
      <w:spacing w:after="480"/>
    </w:pPr>
  </w:style>
  <w:style w:type="paragraph" w:customStyle="1" w:styleId="Tabletitle">
    <w:name w:val="Table_title"/>
    <w:basedOn w:val="Normal"/>
    <w:next w:val="Tabletext"/>
    <w:rsid w:val="00F52741"/>
    <w:pPr>
      <w:keepNext/>
      <w:keepLines/>
      <w:spacing w:before="0" w:after="120"/>
      <w:jc w:val="center"/>
    </w:pPr>
    <w:rPr>
      <w:b/>
    </w:rPr>
  </w:style>
  <w:style w:type="paragraph" w:customStyle="1" w:styleId="Tabletext">
    <w:name w:val="Table_text"/>
    <w:basedOn w:val="Normal"/>
    <w:rsid w:val="00B378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B37866"/>
    <w:pPr>
      <w:keepNext w:val="0"/>
    </w:pPr>
  </w:style>
  <w:style w:type="paragraph" w:customStyle="1" w:styleId="Headingb">
    <w:name w:val="Heading_b"/>
    <w:basedOn w:val="Normal"/>
    <w:next w:val="Normal"/>
    <w:rsid w:val="00F52741"/>
    <w:pPr>
      <w:keepNext/>
      <w:spacing w:before="160"/>
    </w:pPr>
    <w:rPr>
      <w:b/>
    </w:rPr>
  </w:style>
  <w:style w:type="paragraph" w:customStyle="1" w:styleId="Headingi">
    <w:name w:val="Heading_i"/>
    <w:basedOn w:val="Normal"/>
    <w:next w:val="Normal"/>
    <w:rsid w:val="00F52741"/>
    <w:pPr>
      <w:keepNext/>
      <w:spacing w:before="160"/>
    </w:pPr>
    <w:rPr>
      <w:i/>
    </w:rPr>
  </w:style>
  <w:style w:type="paragraph" w:customStyle="1" w:styleId="PartNo">
    <w:name w:val="Part_No"/>
    <w:basedOn w:val="AnnexNo"/>
    <w:next w:val="Partref"/>
    <w:rsid w:val="00B37866"/>
  </w:style>
  <w:style w:type="paragraph" w:customStyle="1" w:styleId="Partref">
    <w:name w:val="Part_ref"/>
    <w:basedOn w:val="Annexref"/>
    <w:next w:val="Parttitle"/>
    <w:rsid w:val="00B37866"/>
  </w:style>
  <w:style w:type="paragraph" w:customStyle="1" w:styleId="Parttitle">
    <w:name w:val="Part_title"/>
    <w:basedOn w:val="Annextitle"/>
    <w:next w:val="Normalaftertitle"/>
    <w:rsid w:val="00B37866"/>
  </w:style>
  <w:style w:type="paragraph" w:customStyle="1" w:styleId="RecNo">
    <w:name w:val="Rec_No"/>
    <w:basedOn w:val="Normal"/>
    <w:next w:val="Rectitle"/>
    <w:rsid w:val="00B37866"/>
    <w:pPr>
      <w:keepNext/>
      <w:keepLines/>
      <w:spacing w:before="480"/>
      <w:jc w:val="center"/>
    </w:pPr>
    <w:rPr>
      <w:caps/>
      <w:sz w:val="28"/>
    </w:rPr>
  </w:style>
  <w:style w:type="paragraph" w:customStyle="1" w:styleId="Rectitle">
    <w:name w:val="Rec_title"/>
    <w:basedOn w:val="RecNo"/>
    <w:next w:val="Recref"/>
    <w:rsid w:val="00F52741"/>
    <w:pPr>
      <w:spacing w:before="240"/>
    </w:pPr>
    <w:rPr>
      <w:b/>
      <w:caps w:val="0"/>
    </w:rPr>
  </w:style>
  <w:style w:type="paragraph" w:customStyle="1" w:styleId="Recref">
    <w:name w:val="Rec_ref"/>
    <w:basedOn w:val="Rectitle"/>
    <w:next w:val="Recdate"/>
    <w:rsid w:val="00F52741"/>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rsid w:val="00B37866"/>
    <w:pPr>
      <w:jc w:val="right"/>
    </w:pPr>
    <w:rPr>
      <w:sz w:val="22"/>
    </w:rPr>
  </w:style>
  <w:style w:type="paragraph" w:customStyle="1" w:styleId="Questiondate">
    <w:name w:val="Question_date"/>
    <w:basedOn w:val="Recdate"/>
    <w:next w:val="Normalaftertitle"/>
    <w:rsid w:val="00F52741"/>
  </w:style>
  <w:style w:type="paragraph" w:customStyle="1" w:styleId="QuestionNo">
    <w:name w:val="Question_No"/>
    <w:basedOn w:val="RecNo"/>
    <w:next w:val="Questiontitle"/>
    <w:rsid w:val="00B37866"/>
  </w:style>
  <w:style w:type="paragraph" w:customStyle="1" w:styleId="Questiontitle">
    <w:name w:val="Question_title"/>
    <w:basedOn w:val="Rectitle"/>
    <w:next w:val="Questionref"/>
    <w:rsid w:val="00F52741"/>
  </w:style>
  <w:style w:type="paragraph" w:customStyle="1" w:styleId="Questionref">
    <w:name w:val="Question_ref"/>
    <w:basedOn w:val="Recref"/>
    <w:next w:val="Questiondate"/>
    <w:rsid w:val="00F52741"/>
  </w:style>
  <w:style w:type="character" w:customStyle="1" w:styleId="Recdef">
    <w:name w:val="Rec_def"/>
    <w:basedOn w:val="DefaultParagraphFont"/>
    <w:rsid w:val="00F52741"/>
    <w:rPr>
      <w:rFonts w:asciiTheme="minorHAnsi" w:hAnsiTheme="minorHAnsi"/>
      <w:b/>
    </w:rPr>
  </w:style>
  <w:style w:type="paragraph" w:customStyle="1" w:styleId="Reftext">
    <w:name w:val="Ref_text"/>
    <w:basedOn w:val="Normal"/>
    <w:rsid w:val="00B37866"/>
    <w:pPr>
      <w:ind w:left="794" w:hanging="794"/>
    </w:pPr>
  </w:style>
  <w:style w:type="paragraph" w:customStyle="1" w:styleId="Reftitle">
    <w:name w:val="Ref_title"/>
    <w:basedOn w:val="Normal"/>
    <w:next w:val="Reftext"/>
    <w:rsid w:val="00B37866"/>
    <w:pPr>
      <w:spacing w:before="480"/>
      <w:jc w:val="center"/>
    </w:pPr>
    <w:rPr>
      <w:caps/>
    </w:rPr>
  </w:style>
  <w:style w:type="paragraph" w:customStyle="1" w:styleId="Repdate">
    <w:name w:val="Rep_date"/>
    <w:basedOn w:val="Recdate"/>
    <w:next w:val="Normalaftertitle"/>
    <w:rsid w:val="00B37866"/>
  </w:style>
  <w:style w:type="paragraph" w:customStyle="1" w:styleId="RepNo">
    <w:name w:val="Rep_No"/>
    <w:basedOn w:val="RecNo"/>
    <w:next w:val="Reptitle"/>
    <w:rsid w:val="00B37866"/>
  </w:style>
  <w:style w:type="paragraph" w:customStyle="1" w:styleId="Reptitle">
    <w:name w:val="Rep_title"/>
    <w:basedOn w:val="Rectitle"/>
    <w:next w:val="Repref"/>
    <w:rsid w:val="00B37866"/>
  </w:style>
  <w:style w:type="paragraph" w:customStyle="1" w:styleId="Repref">
    <w:name w:val="Rep_ref"/>
    <w:basedOn w:val="Recref"/>
    <w:next w:val="Repdate"/>
    <w:rsid w:val="00B37866"/>
  </w:style>
  <w:style w:type="paragraph" w:customStyle="1" w:styleId="Resdate">
    <w:name w:val="Res_date"/>
    <w:basedOn w:val="Recdate"/>
    <w:next w:val="Normalaftertitle"/>
    <w:rsid w:val="00B37866"/>
  </w:style>
  <w:style w:type="character" w:customStyle="1" w:styleId="Resdef">
    <w:name w:val="Res_def"/>
    <w:basedOn w:val="DefaultParagraphFont"/>
    <w:rsid w:val="00F52741"/>
    <w:rPr>
      <w:rFonts w:asciiTheme="minorHAnsi" w:hAnsiTheme="minorHAnsi"/>
      <w:b/>
    </w:rPr>
  </w:style>
  <w:style w:type="paragraph" w:customStyle="1" w:styleId="ResNo">
    <w:name w:val="Res_No"/>
    <w:basedOn w:val="RecNo"/>
    <w:next w:val="Restitle"/>
    <w:rsid w:val="00B37866"/>
  </w:style>
  <w:style w:type="paragraph" w:customStyle="1" w:styleId="Restitle">
    <w:name w:val="Res_title"/>
    <w:basedOn w:val="Rectitle"/>
    <w:next w:val="Resref"/>
    <w:rsid w:val="00B37866"/>
  </w:style>
  <w:style w:type="paragraph" w:customStyle="1" w:styleId="Resref">
    <w:name w:val="Res_ref"/>
    <w:basedOn w:val="Recref"/>
    <w:next w:val="Resdate"/>
    <w:rsid w:val="00B37866"/>
  </w:style>
  <w:style w:type="paragraph" w:customStyle="1" w:styleId="SectionNo">
    <w:name w:val="Section_No"/>
    <w:basedOn w:val="AnnexNo"/>
    <w:next w:val="Sectiontitle"/>
    <w:rsid w:val="00B37866"/>
  </w:style>
  <w:style w:type="paragraph" w:customStyle="1" w:styleId="Sectiontitle">
    <w:name w:val="Section_title"/>
    <w:basedOn w:val="Annextitle"/>
    <w:next w:val="Normalaftertitle"/>
    <w:rsid w:val="00B37866"/>
  </w:style>
  <w:style w:type="paragraph" w:customStyle="1" w:styleId="SpecialFooter">
    <w:name w:val="Special Footer"/>
    <w:basedOn w:val="Footer"/>
    <w:rsid w:val="00B37866"/>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F52741"/>
    <w:rPr>
      <w:rFonts w:asciiTheme="minorHAnsi" w:hAnsiTheme="minorHAnsi"/>
      <w:b/>
      <w:color w:val="auto"/>
    </w:rPr>
  </w:style>
  <w:style w:type="paragraph" w:customStyle="1" w:styleId="Tablehead">
    <w:name w:val="Table_head"/>
    <w:basedOn w:val="Tabletext"/>
    <w:next w:val="Tabletext"/>
    <w:rsid w:val="00B37866"/>
    <w:pPr>
      <w:keepNext/>
      <w:spacing w:before="80" w:after="80"/>
      <w:jc w:val="center"/>
    </w:pPr>
    <w:rPr>
      <w:b/>
    </w:rPr>
  </w:style>
  <w:style w:type="paragraph" w:customStyle="1" w:styleId="Tablelegend">
    <w:name w:val="Table_legend"/>
    <w:basedOn w:val="Tabletext"/>
    <w:rsid w:val="00B37866"/>
    <w:pPr>
      <w:spacing w:before="120"/>
    </w:pPr>
  </w:style>
  <w:style w:type="paragraph" w:customStyle="1" w:styleId="TableNo">
    <w:name w:val="Table_No"/>
    <w:basedOn w:val="Normal"/>
    <w:next w:val="Tabletitle"/>
    <w:rsid w:val="00B37866"/>
    <w:pPr>
      <w:keepNext/>
      <w:spacing w:before="560" w:after="120"/>
      <w:jc w:val="center"/>
    </w:pPr>
    <w:rPr>
      <w:caps/>
    </w:rPr>
  </w:style>
  <w:style w:type="paragraph" w:customStyle="1" w:styleId="Tableref">
    <w:name w:val="Table_ref"/>
    <w:basedOn w:val="Normal"/>
    <w:next w:val="Tabletitle"/>
    <w:rsid w:val="00B37866"/>
    <w:pPr>
      <w:keepNext/>
      <w:spacing w:before="0" w:after="120"/>
      <w:jc w:val="center"/>
    </w:pPr>
  </w:style>
  <w:style w:type="character" w:styleId="PageNumber">
    <w:name w:val="page number"/>
    <w:basedOn w:val="DefaultParagraphFont"/>
    <w:rsid w:val="00F52741"/>
    <w:rPr>
      <w:rFonts w:asciiTheme="minorHAnsi" w:hAnsiTheme="minorHAnsi"/>
    </w:rPr>
  </w:style>
  <w:style w:type="character" w:customStyle="1" w:styleId="HeaderChar">
    <w:name w:val="Header Char"/>
    <w:basedOn w:val="DefaultParagraphFont"/>
    <w:link w:val="Header"/>
    <w:uiPriority w:val="99"/>
    <w:rsid w:val="00005791"/>
    <w:rPr>
      <w:rFonts w:ascii="Times New Roman" w:hAnsi="Times New Roman"/>
      <w:sz w:val="18"/>
      <w:lang w:val="fr-FR" w:eastAsia="en-US"/>
    </w:rPr>
  </w:style>
  <w:style w:type="character" w:customStyle="1" w:styleId="FooterChar">
    <w:name w:val="Footer Char"/>
    <w:basedOn w:val="DefaultParagraphFont"/>
    <w:link w:val="Footer"/>
    <w:uiPriority w:val="99"/>
    <w:rsid w:val="0056423B"/>
    <w:rPr>
      <w:rFonts w:ascii="Times New Roman" w:hAnsi="Times New Roman"/>
      <w:caps/>
      <w:noProof/>
      <w:sz w:val="16"/>
      <w:lang w:val="fr-FR" w:eastAsia="en-US"/>
    </w:rPr>
  </w:style>
  <w:style w:type="table" w:styleId="TableGrid">
    <w:name w:val="Table Grid"/>
    <w:basedOn w:val="TableNormal"/>
    <w:uiPriority w:val="59"/>
    <w:rsid w:val="001470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mmittee">
    <w:name w:val="Committee"/>
    <w:basedOn w:val="Normal"/>
    <w:qFormat/>
    <w:rsid w:val="001A163D"/>
    <w:rPr>
      <w:rFonts w:cs="Times New Roman Bold"/>
      <w:b/>
      <w:caps/>
    </w:rPr>
  </w:style>
  <w:style w:type="character" w:styleId="Hyperlink">
    <w:name w:val="Hyperlink"/>
    <w:aliases w:val="CEO_Hyperlink"/>
    <w:basedOn w:val="DefaultParagraphFont"/>
    <w:uiPriority w:val="99"/>
    <w:rsid w:val="00BA0009"/>
    <w:rPr>
      <w:color w:val="0000FF" w:themeColor="hyperlink"/>
      <w:u w:val="single"/>
    </w:rPr>
  </w:style>
  <w:style w:type="paragraph" w:customStyle="1" w:styleId="BDTLogo">
    <w:name w:val="BDT_Logo"/>
    <w:uiPriority w:val="99"/>
    <w:rsid w:val="00C72713"/>
    <w:pPr>
      <w:jc w:val="center"/>
    </w:pPr>
    <w:rPr>
      <w:rFonts w:ascii="Calibri" w:eastAsia="SimHei" w:hAnsi="Calibri" w:cs="Simplified Arabic"/>
      <w:sz w:val="22"/>
      <w:szCs w:val="28"/>
      <w:lang w:val="en-GB" w:eastAsia="en-US"/>
    </w:rPr>
  </w:style>
  <w:style w:type="paragraph" w:styleId="ListParagraph">
    <w:name w:val="List Paragraph"/>
    <w:basedOn w:val="Normal"/>
    <w:uiPriority w:val="34"/>
    <w:qFormat/>
    <w:rsid w:val="00A721F4"/>
    <w:pPr>
      <w:tabs>
        <w:tab w:val="clear" w:pos="794"/>
        <w:tab w:val="clear" w:pos="1191"/>
        <w:tab w:val="clear" w:pos="1588"/>
        <w:tab w:val="clear" w:pos="1985"/>
        <w:tab w:val="left" w:pos="1134"/>
        <w:tab w:val="left" w:pos="1871"/>
        <w:tab w:val="left" w:pos="2268"/>
      </w:tabs>
      <w:ind w:left="720"/>
      <w:contextualSpacing/>
    </w:pPr>
  </w:style>
  <w:style w:type="paragraph" w:customStyle="1" w:styleId="AppArtNo">
    <w:name w:val="App_Art_No"/>
    <w:basedOn w:val="ArtNo"/>
    <w:qFormat/>
    <w:rsid w:val="00A50CA0"/>
    <w:pPr>
      <w:tabs>
        <w:tab w:val="clear" w:pos="794"/>
        <w:tab w:val="clear" w:pos="1191"/>
        <w:tab w:val="clear" w:pos="1588"/>
        <w:tab w:val="clear" w:pos="1985"/>
        <w:tab w:val="left" w:pos="1134"/>
        <w:tab w:val="left" w:pos="1871"/>
        <w:tab w:val="left" w:pos="2268"/>
      </w:tabs>
    </w:pPr>
  </w:style>
  <w:style w:type="paragraph" w:customStyle="1" w:styleId="AppArttitle">
    <w:name w:val="App_Art_title"/>
    <w:basedOn w:val="Arttitle"/>
    <w:qFormat/>
    <w:rsid w:val="00A50CA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A50CA0"/>
    <w:pPr>
      <w:tabs>
        <w:tab w:val="clear" w:pos="794"/>
        <w:tab w:val="clear" w:pos="1191"/>
        <w:tab w:val="clear" w:pos="1588"/>
        <w:tab w:val="clear" w:pos="1985"/>
        <w:tab w:val="left" w:pos="1134"/>
        <w:tab w:val="left" w:pos="1871"/>
        <w:tab w:val="left" w:pos="2268"/>
      </w:tabs>
    </w:pPr>
  </w:style>
  <w:style w:type="paragraph" w:customStyle="1" w:styleId="Volumetitle">
    <w:name w:val="Volume_title"/>
    <w:basedOn w:val="Normal"/>
    <w:qFormat/>
    <w:rsid w:val="00A50CA0"/>
    <w:pPr>
      <w:tabs>
        <w:tab w:val="clear" w:pos="794"/>
        <w:tab w:val="clear" w:pos="1191"/>
        <w:tab w:val="clear" w:pos="1588"/>
        <w:tab w:val="clear" w:pos="1985"/>
        <w:tab w:val="left" w:pos="1871"/>
      </w:tabs>
      <w:overflowPunct/>
      <w:autoSpaceDE/>
      <w:autoSpaceDN/>
      <w:adjustRightInd/>
      <w:spacing w:before="0"/>
      <w:textAlignment w:val="auto"/>
    </w:pPr>
    <w:rPr>
      <w:b/>
      <w:sz w:val="28"/>
      <w:lang w:val="en-US"/>
    </w:rPr>
  </w:style>
  <w:style w:type="paragraph" w:customStyle="1" w:styleId="Proposal">
    <w:name w:val="Proposal"/>
    <w:basedOn w:val="Normal"/>
    <w:next w:val="Normal"/>
    <w:rsid w:val="00904230"/>
    <w:pPr>
      <w:keepNext/>
      <w:tabs>
        <w:tab w:val="clear" w:pos="794"/>
        <w:tab w:val="clear" w:pos="1191"/>
        <w:tab w:val="clear" w:pos="1588"/>
        <w:tab w:val="clear" w:pos="1985"/>
        <w:tab w:val="left" w:pos="1134"/>
        <w:tab w:val="left" w:pos="1871"/>
        <w:tab w:val="left" w:pos="2268"/>
      </w:tabs>
      <w:spacing w:before="240"/>
    </w:pPr>
    <w:rPr>
      <w:rFonts w:hAnsi="Times New Roman Bold"/>
    </w:rPr>
  </w:style>
  <w:style w:type="paragraph" w:customStyle="1" w:styleId="Reasons">
    <w:name w:val="Reasons"/>
    <w:basedOn w:val="Normal"/>
    <w:rsid w:val="005D2C3A"/>
    <w:pPr>
      <w:tabs>
        <w:tab w:val="clear" w:pos="794"/>
        <w:tab w:val="clear" w:pos="1191"/>
        <w:tab w:val="left" w:pos="1134"/>
        <w:tab w:val="left" w:pos="1871"/>
      </w:tabs>
    </w:pPr>
  </w:style>
  <w:style w:type="character" w:styleId="FollowedHyperlink">
    <w:name w:val="FollowedHyperlink"/>
    <w:basedOn w:val="DefaultParagraphFont"/>
    <w:uiPriority w:val="99"/>
    <w:semiHidden/>
    <w:unhideWhenUsed/>
    <w:rsid w:val="00AD4677"/>
    <w:rPr>
      <w:color w:val="800080" w:themeColor="followedHyperlink"/>
      <w:u w:val="single"/>
    </w:rPr>
  </w:style>
  <w:style w:type="character" w:customStyle="1" w:styleId="Heading2Char">
    <w:name w:val="Heading 2 Char"/>
    <w:basedOn w:val="DefaultParagraphFont"/>
    <w:link w:val="Heading2"/>
    <w:uiPriority w:val="9"/>
    <w:rsid w:val="00513E86"/>
    <w:rPr>
      <w:rFonts w:asciiTheme="minorHAnsi" w:hAnsiTheme="minorHAnsi"/>
      <w:b/>
      <w:sz w:val="24"/>
      <w:lang w:val="en-GB" w:eastAsia="en-US"/>
    </w:rPr>
  </w:style>
  <w:style w:type="character" w:styleId="CommentReference">
    <w:name w:val="annotation reference"/>
    <w:basedOn w:val="DefaultParagraphFont"/>
    <w:uiPriority w:val="99"/>
    <w:semiHidden/>
    <w:unhideWhenUsed/>
    <w:rsid w:val="00513E86"/>
    <w:rPr>
      <w:sz w:val="16"/>
      <w:szCs w:val="16"/>
    </w:rPr>
  </w:style>
  <w:style w:type="paragraph" w:styleId="CommentText">
    <w:name w:val="annotation text"/>
    <w:basedOn w:val="Normal"/>
    <w:link w:val="CommentTextChar"/>
    <w:uiPriority w:val="99"/>
    <w:unhideWhenUsed/>
    <w:rsid w:val="00513E86"/>
    <w:pPr>
      <w:tabs>
        <w:tab w:val="clear" w:pos="794"/>
        <w:tab w:val="clear" w:pos="1191"/>
        <w:tab w:val="clear" w:pos="1588"/>
        <w:tab w:val="clear" w:pos="1985"/>
      </w:tabs>
      <w:overflowPunct/>
      <w:autoSpaceDE/>
      <w:autoSpaceDN/>
      <w:adjustRightInd/>
      <w:spacing w:before="0" w:after="160"/>
      <w:textAlignment w:val="auto"/>
    </w:pPr>
    <w:rPr>
      <w:rFonts w:eastAsiaTheme="minorHAnsi" w:cstheme="minorBidi"/>
      <w:kern w:val="2"/>
      <w:sz w:val="20"/>
      <w14:ligatures w14:val="standardContextual"/>
    </w:rPr>
  </w:style>
  <w:style w:type="character" w:customStyle="1" w:styleId="CommentTextChar">
    <w:name w:val="Comment Text Char"/>
    <w:basedOn w:val="DefaultParagraphFont"/>
    <w:link w:val="CommentText"/>
    <w:uiPriority w:val="99"/>
    <w:rsid w:val="00513E86"/>
    <w:rPr>
      <w:rFonts w:asciiTheme="minorHAnsi" w:eastAsiaTheme="minorHAnsi" w:hAnsiTheme="minorHAnsi" w:cstheme="minorBidi"/>
      <w:kern w:val="2"/>
      <w:lang w:val="en-GB" w:eastAsia="en-US"/>
      <w14:ligatures w14:val="standardContextual"/>
    </w:rPr>
  </w:style>
  <w:style w:type="character" w:customStyle="1" w:styleId="Colored-Normal">
    <w:name w:val="Colored - Normal"/>
    <w:rsid w:val="00513E86"/>
    <w:rPr>
      <w:color w:val="0070C0"/>
    </w:rPr>
  </w:style>
  <w:style w:type="paragraph" w:customStyle="1" w:styleId="Figuretitle0">
    <w:name w:val="Figure title"/>
    <w:basedOn w:val="Normal"/>
    <w:link w:val="FiguretitleChar"/>
    <w:rsid w:val="00513E86"/>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pPr>
    <w:rPr>
      <w:rFonts w:ascii="AvenirNext LT Pro Light" w:eastAsiaTheme="majorEastAsia" w:hAnsi="AvenirNext LT Pro Light" w:cs="Calibri"/>
      <w:color w:val="4F81BD" w:themeColor="accent1"/>
      <w:spacing w:val="-10"/>
      <w:kern w:val="28"/>
      <w:szCs w:val="24"/>
      <w:lang w:val="en-US"/>
    </w:rPr>
  </w:style>
  <w:style w:type="character" w:customStyle="1" w:styleId="FiguretitleChar">
    <w:name w:val="Figure title Char"/>
    <w:basedOn w:val="DefaultParagraphFont"/>
    <w:link w:val="Figuretitle0"/>
    <w:locked/>
    <w:rsid w:val="00513E86"/>
    <w:rPr>
      <w:rFonts w:ascii="AvenirNext LT Pro Light" w:eastAsiaTheme="majorEastAsia" w:hAnsi="AvenirNext LT Pro Light" w:cs="Calibri"/>
      <w:color w:val="4F81BD" w:themeColor="accent1"/>
      <w:spacing w:val="-10"/>
      <w:kern w:val="28"/>
      <w:sz w:val="24"/>
      <w:szCs w:val="24"/>
      <w:lang w:eastAsia="en-US"/>
    </w:rPr>
  </w:style>
  <w:style w:type="paragraph" w:customStyle="1" w:styleId="Sourcetext">
    <w:name w:val="Source text"/>
    <w:basedOn w:val="Normal"/>
    <w:autoRedefine/>
    <w:qFormat/>
    <w:rsid w:val="00EB15E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after="120"/>
      <w:textAlignment w:val="center"/>
    </w:pPr>
    <w:rPr>
      <w:rFonts w:ascii="Aptos" w:eastAsiaTheme="minorHAnsi" w:hAnsi="Aptos" w:cstheme="minorBidi"/>
      <w:kern w:val="2"/>
      <w:sz w:val="16"/>
      <w:szCs w:val="28"/>
      <w14:ligatures w14:val="standardContextual"/>
    </w:rPr>
  </w:style>
  <w:style w:type="character" w:customStyle="1" w:styleId="FootnoteTextChar">
    <w:name w:val="Footnote Text Char"/>
    <w:basedOn w:val="DefaultParagraphFont"/>
    <w:link w:val="FootnoteText"/>
    <w:uiPriority w:val="99"/>
    <w:rsid w:val="00391B26"/>
    <w:rPr>
      <w:rFonts w:ascii="Aptos" w:hAnsi="Aptos"/>
      <w:lang w:val="en-GB" w:eastAsia="en-US"/>
    </w:rPr>
  </w:style>
  <w:style w:type="character" w:styleId="Mention">
    <w:name w:val="Mention"/>
    <w:basedOn w:val="DefaultParagraphFont"/>
    <w:uiPriority w:val="99"/>
    <w:unhideWhenUsed/>
    <w:rsid w:val="00513E86"/>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8136E9"/>
    <w:pPr>
      <w:tabs>
        <w:tab w:val="left" w:pos="794"/>
        <w:tab w:val="left" w:pos="1191"/>
        <w:tab w:val="left" w:pos="1588"/>
        <w:tab w:val="left" w:pos="1985"/>
      </w:tabs>
      <w:overflowPunct w:val="0"/>
      <w:autoSpaceDE w:val="0"/>
      <w:autoSpaceDN w:val="0"/>
      <w:adjustRightInd w:val="0"/>
      <w:spacing w:before="120" w:after="0"/>
      <w:textAlignment w:val="baseline"/>
    </w:pPr>
    <w:rPr>
      <w:rFonts w:eastAsia="Times New Roman" w:cs="Times New Roman"/>
      <w:b/>
      <w:bCs/>
      <w:kern w:val="0"/>
      <w14:ligatures w14:val="none"/>
    </w:rPr>
  </w:style>
  <w:style w:type="character" w:customStyle="1" w:styleId="CommentSubjectChar">
    <w:name w:val="Comment Subject Char"/>
    <w:basedOn w:val="CommentTextChar"/>
    <w:link w:val="CommentSubject"/>
    <w:uiPriority w:val="99"/>
    <w:semiHidden/>
    <w:rsid w:val="008136E9"/>
    <w:rPr>
      <w:rFonts w:asciiTheme="minorHAnsi" w:eastAsiaTheme="minorHAnsi" w:hAnsiTheme="minorHAnsi" w:cstheme="minorBidi"/>
      <w:b/>
      <w:bCs/>
      <w:kern w:val="2"/>
      <w:lang w:val="en-GB" w:eastAsia="en-US"/>
      <w14:ligatures w14:val="standardContextual"/>
    </w:rPr>
  </w:style>
  <w:style w:type="paragraph" w:styleId="Title">
    <w:name w:val="Title"/>
    <w:basedOn w:val="Normal"/>
    <w:next w:val="Normal"/>
    <w:link w:val="TitleChar"/>
    <w:uiPriority w:val="10"/>
    <w:qFormat/>
    <w:rsid w:val="006C41B5"/>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41B5"/>
    <w:rPr>
      <w:rFonts w:asciiTheme="majorHAnsi" w:eastAsiaTheme="majorEastAsia" w:hAnsiTheme="majorHAnsi" w:cstheme="majorBidi"/>
      <w:spacing w:val="-10"/>
      <w:kern w:val="28"/>
      <w:sz w:val="56"/>
      <w:szCs w:val="56"/>
      <w:lang w:val="en-GB" w:eastAsia="en-US"/>
    </w:rPr>
  </w:style>
  <w:style w:type="numbering" w:customStyle="1" w:styleId="NoList1">
    <w:name w:val="No List1"/>
    <w:next w:val="NoList"/>
    <w:uiPriority w:val="99"/>
    <w:semiHidden/>
    <w:unhideWhenUsed/>
    <w:rsid w:val="006C41B5"/>
  </w:style>
  <w:style w:type="character" w:customStyle="1" w:styleId="Heading1Char">
    <w:name w:val="Heading 1 Char"/>
    <w:basedOn w:val="DefaultParagraphFont"/>
    <w:link w:val="Heading1"/>
    <w:uiPriority w:val="9"/>
    <w:rsid w:val="006C41B5"/>
    <w:rPr>
      <w:rFonts w:asciiTheme="minorHAnsi" w:hAnsiTheme="minorHAnsi"/>
      <w:b/>
      <w:sz w:val="28"/>
      <w:lang w:val="en-GB" w:eastAsia="en-US"/>
    </w:rPr>
  </w:style>
  <w:style w:type="character" w:customStyle="1" w:styleId="Heading3Char">
    <w:name w:val="Heading 3 Char"/>
    <w:basedOn w:val="DefaultParagraphFont"/>
    <w:link w:val="Heading3"/>
    <w:uiPriority w:val="9"/>
    <w:rsid w:val="006C41B5"/>
    <w:rPr>
      <w:rFonts w:asciiTheme="minorHAnsi" w:hAnsiTheme="minorHAnsi"/>
      <w:b/>
      <w:sz w:val="24"/>
      <w:lang w:val="en-GB" w:eastAsia="en-US"/>
    </w:rPr>
  </w:style>
  <w:style w:type="character" w:customStyle="1" w:styleId="Heading4Char">
    <w:name w:val="Heading 4 Char"/>
    <w:basedOn w:val="DefaultParagraphFont"/>
    <w:link w:val="Heading4"/>
    <w:uiPriority w:val="9"/>
    <w:rsid w:val="006C41B5"/>
    <w:rPr>
      <w:rFonts w:asciiTheme="minorHAnsi" w:hAnsiTheme="minorHAnsi"/>
      <w:b/>
      <w:sz w:val="24"/>
      <w:lang w:val="en-GB" w:eastAsia="en-US"/>
    </w:rPr>
  </w:style>
  <w:style w:type="character" w:customStyle="1" w:styleId="Heading5Char">
    <w:name w:val="Heading 5 Char"/>
    <w:basedOn w:val="DefaultParagraphFont"/>
    <w:link w:val="Heading5"/>
    <w:uiPriority w:val="9"/>
    <w:rsid w:val="006C41B5"/>
    <w:rPr>
      <w:rFonts w:asciiTheme="minorHAnsi" w:hAnsiTheme="minorHAnsi"/>
      <w:b/>
      <w:sz w:val="24"/>
      <w:lang w:val="en-GB" w:eastAsia="en-US"/>
    </w:rPr>
  </w:style>
  <w:style w:type="character" w:customStyle="1" w:styleId="Heading6Char">
    <w:name w:val="Heading 6 Char"/>
    <w:basedOn w:val="DefaultParagraphFont"/>
    <w:link w:val="Heading6"/>
    <w:uiPriority w:val="9"/>
    <w:rsid w:val="006C41B5"/>
    <w:rPr>
      <w:rFonts w:asciiTheme="minorHAnsi" w:hAnsiTheme="minorHAnsi"/>
      <w:b/>
      <w:sz w:val="24"/>
      <w:lang w:val="en-GB" w:eastAsia="en-US"/>
    </w:rPr>
  </w:style>
  <w:style w:type="character" w:customStyle="1" w:styleId="Heading7Char">
    <w:name w:val="Heading 7 Char"/>
    <w:basedOn w:val="DefaultParagraphFont"/>
    <w:link w:val="Heading7"/>
    <w:uiPriority w:val="9"/>
    <w:rsid w:val="006C41B5"/>
    <w:rPr>
      <w:rFonts w:asciiTheme="minorHAnsi" w:hAnsiTheme="minorHAnsi"/>
      <w:b/>
      <w:sz w:val="24"/>
      <w:lang w:val="en-GB" w:eastAsia="en-US"/>
    </w:rPr>
  </w:style>
  <w:style w:type="character" w:customStyle="1" w:styleId="Heading8Char">
    <w:name w:val="Heading 8 Char"/>
    <w:basedOn w:val="DefaultParagraphFont"/>
    <w:link w:val="Heading8"/>
    <w:uiPriority w:val="9"/>
    <w:rsid w:val="006C41B5"/>
    <w:rPr>
      <w:rFonts w:asciiTheme="minorHAnsi" w:hAnsiTheme="minorHAnsi"/>
      <w:b/>
      <w:sz w:val="24"/>
      <w:lang w:val="en-GB" w:eastAsia="en-US"/>
    </w:rPr>
  </w:style>
  <w:style w:type="character" w:customStyle="1" w:styleId="Heading9Char">
    <w:name w:val="Heading 9 Char"/>
    <w:basedOn w:val="DefaultParagraphFont"/>
    <w:link w:val="Heading9"/>
    <w:uiPriority w:val="9"/>
    <w:rsid w:val="006C41B5"/>
    <w:rPr>
      <w:rFonts w:asciiTheme="minorHAnsi" w:hAnsiTheme="minorHAnsi"/>
      <w:b/>
      <w:sz w:val="24"/>
      <w:lang w:val="en-GB" w:eastAsia="en-US"/>
    </w:rPr>
  </w:style>
  <w:style w:type="paragraph" w:customStyle="1" w:styleId="Subtitle1">
    <w:name w:val="Subtitle1"/>
    <w:basedOn w:val="Normal"/>
    <w:next w:val="Normal"/>
    <w:uiPriority w:val="11"/>
    <w:qFormat/>
    <w:rsid w:val="006C41B5"/>
    <w:pPr>
      <w:numPr>
        <w:ilvl w:val="1"/>
      </w:numPr>
      <w:tabs>
        <w:tab w:val="clear" w:pos="794"/>
        <w:tab w:val="clear" w:pos="1191"/>
        <w:tab w:val="clear" w:pos="1588"/>
        <w:tab w:val="clear" w:pos="1985"/>
      </w:tabs>
      <w:overflowPunct/>
      <w:autoSpaceDE/>
      <w:autoSpaceDN/>
      <w:adjustRightInd/>
      <w:spacing w:before="0" w:after="160" w:line="259" w:lineRule="auto"/>
      <w:textAlignment w:val="auto"/>
    </w:pPr>
    <w:rPr>
      <w:rFonts w:eastAsia="Yu Gothic Light"/>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6C41B5"/>
    <w:rPr>
      <w:rFonts w:eastAsia="Yu Gothic Light" w:cs="Times New Roman"/>
      <w:color w:val="595959"/>
      <w:spacing w:val="15"/>
      <w:sz w:val="28"/>
      <w:szCs w:val="28"/>
    </w:rPr>
  </w:style>
  <w:style w:type="paragraph" w:customStyle="1" w:styleId="Quote1">
    <w:name w:val="Quote1"/>
    <w:basedOn w:val="Normal"/>
    <w:next w:val="Normal"/>
    <w:uiPriority w:val="29"/>
    <w:qFormat/>
    <w:rsid w:val="006C41B5"/>
    <w:pPr>
      <w:tabs>
        <w:tab w:val="clear" w:pos="794"/>
        <w:tab w:val="clear" w:pos="1191"/>
        <w:tab w:val="clear" w:pos="1588"/>
        <w:tab w:val="clear" w:pos="1985"/>
      </w:tabs>
      <w:overflowPunct/>
      <w:autoSpaceDE/>
      <w:autoSpaceDN/>
      <w:adjustRightInd/>
      <w:spacing w:before="160" w:after="160" w:line="259" w:lineRule="auto"/>
      <w:jc w:val="center"/>
      <w:textAlignment w:val="auto"/>
    </w:pPr>
    <w:rPr>
      <w:rFonts w:eastAsia="Aptos" w:cs="Arial"/>
      <w:i/>
      <w:iCs/>
      <w:color w:val="404040"/>
      <w:kern w:val="2"/>
      <w:sz w:val="22"/>
      <w:szCs w:val="22"/>
      <w14:ligatures w14:val="standardContextual"/>
    </w:rPr>
  </w:style>
  <w:style w:type="character" w:customStyle="1" w:styleId="QuoteChar">
    <w:name w:val="Quote Char"/>
    <w:basedOn w:val="DefaultParagraphFont"/>
    <w:link w:val="Quote"/>
    <w:uiPriority w:val="29"/>
    <w:rsid w:val="006C41B5"/>
    <w:rPr>
      <w:i/>
      <w:iCs/>
      <w:color w:val="404040"/>
    </w:rPr>
  </w:style>
  <w:style w:type="character" w:customStyle="1" w:styleId="IntenseEmphasis1">
    <w:name w:val="Intense Emphasis1"/>
    <w:basedOn w:val="DefaultParagraphFont"/>
    <w:uiPriority w:val="21"/>
    <w:qFormat/>
    <w:rsid w:val="006C41B5"/>
    <w:rPr>
      <w:i/>
      <w:iCs/>
      <w:color w:val="0F4761"/>
    </w:rPr>
  </w:style>
  <w:style w:type="paragraph" w:customStyle="1" w:styleId="IntenseQuote1">
    <w:name w:val="Intense Quote1"/>
    <w:basedOn w:val="Normal"/>
    <w:next w:val="Normal"/>
    <w:uiPriority w:val="30"/>
    <w:qFormat/>
    <w:rsid w:val="006C41B5"/>
    <w:pPr>
      <w:pBdr>
        <w:top w:val="single" w:sz="4" w:space="10" w:color="0F4761"/>
        <w:bottom w:val="single" w:sz="4" w:space="10" w:color="0F4761"/>
      </w:pBdr>
      <w:tabs>
        <w:tab w:val="clear" w:pos="794"/>
        <w:tab w:val="clear" w:pos="1191"/>
        <w:tab w:val="clear" w:pos="1588"/>
        <w:tab w:val="clear" w:pos="1985"/>
      </w:tabs>
      <w:overflowPunct/>
      <w:autoSpaceDE/>
      <w:autoSpaceDN/>
      <w:adjustRightInd/>
      <w:spacing w:before="360" w:after="360" w:line="259" w:lineRule="auto"/>
      <w:ind w:left="864" w:right="864"/>
      <w:jc w:val="center"/>
      <w:textAlignment w:val="auto"/>
    </w:pPr>
    <w:rPr>
      <w:rFonts w:eastAsia="Aptos" w:cs="Arial"/>
      <w:i/>
      <w:iCs/>
      <w:color w:val="0F4761"/>
      <w:kern w:val="2"/>
      <w:sz w:val="22"/>
      <w:szCs w:val="22"/>
      <w14:ligatures w14:val="standardContextual"/>
    </w:rPr>
  </w:style>
  <w:style w:type="character" w:customStyle="1" w:styleId="IntenseQuoteChar">
    <w:name w:val="Intense Quote Char"/>
    <w:basedOn w:val="DefaultParagraphFont"/>
    <w:link w:val="IntenseQuote"/>
    <w:uiPriority w:val="30"/>
    <w:rsid w:val="006C41B5"/>
    <w:rPr>
      <w:i/>
      <w:iCs/>
      <w:color w:val="0F4761"/>
    </w:rPr>
  </w:style>
  <w:style w:type="character" w:customStyle="1" w:styleId="IntenseReference1">
    <w:name w:val="Intense Reference1"/>
    <w:basedOn w:val="DefaultParagraphFont"/>
    <w:uiPriority w:val="32"/>
    <w:qFormat/>
    <w:rsid w:val="006C41B5"/>
    <w:rPr>
      <w:b/>
      <w:bCs/>
      <w:smallCaps/>
      <w:color w:val="0F4761"/>
      <w:spacing w:val="5"/>
    </w:rPr>
  </w:style>
  <w:style w:type="table" w:customStyle="1" w:styleId="TableGrid1">
    <w:name w:val="Table Grid1"/>
    <w:basedOn w:val="TableNormal"/>
    <w:next w:val="TableGrid"/>
    <w:uiPriority w:val="39"/>
    <w:rsid w:val="006C41B5"/>
    <w:rPr>
      <w:rFonts w:ascii="Aptos" w:eastAsia="Aptos" w:hAnsi="Aptos" w:cs="Arial"/>
      <w:kern w:val="2"/>
      <w:sz w:val="22"/>
      <w:szCs w:val="22"/>
      <w:lang w:val="en-GB"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C41B5"/>
    <w:rPr>
      <w:color w:val="605E5C"/>
      <w:shd w:val="clear" w:color="auto" w:fill="E1DFDD"/>
    </w:rPr>
  </w:style>
  <w:style w:type="paragraph" w:styleId="Revision">
    <w:name w:val="Revision"/>
    <w:hidden/>
    <w:uiPriority w:val="99"/>
    <w:semiHidden/>
    <w:rsid w:val="006C41B5"/>
    <w:rPr>
      <w:rFonts w:ascii="Aptos" w:eastAsia="Aptos" w:hAnsi="Aptos" w:cs="Arial"/>
      <w:kern w:val="2"/>
      <w:sz w:val="22"/>
      <w:szCs w:val="22"/>
      <w:lang w:val="en-GB" w:eastAsia="en-US"/>
      <w14:ligatures w14:val="standardContextual"/>
    </w:rPr>
  </w:style>
  <w:style w:type="table" w:customStyle="1" w:styleId="GridTable2-Accent11">
    <w:name w:val="Grid Table 2 - Accent 11"/>
    <w:basedOn w:val="TableNormal"/>
    <w:next w:val="GridTable2-Accent1"/>
    <w:uiPriority w:val="47"/>
    <w:rsid w:val="006C41B5"/>
    <w:rPr>
      <w:rFonts w:ascii="Aptos" w:eastAsia="Aptos" w:hAnsi="Aptos" w:cs="Arial"/>
      <w:sz w:val="22"/>
      <w:szCs w:val="22"/>
      <w:lang w:val="en-GB" w:eastAsia="en-US"/>
    </w:rPr>
    <w:tblPr>
      <w:tblStyleRowBandSize w:val="1"/>
      <w:tblStyleColBandSize w:val="1"/>
      <w:tblBorders>
        <w:top w:val="single" w:sz="2" w:space="0" w:color="45B0E1"/>
        <w:bottom w:val="single" w:sz="2" w:space="0" w:color="45B0E1"/>
        <w:insideH w:val="single" w:sz="2" w:space="0" w:color="45B0E1"/>
        <w:insideV w:val="single" w:sz="2" w:space="0" w:color="45B0E1"/>
      </w:tblBorders>
    </w:tblPr>
    <w:tblStylePr w:type="firstRow">
      <w:rPr>
        <w:b/>
        <w:bCs/>
      </w:rPr>
      <w:tblPr/>
      <w:tcPr>
        <w:tcBorders>
          <w:top w:val="nil"/>
          <w:bottom w:val="single" w:sz="12" w:space="0" w:color="45B0E1"/>
          <w:insideH w:val="nil"/>
          <w:insideV w:val="nil"/>
        </w:tcBorders>
        <w:shd w:val="clear" w:color="auto" w:fill="FFFFFF"/>
      </w:tcPr>
    </w:tblStylePr>
    <w:tblStylePr w:type="lastRow">
      <w:rPr>
        <w:b/>
        <w:bCs/>
      </w:rPr>
      <w:tblPr/>
      <w:tcPr>
        <w:tcBorders>
          <w:top w:val="double" w:sz="2" w:space="0" w:color="45B0E1"/>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paragraph" w:customStyle="1" w:styleId="Tabletext0">
    <w:name w:val="Table text"/>
    <w:basedOn w:val="Normal"/>
    <w:link w:val="TabletextChar"/>
    <w:rsid w:val="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pPr>
    <w:rPr>
      <w:rFonts w:ascii="AvenirNext LT Pro Light" w:eastAsia="Yu Gothic Light" w:hAnsi="AvenirNext LT Pro Light" w:cs="Calibri"/>
      <w:color w:val="000000"/>
      <w:kern w:val="28"/>
      <w:sz w:val="19"/>
      <w:lang w:val="en-US"/>
    </w:rPr>
  </w:style>
  <w:style w:type="character" w:customStyle="1" w:styleId="TabletextChar">
    <w:name w:val="Table text Char"/>
    <w:basedOn w:val="DefaultParagraphFont"/>
    <w:link w:val="Tabletext0"/>
    <w:rsid w:val="006C41B5"/>
    <w:rPr>
      <w:rFonts w:ascii="AvenirNext LT Pro Light" w:eastAsia="Yu Gothic Light" w:hAnsi="AvenirNext LT Pro Light" w:cs="Calibri"/>
      <w:color w:val="000000"/>
      <w:kern w:val="28"/>
      <w:sz w:val="19"/>
      <w:lang w:eastAsia="en-US"/>
    </w:rPr>
  </w:style>
  <w:style w:type="paragraph" w:customStyle="1" w:styleId="Tableheadwhitecentred">
    <w:name w:val="Table head white centred"/>
    <w:basedOn w:val="Normal"/>
    <w:rsid w:val="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pPr>
    <w:rPr>
      <w:rFonts w:ascii="AvenirNext LT Pro Medium" w:eastAsia="Yu Gothic Light" w:hAnsi="AvenirNext LT Pro Medium" w:cs="Calibri"/>
      <w:color w:val="000000"/>
      <w:spacing w:val="-10"/>
      <w:kern w:val="28"/>
      <w:sz w:val="20"/>
      <w:szCs w:val="24"/>
      <w:lang w:val="en-US"/>
    </w:rPr>
  </w:style>
  <w:style w:type="paragraph" w:customStyle="1" w:styleId="Tabletextcentred">
    <w:name w:val="Table text centred"/>
    <w:basedOn w:val="Tabletext0"/>
    <w:rsid w:val="006C41B5"/>
    <w:pPr>
      <w:jc w:val="center"/>
    </w:pPr>
  </w:style>
  <w:style w:type="paragraph" w:styleId="NoSpacing">
    <w:name w:val="No Spacing"/>
    <w:uiPriority w:val="1"/>
    <w:qFormat/>
    <w:rsid w:val="006C41B5"/>
    <w:rPr>
      <w:rFonts w:ascii="Aptos" w:eastAsia="Aptos" w:hAnsi="Aptos" w:cs="Arial"/>
      <w:kern w:val="2"/>
      <w:sz w:val="22"/>
      <w:szCs w:val="22"/>
      <w:lang w:val="en-GB" w:eastAsia="en-US"/>
      <w14:ligatures w14:val="standardContextual"/>
    </w:rPr>
  </w:style>
  <w:style w:type="paragraph" w:customStyle="1" w:styleId="FigureTabletitle">
    <w:name w:val="Figure Table title"/>
    <w:basedOn w:val="Figuretitle0"/>
    <w:link w:val="FigureTabletitleChar"/>
    <w:qFormat/>
    <w:rsid w:val="006C41B5"/>
    <w:rPr>
      <w:color w:val="0070C0"/>
      <w:lang w:val="en-GB"/>
    </w:rPr>
  </w:style>
  <w:style w:type="character" w:customStyle="1" w:styleId="FigureTabletitleChar">
    <w:name w:val="Figure Table title Char"/>
    <w:basedOn w:val="FiguretitleChar"/>
    <w:link w:val="FigureTabletitle"/>
    <w:rsid w:val="006C41B5"/>
    <w:rPr>
      <w:rFonts w:ascii="AvenirNext LT Pro Light" w:eastAsiaTheme="majorEastAsia" w:hAnsi="AvenirNext LT Pro Light" w:cs="Calibri"/>
      <w:color w:val="0070C0"/>
      <w:spacing w:val="-10"/>
      <w:kern w:val="28"/>
      <w:sz w:val="24"/>
      <w:szCs w:val="24"/>
      <w:lang w:val="en-GB" w:eastAsia="en-US"/>
    </w:rPr>
  </w:style>
  <w:style w:type="paragraph" w:customStyle="1" w:styleId="notetext">
    <w:name w:val="note text"/>
    <w:basedOn w:val="Sourcetext"/>
    <w:qFormat/>
    <w:rsid w:val="006C41B5"/>
  </w:style>
  <w:style w:type="character" w:styleId="Strong">
    <w:name w:val="Strong"/>
    <w:basedOn w:val="DefaultParagraphFont"/>
    <w:uiPriority w:val="22"/>
    <w:qFormat/>
    <w:rsid w:val="006C41B5"/>
    <w:rPr>
      <w:b/>
      <w:bCs/>
    </w:rPr>
  </w:style>
  <w:style w:type="paragraph" w:customStyle="1" w:styleId="Caption1">
    <w:name w:val="Caption1"/>
    <w:basedOn w:val="Normal"/>
    <w:next w:val="Normal"/>
    <w:uiPriority w:val="35"/>
    <w:unhideWhenUsed/>
    <w:qFormat/>
    <w:rsid w:val="006C41B5"/>
    <w:pPr>
      <w:tabs>
        <w:tab w:val="clear" w:pos="794"/>
        <w:tab w:val="clear" w:pos="1191"/>
        <w:tab w:val="clear" w:pos="1588"/>
        <w:tab w:val="clear" w:pos="1985"/>
      </w:tabs>
      <w:overflowPunct/>
      <w:autoSpaceDE/>
      <w:autoSpaceDN/>
      <w:adjustRightInd/>
      <w:spacing w:before="0" w:after="200"/>
      <w:textAlignment w:val="auto"/>
    </w:pPr>
    <w:rPr>
      <w:rFonts w:eastAsia="Aptos" w:cs="Arial"/>
      <w:i/>
      <w:iCs/>
      <w:color w:val="0E2841"/>
      <w:kern w:val="2"/>
      <w:sz w:val="18"/>
      <w:szCs w:val="18"/>
      <w14:ligatures w14:val="standardContextual"/>
    </w:rPr>
  </w:style>
  <w:style w:type="paragraph" w:styleId="NormalWeb">
    <w:name w:val="Normal (Web)"/>
    <w:basedOn w:val="Normal"/>
    <w:uiPriority w:val="99"/>
    <w:semiHidden/>
    <w:unhideWhenUsed/>
    <w:rsid w:val="006C41B5"/>
    <w:pPr>
      <w:tabs>
        <w:tab w:val="clear" w:pos="794"/>
        <w:tab w:val="clear" w:pos="1191"/>
        <w:tab w:val="clear" w:pos="1588"/>
        <w:tab w:val="clear" w:pos="1985"/>
      </w:tabs>
      <w:overflowPunct/>
      <w:autoSpaceDE/>
      <w:autoSpaceDN/>
      <w:adjustRightInd/>
      <w:spacing w:before="0" w:after="160" w:line="259" w:lineRule="auto"/>
      <w:textAlignment w:val="auto"/>
    </w:pPr>
    <w:rPr>
      <w:rFonts w:ascii="Times New Roman" w:eastAsia="Aptos" w:hAnsi="Times New Roman"/>
      <w:kern w:val="2"/>
      <w:szCs w:val="24"/>
      <w14:ligatures w14:val="standardContextual"/>
    </w:rPr>
  </w:style>
  <w:style w:type="paragraph" w:styleId="EndnoteText">
    <w:name w:val="endnote text"/>
    <w:basedOn w:val="Normal"/>
    <w:link w:val="EndnoteTextChar"/>
    <w:uiPriority w:val="99"/>
    <w:semiHidden/>
    <w:unhideWhenUsed/>
    <w:rsid w:val="006C41B5"/>
    <w:pPr>
      <w:tabs>
        <w:tab w:val="clear" w:pos="794"/>
        <w:tab w:val="clear" w:pos="1191"/>
        <w:tab w:val="clear" w:pos="1588"/>
        <w:tab w:val="clear" w:pos="1985"/>
      </w:tabs>
      <w:overflowPunct/>
      <w:autoSpaceDE/>
      <w:autoSpaceDN/>
      <w:adjustRightInd/>
      <w:spacing w:before="0"/>
      <w:textAlignment w:val="auto"/>
    </w:pPr>
    <w:rPr>
      <w:rFonts w:ascii="Aptos" w:eastAsia="Aptos" w:hAnsi="Aptos" w:cs="Aptos"/>
      <w:sz w:val="20"/>
      <w14:ligatures w14:val="standardContextual"/>
    </w:rPr>
  </w:style>
  <w:style w:type="character" w:customStyle="1" w:styleId="EndnoteTextChar">
    <w:name w:val="Endnote Text Char"/>
    <w:basedOn w:val="DefaultParagraphFont"/>
    <w:link w:val="EndnoteText"/>
    <w:uiPriority w:val="99"/>
    <w:semiHidden/>
    <w:rsid w:val="006C41B5"/>
    <w:rPr>
      <w:rFonts w:ascii="Aptos" w:eastAsia="Aptos" w:hAnsi="Aptos" w:cs="Aptos"/>
      <w:lang w:val="en-GB" w:eastAsia="en-US"/>
      <w14:ligatures w14:val="standardContextual"/>
    </w:rPr>
  </w:style>
  <w:style w:type="paragraph" w:styleId="Subtitle">
    <w:name w:val="Subtitle"/>
    <w:basedOn w:val="Normal"/>
    <w:next w:val="Normal"/>
    <w:link w:val="SubtitleChar"/>
    <w:uiPriority w:val="11"/>
    <w:qFormat/>
    <w:rsid w:val="006C41B5"/>
    <w:pPr>
      <w:numPr>
        <w:ilvl w:val="1"/>
      </w:numPr>
      <w:spacing w:after="160"/>
    </w:pPr>
    <w:rPr>
      <w:rFonts w:ascii="CG Times" w:eastAsia="Yu Gothic Light" w:hAnsi="CG Times"/>
      <w:color w:val="595959"/>
      <w:spacing w:val="15"/>
      <w:sz w:val="28"/>
      <w:szCs w:val="28"/>
      <w:lang w:val="en-US" w:eastAsia="zh-CN"/>
    </w:rPr>
  </w:style>
  <w:style w:type="character" w:customStyle="1" w:styleId="SubtitleChar1">
    <w:name w:val="Subtitle Char1"/>
    <w:basedOn w:val="DefaultParagraphFont"/>
    <w:rsid w:val="006C41B5"/>
    <w:rPr>
      <w:rFonts w:asciiTheme="minorHAnsi" w:eastAsiaTheme="minorEastAsia" w:hAnsiTheme="minorHAnsi" w:cstheme="minorBidi"/>
      <w:color w:val="5A5A5A" w:themeColor="text1" w:themeTint="A5"/>
      <w:spacing w:val="15"/>
      <w:sz w:val="22"/>
      <w:szCs w:val="22"/>
      <w:lang w:val="en-GB" w:eastAsia="en-US"/>
    </w:rPr>
  </w:style>
  <w:style w:type="paragraph" w:styleId="Quote">
    <w:name w:val="Quote"/>
    <w:basedOn w:val="Normal"/>
    <w:next w:val="Normal"/>
    <w:link w:val="QuoteChar"/>
    <w:uiPriority w:val="29"/>
    <w:qFormat/>
    <w:rsid w:val="006C41B5"/>
    <w:pPr>
      <w:spacing w:before="200" w:after="160"/>
      <w:ind w:left="864" w:right="864"/>
      <w:jc w:val="center"/>
    </w:pPr>
    <w:rPr>
      <w:rFonts w:ascii="CG Times" w:hAnsi="CG Times"/>
      <w:i/>
      <w:iCs/>
      <w:color w:val="404040"/>
      <w:sz w:val="20"/>
      <w:lang w:val="en-US" w:eastAsia="zh-CN"/>
    </w:rPr>
  </w:style>
  <w:style w:type="character" w:customStyle="1" w:styleId="QuoteChar1">
    <w:name w:val="Quote Char1"/>
    <w:basedOn w:val="DefaultParagraphFont"/>
    <w:uiPriority w:val="29"/>
    <w:rsid w:val="006C41B5"/>
    <w:rPr>
      <w:rFonts w:asciiTheme="minorHAnsi" w:hAnsiTheme="minorHAnsi"/>
      <w:i/>
      <w:iCs/>
      <w:color w:val="404040" w:themeColor="text1" w:themeTint="BF"/>
      <w:sz w:val="24"/>
      <w:lang w:val="en-GB" w:eastAsia="en-US"/>
    </w:rPr>
  </w:style>
  <w:style w:type="character" w:styleId="IntenseEmphasis">
    <w:name w:val="Intense Emphasis"/>
    <w:basedOn w:val="DefaultParagraphFont"/>
    <w:uiPriority w:val="21"/>
    <w:qFormat/>
    <w:rsid w:val="006C41B5"/>
    <w:rPr>
      <w:i/>
      <w:iCs/>
      <w:color w:val="4F81BD" w:themeColor="accent1"/>
    </w:rPr>
  </w:style>
  <w:style w:type="paragraph" w:styleId="IntenseQuote">
    <w:name w:val="Intense Quote"/>
    <w:basedOn w:val="Normal"/>
    <w:next w:val="Normal"/>
    <w:link w:val="IntenseQuoteChar"/>
    <w:uiPriority w:val="30"/>
    <w:qFormat/>
    <w:rsid w:val="006C41B5"/>
    <w:pPr>
      <w:pBdr>
        <w:top w:val="single" w:sz="4" w:space="10" w:color="4F81BD" w:themeColor="accent1"/>
        <w:bottom w:val="single" w:sz="4" w:space="10" w:color="4F81BD" w:themeColor="accent1"/>
      </w:pBdr>
      <w:spacing w:before="360" w:after="360"/>
      <w:ind w:left="864" w:right="864"/>
      <w:jc w:val="center"/>
    </w:pPr>
    <w:rPr>
      <w:rFonts w:ascii="CG Times" w:hAnsi="CG Times"/>
      <w:i/>
      <w:iCs/>
      <w:color w:val="0F4761"/>
      <w:sz w:val="20"/>
      <w:lang w:val="en-US" w:eastAsia="zh-CN"/>
    </w:rPr>
  </w:style>
  <w:style w:type="character" w:customStyle="1" w:styleId="IntenseQuoteChar1">
    <w:name w:val="Intense Quote Char1"/>
    <w:basedOn w:val="DefaultParagraphFont"/>
    <w:uiPriority w:val="30"/>
    <w:rsid w:val="006C41B5"/>
    <w:rPr>
      <w:rFonts w:asciiTheme="minorHAnsi" w:hAnsiTheme="minorHAnsi"/>
      <w:i/>
      <w:iCs/>
      <w:color w:val="4F81BD" w:themeColor="accent1"/>
      <w:sz w:val="24"/>
      <w:lang w:val="en-GB" w:eastAsia="en-US"/>
    </w:rPr>
  </w:style>
  <w:style w:type="character" w:styleId="IntenseReference">
    <w:name w:val="Intense Reference"/>
    <w:basedOn w:val="DefaultParagraphFont"/>
    <w:uiPriority w:val="32"/>
    <w:qFormat/>
    <w:rsid w:val="006C41B5"/>
    <w:rPr>
      <w:b/>
      <w:bCs/>
      <w:smallCaps/>
      <w:color w:val="4F81BD" w:themeColor="accent1"/>
      <w:spacing w:val="5"/>
    </w:rPr>
  </w:style>
  <w:style w:type="table" w:styleId="GridTable2-Accent1">
    <w:name w:val="Grid Table 2 Accent 1"/>
    <w:basedOn w:val="TableNormal"/>
    <w:uiPriority w:val="47"/>
    <w:rsid w:val="006C41B5"/>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Heading">
    <w:name w:val="TOC Heading"/>
    <w:basedOn w:val="Heading1"/>
    <w:next w:val="Normal"/>
    <w:uiPriority w:val="39"/>
    <w:unhideWhenUsed/>
    <w:qFormat/>
    <w:rsid w:val="00761F14"/>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Body">
    <w:name w:val="Body"/>
    <w:rsid w:val="00B727CE"/>
    <w:pPr>
      <w:pBdr>
        <w:top w:val="nil"/>
        <w:left w:val="nil"/>
        <w:bottom w:val="nil"/>
        <w:right w:val="nil"/>
        <w:between w:val="nil"/>
        <w:bar w:val="nil"/>
      </w:pBdr>
      <w:spacing w:line="276" w:lineRule="auto"/>
    </w:pPr>
    <w:rPr>
      <w:rFonts w:ascii="Arial" w:eastAsia="Arial Unicode MS" w:hAnsi="Arial" w:cs="Arial Unicode MS"/>
      <w:color w:val="000000"/>
      <w:sz w:val="22"/>
      <w:szCs w:val="22"/>
      <w:u w:color="000000"/>
      <w:bdr w:val="nil"/>
      <w:lang w:eastAsia="en-GB"/>
      <w14:textOutline w14:w="0" w14:cap="flat" w14:cmpd="sng" w14:algn="ctr">
        <w14:noFill/>
        <w14:prstDash w14:val="solid"/>
        <w14:bevel/>
      </w14:textOutline>
    </w:rPr>
  </w:style>
  <w:style w:type="paragraph" w:customStyle="1" w:styleId="Heading2Aptos">
    <w:name w:val="Heading 2 Aptos"/>
    <w:basedOn w:val="Normal"/>
    <w:link w:val="Heading2AptosChar"/>
    <w:qFormat/>
    <w:rsid w:val="008E298A"/>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pPr>
    <w:rPr>
      <w:rFonts w:ascii="Aptos Display" w:eastAsia="Yu Gothic Light" w:hAnsi="Aptos Display"/>
      <w:color w:val="0F4761"/>
      <w:kern w:val="2"/>
      <w:sz w:val="32"/>
      <w:szCs w:val="32"/>
      <w14:ligatures w14:val="standardContextual"/>
    </w:rPr>
  </w:style>
  <w:style w:type="character" w:customStyle="1" w:styleId="Heading2AptosChar">
    <w:name w:val="Heading 2 Aptos Char"/>
    <w:basedOn w:val="DefaultParagraphFont"/>
    <w:link w:val="Heading2Aptos"/>
    <w:rsid w:val="008E298A"/>
    <w:rPr>
      <w:rFonts w:ascii="Aptos Display" w:eastAsia="Yu Gothic Light" w:hAnsi="Aptos Display"/>
      <w:color w:val="0F4761"/>
      <w:kern w:val="2"/>
      <w:sz w:val="32"/>
      <w:szCs w:val="32"/>
      <w:lang w:val="en-GB" w:eastAsia="en-US"/>
      <w14:ligatures w14:val="standardContextual"/>
    </w:rPr>
  </w:style>
  <w:style w:type="paragraph" w:customStyle="1" w:styleId="Parttitle0">
    <w:name w:val="Part title"/>
    <w:basedOn w:val="Normal"/>
    <w:link w:val="ParttitleChar"/>
    <w:qFormat/>
    <w:rsid w:val="009D660C"/>
    <w:pPr>
      <w:keepNext/>
      <w:keepLines/>
      <w:tabs>
        <w:tab w:val="clear" w:pos="794"/>
        <w:tab w:val="clear" w:pos="1191"/>
        <w:tab w:val="clear" w:pos="1588"/>
        <w:tab w:val="clear" w:pos="1985"/>
      </w:tabs>
      <w:overflowPunct/>
      <w:autoSpaceDE/>
      <w:autoSpaceDN/>
      <w:adjustRightInd/>
      <w:spacing w:before="360" w:after="80" w:line="259" w:lineRule="auto"/>
      <w:textAlignment w:val="auto"/>
      <w:outlineLvl w:val="0"/>
    </w:pPr>
    <w:rPr>
      <w:rFonts w:ascii="Aptos Display" w:eastAsia="Yu Gothic Light" w:hAnsi="Aptos Display"/>
      <w:color w:val="0F4761"/>
      <w:kern w:val="2"/>
      <w:sz w:val="40"/>
      <w:szCs w:val="40"/>
      <w14:ligatures w14:val="standardContextual"/>
    </w:rPr>
  </w:style>
  <w:style w:type="character" w:customStyle="1" w:styleId="ParttitleChar">
    <w:name w:val="Part title Char"/>
    <w:basedOn w:val="DefaultParagraphFont"/>
    <w:link w:val="Parttitle0"/>
    <w:rsid w:val="009D660C"/>
    <w:rPr>
      <w:rFonts w:ascii="Aptos Display" w:eastAsia="Yu Gothic Light" w:hAnsi="Aptos Display"/>
      <w:color w:val="0F4761"/>
      <w:kern w:val="2"/>
      <w:sz w:val="40"/>
      <w:szCs w:val="40"/>
      <w:lang w:val="en-GB" w:eastAsia="en-US"/>
      <w14:ligatures w14:val="standardContextual"/>
    </w:rPr>
  </w:style>
  <w:style w:type="character" w:customStyle="1" w:styleId="normaltextrun">
    <w:name w:val="normaltextrun"/>
    <w:basedOn w:val="DefaultParagraphFont"/>
    <w:rsid w:val="002411A4"/>
  </w:style>
  <w:style w:type="character" w:customStyle="1" w:styleId="eop">
    <w:name w:val="eop"/>
    <w:basedOn w:val="DefaultParagraphFont"/>
    <w:rsid w:val="00300307"/>
  </w:style>
  <w:style w:type="paragraph" w:customStyle="1" w:styleId="Section">
    <w:name w:val="Section"/>
    <w:basedOn w:val="Normal"/>
    <w:link w:val="SectionChar"/>
    <w:qFormat/>
    <w:rsid w:val="00A217F8"/>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pPr>
    <w:rPr>
      <w:rFonts w:ascii="Aptos Display" w:eastAsia="Yu Gothic Light" w:hAnsi="Aptos Display"/>
      <w:color w:val="0F4761"/>
      <w:kern w:val="2"/>
      <w:sz w:val="32"/>
      <w:szCs w:val="32"/>
      <w14:ligatures w14:val="standardContextual"/>
    </w:rPr>
  </w:style>
  <w:style w:type="character" w:customStyle="1" w:styleId="SectionChar">
    <w:name w:val="Section Char"/>
    <w:basedOn w:val="DefaultParagraphFont"/>
    <w:link w:val="Section"/>
    <w:rsid w:val="00A217F8"/>
    <w:rPr>
      <w:rFonts w:ascii="Aptos Display" w:eastAsia="Yu Gothic Light" w:hAnsi="Aptos Display"/>
      <w:color w:val="0F4761"/>
      <w:kern w:val="2"/>
      <w:sz w:val="32"/>
      <w:szCs w:val="32"/>
      <w:lang w:val="en-GB" w:eastAsia="en-US"/>
      <w14:ligatures w14:val="standardContextual"/>
    </w:rPr>
  </w:style>
  <w:style w:type="paragraph" w:customStyle="1" w:styleId="Bulletlist1">
    <w:name w:val="Bullet list 1"/>
    <w:basedOn w:val="Normal"/>
    <w:rsid w:val="0025346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40" w:after="40" w:line="284" w:lineRule="atLeast"/>
      <w:ind w:left="567" w:hanging="567"/>
      <w:jc w:val="both"/>
      <w:textAlignment w:val="center"/>
    </w:pPr>
    <w:rPr>
      <w:rFonts w:ascii="Avenir Next W1G" w:eastAsiaTheme="minorEastAsia" w:hAnsi="Avenir Next W1G" w:cstheme="minorBidi"/>
      <w:color w:val="000000"/>
      <w:sz w:val="20"/>
      <w:lang w:val="en-US" w:eastAsia="zh-CN"/>
    </w:rPr>
  </w:style>
  <w:style w:type="paragraph" w:customStyle="1" w:styleId="paragraph">
    <w:name w:val="paragraph"/>
    <w:basedOn w:val="Normal"/>
    <w:rsid w:val="00555F05"/>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59463">
      <w:bodyDiv w:val="1"/>
      <w:marLeft w:val="0"/>
      <w:marRight w:val="0"/>
      <w:marTop w:val="0"/>
      <w:marBottom w:val="0"/>
      <w:divBdr>
        <w:top w:val="none" w:sz="0" w:space="0" w:color="auto"/>
        <w:left w:val="none" w:sz="0" w:space="0" w:color="auto"/>
        <w:bottom w:val="none" w:sz="0" w:space="0" w:color="auto"/>
        <w:right w:val="none" w:sz="0" w:space="0" w:color="auto"/>
      </w:divBdr>
    </w:div>
    <w:div w:id="60249780">
      <w:bodyDiv w:val="1"/>
      <w:marLeft w:val="0"/>
      <w:marRight w:val="0"/>
      <w:marTop w:val="0"/>
      <w:marBottom w:val="0"/>
      <w:divBdr>
        <w:top w:val="none" w:sz="0" w:space="0" w:color="auto"/>
        <w:left w:val="none" w:sz="0" w:space="0" w:color="auto"/>
        <w:bottom w:val="none" w:sz="0" w:space="0" w:color="auto"/>
        <w:right w:val="none" w:sz="0" w:space="0" w:color="auto"/>
      </w:divBdr>
    </w:div>
    <w:div w:id="126053943">
      <w:bodyDiv w:val="1"/>
      <w:marLeft w:val="0"/>
      <w:marRight w:val="0"/>
      <w:marTop w:val="0"/>
      <w:marBottom w:val="0"/>
      <w:divBdr>
        <w:top w:val="none" w:sz="0" w:space="0" w:color="auto"/>
        <w:left w:val="none" w:sz="0" w:space="0" w:color="auto"/>
        <w:bottom w:val="none" w:sz="0" w:space="0" w:color="auto"/>
        <w:right w:val="none" w:sz="0" w:space="0" w:color="auto"/>
      </w:divBdr>
    </w:div>
    <w:div w:id="138424915">
      <w:bodyDiv w:val="1"/>
      <w:marLeft w:val="0"/>
      <w:marRight w:val="0"/>
      <w:marTop w:val="0"/>
      <w:marBottom w:val="0"/>
      <w:divBdr>
        <w:top w:val="none" w:sz="0" w:space="0" w:color="auto"/>
        <w:left w:val="none" w:sz="0" w:space="0" w:color="auto"/>
        <w:bottom w:val="none" w:sz="0" w:space="0" w:color="auto"/>
        <w:right w:val="none" w:sz="0" w:space="0" w:color="auto"/>
      </w:divBdr>
    </w:div>
    <w:div w:id="146897608">
      <w:bodyDiv w:val="1"/>
      <w:marLeft w:val="0"/>
      <w:marRight w:val="0"/>
      <w:marTop w:val="0"/>
      <w:marBottom w:val="0"/>
      <w:divBdr>
        <w:top w:val="none" w:sz="0" w:space="0" w:color="auto"/>
        <w:left w:val="none" w:sz="0" w:space="0" w:color="auto"/>
        <w:bottom w:val="none" w:sz="0" w:space="0" w:color="auto"/>
        <w:right w:val="none" w:sz="0" w:space="0" w:color="auto"/>
      </w:divBdr>
    </w:div>
    <w:div w:id="172694287">
      <w:bodyDiv w:val="1"/>
      <w:marLeft w:val="0"/>
      <w:marRight w:val="0"/>
      <w:marTop w:val="0"/>
      <w:marBottom w:val="0"/>
      <w:divBdr>
        <w:top w:val="none" w:sz="0" w:space="0" w:color="auto"/>
        <w:left w:val="none" w:sz="0" w:space="0" w:color="auto"/>
        <w:bottom w:val="none" w:sz="0" w:space="0" w:color="auto"/>
        <w:right w:val="none" w:sz="0" w:space="0" w:color="auto"/>
      </w:divBdr>
    </w:div>
    <w:div w:id="173615908">
      <w:bodyDiv w:val="1"/>
      <w:marLeft w:val="0"/>
      <w:marRight w:val="0"/>
      <w:marTop w:val="0"/>
      <w:marBottom w:val="0"/>
      <w:divBdr>
        <w:top w:val="none" w:sz="0" w:space="0" w:color="auto"/>
        <w:left w:val="none" w:sz="0" w:space="0" w:color="auto"/>
        <w:bottom w:val="none" w:sz="0" w:space="0" w:color="auto"/>
        <w:right w:val="none" w:sz="0" w:space="0" w:color="auto"/>
      </w:divBdr>
    </w:div>
    <w:div w:id="192771772">
      <w:bodyDiv w:val="1"/>
      <w:marLeft w:val="0"/>
      <w:marRight w:val="0"/>
      <w:marTop w:val="0"/>
      <w:marBottom w:val="0"/>
      <w:divBdr>
        <w:top w:val="none" w:sz="0" w:space="0" w:color="auto"/>
        <w:left w:val="none" w:sz="0" w:space="0" w:color="auto"/>
        <w:bottom w:val="none" w:sz="0" w:space="0" w:color="auto"/>
        <w:right w:val="none" w:sz="0" w:space="0" w:color="auto"/>
      </w:divBdr>
    </w:div>
    <w:div w:id="236520756">
      <w:bodyDiv w:val="1"/>
      <w:marLeft w:val="0"/>
      <w:marRight w:val="0"/>
      <w:marTop w:val="0"/>
      <w:marBottom w:val="0"/>
      <w:divBdr>
        <w:top w:val="none" w:sz="0" w:space="0" w:color="auto"/>
        <w:left w:val="none" w:sz="0" w:space="0" w:color="auto"/>
        <w:bottom w:val="none" w:sz="0" w:space="0" w:color="auto"/>
        <w:right w:val="none" w:sz="0" w:space="0" w:color="auto"/>
      </w:divBdr>
    </w:div>
    <w:div w:id="238560725">
      <w:bodyDiv w:val="1"/>
      <w:marLeft w:val="0"/>
      <w:marRight w:val="0"/>
      <w:marTop w:val="0"/>
      <w:marBottom w:val="0"/>
      <w:divBdr>
        <w:top w:val="none" w:sz="0" w:space="0" w:color="auto"/>
        <w:left w:val="none" w:sz="0" w:space="0" w:color="auto"/>
        <w:bottom w:val="none" w:sz="0" w:space="0" w:color="auto"/>
        <w:right w:val="none" w:sz="0" w:space="0" w:color="auto"/>
      </w:divBdr>
    </w:div>
    <w:div w:id="311907716">
      <w:bodyDiv w:val="1"/>
      <w:marLeft w:val="0"/>
      <w:marRight w:val="0"/>
      <w:marTop w:val="0"/>
      <w:marBottom w:val="0"/>
      <w:divBdr>
        <w:top w:val="none" w:sz="0" w:space="0" w:color="auto"/>
        <w:left w:val="none" w:sz="0" w:space="0" w:color="auto"/>
        <w:bottom w:val="none" w:sz="0" w:space="0" w:color="auto"/>
        <w:right w:val="none" w:sz="0" w:space="0" w:color="auto"/>
      </w:divBdr>
    </w:div>
    <w:div w:id="334768446">
      <w:bodyDiv w:val="1"/>
      <w:marLeft w:val="0"/>
      <w:marRight w:val="0"/>
      <w:marTop w:val="0"/>
      <w:marBottom w:val="0"/>
      <w:divBdr>
        <w:top w:val="none" w:sz="0" w:space="0" w:color="auto"/>
        <w:left w:val="none" w:sz="0" w:space="0" w:color="auto"/>
        <w:bottom w:val="none" w:sz="0" w:space="0" w:color="auto"/>
        <w:right w:val="none" w:sz="0" w:space="0" w:color="auto"/>
      </w:divBdr>
    </w:div>
    <w:div w:id="391927088">
      <w:bodyDiv w:val="1"/>
      <w:marLeft w:val="0"/>
      <w:marRight w:val="0"/>
      <w:marTop w:val="0"/>
      <w:marBottom w:val="0"/>
      <w:divBdr>
        <w:top w:val="none" w:sz="0" w:space="0" w:color="auto"/>
        <w:left w:val="none" w:sz="0" w:space="0" w:color="auto"/>
        <w:bottom w:val="none" w:sz="0" w:space="0" w:color="auto"/>
        <w:right w:val="none" w:sz="0" w:space="0" w:color="auto"/>
      </w:divBdr>
    </w:div>
    <w:div w:id="469178409">
      <w:bodyDiv w:val="1"/>
      <w:marLeft w:val="0"/>
      <w:marRight w:val="0"/>
      <w:marTop w:val="0"/>
      <w:marBottom w:val="0"/>
      <w:divBdr>
        <w:top w:val="none" w:sz="0" w:space="0" w:color="auto"/>
        <w:left w:val="none" w:sz="0" w:space="0" w:color="auto"/>
        <w:bottom w:val="none" w:sz="0" w:space="0" w:color="auto"/>
        <w:right w:val="none" w:sz="0" w:space="0" w:color="auto"/>
      </w:divBdr>
    </w:div>
    <w:div w:id="493572749">
      <w:bodyDiv w:val="1"/>
      <w:marLeft w:val="0"/>
      <w:marRight w:val="0"/>
      <w:marTop w:val="0"/>
      <w:marBottom w:val="0"/>
      <w:divBdr>
        <w:top w:val="none" w:sz="0" w:space="0" w:color="auto"/>
        <w:left w:val="none" w:sz="0" w:space="0" w:color="auto"/>
        <w:bottom w:val="none" w:sz="0" w:space="0" w:color="auto"/>
        <w:right w:val="none" w:sz="0" w:space="0" w:color="auto"/>
      </w:divBdr>
    </w:div>
    <w:div w:id="531502494">
      <w:bodyDiv w:val="1"/>
      <w:marLeft w:val="0"/>
      <w:marRight w:val="0"/>
      <w:marTop w:val="0"/>
      <w:marBottom w:val="0"/>
      <w:divBdr>
        <w:top w:val="none" w:sz="0" w:space="0" w:color="auto"/>
        <w:left w:val="none" w:sz="0" w:space="0" w:color="auto"/>
        <w:bottom w:val="none" w:sz="0" w:space="0" w:color="auto"/>
        <w:right w:val="none" w:sz="0" w:space="0" w:color="auto"/>
      </w:divBdr>
    </w:div>
    <w:div w:id="569925465">
      <w:bodyDiv w:val="1"/>
      <w:marLeft w:val="0"/>
      <w:marRight w:val="0"/>
      <w:marTop w:val="0"/>
      <w:marBottom w:val="0"/>
      <w:divBdr>
        <w:top w:val="none" w:sz="0" w:space="0" w:color="auto"/>
        <w:left w:val="none" w:sz="0" w:space="0" w:color="auto"/>
        <w:bottom w:val="none" w:sz="0" w:space="0" w:color="auto"/>
        <w:right w:val="none" w:sz="0" w:space="0" w:color="auto"/>
      </w:divBdr>
    </w:div>
    <w:div w:id="604533245">
      <w:bodyDiv w:val="1"/>
      <w:marLeft w:val="0"/>
      <w:marRight w:val="0"/>
      <w:marTop w:val="0"/>
      <w:marBottom w:val="0"/>
      <w:divBdr>
        <w:top w:val="none" w:sz="0" w:space="0" w:color="auto"/>
        <w:left w:val="none" w:sz="0" w:space="0" w:color="auto"/>
        <w:bottom w:val="none" w:sz="0" w:space="0" w:color="auto"/>
        <w:right w:val="none" w:sz="0" w:space="0" w:color="auto"/>
      </w:divBdr>
    </w:div>
    <w:div w:id="655958254">
      <w:bodyDiv w:val="1"/>
      <w:marLeft w:val="0"/>
      <w:marRight w:val="0"/>
      <w:marTop w:val="0"/>
      <w:marBottom w:val="0"/>
      <w:divBdr>
        <w:top w:val="none" w:sz="0" w:space="0" w:color="auto"/>
        <w:left w:val="none" w:sz="0" w:space="0" w:color="auto"/>
        <w:bottom w:val="none" w:sz="0" w:space="0" w:color="auto"/>
        <w:right w:val="none" w:sz="0" w:space="0" w:color="auto"/>
      </w:divBdr>
    </w:div>
    <w:div w:id="701899014">
      <w:bodyDiv w:val="1"/>
      <w:marLeft w:val="0"/>
      <w:marRight w:val="0"/>
      <w:marTop w:val="0"/>
      <w:marBottom w:val="0"/>
      <w:divBdr>
        <w:top w:val="none" w:sz="0" w:space="0" w:color="auto"/>
        <w:left w:val="none" w:sz="0" w:space="0" w:color="auto"/>
        <w:bottom w:val="none" w:sz="0" w:space="0" w:color="auto"/>
        <w:right w:val="none" w:sz="0" w:space="0" w:color="auto"/>
      </w:divBdr>
    </w:div>
    <w:div w:id="817188534">
      <w:bodyDiv w:val="1"/>
      <w:marLeft w:val="0"/>
      <w:marRight w:val="0"/>
      <w:marTop w:val="0"/>
      <w:marBottom w:val="0"/>
      <w:divBdr>
        <w:top w:val="none" w:sz="0" w:space="0" w:color="auto"/>
        <w:left w:val="none" w:sz="0" w:space="0" w:color="auto"/>
        <w:bottom w:val="none" w:sz="0" w:space="0" w:color="auto"/>
        <w:right w:val="none" w:sz="0" w:space="0" w:color="auto"/>
      </w:divBdr>
    </w:div>
    <w:div w:id="873228548">
      <w:bodyDiv w:val="1"/>
      <w:marLeft w:val="0"/>
      <w:marRight w:val="0"/>
      <w:marTop w:val="0"/>
      <w:marBottom w:val="0"/>
      <w:divBdr>
        <w:top w:val="none" w:sz="0" w:space="0" w:color="auto"/>
        <w:left w:val="none" w:sz="0" w:space="0" w:color="auto"/>
        <w:bottom w:val="none" w:sz="0" w:space="0" w:color="auto"/>
        <w:right w:val="none" w:sz="0" w:space="0" w:color="auto"/>
      </w:divBdr>
    </w:div>
    <w:div w:id="878859544">
      <w:bodyDiv w:val="1"/>
      <w:marLeft w:val="0"/>
      <w:marRight w:val="0"/>
      <w:marTop w:val="0"/>
      <w:marBottom w:val="0"/>
      <w:divBdr>
        <w:top w:val="none" w:sz="0" w:space="0" w:color="auto"/>
        <w:left w:val="none" w:sz="0" w:space="0" w:color="auto"/>
        <w:bottom w:val="none" w:sz="0" w:space="0" w:color="auto"/>
        <w:right w:val="none" w:sz="0" w:space="0" w:color="auto"/>
      </w:divBdr>
    </w:div>
    <w:div w:id="900680185">
      <w:bodyDiv w:val="1"/>
      <w:marLeft w:val="0"/>
      <w:marRight w:val="0"/>
      <w:marTop w:val="0"/>
      <w:marBottom w:val="0"/>
      <w:divBdr>
        <w:top w:val="none" w:sz="0" w:space="0" w:color="auto"/>
        <w:left w:val="none" w:sz="0" w:space="0" w:color="auto"/>
        <w:bottom w:val="none" w:sz="0" w:space="0" w:color="auto"/>
        <w:right w:val="none" w:sz="0" w:space="0" w:color="auto"/>
      </w:divBdr>
    </w:div>
    <w:div w:id="906887751">
      <w:bodyDiv w:val="1"/>
      <w:marLeft w:val="0"/>
      <w:marRight w:val="0"/>
      <w:marTop w:val="0"/>
      <w:marBottom w:val="0"/>
      <w:divBdr>
        <w:top w:val="none" w:sz="0" w:space="0" w:color="auto"/>
        <w:left w:val="none" w:sz="0" w:space="0" w:color="auto"/>
        <w:bottom w:val="none" w:sz="0" w:space="0" w:color="auto"/>
        <w:right w:val="none" w:sz="0" w:space="0" w:color="auto"/>
      </w:divBdr>
    </w:div>
    <w:div w:id="1001736540">
      <w:bodyDiv w:val="1"/>
      <w:marLeft w:val="0"/>
      <w:marRight w:val="0"/>
      <w:marTop w:val="0"/>
      <w:marBottom w:val="0"/>
      <w:divBdr>
        <w:top w:val="none" w:sz="0" w:space="0" w:color="auto"/>
        <w:left w:val="none" w:sz="0" w:space="0" w:color="auto"/>
        <w:bottom w:val="none" w:sz="0" w:space="0" w:color="auto"/>
        <w:right w:val="none" w:sz="0" w:space="0" w:color="auto"/>
      </w:divBdr>
    </w:div>
    <w:div w:id="1040203964">
      <w:bodyDiv w:val="1"/>
      <w:marLeft w:val="0"/>
      <w:marRight w:val="0"/>
      <w:marTop w:val="0"/>
      <w:marBottom w:val="0"/>
      <w:divBdr>
        <w:top w:val="none" w:sz="0" w:space="0" w:color="auto"/>
        <w:left w:val="none" w:sz="0" w:space="0" w:color="auto"/>
        <w:bottom w:val="none" w:sz="0" w:space="0" w:color="auto"/>
        <w:right w:val="none" w:sz="0" w:space="0" w:color="auto"/>
      </w:divBdr>
    </w:div>
    <w:div w:id="1063286050">
      <w:bodyDiv w:val="1"/>
      <w:marLeft w:val="0"/>
      <w:marRight w:val="0"/>
      <w:marTop w:val="0"/>
      <w:marBottom w:val="0"/>
      <w:divBdr>
        <w:top w:val="none" w:sz="0" w:space="0" w:color="auto"/>
        <w:left w:val="none" w:sz="0" w:space="0" w:color="auto"/>
        <w:bottom w:val="none" w:sz="0" w:space="0" w:color="auto"/>
        <w:right w:val="none" w:sz="0" w:space="0" w:color="auto"/>
      </w:divBdr>
    </w:div>
    <w:div w:id="1087268535">
      <w:bodyDiv w:val="1"/>
      <w:marLeft w:val="0"/>
      <w:marRight w:val="0"/>
      <w:marTop w:val="0"/>
      <w:marBottom w:val="0"/>
      <w:divBdr>
        <w:top w:val="none" w:sz="0" w:space="0" w:color="auto"/>
        <w:left w:val="none" w:sz="0" w:space="0" w:color="auto"/>
        <w:bottom w:val="none" w:sz="0" w:space="0" w:color="auto"/>
        <w:right w:val="none" w:sz="0" w:space="0" w:color="auto"/>
      </w:divBdr>
    </w:div>
    <w:div w:id="1152722139">
      <w:bodyDiv w:val="1"/>
      <w:marLeft w:val="0"/>
      <w:marRight w:val="0"/>
      <w:marTop w:val="0"/>
      <w:marBottom w:val="0"/>
      <w:divBdr>
        <w:top w:val="none" w:sz="0" w:space="0" w:color="auto"/>
        <w:left w:val="none" w:sz="0" w:space="0" w:color="auto"/>
        <w:bottom w:val="none" w:sz="0" w:space="0" w:color="auto"/>
        <w:right w:val="none" w:sz="0" w:space="0" w:color="auto"/>
      </w:divBdr>
    </w:div>
    <w:div w:id="1220241432">
      <w:bodyDiv w:val="1"/>
      <w:marLeft w:val="0"/>
      <w:marRight w:val="0"/>
      <w:marTop w:val="0"/>
      <w:marBottom w:val="0"/>
      <w:divBdr>
        <w:top w:val="none" w:sz="0" w:space="0" w:color="auto"/>
        <w:left w:val="none" w:sz="0" w:space="0" w:color="auto"/>
        <w:bottom w:val="none" w:sz="0" w:space="0" w:color="auto"/>
        <w:right w:val="none" w:sz="0" w:space="0" w:color="auto"/>
      </w:divBdr>
    </w:div>
    <w:div w:id="1343046121">
      <w:bodyDiv w:val="1"/>
      <w:marLeft w:val="0"/>
      <w:marRight w:val="0"/>
      <w:marTop w:val="0"/>
      <w:marBottom w:val="0"/>
      <w:divBdr>
        <w:top w:val="none" w:sz="0" w:space="0" w:color="auto"/>
        <w:left w:val="none" w:sz="0" w:space="0" w:color="auto"/>
        <w:bottom w:val="none" w:sz="0" w:space="0" w:color="auto"/>
        <w:right w:val="none" w:sz="0" w:space="0" w:color="auto"/>
      </w:divBdr>
    </w:div>
    <w:div w:id="1402950001">
      <w:bodyDiv w:val="1"/>
      <w:marLeft w:val="0"/>
      <w:marRight w:val="0"/>
      <w:marTop w:val="0"/>
      <w:marBottom w:val="0"/>
      <w:divBdr>
        <w:top w:val="none" w:sz="0" w:space="0" w:color="auto"/>
        <w:left w:val="none" w:sz="0" w:space="0" w:color="auto"/>
        <w:bottom w:val="none" w:sz="0" w:space="0" w:color="auto"/>
        <w:right w:val="none" w:sz="0" w:space="0" w:color="auto"/>
      </w:divBdr>
    </w:div>
    <w:div w:id="1425374094">
      <w:bodyDiv w:val="1"/>
      <w:marLeft w:val="0"/>
      <w:marRight w:val="0"/>
      <w:marTop w:val="0"/>
      <w:marBottom w:val="0"/>
      <w:divBdr>
        <w:top w:val="none" w:sz="0" w:space="0" w:color="auto"/>
        <w:left w:val="none" w:sz="0" w:space="0" w:color="auto"/>
        <w:bottom w:val="none" w:sz="0" w:space="0" w:color="auto"/>
        <w:right w:val="none" w:sz="0" w:space="0" w:color="auto"/>
      </w:divBdr>
    </w:div>
    <w:div w:id="1444880070">
      <w:bodyDiv w:val="1"/>
      <w:marLeft w:val="0"/>
      <w:marRight w:val="0"/>
      <w:marTop w:val="0"/>
      <w:marBottom w:val="0"/>
      <w:divBdr>
        <w:top w:val="none" w:sz="0" w:space="0" w:color="auto"/>
        <w:left w:val="none" w:sz="0" w:space="0" w:color="auto"/>
        <w:bottom w:val="none" w:sz="0" w:space="0" w:color="auto"/>
        <w:right w:val="none" w:sz="0" w:space="0" w:color="auto"/>
      </w:divBdr>
    </w:div>
    <w:div w:id="1466653225">
      <w:bodyDiv w:val="1"/>
      <w:marLeft w:val="0"/>
      <w:marRight w:val="0"/>
      <w:marTop w:val="0"/>
      <w:marBottom w:val="0"/>
      <w:divBdr>
        <w:top w:val="none" w:sz="0" w:space="0" w:color="auto"/>
        <w:left w:val="none" w:sz="0" w:space="0" w:color="auto"/>
        <w:bottom w:val="none" w:sz="0" w:space="0" w:color="auto"/>
        <w:right w:val="none" w:sz="0" w:space="0" w:color="auto"/>
      </w:divBdr>
    </w:div>
    <w:div w:id="1520124681">
      <w:bodyDiv w:val="1"/>
      <w:marLeft w:val="0"/>
      <w:marRight w:val="0"/>
      <w:marTop w:val="0"/>
      <w:marBottom w:val="0"/>
      <w:divBdr>
        <w:top w:val="none" w:sz="0" w:space="0" w:color="auto"/>
        <w:left w:val="none" w:sz="0" w:space="0" w:color="auto"/>
        <w:bottom w:val="none" w:sz="0" w:space="0" w:color="auto"/>
        <w:right w:val="none" w:sz="0" w:space="0" w:color="auto"/>
      </w:divBdr>
    </w:div>
    <w:div w:id="1639144106">
      <w:bodyDiv w:val="1"/>
      <w:marLeft w:val="0"/>
      <w:marRight w:val="0"/>
      <w:marTop w:val="0"/>
      <w:marBottom w:val="0"/>
      <w:divBdr>
        <w:top w:val="none" w:sz="0" w:space="0" w:color="auto"/>
        <w:left w:val="none" w:sz="0" w:space="0" w:color="auto"/>
        <w:bottom w:val="none" w:sz="0" w:space="0" w:color="auto"/>
        <w:right w:val="none" w:sz="0" w:space="0" w:color="auto"/>
      </w:divBdr>
    </w:div>
    <w:div w:id="1665551957">
      <w:bodyDiv w:val="1"/>
      <w:marLeft w:val="0"/>
      <w:marRight w:val="0"/>
      <w:marTop w:val="0"/>
      <w:marBottom w:val="0"/>
      <w:divBdr>
        <w:top w:val="none" w:sz="0" w:space="0" w:color="auto"/>
        <w:left w:val="none" w:sz="0" w:space="0" w:color="auto"/>
        <w:bottom w:val="none" w:sz="0" w:space="0" w:color="auto"/>
        <w:right w:val="none" w:sz="0" w:space="0" w:color="auto"/>
      </w:divBdr>
    </w:div>
    <w:div w:id="1677414370">
      <w:bodyDiv w:val="1"/>
      <w:marLeft w:val="0"/>
      <w:marRight w:val="0"/>
      <w:marTop w:val="0"/>
      <w:marBottom w:val="0"/>
      <w:divBdr>
        <w:top w:val="none" w:sz="0" w:space="0" w:color="auto"/>
        <w:left w:val="none" w:sz="0" w:space="0" w:color="auto"/>
        <w:bottom w:val="none" w:sz="0" w:space="0" w:color="auto"/>
        <w:right w:val="none" w:sz="0" w:space="0" w:color="auto"/>
      </w:divBdr>
    </w:div>
    <w:div w:id="1680964371">
      <w:bodyDiv w:val="1"/>
      <w:marLeft w:val="0"/>
      <w:marRight w:val="0"/>
      <w:marTop w:val="0"/>
      <w:marBottom w:val="0"/>
      <w:divBdr>
        <w:top w:val="none" w:sz="0" w:space="0" w:color="auto"/>
        <w:left w:val="none" w:sz="0" w:space="0" w:color="auto"/>
        <w:bottom w:val="none" w:sz="0" w:space="0" w:color="auto"/>
        <w:right w:val="none" w:sz="0" w:space="0" w:color="auto"/>
      </w:divBdr>
    </w:div>
    <w:div w:id="1732389402">
      <w:bodyDiv w:val="1"/>
      <w:marLeft w:val="0"/>
      <w:marRight w:val="0"/>
      <w:marTop w:val="0"/>
      <w:marBottom w:val="0"/>
      <w:divBdr>
        <w:top w:val="none" w:sz="0" w:space="0" w:color="auto"/>
        <w:left w:val="none" w:sz="0" w:space="0" w:color="auto"/>
        <w:bottom w:val="none" w:sz="0" w:space="0" w:color="auto"/>
        <w:right w:val="none" w:sz="0" w:space="0" w:color="auto"/>
      </w:divBdr>
    </w:div>
    <w:div w:id="1798523265">
      <w:bodyDiv w:val="1"/>
      <w:marLeft w:val="0"/>
      <w:marRight w:val="0"/>
      <w:marTop w:val="0"/>
      <w:marBottom w:val="0"/>
      <w:divBdr>
        <w:top w:val="none" w:sz="0" w:space="0" w:color="auto"/>
        <w:left w:val="none" w:sz="0" w:space="0" w:color="auto"/>
        <w:bottom w:val="none" w:sz="0" w:space="0" w:color="auto"/>
        <w:right w:val="none" w:sz="0" w:space="0" w:color="auto"/>
      </w:divBdr>
    </w:div>
    <w:div w:id="1821539621">
      <w:bodyDiv w:val="1"/>
      <w:marLeft w:val="0"/>
      <w:marRight w:val="0"/>
      <w:marTop w:val="0"/>
      <w:marBottom w:val="0"/>
      <w:divBdr>
        <w:top w:val="none" w:sz="0" w:space="0" w:color="auto"/>
        <w:left w:val="none" w:sz="0" w:space="0" w:color="auto"/>
        <w:bottom w:val="none" w:sz="0" w:space="0" w:color="auto"/>
        <w:right w:val="none" w:sz="0" w:space="0" w:color="auto"/>
      </w:divBdr>
    </w:div>
    <w:div w:id="1843427676">
      <w:bodyDiv w:val="1"/>
      <w:marLeft w:val="0"/>
      <w:marRight w:val="0"/>
      <w:marTop w:val="0"/>
      <w:marBottom w:val="0"/>
      <w:divBdr>
        <w:top w:val="none" w:sz="0" w:space="0" w:color="auto"/>
        <w:left w:val="none" w:sz="0" w:space="0" w:color="auto"/>
        <w:bottom w:val="none" w:sz="0" w:space="0" w:color="auto"/>
        <w:right w:val="none" w:sz="0" w:space="0" w:color="auto"/>
      </w:divBdr>
    </w:div>
    <w:div w:id="1861427179">
      <w:bodyDiv w:val="1"/>
      <w:marLeft w:val="0"/>
      <w:marRight w:val="0"/>
      <w:marTop w:val="0"/>
      <w:marBottom w:val="0"/>
      <w:divBdr>
        <w:top w:val="none" w:sz="0" w:space="0" w:color="auto"/>
        <w:left w:val="none" w:sz="0" w:space="0" w:color="auto"/>
        <w:bottom w:val="none" w:sz="0" w:space="0" w:color="auto"/>
        <w:right w:val="none" w:sz="0" w:space="0" w:color="auto"/>
      </w:divBdr>
    </w:div>
    <w:div w:id="1913462158">
      <w:bodyDiv w:val="1"/>
      <w:marLeft w:val="0"/>
      <w:marRight w:val="0"/>
      <w:marTop w:val="0"/>
      <w:marBottom w:val="0"/>
      <w:divBdr>
        <w:top w:val="none" w:sz="0" w:space="0" w:color="auto"/>
        <w:left w:val="none" w:sz="0" w:space="0" w:color="auto"/>
        <w:bottom w:val="none" w:sz="0" w:space="0" w:color="auto"/>
        <w:right w:val="none" w:sz="0" w:space="0" w:color="auto"/>
      </w:divBdr>
    </w:div>
    <w:div w:id="1947928364">
      <w:bodyDiv w:val="1"/>
      <w:marLeft w:val="0"/>
      <w:marRight w:val="0"/>
      <w:marTop w:val="0"/>
      <w:marBottom w:val="0"/>
      <w:divBdr>
        <w:top w:val="none" w:sz="0" w:space="0" w:color="auto"/>
        <w:left w:val="none" w:sz="0" w:space="0" w:color="auto"/>
        <w:bottom w:val="none" w:sz="0" w:space="0" w:color="auto"/>
        <w:right w:val="none" w:sz="0" w:space="0" w:color="auto"/>
      </w:divBdr>
    </w:div>
    <w:div w:id="2002270594">
      <w:bodyDiv w:val="1"/>
      <w:marLeft w:val="0"/>
      <w:marRight w:val="0"/>
      <w:marTop w:val="0"/>
      <w:marBottom w:val="0"/>
      <w:divBdr>
        <w:top w:val="none" w:sz="0" w:space="0" w:color="auto"/>
        <w:left w:val="none" w:sz="0" w:space="0" w:color="auto"/>
        <w:bottom w:val="none" w:sz="0" w:space="0" w:color="auto"/>
        <w:right w:val="none" w:sz="0" w:space="0" w:color="auto"/>
      </w:divBdr>
    </w:div>
    <w:div w:id="2040665425">
      <w:bodyDiv w:val="1"/>
      <w:marLeft w:val="0"/>
      <w:marRight w:val="0"/>
      <w:marTop w:val="0"/>
      <w:marBottom w:val="0"/>
      <w:divBdr>
        <w:top w:val="none" w:sz="0" w:space="0" w:color="auto"/>
        <w:left w:val="none" w:sz="0" w:space="0" w:color="auto"/>
        <w:bottom w:val="none" w:sz="0" w:space="0" w:color="auto"/>
        <w:right w:val="none" w:sz="0" w:space="0" w:color="auto"/>
      </w:divBdr>
    </w:div>
    <w:div w:id="2102411768">
      <w:bodyDiv w:val="1"/>
      <w:marLeft w:val="0"/>
      <w:marRight w:val="0"/>
      <w:marTop w:val="0"/>
      <w:marBottom w:val="0"/>
      <w:divBdr>
        <w:top w:val="none" w:sz="0" w:space="0" w:color="auto"/>
        <w:left w:val="none" w:sz="0" w:space="0" w:color="auto"/>
        <w:bottom w:val="none" w:sz="0" w:space="0" w:color="auto"/>
        <w:right w:val="none" w:sz="0" w:space="0" w:color="auto"/>
      </w:divBdr>
    </w:div>
    <w:div w:id="212619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6.svg"/><Relationship Id="rId21" Type="http://schemas.openxmlformats.org/officeDocument/2006/relationships/image" Target="media/image9.png"/><Relationship Id="rId42" Type="http://schemas.openxmlformats.org/officeDocument/2006/relationships/image" Target="media/image30.svg"/><Relationship Id="rId63" Type="http://schemas.openxmlformats.org/officeDocument/2006/relationships/image" Target="media/image49.png"/><Relationship Id="rId84" Type="http://schemas.openxmlformats.org/officeDocument/2006/relationships/image" Target="media/image69.png"/><Relationship Id="rId138" Type="http://schemas.openxmlformats.org/officeDocument/2006/relationships/hyperlink" Target="https://datahub.itu.int/" TargetMode="External"/><Relationship Id="rId107" Type="http://schemas.openxmlformats.org/officeDocument/2006/relationships/hyperlink" Target="https://www.itu.int/en/ITU-D/Statistics/Documents/facts/rpm_cis_pub_2025_data.xlsx" TargetMode="External"/><Relationship Id="rId11" Type="http://schemas.openxmlformats.org/officeDocument/2006/relationships/image" Target="media/image1.png"/><Relationship Id="rId32" Type="http://schemas.openxmlformats.org/officeDocument/2006/relationships/image" Target="media/image20.svg"/><Relationship Id="rId53" Type="http://schemas.openxmlformats.org/officeDocument/2006/relationships/image" Target="media/image41.png"/><Relationship Id="rId74" Type="http://schemas.openxmlformats.org/officeDocument/2006/relationships/image" Target="media/image60.svg"/><Relationship Id="rId128" Type="http://schemas.openxmlformats.org/officeDocument/2006/relationships/hyperlink" Target="https://www.itu.int/hub/publication/d-gen-e_waste-01-2024/" TargetMode="External"/><Relationship Id="rId5" Type="http://schemas.openxmlformats.org/officeDocument/2006/relationships/numbering" Target="numbering.xml"/><Relationship Id="rId90" Type="http://schemas.openxmlformats.org/officeDocument/2006/relationships/image" Target="media/image75.png"/><Relationship Id="rId95" Type="http://schemas.openxmlformats.org/officeDocument/2006/relationships/image" Target="media/image79.png"/><Relationship Id="rId22" Type="http://schemas.openxmlformats.org/officeDocument/2006/relationships/image" Target="media/image10.sv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svg"/><Relationship Id="rId64" Type="http://schemas.openxmlformats.org/officeDocument/2006/relationships/image" Target="media/image50.svg"/><Relationship Id="rId69" Type="http://schemas.openxmlformats.org/officeDocument/2006/relationships/image" Target="media/image55.png"/><Relationship Id="rId113" Type="http://schemas.openxmlformats.org/officeDocument/2006/relationships/hyperlink" Target="https://www.itu.int/en/ITU-D/Statistics/Documents/facts/rpm_cis_pub_2025_data.xlsx" TargetMode="External"/><Relationship Id="rId118" Type="http://schemas.openxmlformats.org/officeDocument/2006/relationships/image" Target="media/image97.png"/><Relationship Id="rId134" Type="http://schemas.openxmlformats.org/officeDocument/2006/relationships/hyperlink" Target="https://www.itu.int/en/ITU-D/Regional-Presence/CIS/Documents/Publications/EN%20Startup%20Central%20Eurasia%20Ecosystem%20Ranking%20Report.pdf" TargetMode="External"/><Relationship Id="rId139" Type="http://schemas.openxmlformats.org/officeDocument/2006/relationships/hyperlink" Target="https://www.itu.int/en/ITU-D/Statistics/Documents/facts/ITU_regional_global_Key_ICT_indicator_aggregates_Nov_2024.xlsx" TargetMode="External"/><Relationship Id="rId80" Type="http://schemas.openxmlformats.org/officeDocument/2006/relationships/image" Target="media/image65.png"/><Relationship Id="rId85" Type="http://schemas.openxmlformats.org/officeDocument/2006/relationships/image" Target="media/image70.svg"/><Relationship Id="rId12" Type="http://schemas.openxmlformats.org/officeDocument/2006/relationships/image" Target="media/image2.jpeg"/><Relationship Id="rId17" Type="http://schemas.openxmlformats.org/officeDocument/2006/relationships/image" Target="media/image6.svg"/><Relationship Id="rId33" Type="http://schemas.openxmlformats.org/officeDocument/2006/relationships/image" Target="media/image21.png"/><Relationship Id="rId38" Type="http://schemas.openxmlformats.org/officeDocument/2006/relationships/image" Target="media/image26.svg"/><Relationship Id="rId59" Type="http://schemas.openxmlformats.org/officeDocument/2006/relationships/image" Target="media/image46.svg"/><Relationship Id="rId103" Type="http://schemas.openxmlformats.org/officeDocument/2006/relationships/image" Target="media/image86.svg"/><Relationship Id="rId108" Type="http://schemas.openxmlformats.org/officeDocument/2006/relationships/image" Target="media/image89.png"/><Relationship Id="rId124" Type="http://schemas.openxmlformats.org/officeDocument/2006/relationships/hyperlink" Target="https://www.itu.int/hub/publication/d-gen-e_waste-01-2024/" TargetMode="External"/><Relationship Id="rId129" Type="http://schemas.openxmlformats.org/officeDocument/2006/relationships/hyperlink" Target="https://www.itu.int/hub/publication/d-gen-e_waste-01-2024/" TargetMode="External"/><Relationship Id="rId54" Type="http://schemas.openxmlformats.org/officeDocument/2006/relationships/image" Target="media/image42.svg"/><Relationship Id="rId70" Type="http://schemas.openxmlformats.org/officeDocument/2006/relationships/image" Target="media/image56.svg"/><Relationship Id="rId75" Type="http://schemas.openxmlformats.org/officeDocument/2006/relationships/image" Target="media/image61.png"/><Relationship Id="rId91" Type="http://schemas.openxmlformats.org/officeDocument/2006/relationships/image" Target="media/image76.svg"/><Relationship Id="rId96" Type="http://schemas.openxmlformats.org/officeDocument/2006/relationships/image" Target="media/image80.svg"/><Relationship Id="rId140" Type="http://schemas.openxmlformats.org/officeDocument/2006/relationships/hyperlink" Target="https://www.itu.int/itu-d/reports/statistics/facts-figures-2024/"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6.svg"/><Relationship Id="rId49" Type="http://schemas.openxmlformats.org/officeDocument/2006/relationships/image" Target="media/image37.png"/><Relationship Id="rId114" Type="http://schemas.openxmlformats.org/officeDocument/2006/relationships/image" Target="media/image93.png"/><Relationship Id="rId119" Type="http://schemas.openxmlformats.org/officeDocument/2006/relationships/image" Target="media/image98.svg"/><Relationship Id="rId44" Type="http://schemas.openxmlformats.org/officeDocument/2006/relationships/image" Target="media/image32.svg"/><Relationship Id="rId60" Type="http://schemas.openxmlformats.org/officeDocument/2006/relationships/hyperlink" Target="https://bbmaps.itu.int/indicators-bbmaps" TargetMode="External"/><Relationship Id="rId65" Type="http://schemas.openxmlformats.org/officeDocument/2006/relationships/image" Target="media/image51.png"/><Relationship Id="rId81" Type="http://schemas.openxmlformats.org/officeDocument/2006/relationships/image" Target="media/image66.svg"/><Relationship Id="rId86" Type="http://schemas.openxmlformats.org/officeDocument/2006/relationships/image" Target="media/image71.png"/><Relationship Id="rId130" Type="http://schemas.openxmlformats.org/officeDocument/2006/relationships/image" Target="media/image105.png"/><Relationship Id="rId135" Type="http://schemas.openxmlformats.org/officeDocument/2006/relationships/hyperlink" Target="https://www.itu.int/itu-d/sites/digital-impact-unlocked/enhancing-azerbaijans-ict-data-systems/" TargetMode="External"/><Relationship Id="rId13" Type="http://schemas.openxmlformats.org/officeDocument/2006/relationships/image" Target="media/image3.png"/><Relationship Id="rId18" Type="http://schemas.openxmlformats.org/officeDocument/2006/relationships/hyperlink" Target="https://www.itu.int/pub/D-PREF-BB.REG_OUT01-2023/en" TargetMode="External"/><Relationship Id="rId39" Type="http://schemas.openxmlformats.org/officeDocument/2006/relationships/image" Target="media/image27.png"/><Relationship Id="rId109" Type="http://schemas.openxmlformats.org/officeDocument/2006/relationships/image" Target="media/image90.svg"/><Relationship Id="rId34" Type="http://schemas.openxmlformats.org/officeDocument/2006/relationships/image" Target="media/image22.svg"/><Relationship Id="rId50" Type="http://schemas.openxmlformats.org/officeDocument/2006/relationships/image" Target="media/image38.svg"/><Relationship Id="rId55" Type="http://schemas.openxmlformats.org/officeDocument/2006/relationships/image" Target="media/image43.png"/><Relationship Id="rId76" Type="http://schemas.openxmlformats.org/officeDocument/2006/relationships/image" Target="media/image62.svg"/><Relationship Id="rId97" Type="http://schemas.openxmlformats.org/officeDocument/2006/relationships/image" Target="media/image81.png"/><Relationship Id="rId104" Type="http://schemas.openxmlformats.org/officeDocument/2006/relationships/hyperlink" Target="https://www.itu.int/en/ITU-D/Statistics/Documents/facts/rpm_cis_pub_2025_data.xlsx" TargetMode="External"/><Relationship Id="rId120" Type="http://schemas.openxmlformats.org/officeDocument/2006/relationships/image" Target="media/image99.png"/><Relationship Id="rId125" Type="http://schemas.openxmlformats.org/officeDocument/2006/relationships/hyperlink" Target="https://www.itu.int/en/ITU-D/Environment/Pages/Publications/The-Global-E-waste-Monitor-2024.aspx" TargetMode="External"/><Relationship Id="rId141" Type="http://schemas.openxmlformats.org/officeDocument/2006/relationships/hyperlink" Target="https://www.itu.int/en/ITUD/Statistics/Documents/facts/ITU_regional_global_Key_ICT_indicator_aggregates_Nov_2024.xlsx" TargetMode="External"/><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hyperlink" Target="https://www.itu.int/itu-d/meetings/statistics/wp-content/uploads/sites/8/2023/09/Report-of-the-EGH-subgroup-on-ICT-Skills.pdf"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svg"/><Relationship Id="rId40" Type="http://schemas.openxmlformats.org/officeDocument/2006/relationships/image" Target="media/image28.svg"/><Relationship Id="rId45" Type="http://schemas.openxmlformats.org/officeDocument/2006/relationships/image" Target="media/image33.png"/><Relationship Id="rId66" Type="http://schemas.openxmlformats.org/officeDocument/2006/relationships/image" Target="media/image52.svg"/><Relationship Id="rId87" Type="http://schemas.openxmlformats.org/officeDocument/2006/relationships/image" Target="media/image72.svg"/><Relationship Id="rId110" Type="http://schemas.openxmlformats.org/officeDocument/2006/relationships/hyperlink" Target="https://www.itu.int/en/ITU-D/Statistics/Documents/facts/rpm_cis_pub_2025_data.xlsx" TargetMode="External"/><Relationship Id="rId115" Type="http://schemas.openxmlformats.org/officeDocument/2006/relationships/image" Target="media/image94.svg"/><Relationship Id="rId131" Type="http://schemas.openxmlformats.org/officeDocument/2006/relationships/image" Target="media/image106.svg"/><Relationship Id="rId136" Type="http://schemas.openxmlformats.org/officeDocument/2006/relationships/hyperlink" Target="https://www.itu.int/en/ITU-D/Statistics/Documents/facts/rpm_arb_pub_2025_data.xlsx" TargetMode="External"/><Relationship Id="rId61" Type="http://schemas.openxmlformats.org/officeDocument/2006/relationships/image" Target="media/image47.png"/><Relationship Id="rId82" Type="http://schemas.openxmlformats.org/officeDocument/2006/relationships/image" Target="media/image67.png"/><Relationship Id="rId19" Type="http://schemas.openxmlformats.org/officeDocument/2006/relationships/image" Target="media/image7.png"/><Relationship Id="rId14" Type="http://schemas.openxmlformats.org/officeDocument/2006/relationships/image" Target="media/image4.svg"/><Relationship Id="rId30" Type="http://schemas.openxmlformats.org/officeDocument/2006/relationships/image" Target="media/image18.svg"/><Relationship Id="rId35" Type="http://schemas.openxmlformats.org/officeDocument/2006/relationships/image" Target="media/image23.png"/><Relationship Id="rId56" Type="http://schemas.openxmlformats.org/officeDocument/2006/relationships/image" Target="media/image44.svg"/><Relationship Id="rId77" Type="http://schemas.openxmlformats.org/officeDocument/2006/relationships/hyperlink" Target="https://www.broadbandcommission.org/" TargetMode="External"/><Relationship Id="rId100" Type="http://schemas.openxmlformats.org/officeDocument/2006/relationships/image" Target="media/image84.svg"/><Relationship Id="rId105" Type="http://schemas.openxmlformats.org/officeDocument/2006/relationships/image" Target="media/image87.png"/><Relationship Id="rId126" Type="http://schemas.openxmlformats.org/officeDocument/2006/relationships/image" Target="media/image103.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58.svg"/><Relationship Id="rId93" Type="http://schemas.openxmlformats.org/officeDocument/2006/relationships/image" Target="media/image77.png"/><Relationship Id="rId98" Type="http://schemas.openxmlformats.org/officeDocument/2006/relationships/image" Target="media/image82.svg"/><Relationship Id="rId121" Type="http://schemas.openxmlformats.org/officeDocument/2006/relationships/image" Target="media/image100.svg"/><Relationship Id="rId142"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svg"/><Relationship Id="rId67" Type="http://schemas.openxmlformats.org/officeDocument/2006/relationships/image" Target="media/image53.png"/><Relationship Id="rId116" Type="http://schemas.openxmlformats.org/officeDocument/2006/relationships/image" Target="media/image95.png"/><Relationship Id="rId137" Type="http://schemas.openxmlformats.org/officeDocument/2006/relationships/hyperlink" Target="https://www.itu.int/en/ITU-D/Statistics/Documents/facts/rpm_cis_pub_2025_data.xlsx" TargetMode="External"/><Relationship Id="rId20" Type="http://schemas.openxmlformats.org/officeDocument/2006/relationships/image" Target="media/image8.svg"/><Relationship Id="rId41" Type="http://schemas.openxmlformats.org/officeDocument/2006/relationships/image" Target="media/image29.png"/><Relationship Id="rId62" Type="http://schemas.openxmlformats.org/officeDocument/2006/relationships/image" Target="media/image48.svg"/><Relationship Id="rId83" Type="http://schemas.openxmlformats.org/officeDocument/2006/relationships/image" Target="media/image68.svg"/><Relationship Id="rId88" Type="http://schemas.openxmlformats.org/officeDocument/2006/relationships/image" Target="media/image73.png"/><Relationship Id="rId111" Type="http://schemas.openxmlformats.org/officeDocument/2006/relationships/image" Target="media/image91.png"/><Relationship Id="rId132" Type="http://schemas.openxmlformats.org/officeDocument/2006/relationships/image" Target="media/image107.emf"/><Relationship Id="rId15" Type="http://schemas.openxmlformats.org/officeDocument/2006/relationships/hyperlink" Target="https://app.gen5.digital/tracker/metrics" TargetMode="External"/><Relationship Id="rId36" Type="http://schemas.openxmlformats.org/officeDocument/2006/relationships/image" Target="media/image24.svg"/><Relationship Id="rId57" Type="http://schemas.openxmlformats.org/officeDocument/2006/relationships/hyperlink" Target="https://bbmaps.itu.int/app" TargetMode="External"/><Relationship Id="rId106" Type="http://schemas.openxmlformats.org/officeDocument/2006/relationships/image" Target="media/image88.svg"/><Relationship Id="rId127" Type="http://schemas.openxmlformats.org/officeDocument/2006/relationships/image" Target="media/image104.sv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40.svg"/><Relationship Id="rId73" Type="http://schemas.openxmlformats.org/officeDocument/2006/relationships/image" Target="media/image59.png"/><Relationship Id="rId78" Type="http://schemas.openxmlformats.org/officeDocument/2006/relationships/image" Target="media/image63.png"/><Relationship Id="rId94" Type="http://schemas.openxmlformats.org/officeDocument/2006/relationships/image" Target="media/image78.svg"/><Relationship Id="rId99" Type="http://schemas.openxmlformats.org/officeDocument/2006/relationships/image" Target="media/image83.png"/><Relationship Id="rId101" Type="http://schemas.openxmlformats.org/officeDocument/2006/relationships/hyperlink" Target="https://www.itu.int/en/ITU-D/Statistics/Documents/facts/rpm_cis_pub_2025_data.xlsx" TargetMode="External"/><Relationship Id="rId122" Type="http://schemas.openxmlformats.org/officeDocument/2006/relationships/image" Target="media/image101.png"/><Relationship Id="rId14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4.svg"/><Relationship Id="rId47" Type="http://schemas.openxmlformats.org/officeDocument/2006/relationships/image" Target="media/image35.png"/><Relationship Id="rId68" Type="http://schemas.openxmlformats.org/officeDocument/2006/relationships/image" Target="media/image54.svg"/><Relationship Id="rId89" Type="http://schemas.openxmlformats.org/officeDocument/2006/relationships/image" Target="media/image74.svg"/><Relationship Id="rId112" Type="http://schemas.openxmlformats.org/officeDocument/2006/relationships/image" Target="media/image92.svg"/><Relationship Id="rId133" Type="http://schemas.openxmlformats.org/officeDocument/2006/relationships/hyperlink" Target="https://www.itu.int/itu-d/sites/digital-impact-unlocked/driving-rural-connectivity-in-armenia/" TargetMode="External"/><Relationship Id="rId16" Type="http://schemas.openxmlformats.org/officeDocument/2006/relationships/image" Target="media/image5.png"/><Relationship Id="rId37" Type="http://schemas.openxmlformats.org/officeDocument/2006/relationships/image" Target="media/image25.png"/><Relationship Id="rId58" Type="http://schemas.openxmlformats.org/officeDocument/2006/relationships/image" Target="media/image45.png"/><Relationship Id="rId79" Type="http://schemas.openxmlformats.org/officeDocument/2006/relationships/image" Target="media/image64.svg"/><Relationship Id="rId102" Type="http://schemas.openxmlformats.org/officeDocument/2006/relationships/image" Target="media/image85.png"/><Relationship Id="rId123" Type="http://schemas.openxmlformats.org/officeDocument/2006/relationships/image" Target="media/image102.svg"/><Relationship Id="rId14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thierry.geiger@itu.in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atahub.itu.int/" TargetMode="External"/><Relationship Id="rId2" Type="http://schemas.openxmlformats.org/officeDocument/2006/relationships/hyperlink" Target="https://docs.un.org/A/RES/79/233" TargetMode="External"/><Relationship Id="rId1" Type="http://schemas.openxmlformats.org/officeDocument/2006/relationships/hyperlink" Target="http://www.gen5.digital/benchmark" TargetMode="External"/><Relationship Id="rId4" Type="http://schemas.openxmlformats.org/officeDocument/2006/relationships/hyperlink" Target="https://www.itu.int/itu-d/reports/statistics/facts-figures-20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4151c7f-6a84-4427-a6ce-bf1d7f28364f" xsi:nil="true"/>
    <lcf76f155ced4ddcb4097134ff3c332f xmlns="b6109c62-af78-494c-a825-80e1ffe3279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3CCE0E51E9C1044807BC3B58DFAB656" ma:contentTypeVersion="15" ma:contentTypeDescription="Create a new document." ma:contentTypeScope="" ma:versionID="2a3de5c381e7c50ee45f33fb83aef136">
  <xsd:schema xmlns:xsd="http://www.w3.org/2001/XMLSchema" xmlns:xs="http://www.w3.org/2001/XMLSchema" xmlns:p="http://schemas.microsoft.com/office/2006/metadata/properties" xmlns:ns2="b6109c62-af78-494c-a825-80e1ffe32798" xmlns:ns3="54151c7f-6a84-4427-a6ce-bf1d7f28364f" targetNamespace="http://schemas.microsoft.com/office/2006/metadata/properties" ma:root="true" ma:fieldsID="1582df10e80f2d8741f1104f58a0ba8a" ns2:_="" ns3:_="">
    <xsd:import namespace="b6109c62-af78-494c-a825-80e1ffe32798"/>
    <xsd:import namespace="54151c7f-6a84-4427-a6ce-bf1d7f28364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109c62-af78-494c-a825-80e1ffe32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151c7f-6a84-4427-a6ce-bf1d7f2836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d29b382-fa5a-4cbe-be10-aecbe8bfdefe}" ma:internalName="TaxCatchAll" ma:showField="CatchAllData" ma:web="54151c7f-6a84-4427-a6ce-bf1d7f2836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17E243-CB01-4DD2-9601-80AA209EE04B}">
  <ds:schemaRefs>
    <ds:schemaRef ds:uri="http://schemas.microsoft.com/sharepoint/v3/contenttype/forms"/>
  </ds:schemaRefs>
</ds:datastoreItem>
</file>

<file path=customXml/itemProps2.xml><?xml version="1.0" encoding="utf-8"?>
<ds:datastoreItem xmlns:ds="http://schemas.openxmlformats.org/officeDocument/2006/customXml" ds:itemID="{3EC58782-B0E1-4E89-9094-CADA65784796}">
  <ds:schemaRefs>
    <ds:schemaRef ds:uri="http://schemas.microsoft.com/office/2006/metadata/properties"/>
    <ds:schemaRef ds:uri="http://schemas.microsoft.com/office/infopath/2007/PartnerControls"/>
    <ds:schemaRef ds:uri="0f208774-d51b-4573-a67b-89dea6922a77"/>
    <ds:schemaRef ds:uri="c90385a7-5e94-4852-9398-ec888c07ca90"/>
    <ds:schemaRef ds:uri="54151c7f-6a84-4427-a6ce-bf1d7f28364f"/>
    <ds:schemaRef ds:uri="b6109c62-af78-494c-a825-80e1ffe32798"/>
  </ds:schemaRefs>
</ds:datastoreItem>
</file>

<file path=customXml/itemProps3.xml><?xml version="1.0" encoding="utf-8"?>
<ds:datastoreItem xmlns:ds="http://schemas.openxmlformats.org/officeDocument/2006/customXml" ds:itemID="{BACF41A4-028F-4752-A2BC-E01D80CDE6F4}">
  <ds:schemaRefs>
    <ds:schemaRef ds:uri="http://schemas.openxmlformats.org/officeDocument/2006/bibliography"/>
  </ds:schemaRefs>
</ds:datastoreItem>
</file>

<file path=customXml/itemProps4.xml><?xml version="1.0" encoding="utf-8"?>
<ds:datastoreItem xmlns:ds="http://schemas.openxmlformats.org/officeDocument/2006/customXml" ds:itemID="{2C609808-C685-474A-A99F-04B3DE29C2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109c62-af78-494c-a825-80e1ffe32798"/>
    <ds:schemaRef ds:uri="54151c7f-6a84-4427-a6ce-bf1d7f2836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48</Pages>
  <Words>10855</Words>
  <Characters>65661</Characters>
  <Application>Microsoft Office Word</Application>
  <DocSecurity>0</DocSecurity>
  <Lines>547</Lines>
  <Paragraphs>152</Paragraphs>
  <ScaleCrop>false</ScaleCrop>
  <Manager>General Secretariat - Pool</Manager>
  <Company>International Telecommunication Union (ITU)</Company>
  <LinksUpToDate>false</LinksUpToDate>
  <CharactersWithSpaces>76364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TDAG19</dc:title>
  <dc:subject/>
  <dc:creator>BDT-nd</dc:creator>
  <cp:keywords/>
  <cp:lastModifiedBy>BDT</cp:lastModifiedBy>
  <cp:revision>17</cp:revision>
  <cp:lastPrinted>2025-03-14T16:47:00Z</cp:lastPrinted>
  <dcterms:created xsi:type="dcterms:W3CDTF">2025-03-20T14:18:00Z</dcterms:created>
  <dcterms:modified xsi:type="dcterms:W3CDTF">2025-03-25T11:44:00Z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1/001-E</vt:lpwstr>
  </property>
  <property fmtid="{D5CDD505-2E9C-101B-9397-08002B2CF9AE}" pid="3" name="Docdate">
    <vt:lpwstr>[Date]</vt:lpwstr>
  </property>
  <property fmtid="{D5CDD505-2E9C-101B-9397-08002B2CF9AE}" pid="4" name="Docorlang">
    <vt:lpwstr>For action</vt:lpwstr>
  </property>
  <property fmtid="{D5CDD505-2E9C-101B-9397-08002B2CF9AE}" pid="5" name="Docdest">
    <vt:lpwstr/>
  </property>
  <property fmtid="{D5CDD505-2E9C-101B-9397-08002B2CF9AE}" pid="6" name="Docauthor">
    <vt:lpwstr>[Insert here]</vt:lpwstr>
  </property>
  <property fmtid="{D5CDD505-2E9C-101B-9397-08002B2CF9AE}" pid="7" name="Docbluepink">
    <vt:lpwstr/>
  </property>
  <property fmtid="{D5CDD505-2E9C-101B-9397-08002B2CF9AE}" pid="8" name="ContentTypeId">
    <vt:lpwstr>0x010100B3CCE0E51E9C1044807BC3B58DFAB656</vt:lpwstr>
  </property>
  <property fmtid="{D5CDD505-2E9C-101B-9397-08002B2CF9AE}" pid="9" name="MediaServiceImageTags">
    <vt:lpwstr/>
  </property>
</Properties>
</file>