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96"/>
        <w:gridCol w:w="3792"/>
      </w:tblGrid>
      <w:tr w:rsidR="00307769" w:rsidRPr="006D4EA0" w14:paraId="3F0E9EC4" w14:textId="77777777" w:rsidTr="005715A7">
        <w:trPr>
          <w:cantSplit/>
          <w:trHeight w:val="1134"/>
        </w:trPr>
        <w:tc>
          <w:tcPr>
            <w:tcW w:w="6096" w:type="dxa"/>
          </w:tcPr>
          <w:p w14:paraId="675C7A0D" w14:textId="77777777" w:rsidR="00326489" w:rsidRPr="006D4EA0" w:rsidRDefault="00326489" w:rsidP="00326489">
            <w:pPr>
              <w:tabs>
                <w:tab w:val="clear" w:pos="1191"/>
                <w:tab w:val="clear" w:pos="1588"/>
                <w:tab w:val="clear" w:pos="1985"/>
              </w:tabs>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5F5F590A" w14:textId="61C32527" w:rsidR="00307769" w:rsidRPr="006D4EA0" w:rsidRDefault="00326489" w:rsidP="00326489">
            <w:pPr>
              <w:tabs>
                <w:tab w:val="clear" w:pos="1191"/>
                <w:tab w:val="clear" w:pos="1588"/>
                <w:tab w:val="clear" w:pos="1985"/>
              </w:tabs>
              <w:spacing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3792"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tcBorders>
              <w:top w:val="single" w:sz="12" w:space="0" w:color="auto"/>
            </w:tcBorders>
          </w:tcPr>
          <w:p w14:paraId="6CC77CFE" w14:textId="77777777" w:rsidR="00683C32" w:rsidRPr="006D4EA0" w:rsidRDefault="00683C32" w:rsidP="00107E85">
            <w:pPr>
              <w:spacing w:before="0"/>
              <w:rPr>
                <w:b/>
                <w:bCs/>
                <w:sz w:val="20"/>
              </w:rPr>
            </w:pPr>
          </w:p>
        </w:tc>
      </w:tr>
      <w:tr w:rsidR="008C614C" w:rsidRPr="00326489" w14:paraId="0BB3FBC4" w14:textId="77777777" w:rsidTr="005715A7">
        <w:trPr>
          <w:cantSplit/>
        </w:trPr>
        <w:tc>
          <w:tcPr>
            <w:tcW w:w="6096" w:type="dxa"/>
          </w:tcPr>
          <w:p w14:paraId="43C54B3D" w14:textId="77777777" w:rsidR="008C614C" w:rsidRPr="006D4EA0" w:rsidRDefault="008C614C" w:rsidP="008C614C">
            <w:pPr>
              <w:pStyle w:val="Committee"/>
              <w:spacing w:before="0"/>
              <w:rPr>
                <w:b w:val="0"/>
                <w:szCs w:val="24"/>
              </w:rPr>
            </w:pPr>
          </w:p>
        </w:tc>
        <w:tc>
          <w:tcPr>
            <w:tcW w:w="3792" w:type="dxa"/>
          </w:tcPr>
          <w:p w14:paraId="02E44EE9" w14:textId="5F36B6CE"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326489">
              <w:rPr>
                <w:b/>
                <w:bCs/>
                <w:lang w:val="pt-BR"/>
              </w:rPr>
              <w:t>ASP</w:t>
            </w:r>
            <w:r w:rsidRPr="005346F7">
              <w:rPr>
                <w:b/>
                <w:bCs/>
                <w:lang w:val="pt-BR"/>
              </w:rPr>
              <w:t>25/</w:t>
            </w:r>
            <w:r>
              <w:rPr>
                <w:b/>
                <w:bCs/>
                <w:lang w:val="pt-BR"/>
              </w:rPr>
              <w:t>5</w:t>
            </w:r>
            <w:r w:rsidR="007E48F2">
              <w:rPr>
                <w:b/>
                <w:bCs/>
                <w:lang w:val="pt-BR"/>
              </w:rPr>
              <w:t>(Rev.1)</w:t>
            </w:r>
            <w:r>
              <w:rPr>
                <w:b/>
                <w:bCs/>
                <w:lang w:val="pt-BR"/>
              </w:rPr>
              <w:t>-E</w:t>
            </w:r>
          </w:p>
        </w:tc>
      </w:tr>
      <w:tr w:rsidR="008C614C" w:rsidRPr="006D4EA0" w14:paraId="24D04936" w14:textId="77777777" w:rsidTr="005715A7">
        <w:trPr>
          <w:cantSplit/>
        </w:trPr>
        <w:tc>
          <w:tcPr>
            <w:tcW w:w="6096" w:type="dxa"/>
          </w:tcPr>
          <w:p w14:paraId="12CE4DBF" w14:textId="77777777" w:rsidR="008C614C" w:rsidRPr="006D4EA0" w:rsidRDefault="008C614C" w:rsidP="008C614C">
            <w:pPr>
              <w:spacing w:before="0"/>
              <w:rPr>
                <w:b/>
                <w:bCs/>
                <w:smallCaps/>
                <w:szCs w:val="24"/>
                <w:lang w:val="fr-FR"/>
              </w:rPr>
            </w:pPr>
          </w:p>
        </w:tc>
        <w:tc>
          <w:tcPr>
            <w:tcW w:w="3792" w:type="dxa"/>
          </w:tcPr>
          <w:p w14:paraId="0F89640F" w14:textId="5EDB53C4" w:rsidR="008C614C" w:rsidRPr="006D4EA0" w:rsidRDefault="005715A7" w:rsidP="008C614C">
            <w:pPr>
              <w:spacing w:before="0"/>
              <w:rPr>
                <w:b/>
                <w:szCs w:val="24"/>
              </w:rPr>
            </w:pPr>
            <w:bookmarkStart w:id="1" w:name="CreationDate"/>
            <w:bookmarkEnd w:id="1"/>
            <w:r>
              <w:rPr>
                <w:b/>
                <w:bCs/>
                <w:szCs w:val="28"/>
              </w:rPr>
              <w:t xml:space="preserve">22 January </w:t>
            </w:r>
            <w:r w:rsidRPr="002C3C50">
              <w:rPr>
                <w:b/>
                <w:bCs/>
                <w:szCs w:val="28"/>
              </w:rPr>
              <w:t>202</w:t>
            </w:r>
            <w:r>
              <w:rPr>
                <w:b/>
                <w:bCs/>
                <w:szCs w:val="28"/>
              </w:rPr>
              <w:t>5</w:t>
            </w:r>
          </w:p>
        </w:tc>
      </w:tr>
      <w:tr w:rsidR="008C614C" w:rsidRPr="006D4EA0" w14:paraId="7B96545F" w14:textId="77777777" w:rsidTr="005715A7">
        <w:trPr>
          <w:cantSplit/>
        </w:trPr>
        <w:tc>
          <w:tcPr>
            <w:tcW w:w="6096" w:type="dxa"/>
          </w:tcPr>
          <w:p w14:paraId="65956FD3" w14:textId="77777777" w:rsidR="008C614C" w:rsidRPr="006D4EA0" w:rsidRDefault="008C614C" w:rsidP="008C614C">
            <w:pPr>
              <w:spacing w:before="0"/>
              <w:rPr>
                <w:b/>
                <w:bCs/>
                <w:smallCaps/>
                <w:szCs w:val="24"/>
              </w:rPr>
            </w:pPr>
          </w:p>
        </w:tc>
        <w:tc>
          <w:tcPr>
            <w:tcW w:w="3792" w:type="dxa"/>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2"/>
          </w:tcPr>
          <w:p w14:paraId="512FCA01" w14:textId="039A1805" w:rsidR="00A13162" w:rsidRPr="006D4EA0" w:rsidRDefault="002C3C50" w:rsidP="0030353C">
            <w:pPr>
              <w:pStyle w:val="Source"/>
            </w:pPr>
            <w:bookmarkStart w:id="3" w:name="Source"/>
            <w:bookmarkEnd w:id="3"/>
            <w:r w:rsidRPr="002C3C50">
              <w:t>Chair, TDAG-WG-futureSGQ</w:t>
            </w:r>
          </w:p>
        </w:tc>
      </w:tr>
      <w:tr w:rsidR="00AC6F14" w:rsidRPr="006D4EA0" w14:paraId="2CBD3A36" w14:textId="77777777" w:rsidTr="58484CDC">
        <w:trPr>
          <w:cantSplit/>
        </w:trPr>
        <w:tc>
          <w:tcPr>
            <w:tcW w:w="9888" w:type="dxa"/>
            <w:gridSpan w:val="2"/>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TDAG-WG-futureSGQ</w:t>
            </w:r>
          </w:p>
        </w:tc>
      </w:tr>
      <w:tr w:rsidR="00A721F4" w:rsidRPr="006D4EA0" w14:paraId="23A30231" w14:textId="77777777" w:rsidTr="58484CDC">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2"/>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77777777"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(TDAG-WG-futureSGQ) since May 2024. This revised version provides a shortened version of the updates from second and third meetings of TDAG-WG-futureSGQ and includes a section on updates from the fourth meeting held on 21 January 2025.</w:t>
            </w:r>
          </w:p>
          <w:p w14:paraId="5FB106AC" w14:textId="77777777" w:rsidR="00886F1F" w:rsidRPr="00D9621A" w:rsidRDefault="00886F1F" w:rsidP="00886F1F">
            <w:pPr>
              <w:spacing w:after="120"/>
              <w:rPr>
                <w:b/>
                <w:bCs/>
                <w:szCs w:val="24"/>
              </w:rPr>
            </w:pPr>
            <w:r w:rsidRPr="005E090D">
              <w:rPr>
                <w:b/>
                <w:bCs/>
              </w:rPr>
              <w:t>Action required:</w:t>
            </w:r>
          </w:p>
          <w:p w14:paraId="0A08CAAA" w14:textId="3D088D4B" w:rsidR="002C3C50" w:rsidRDefault="008C614C" w:rsidP="002C3C50">
            <w:pPr>
              <w:spacing w:after="120"/>
            </w:pPr>
            <w:r>
              <w:t>RPM-</w:t>
            </w:r>
            <w:r w:rsidR="00326489">
              <w:t>ASP</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2"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TDAG-WG-futureSGQ)</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77777777" w:rsidR="009373DB" w:rsidRPr="00CB3A37" w:rsidRDefault="009373DB" w:rsidP="009373DB">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 xml:space="preserve">Introduction </w:t>
      </w:r>
    </w:p>
    <w:p w14:paraId="102949BF" w14:textId="77777777" w:rsidR="009373DB" w:rsidRPr="00CB3A37" w:rsidRDefault="009373DB" w:rsidP="009373DB">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3"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77777777" w:rsidR="009373DB" w:rsidRDefault="009373DB" w:rsidP="009373DB">
      <w:pPr>
        <w:spacing w:after="120"/>
        <w:rPr>
          <w:rFonts w:cstheme="minorHAnsi"/>
          <w:szCs w:val="24"/>
        </w:rPr>
      </w:pPr>
      <w:r w:rsidRPr="00CB3A37">
        <w:rPr>
          <w:rFonts w:cstheme="minorHAnsi"/>
          <w:szCs w:val="24"/>
        </w:rPr>
        <w:t>Following the approval of the terms of reference at the TDAG meeting of May 2024, the TDAG-WG-futureSGQ held its second and third two fully online meetings on 3 September 2024 and 3 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 xml:space="preserve">March 2025, was agreed. The fourth meeting was held on 21 January 2025. </w:t>
      </w:r>
    </w:p>
    <w:p w14:paraId="3F4CD835" w14:textId="77777777" w:rsidR="009373DB" w:rsidRDefault="009373DB" w:rsidP="009373DB">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TDAG-WG-futureSGQ.</w:t>
      </w:r>
      <w:r>
        <w:rPr>
          <w:rFonts w:cstheme="minorHAnsi"/>
          <w:szCs w:val="24"/>
        </w:rPr>
        <w:t xml:space="preserve"> </w:t>
      </w:r>
    </w:p>
    <w:p w14:paraId="020F2C8B"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 xml:space="preserve">TDAG-WG-futureSGQ </w:t>
      </w:r>
      <w:bookmarkEnd w:id="7"/>
      <w:r w:rsidRPr="00CB3A37">
        <w:rPr>
          <w:rFonts w:cstheme="minorHAnsi"/>
          <w:b/>
          <w:bCs/>
          <w:szCs w:val="24"/>
        </w:rPr>
        <w:t>held on 3 September 2024</w:t>
      </w:r>
    </w:p>
    <w:p w14:paraId="1B2C8852" w14:textId="77777777" w:rsidR="009373DB" w:rsidRDefault="009373DB" w:rsidP="009373DB">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14" w:history="1">
        <w:r w:rsidRPr="00CB3A37">
          <w:rPr>
            <w:rStyle w:val="Hyperlink"/>
            <w:rFonts w:cstheme="minorHAnsi"/>
            <w:szCs w:val="24"/>
          </w:rPr>
          <w:t>TDAG-WG-futureSGQ/10</w:t>
        </w:r>
      </w:hyperlink>
      <w:r w:rsidRPr="00CB3A37">
        <w:rPr>
          <w:rFonts w:cstheme="minorHAnsi"/>
          <w:szCs w:val="24"/>
        </w:rPr>
        <w:t>).</w:t>
      </w:r>
      <w:r>
        <w:rPr>
          <w:rFonts w:cstheme="minorHAnsi"/>
          <w:szCs w:val="24"/>
        </w:rPr>
        <w:t xml:space="preserve"> </w:t>
      </w:r>
    </w:p>
    <w:p w14:paraId="167671A2" w14:textId="77777777" w:rsidR="009373DB" w:rsidRPr="00CB3A37" w:rsidRDefault="009373DB" w:rsidP="009373D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9373D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 </w:t>
      </w:r>
    </w:p>
    <w:p w14:paraId="030041CE" w14:textId="77777777" w:rsidR="009373DB" w:rsidRDefault="009373DB" w:rsidP="009373D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TDAG-WG-futureSGQ held on 3 December 2024</w:t>
      </w:r>
    </w:p>
    <w:p w14:paraId="78CF2401" w14:textId="77777777" w:rsidR="009373DB" w:rsidRPr="00CB3A37" w:rsidRDefault="009373DB" w:rsidP="009373DB">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15" w:history="1">
        <w:r w:rsidRPr="00CB3A37">
          <w:rPr>
            <w:rStyle w:val="Hyperlink"/>
            <w:rFonts w:cstheme="minorHAnsi"/>
            <w:szCs w:val="24"/>
          </w:rPr>
          <w:t>TDAG-WG-futureSGQ/16</w:t>
        </w:r>
      </w:hyperlink>
      <w:r w:rsidRPr="00CB3A37">
        <w:rPr>
          <w:rFonts w:cstheme="minorHAnsi"/>
          <w:szCs w:val="24"/>
        </w:rPr>
        <w:t>).</w:t>
      </w:r>
    </w:p>
    <w:p w14:paraId="3DA53CAA" w14:textId="77777777" w:rsidR="009373DB" w:rsidRDefault="009373DB" w:rsidP="009373D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 xml:space="preserve">. </w:t>
      </w:r>
    </w:p>
    <w:p w14:paraId="07151ACE" w14:textId="77777777" w:rsidR="009373DB" w:rsidRPr="00CB3A37" w:rsidRDefault="009373DB" w:rsidP="009373DB">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6"/>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9373DB">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77777777" w:rsidR="009373DB" w:rsidRPr="00CB3A37" w:rsidRDefault="009373DB" w:rsidP="009373D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r w:rsidRPr="00CB3A37">
        <w:rPr>
          <w:rFonts w:cstheme="minorHAnsi"/>
          <w:szCs w:val="24"/>
          <w:lang w:eastAsia="ko-KR"/>
        </w:rPr>
        <w:t xml:space="preserve"> </w:t>
      </w:r>
    </w:p>
    <w:p w14:paraId="5E4D549C" w14:textId="77777777" w:rsidR="009373DB" w:rsidRPr="004650BC" w:rsidRDefault="009373DB" w:rsidP="009373DB">
      <w:pPr>
        <w:pStyle w:val="ListParagraph"/>
        <w:numPr>
          <w:ilvl w:val="0"/>
          <w:numId w:val="15"/>
        </w:numPr>
        <w:spacing w:after="120"/>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 xml:space="preserve">will aim to engage the widest possible set of contributions/views received formally and informally. This document will be a contribution to the next TDAG-WG-futureSGQ meeting. </w:t>
      </w:r>
    </w:p>
    <w:p w14:paraId="57B3D1FE" w14:textId="77777777" w:rsidR="009373DB" w:rsidRPr="00CB3A37" w:rsidRDefault="009373DB" w:rsidP="009373DB">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r w:rsidRPr="00CB3A37">
        <w:rPr>
          <w:rFonts w:cstheme="minorHAnsi"/>
          <w:szCs w:val="24"/>
          <w:lang w:eastAsia="ko-KR"/>
        </w:rPr>
        <w:t xml:space="preserve"> </w:t>
      </w:r>
    </w:p>
    <w:p w14:paraId="288BD7A4" w14:textId="77777777" w:rsidR="009373DB" w:rsidRDefault="009373DB" w:rsidP="009373DB">
      <w:pPr>
        <w:pStyle w:val="ListParagraph"/>
        <w:numPr>
          <w:ilvl w:val="0"/>
          <w:numId w:val="15"/>
        </w:numPr>
        <w:spacing w:after="120"/>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 xml:space="preserve">meeting will be held in January- February 2025 period after further consultation with BDT secretariat, BDT Director and TDAG Chair. </w:t>
      </w:r>
    </w:p>
    <w:p w14:paraId="17DC644E" w14:textId="77777777" w:rsidR="009373DB" w:rsidRPr="00880939" w:rsidRDefault="009373DB" w:rsidP="009373DB">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 xml:space="preserve">fully online meeting of the TDAG-WG-futureSGQ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77777777" w:rsidR="009373DB" w:rsidRDefault="009373DB" w:rsidP="009373D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17"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20F44897" w14:textId="55333CCC" w:rsidR="009373DB" w:rsidRDefault="009373DB" w:rsidP="009373DB">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9373DB">
      <w:pPr>
        <w:pStyle w:val="ListParagraph"/>
        <w:numPr>
          <w:ilvl w:val="0"/>
          <w:numId w:val="17"/>
        </w:numPr>
        <w:spacing w:after="120"/>
        <w:contextualSpacing w:val="0"/>
        <w:rPr>
          <w:rFonts w:cstheme="minorHAnsi"/>
          <w:szCs w:val="24"/>
        </w:rPr>
      </w:pPr>
      <w:r>
        <w:rPr>
          <w:rFonts w:cstheme="minorHAnsi"/>
          <w:szCs w:val="24"/>
        </w:rPr>
        <w:t>D</w:t>
      </w:r>
      <w:r w:rsidRPr="00880939">
        <w:rPr>
          <w:rFonts w:cstheme="minorHAnsi"/>
          <w:szCs w:val="24"/>
        </w:rPr>
        <w:t xml:space="preserve">ocument </w:t>
      </w:r>
      <w:hyperlink r:id="rId18"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29B9BA77" w:rsidR="009373DB" w:rsidRDefault="009373DB" w:rsidP="009373DB">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9373DB">
      <w:pPr>
        <w:pStyle w:val="ListParagraph"/>
        <w:numPr>
          <w:ilvl w:val="0"/>
          <w:numId w:val="18"/>
        </w:numPr>
        <w:spacing w:after="120"/>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Pr="00BE3B8F" w:rsidRDefault="009373DB" w:rsidP="009373DB">
      <w:pPr>
        <w:pStyle w:val="ListParagraph"/>
        <w:numPr>
          <w:ilvl w:val="0"/>
          <w:numId w:val="18"/>
        </w:numPr>
        <w:spacing w:after="120"/>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0"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F97B" w14:textId="77777777" w:rsidR="006D394A" w:rsidRDefault="006D394A">
      <w:r>
        <w:separator/>
      </w:r>
    </w:p>
  </w:endnote>
  <w:endnote w:type="continuationSeparator" w:id="0">
    <w:p w14:paraId="59A5F4E9" w14:textId="77777777" w:rsidR="006D394A" w:rsidRDefault="006D394A">
      <w:r>
        <w:continuationSeparator/>
      </w:r>
    </w:p>
  </w:endnote>
  <w:endnote w:type="continuationNotice" w:id="1">
    <w:p w14:paraId="51EAB79B" w14:textId="77777777" w:rsidR="00807150" w:rsidRDefault="008071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33AB" w14:textId="77777777" w:rsidR="00326489" w:rsidRDefault="0032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9618" w14:textId="77777777" w:rsidR="00326489" w:rsidRDefault="00326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E3CC" w14:textId="77777777" w:rsidR="006D394A" w:rsidRDefault="006D394A">
      <w:r>
        <w:t>____________________</w:t>
      </w:r>
    </w:p>
  </w:footnote>
  <w:footnote w:type="continuationSeparator" w:id="0">
    <w:p w14:paraId="2FD51CFE" w14:textId="77777777" w:rsidR="006D394A" w:rsidRDefault="006D394A">
      <w:r>
        <w:continuationSeparator/>
      </w:r>
    </w:p>
  </w:footnote>
  <w:footnote w:type="continuationNotice" w:id="1">
    <w:p w14:paraId="7E4F7D52" w14:textId="77777777" w:rsidR="00807150" w:rsidRDefault="0080715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BF0E" w14:textId="77777777" w:rsidR="00326489" w:rsidRDefault="0032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35A6560"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326489">
      <w:rPr>
        <w:sz w:val="22"/>
        <w:szCs w:val="22"/>
        <w:lang w:val="es-ES_tradnl"/>
      </w:rPr>
      <w:t>ASP</w:t>
    </w:r>
    <w:r>
      <w:rPr>
        <w:sz w:val="22"/>
        <w:szCs w:val="22"/>
        <w:lang w:val="es-ES_tradnl"/>
      </w:rPr>
      <w:t>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D33E" w14:textId="77777777" w:rsidR="00326489" w:rsidRDefault="0032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3"/>
  </w:num>
  <w:num w:numId="2" w16cid:durableId="1423259638">
    <w:abstractNumId w:val="7"/>
  </w:num>
  <w:num w:numId="3" w16cid:durableId="36979227">
    <w:abstractNumId w:val="0"/>
  </w:num>
  <w:num w:numId="4" w16cid:durableId="24913510">
    <w:abstractNumId w:val="10"/>
  </w:num>
  <w:num w:numId="5" w16cid:durableId="1150486027">
    <w:abstractNumId w:val="3"/>
  </w:num>
  <w:num w:numId="6" w16cid:durableId="1382053068">
    <w:abstractNumId w:val="4"/>
  </w:num>
  <w:num w:numId="7" w16cid:durableId="1556818885">
    <w:abstractNumId w:val="16"/>
  </w:num>
  <w:num w:numId="8" w16cid:durableId="1962029091">
    <w:abstractNumId w:val="12"/>
  </w:num>
  <w:num w:numId="9" w16cid:durableId="2111268075">
    <w:abstractNumId w:val="8"/>
  </w:num>
  <w:num w:numId="10" w16cid:durableId="136993871">
    <w:abstractNumId w:val="14"/>
  </w:num>
  <w:num w:numId="11" w16cid:durableId="947810580">
    <w:abstractNumId w:val="15"/>
  </w:num>
  <w:num w:numId="12" w16cid:durableId="1361591812">
    <w:abstractNumId w:val="1"/>
  </w:num>
  <w:num w:numId="13" w16cid:durableId="451554289">
    <w:abstractNumId w:val="17"/>
  </w:num>
  <w:num w:numId="14" w16cid:durableId="991712058">
    <w:abstractNumId w:val="5"/>
  </w:num>
  <w:num w:numId="15" w16cid:durableId="74597831">
    <w:abstractNumId w:val="2"/>
  </w:num>
  <w:num w:numId="16" w16cid:durableId="423914179">
    <w:abstractNumId w:val="6"/>
  </w:num>
  <w:num w:numId="17" w16cid:durableId="1782339298">
    <w:abstractNumId w:val="11"/>
  </w:num>
  <w:num w:numId="18" w16cid:durableId="60045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30397"/>
    <w:rsid w:val="00033399"/>
    <w:rsid w:val="00037A9E"/>
    <w:rsid w:val="00037F91"/>
    <w:rsid w:val="000539F1"/>
    <w:rsid w:val="00054747"/>
    <w:rsid w:val="00055A2A"/>
    <w:rsid w:val="000615C1"/>
    <w:rsid w:val="00061675"/>
    <w:rsid w:val="000743AA"/>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F23E6"/>
    <w:rsid w:val="001F4238"/>
    <w:rsid w:val="00200A38"/>
    <w:rsid w:val="00200A46"/>
    <w:rsid w:val="00211B6F"/>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80B71"/>
    <w:rsid w:val="0038365A"/>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156B"/>
    <w:rsid w:val="004122C5"/>
    <w:rsid w:val="00413B78"/>
    <w:rsid w:val="004146FD"/>
    <w:rsid w:val="00416DDE"/>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96D4C"/>
    <w:rsid w:val="006A0DDD"/>
    <w:rsid w:val="006A6549"/>
    <w:rsid w:val="006A7710"/>
    <w:rsid w:val="006A7A61"/>
    <w:rsid w:val="006B1E59"/>
    <w:rsid w:val="006B1EFA"/>
    <w:rsid w:val="006B2FFB"/>
    <w:rsid w:val="006C075B"/>
    <w:rsid w:val="006C10A2"/>
    <w:rsid w:val="006C1F18"/>
    <w:rsid w:val="006D394A"/>
    <w:rsid w:val="006D40D5"/>
    <w:rsid w:val="006D4EA0"/>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72B6E"/>
    <w:rsid w:val="00874DFD"/>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B1F"/>
    <w:rsid w:val="008D5E4F"/>
    <w:rsid w:val="008E2D1A"/>
    <w:rsid w:val="008E34F0"/>
    <w:rsid w:val="008F14F5"/>
    <w:rsid w:val="008F71C1"/>
    <w:rsid w:val="00902D41"/>
    <w:rsid w:val="00902F49"/>
    <w:rsid w:val="00904230"/>
    <w:rsid w:val="00905B87"/>
    <w:rsid w:val="00914004"/>
    <w:rsid w:val="00922EC1"/>
    <w:rsid w:val="00923CF1"/>
    <w:rsid w:val="009301F1"/>
    <w:rsid w:val="009307DF"/>
    <w:rsid w:val="009359B8"/>
    <w:rsid w:val="00935FF0"/>
    <w:rsid w:val="009373DB"/>
    <w:rsid w:val="009431F8"/>
    <w:rsid w:val="00943AEA"/>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310F9"/>
    <w:rsid w:val="00B37866"/>
    <w:rsid w:val="00B412FB"/>
    <w:rsid w:val="00B4576B"/>
    <w:rsid w:val="00B46350"/>
    <w:rsid w:val="00B46DF3"/>
    <w:rsid w:val="00B5794F"/>
    <w:rsid w:val="00B648C7"/>
    <w:rsid w:val="00B66E8F"/>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6933"/>
    <w:rsid w:val="00E9605B"/>
    <w:rsid w:val="00E97298"/>
    <w:rsid w:val="00E97753"/>
    <w:rsid w:val="00EA0C51"/>
    <w:rsid w:val="00EA7DE7"/>
    <w:rsid w:val="00EB7A8A"/>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3/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D22-TDAG31-C-0025/" TargetMode="External"/><Relationship Id="rId17" Type="http://schemas.openxmlformats.org/officeDocument/2006/relationships/hyperlink" Target="https://www.itu.int/md/D22-TDAG.WG.SGQ-C-002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22-TDAG.WG.SGQ-C-001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GQ-C-0010/"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F38161C-D32A-405E-9939-E5B7D329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983</Words>
  <Characters>5873</Characters>
  <Application>Microsoft Office Word</Application>
  <DocSecurity>0</DocSecurity>
  <Lines>48</Lines>
  <Paragraphs>13</Paragraphs>
  <ScaleCrop>false</ScaleCrop>
  <Manager>General Secretariat - Pool</Manager>
  <Company>International Telecommunication Union (ITU)</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26</cp:revision>
  <cp:lastPrinted>2014-11-04T09:22:00Z</cp:lastPrinted>
  <dcterms:created xsi:type="dcterms:W3CDTF">2024-12-13T11:19:00Z</dcterms:created>
  <dcterms:modified xsi:type="dcterms:W3CDTF">2025-02-10T10:05:00Z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