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379"/>
        <w:gridCol w:w="3509"/>
      </w:tblGrid>
      <w:tr w:rsidR="00307769" w:rsidRPr="00BE3DAF" w14:paraId="3F0E9EC4" w14:textId="77777777" w:rsidTr="00952667">
        <w:trPr>
          <w:cantSplit/>
          <w:trHeight w:val="1134"/>
        </w:trPr>
        <w:tc>
          <w:tcPr>
            <w:tcW w:w="6379" w:type="dxa"/>
          </w:tcPr>
          <w:p w14:paraId="4209EAD7" w14:textId="4CE8D380" w:rsidR="00FB742A" w:rsidRPr="00BE3DAF" w:rsidRDefault="00FB742A" w:rsidP="00FB742A">
            <w:pPr>
              <w:tabs>
                <w:tab w:val="clear" w:pos="1191"/>
                <w:tab w:val="clear" w:pos="1588"/>
                <w:tab w:val="clear" w:pos="1985"/>
              </w:tabs>
              <w:ind w:left="34"/>
              <w:rPr>
                <w:b/>
                <w:bCs/>
                <w:sz w:val="32"/>
                <w:szCs w:val="32"/>
              </w:rPr>
            </w:pPr>
            <w:r w:rsidRPr="00BE3DAF">
              <w:rPr>
                <w:b/>
                <w:bCs/>
                <w:sz w:val="32"/>
                <w:szCs w:val="32"/>
              </w:rPr>
              <w:t xml:space="preserve">Regional Preparatory Meeting for </w:t>
            </w:r>
            <w:r w:rsidR="000F2AC7" w:rsidRPr="00BE3DAF">
              <w:rPr>
                <w:b/>
                <w:bCs/>
                <w:sz w:val="32"/>
                <w:szCs w:val="32"/>
              </w:rPr>
              <w:t>Asia and the P</w:t>
            </w:r>
            <w:r w:rsidR="0019574B" w:rsidRPr="00BE3DAF">
              <w:rPr>
                <w:b/>
                <w:bCs/>
                <w:sz w:val="32"/>
                <w:szCs w:val="32"/>
              </w:rPr>
              <w:t>a</w:t>
            </w:r>
            <w:r w:rsidR="000F2AC7" w:rsidRPr="00BE3DAF">
              <w:rPr>
                <w:b/>
                <w:bCs/>
                <w:sz w:val="32"/>
                <w:szCs w:val="32"/>
              </w:rPr>
              <w:t>cific</w:t>
            </w:r>
            <w:r w:rsidR="0019574B" w:rsidRPr="00BE3DAF">
              <w:rPr>
                <w:b/>
                <w:bCs/>
                <w:sz w:val="32"/>
                <w:szCs w:val="32"/>
              </w:rPr>
              <w:t xml:space="preserve"> </w:t>
            </w:r>
            <w:r w:rsidRPr="00BE3DAF">
              <w:rPr>
                <w:b/>
                <w:bCs/>
                <w:sz w:val="32"/>
                <w:szCs w:val="32"/>
              </w:rPr>
              <w:t>for WTDC-25 (RPM-</w:t>
            </w:r>
            <w:r w:rsidR="0019574B" w:rsidRPr="00BE3DAF">
              <w:rPr>
                <w:b/>
                <w:bCs/>
                <w:sz w:val="32"/>
                <w:szCs w:val="32"/>
              </w:rPr>
              <w:t>ASP</w:t>
            </w:r>
            <w:r w:rsidRPr="00BE3DAF">
              <w:rPr>
                <w:b/>
                <w:bCs/>
                <w:sz w:val="32"/>
                <w:szCs w:val="32"/>
              </w:rPr>
              <w:t>)</w:t>
            </w:r>
          </w:p>
          <w:p w14:paraId="5F5F590A" w14:textId="1E68CF05" w:rsidR="00307769" w:rsidRPr="00BE3DAF" w:rsidRDefault="0019574B" w:rsidP="00FB742A">
            <w:pPr>
              <w:tabs>
                <w:tab w:val="clear" w:pos="1191"/>
                <w:tab w:val="clear" w:pos="1588"/>
                <w:tab w:val="clear" w:pos="1985"/>
              </w:tabs>
              <w:spacing w:after="120"/>
              <w:ind w:left="34"/>
              <w:rPr>
                <w:rFonts w:ascii="Verdana" w:hAnsi="Verdana"/>
                <w:sz w:val="28"/>
                <w:szCs w:val="28"/>
              </w:rPr>
            </w:pPr>
            <w:r w:rsidRPr="00BE3DAF">
              <w:rPr>
                <w:b/>
                <w:bCs/>
                <w:sz w:val="26"/>
                <w:szCs w:val="26"/>
              </w:rPr>
              <w:t>Bangkok, Thailand</w:t>
            </w:r>
            <w:r w:rsidR="00FB742A" w:rsidRPr="00BE3DAF">
              <w:rPr>
                <w:b/>
                <w:bCs/>
                <w:sz w:val="26"/>
                <w:szCs w:val="26"/>
              </w:rPr>
              <w:t xml:space="preserve">, </w:t>
            </w:r>
            <w:r w:rsidRPr="00BE3DAF">
              <w:rPr>
                <w:b/>
                <w:bCs/>
                <w:sz w:val="26"/>
                <w:szCs w:val="26"/>
              </w:rPr>
              <w:t>20-21</w:t>
            </w:r>
            <w:r w:rsidR="00FB742A" w:rsidRPr="00BE3DAF">
              <w:rPr>
                <w:b/>
                <w:bCs/>
                <w:sz w:val="26"/>
                <w:szCs w:val="26"/>
              </w:rPr>
              <w:t xml:space="preserve"> </w:t>
            </w:r>
            <w:r w:rsidRPr="00BE3DAF">
              <w:rPr>
                <w:b/>
                <w:bCs/>
                <w:sz w:val="26"/>
                <w:szCs w:val="26"/>
              </w:rPr>
              <w:t xml:space="preserve">March </w:t>
            </w:r>
            <w:r w:rsidR="00FB742A" w:rsidRPr="00BE3DAF">
              <w:rPr>
                <w:b/>
                <w:bCs/>
                <w:sz w:val="26"/>
                <w:szCs w:val="26"/>
              </w:rPr>
              <w:t>2025</w:t>
            </w:r>
          </w:p>
        </w:tc>
        <w:tc>
          <w:tcPr>
            <w:tcW w:w="3509" w:type="dxa"/>
          </w:tcPr>
          <w:p w14:paraId="67E7B4C4" w14:textId="0F52E4CC" w:rsidR="00307769" w:rsidRPr="00BE3DAF" w:rsidRDefault="00307769" w:rsidP="00952667">
            <w:pPr>
              <w:spacing w:after="120"/>
              <w:ind w:right="142"/>
              <w:jc w:val="right"/>
            </w:pPr>
            <w:r w:rsidRPr="00BE3DAF">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BE3DAF" w14:paraId="3C13197B" w14:textId="77777777" w:rsidTr="00D07E2B">
        <w:trPr>
          <w:cantSplit/>
        </w:trPr>
        <w:tc>
          <w:tcPr>
            <w:tcW w:w="6379" w:type="dxa"/>
            <w:tcBorders>
              <w:top w:val="single" w:sz="12" w:space="0" w:color="auto"/>
            </w:tcBorders>
          </w:tcPr>
          <w:p w14:paraId="2EED9DB2" w14:textId="77777777" w:rsidR="00683C32" w:rsidRPr="00BE3DAF" w:rsidRDefault="00683C32" w:rsidP="00107E85">
            <w:pPr>
              <w:spacing w:before="0"/>
              <w:rPr>
                <w:rFonts w:cs="Arial"/>
                <w:b/>
                <w:bCs/>
                <w:sz w:val="20"/>
              </w:rPr>
            </w:pPr>
          </w:p>
        </w:tc>
        <w:tc>
          <w:tcPr>
            <w:tcW w:w="3509" w:type="dxa"/>
            <w:tcBorders>
              <w:top w:val="single" w:sz="12" w:space="0" w:color="auto"/>
            </w:tcBorders>
          </w:tcPr>
          <w:p w14:paraId="6CC77CFE" w14:textId="77777777" w:rsidR="00683C32" w:rsidRPr="00BE3DAF" w:rsidRDefault="00683C32" w:rsidP="00107E85">
            <w:pPr>
              <w:spacing w:before="0"/>
              <w:rPr>
                <w:b/>
                <w:bCs/>
                <w:sz w:val="20"/>
              </w:rPr>
            </w:pPr>
          </w:p>
        </w:tc>
      </w:tr>
      <w:tr w:rsidR="00706440" w:rsidRPr="00BE3DAF" w14:paraId="0BB3FBC4" w14:textId="77777777" w:rsidTr="00D07E2B">
        <w:trPr>
          <w:cantSplit/>
        </w:trPr>
        <w:tc>
          <w:tcPr>
            <w:tcW w:w="6379" w:type="dxa"/>
          </w:tcPr>
          <w:p w14:paraId="43C54B3D" w14:textId="77777777" w:rsidR="00706440" w:rsidRPr="00BE3DAF" w:rsidRDefault="00706440" w:rsidP="00706440">
            <w:pPr>
              <w:pStyle w:val="Committee"/>
              <w:spacing w:before="0"/>
              <w:rPr>
                <w:b w:val="0"/>
                <w:szCs w:val="24"/>
              </w:rPr>
            </w:pPr>
          </w:p>
        </w:tc>
        <w:tc>
          <w:tcPr>
            <w:tcW w:w="3509" w:type="dxa"/>
          </w:tcPr>
          <w:p w14:paraId="02E44EE9" w14:textId="494C36A5" w:rsidR="00706440" w:rsidRPr="00BE3DAF" w:rsidRDefault="00706440" w:rsidP="00706440">
            <w:pPr>
              <w:spacing w:before="0"/>
              <w:jc w:val="both"/>
              <w:rPr>
                <w:bCs/>
                <w:szCs w:val="24"/>
              </w:rPr>
            </w:pPr>
            <w:r w:rsidRPr="00BE3DAF">
              <w:rPr>
                <w:b/>
                <w:bCs/>
              </w:rPr>
              <w:t xml:space="preserve">Document </w:t>
            </w:r>
            <w:bookmarkStart w:id="0" w:name="DocRef1"/>
            <w:bookmarkEnd w:id="0"/>
            <w:r w:rsidR="00121846" w:rsidRPr="00BE3DAF">
              <w:rPr>
                <w:b/>
                <w:bCs/>
              </w:rPr>
              <w:t>RPM-</w:t>
            </w:r>
            <w:r w:rsidR="0019574B" w:rsidRPr="00BE3DAF">
              <w:rPr>
                <w:b/>
                <w:bCs/>
              </w:rPr>
              <w:t>ASP</w:t>
            </w:r>
            <w:r w:rsidR="00121846" w:rsidRPr="00BE3DAF">
              <w:rPr>
                <w:b/>
                <w:bCs/>
              </w:rPr>
              <w:t>25</w:t>
            </w:r>
            <w:r w:rsidRPr="00BE3DAF">
              <w:rPr>
                <w:b/>
                <w:bCs/>
              </w:rPr>
              <w:t>/</w:t>
            </w:r>
            <w:r w:rsidR="008B1F4F" w:rsidRPr="00BE3DAF">
              <w:rPr>
                <w:b/>
                <w:bCs/>
              </w:rPr>
              <w:t>3</w:t>
            </w:r>
            <w:r w:rsidRPr="00BE3DAF">
              <w:rPr>
                <w:b/>
                <w:bCs/>
              </w:rPr>
              <w:t>-E</w:t>
            </w:r>
          </w:p>
        </w:tc>
      </w:tr>
      <w:tr w:rsidR="00706440" w:rsidRPr="00BE3DAF" w14:paraId="24D04936" w14:textId="77777777" w:rsidTr="00D07E2B">
        <w:trPr>
          <w:cantSplit/>
        </w:trPr>
        <w:tc>
          <w:tcPr>
            <w:tcW w:w="6379" w:type="dxa"/>
          </w:tcPr>
          <w:p w14:paraId="12CE4DBF" w14:textId="77777777" w:rsidR="00706440" w:rsidRPr="00BE3DAF" w:rsidRDefault="00706440" w:rsidP="00706440">
            <w:pPr>
              <w:spacing w:before="0"/>
              <w:rPr>
                <w:b/>
                <w:bCs/>
                <w:smallCaps/>
                <w:szCs w:val="24"/>
              </w:rPr>
            </w:pPr>
          </w:p>
        </w:tc>
        <w:tc>
          <w:tcPr>
            <w:tcW w:w="3509" w:type="dxa"/>
          </w:tcPr>
          <w:p w14:paraId="0F89640F" w14:textId="65ED50D6" w:rsidR="00706440" w:rsidRPr="00BE3DAF" w:rsidRDefault="00D537E1" w:rsidP="00706440">
            <w:pPr>
              <w:spacing w:before="0"/>
              <w:rPr>
                <w:b/>
                <w:szCs w:val="24"/>
              </w:rPr>
            </w:pPr>
            <w:bookmarkStart w:id="1" w:name="CreationDate"/>
            <w:bookmarkEnd w:id="1"/>
            <w:r>
              <w:rPr>
                <w:b/>
                <w:bCs/>
                <w:szCs w:val="28"/>
              </w:rPr>
              <w:t>13 February</w:t>
            </w:r>
            <w:r w:rsidR="00706440" w:rsidRPr="00BE3DAF">
              <w:rPr>
                <w:b/>
                <w:bCs/>
                <w:szCs w:val="28"/>
              </w:rPr>
              <w:t xml:space="preserve"> 202</w:t>
            </w:r>
            <w:r w:rsidR="001E5D41" w:rsidRPr="00BE3DAF">
              <w:rPr>
                <w:b/>
                <w:bCs/>
                <w:szCs w:val="28"/>
              </w:rPr>
              <w:t>5</w:t>
            </w:r>
          </w:p>
        </w:tc>
      </w:tr>
      <w:tr w:rsidR="00706440" w:rsidRPr="00BE3DAF" w14:paraId="7B96545F" w14:textId="77777777" w:rsidTr="00D07E2B">
        <w:trPr>
          <w:cantSplit/>
        </w:trPr>
        <w:tc>
          <w:tcPr>
            <w:tcW w:w="6379" w:type="dxa"/>
          </w:tcPr>
          <w:p w14:paraId="65956FD3" w14:textId="77777777" w:rsidR="00706440" w:rsidRPr="00BE3DAF" w:rsidRDefault="00706440" w:rsidP="00706440">
            <w:pPr>
              <w:spacing w:before="0"/>
              <w:rPr>
                <w:b/>
                <w:bCs/>
                <w:smallCaps/>
                <w:szCs w:val="24"/>
              </w:rPr>
            </w:pPr>
          </w:p>
        </w:tc>
        <w:tc>
          <w:tcPr>
            <w:tcW w:w="3509" w:type="dxa"/>
          </w:tcPr>
          <w:p w14:paraId="30EFD39F" w14:textId="7F09BA89" w:rsidR="00706440" w:rsidRPr="00BE3DAF" w:rsidRDefault="00211AA5" w:rsidP="00706440">
            <w:pPr>
              <w:spacing w:before="0"/>
              <w:rPr>
                <w:szCs w:val="24"/>
              </w:rPr>
            </w:pPr>
            <w:bookmarkStart w:id="2" w:name="Original"/>
            <w:bookmarkEnd w:id="2"/>
            <w:r w:rsidRPr="00BE3DAF">
              <w:rPr>
                <w:b/>
              </w:rPr>
              <w:t xml:space="preserve">Original: </w:t>
            </w:r>
            <w:r w:rsidR="00706440" w:rsidRPr="00BE3DAF">
              <w:rPr>
                <w:b/>
              </w:rPr>
              <w:t>Englis</w:t>
            </w:r>
            <w:r w:rsidRPr="00BE3DAF">
              <w:rPr>
                <w:b/>
              </w:rPr>
              <w:t>h</w:t>
            </w:r>
          </w:p>
        </w:tc>
      </w:tr>
      <w:tr w:rsidR="00A13162" w:rsidRPr="00BE3DAF" w14:paraId="31656E31" w14:textId="77777777" w:rsidTr="00107E85">
        <w:trPr>
          <w:cantSplit/>
          <w:trHeight w:val="852"/>
        </w:trPr>
        <w:tc>
          <w:tcPr>
            <w:tcW w:w="9888" w:type="dxa"/>
            <w:gridSpan w:val="2"/>
          </w:tcPr>
          <w:p w14:paraId="512FCA01" w14:textId="2F8B68F3" w:rsidR="00A13162" w:rsidRPr="00BE3DAF" w:rsidRDefault="002D0346" w:rsidP="0030353C">
            <w:pPr>
              <w:pStyle w:val="Source"/>
            </w:pPr>
            <w:bookmarkStart w:id="3" w:name="Source"/>
            <w:bookmarkEnd w:id="3"/>
            <w:r w:rsidRPr="00BE3DAF">
              <w:t>Director, Telecommunication Development Bureau</w:t>
            </w:r>
          </w:p>
        </w:tc>
      </w:tr>
      <w:tr w:rsidR="00AC6F14" w:rsidRPr="00BE3DAF" w14:paraId="2CBD3A36" w14:textId="77777777" w:rsidTr="00107E85">
        <w:trPr>
          <w:cantSplit/>
        </w:trPr>
        <w:tc>
          <w:tcPr>
            <w:tcW w:w="9888" w:type="dxa"/>
            <w:gridSpan w:val="2"/>
          </w:tcPr>
          <w:p w14:paraId="1B4121DF" w14:textId="7483EDB5" w:rsidR="00AC6F14" w:rsidRPr="00BE3DAF" w:rsidRDefault="00511FF3" w:rsidP="00D537E1">
            <w:pPr>
              <w:pStyle w:val="Title1"/>
              <w:rPr>
                <w:rFonts w:cs="Times New Roman"/>
                <w:bCs/>
              </w:rPr>
            </w:pPr>
            <w:bookmarkStart w:id="4" w:name="Title"/>
            <w:bookmarkEnd w:id="4"/>
            <w:r w:rsidRPr="00BE3DAF">
              <w:rPr>
                <w:rFonts w:cs="Times New Roman"/>
                <w:bCs/>
              </w:rPr>
              <w:t xml:space="preserve">State of digital development and trends in </w:t>
            </w:r>
            <w:r w:rsidR="0019574B" w:rsidRPr="00BE3DAF">
              <w:rPr>
                <w:rFonts w:cs="Times New Roman"/>
                <w:bCs/>
              </w:rPr>
              <w:t>Asia and the Pacific</w:t>
            </w:r>
            <w:r w:rsidRPr="00BE3DAF">
              <w:rPr>
                <w:rFonts w:cs="Times New Roman"/>
                <w:bCs/>
              </w:rPr>
              <w:t xml:space="preserve">: </w:t>
            </w:r>
            <w:r w:rsidR="00D537E1">
              <w:rPr>
                <w:rFonts w:cs="Times New Roman"/>
                <w:bCs/>
              </w:rPr>
              <w:br/>
            </w:r>
            <w:r w:rsidRPr="00BE3DAF">
              <w:rPr>
                <w:rFonts w:cs="Times New Roman"/>
                <w:bCs/>
              </w:rPr>
              <w:t>Challenges and opportunities</w:t>
            </w:r>
          </w:p>
        </w:tc>
      </w:tr>
      <w:tr w:rsidR="00A721F4" w:rsidRPr="00BE3DAF" w14:paraId="23A30231" w14:textId="77777777" w:rsidTr="00A721F4">
        <w:trPr>
          <w:cantSplit/>
        </w:trPr>
        <w:tc>
          <w:tcPr>
            <w:tcW w:w="9888" w:type="dxa"/>
            <w:gridSpan w:val="2"/>
            <w:tcBorders>
              <w:bottom w:val="single" w:sz="4" w:space="0" w:color="auto"/>
            </w:tcBorders>
          </w:tcPr>
          <w:p w14:paraId="726EE70E" w14:textId="77777777" w:rsidR="00A721F4" w:rsidRPr="00BE3DAF" w:rsidRDefault="00A721F4" w:rsidP="0030353C"/>
        </w:tc>
      </w:tr>
      <w:tr w:rsidR="00A721F4" w:rsidRPr="00BE3DAF"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BE3DAF" w:rsidRDefault="008D1CCB" w:rsidP="008D1CCB">
            <w:pPr>
              <w:pStyle w:val="Title1"/>
              <w:jc w:val="left"/>
              <w:rPr>
                <w:rFonts w:cstheme="minorHAnsi"/>
                <w:b/>
                <w:bCs/>
                <w:caps/>
                <w:sz w:val="24"/>
                <w:szCs w:val="24"/>
              </w:rPr>
            </w:pPr>
            <w:r w:rsidRPr="00BE3DAF">
              <w:rPr>
                <w:rFonts w:cstheme="minorHAnsi"/>
                <w:b/>
                <w:bCs/>
                <w:sz w:val="24"/>
                <w:szCs w:val="24"/>
              </w:rPr>
              <w:t>Agenda item:</w:t>
            </w:r>
          </w:p>
          <w:p w14:paraId="45BC9F9B" w14:textId="56C8C166" w:rsidR="008D1CCB" w:rsidRPr="00BE3DAF" w:rsidRDefault="00D537E1" w:rsidP="008D1CCB">
            <w:pPr>
              <w:pStyle w:val="Title1"/>
              <w:jc w:val="left"/>
              <w:rPr>
                <w:rFonts w:cstheme="minorHAnsi"/>
                <w:caps/>
                <w:sz w:val="24"/>
                <w:szCs w:val="24"/>
              </w:rPr>
            </w:pPr>
            <w:r>
              <w:rPr>
                <w:rFonts w:cstheme="minorHAnsi"/>
                <w:sz w:val="24"/>
                <w:szCs w:val="24"/>
              </w:rPr>
              <w:t xml:space="preserve">Item </w:t>
            </w:r>
            <w:r w:rsidR="008B1F4F" w:rsidRPr="00BE3DAF">
              <w:rPr>
                <w:rFonts w:cstheme="minorHAnsi"/>
                <w:sz w:val="24"/>
                <w:szCs w:val="24"/>
              </w:rPr>
              <w:t>5</w:t>
            </w:r>
          </w:p>
          <w:p w14:paraId="7043E349" w14:textId="77777777" w:rsidR="008D1CCB" w:rsidRPr="00BE3DAF" w:rsidRDefault="008D1CCB" w:rsidP="008D1CCB">
            <w:pPr>
              <w:pStyle w:val="Title1"/>
              <w:jc w:val="left"/>
              <w:rPr>
                <w:rFonts w:cstheme="minorHAnsi"/>
                <w:b/>
                <w:bCs/>
                <w:caps/>
                <w:sz w:val="24"/>
                <w:szCs w:val="24"/>
              </w:rPr>
            </w:pPr>
            <w:r w:rsidRPr="00BE3DAF">
              <w:rPr>
                <w:rFonts w:cstheme="minorHAnsi"/>
                <w:b/>
                <w:bCs/>
                <w:sz w:val="24"/>
                <w:szCs w:val="24"/>
              </w:rPr>
              <w:t xml:space="preserve">Summary: </w:t>
            </w:r>
          </w:p>
          <w:p w14:paraId="19ACDF5B" w14:textId="0D70B019" w:rsidR="0072774E" w:rsidRPr="00BE3DAF" w:rsidRDefault="0072774E" w:rsidP="0072774E">
            <w:r w:rsidRPr="00BE3DAF">
              <w:t xml:space="preserve">This document, prepared for the RPM for </w:t>
            </w:r>
            <w:r w:rsidR="0019574B" w:rsidRPr="00BE3DAF">
              <w:t>Asia and the P</w:t>
            </w:r>
            <w:r w:rsidR="0086265F" w:rsidRPr="00BE3DAF">
              <w:t>a</w:t>
            </w:r>
            <w:r w:rsidR="0019574B" w:rsidRPr="00BE3DAF">
              <w:t>cific</w:t>
            </w:r>
            <w:r w:rsidRPr="00BE3DAF">
              <w:t xml:space="preserve">, aims to </w:t>
            </w:r>
            <w:r w:rsidR="00511FF3" w:rsidRPr="00BE3DAF">
              <w:t xml:space="preserve">inform </w:t>
            </w:r>
            <w:r w:rsidRPr="00BE3DAF">
              <w:t>participants and stakeholders in setting the region’s digital agenda.</w:t>
            </w:r>
            <w:r w:rsidRPr="00BE3DAF">
              <w:rPr>
                <w:rStyle w:val="CommentReference"/>
              </w:rPr>
              <w:t xml:space="preserve"> </w:t>
            </w:r>
            <w:r w:rsidRPr="00BE3DAF">
              <w:t>It is structured into two parts: the first provides an overview of the state of digital connectivity in</w:t>
            </w:r>
            <w:r w:rsidR="0086265F" w:rsidRPr="00BE3DAF">
              <w:t xml:space="preserve"> Asia and the Pacific </w:t>
            </w:r>
            <w:r w:rsidRPr="00BE3DAF">
              <w:t>through key indicators, and the second highlights impactful case studies from the region.</w:t>
            </w:r>
          </w:p>
          <w:p w14:paraId="1CD88A00" w14:textId="77777777" w:rsidR="008D1CCB" w:rsidRPr="00BE3DAF" w:rsidRDefault="008D1CCB" w:rsidP="008D1CCB">
            <w:pPr>
              <w:pStyle w:val="Title1"/>
              <w:jc w:val="left"/>
              <w:rPr>
                <w:rFonts w:cstheme="minorHAnsi"/>
                <w:b/>
                <w:bCs/>
                <w:caps/>
                <w:sz w:val="24"/>
                <w:szCs w:val="24"/>
              </w:rPr>
            </w:pPr>
            <w:r w:rsidRPr="00BE3DAF">
              <w:rPr>
                <w:rFonts w:cstheme="minorHAnsi"/>
                <w:b/>
                <w:bCs/>
                <w:sz w:val="24"/>
                <w:szCs w:val="24"/>
              </w:rPr>
              <w:t>Expected results:</w:t>
            </w:r>
          </w:p>
          <w:p w14:paraId="5C751A3F" w14:textId="12D10778" w:rsidR="002D0346" w:rsidRPr="00BE3DAF" w:rsidRDefault="004F5E3E" w:rsidP="008D1CCB">
            <w:pPr>
              <w:pStyle w:val="Title1"/>
              <w:jc w:val="left"/>
              <w:rPr>
                <w:rFonts w:cstheme="minorHAnsi"/>
                <w:sz w:val="24"/>
                <w:szCs w:val="24"/>
              </w:rPr>
            </w:pPr>
            <w:r w:rsidRPr="00BE3DAF">
              <w:rPr>
                <w:rFonts w:cstheme="minorHAnsi"/>
                <w:sz w:val="24"/>
                <w:szCs w:val="24"/>
              </w:rPr>
              <w:t>R</w:t>
            </w:r>
            <w:r w:rsidR="002D0346" w:rsidRPr="00BE3DAF">
              <w:rPr>
                <w:rFonts w:cstheme="minorHAnsi"/>
                <w:sz w:val="24"/>
                <w:szCs w:val="24"/>
              </w:rPr>
              <w:t>PM-</w:t>
            </w:r>
            <w:r w:rsidR="0086265F" w:rsidRPr="00BE3DAF">
              <w:rPr>
                <w:rFonts w:cstheme="minorHAnsi"/>
                <w:sz w:val="24"/>
                <w:szCs w:val="24"/>
              </w:rPr>
              <w:t>ASP</w:t>
            </w:r>
            <w:r w:rsidR="002D0346" w:rsidRPr="00BE3DAF">
              <w:rPr>
                <w:rFonts w:cstheme="minorHAnsi"/>
                <w:sz w:val="24"/>
                <w:szCs w:val="24"/>
              </w:rPr>
              <w:t xml:space="preserve"> is invited to note this document</w:t>
            </w:r>
            <w:r w:rsidR="00F56C9D">
              <w:rPr>
                <w:rFonts w:cstheme="minorHAnsi"/>
                <w:sz w:val="24"/>
                <w:szCs w:val="24"/>
              </w:rPr>
              <w:t>.</w:t>
            </w:r>
          </w:p>
          <w:p w14:paraId="4CD2685E" w14:textId="3B80EF9C" w:rsidR="008D1CCB" w:rsidRPr="00BE3DAF" w:rsidRDefault="008D1CCB" w:rsidP="008D1CCB">
            <w:pPr>
              <w:pStyle w:val="Title1"/>
              <w:jc w:val="left"/>
              <w:rPr>
                <w:rFonts w:cstheme="minorHAnsi"/>
                <w:b/>
                <w:bCs/>
                <w:caps/>
                <w:sz w:val="24"/>
                <w:szCs w:val="24"/>
              </w:rPr>
            </w:pPr>
            <w:r w:rsidRPr="00BE3DAF">
              <w:rPr>
                <w:rFonts w:cstheme="minorHAnsi"/>
                <w:b/>
                <w:bCs/>
                <w:sz w:val="24"/>
                <w:szCs w:val="24"/>
              </w:rPr>
              <w:t>References:</w:t>
            </w:r>
          </w:p>
          <w:p w14:paraId="1ECDD20E" w14:textId="55031060" w:rsidR="00A721F4" w:rsidRPr="00BE3DAF" w:rsidRDefault="002D0346" w:rsidP="008D1CCB">
            <w:pPr>
              <w:spacing w:after="120"/>
            </w:pPr>
            <w:r w:rsidRPr="00BE3DAF">
              <w:t>N/A</w:t>
            </w:r>
          </w:p>
        </w:tc>
      </w:tr>
    </w:tbl>
    <w:p w14:paraId="76DECBE4" w14:textId="77777777" w:rsidR="00EA2854" w:rsidRPr="00BE3DAF" w:rsidRDefault="00EA2854" w:rsidP="00EA2854"/>
    <w:p w14:paraId="66A31481" w14:textId="5793B5AB" w:rsidR="006C41B5" w:rsidRPr="00BE3DAF" w:rsidRDefault="00923CF1" w:rsidP="006C41B5">
      <w:pPr>
        <w:pStyle w:val="Title"/>
        <w:rPr>
          <w:rFonts w:ascii="Aptos Display" w:eastAsia="Yu Gothic Light" w:hAnsi="Aptos Display"/>
          <w:sz w:val="48"/>
          <w14:ligatures w14:val="standardContextual"/>
        </w:rPr>
      </w:pPr>
      <w:r w:rsidRPr="00BE3DAF">
        <w:br w:type="page"/>
      </w:r>
      <w:r w:rsidR="006C41B5" w:rsidRPr="00BE3DAF">
        <w:rPr>
          <w:rFonts w:ascii="Aptos Display" w:eastAsia="Yu Gothic Light" w:hAnsi="Aptos Display"/>
          <w:sz w:val="48"/>
          <w14:ligatures w14:val="standardContextual"/>
        </w:rPr>
        <w:lastRenderedPageBreak/>
        <w:t xml:space="preserve">State of digital development and trends in </w:t>
      </w:r>
      <w:r w:rsidR="0086265F" w:rsidRPr="00BE3DAF">
        <w:rPr>
          <w:rFonts w:ascii="Aptos Display" w:eastAsia="Yu Gothic Light" w:hAnsi="Aptos Display"/>
          <w:sz w:val="48"/>
          <w14:ligatures w14:val="standardContextual"/>
        </w:rPr>
        <w:t>Asia and the Pacific</w:t>
      </w:r>
      <w:r w:rsidR="006C41B5" w:rsidRPr="00BE3DAF">
        <w:rPr>
          <w:rFonts w:ascii="Aptos Display" w:eastAsia="Yu Gothic Light" w:hAnsi="Aptos Display"/>
          <w:sz w:val="48"/>
          <w14:ligatures w14:val="standardContextual"/>
        </w:rPr>
        <w:t xml:space="preserve">: Challenges and opportunities </w:t>
      </w:r>
    </w:p>
    <w:p w14:paraId="195698D8" w14:textId="39F2C15A" w:rsidR="006C41B5" w:rsidRPr="00BE3DAF" w:rsidRDefault="00670782" w:rsidP="00F56C9D">
      <w:pPr>
        <w:tabs>
          <w:tab w:val="clear" w:pos="794"/>
          <w:tab w:val="clear" w:pos="1191"/>
          <w:tab w:val="clear" w:pos="1588"/>
          <w:tab w:val="clear" w:pos="1985"/>
          <w:tab w:val="left" w:pos="6210"/>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BE3DAF">
        <w:rPr>
          <w:rFonts w:ascii="Aptos Display" w:eastAsia="Aptos" w:hAnsi="Aptos Display" w:cs="Arial"/>
          <w:kern w:val="2"/>
          <w:sz w:val="28"/>
          <w:szCs w:val="28"/>
          <w14:ligatures w14:val="standardContextual"/>
        </w:rPr>
        <w:t xml:space="preserve">February </w:t>
      </w:r>
      <w:r w:rsidR="006C41B5" w:rsidRPr="00BE3DAF">
        <w:rPr>
          <w:rFonts w:ascii="Aptos Display" w:eastAsia="Aptos" w:hAnsi="Aptos Display" w:cs="Arial"/>
          <w:kern w:val="2"/>
          <w:sz w:val="28"/>
          <w:szCs w:val="28"/>
          <w14:ligatures w14:val="standardContextual"/>
        </w:rPr>
        <w:t>202</w:t>
      </w:r>
      <w:r w:rsidR="00CF6D86" w:rsidRPr="00BE3DAF">
        <w:rPr>
          <w:rFonts w:ascii="Aptos Display" w:eastAsia="Aptos" w:hAnsi="Aptos Display" w:cs="Arial"/>
          <w:kern w:val="2"/>
          <w:sz w:val="28"/>
          <w:szCs w:val="28"/>
          <w14:ligatures w14:val="standardContextual"/>
        </w:rPr>
        <w:t>5</w:t>
      </w:r>
      <w:r w:rsidR="00F56C9D">
        <w:rPr>
          <w:rFonts w:ascii="Aptos Display" w:eastAsia="Aptos" w:hAnsi="Aptos Display" w:cs="Arial"/>
          <w:kern w:val="2"/>
          <w:sz w:val="28"/>
          <w:szCs w:val="28"/>
          <w14:ligatures w14:val="standardContextual"/>
        </w:rPr>
        <w:tab/>
      </w:r>
    </w:p>
    <w:p w14:paraId="2A32533D" w14:textId="77777777" w:rsidR="006C41B5" w:rsidRPr="00BE3DAF"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BE3DAF">
        <w:rPr>
          <w:rFonts w:ascii="Aptos Display" w:eastAsia="Yu Gothic Light" w:hAnsi="Aptos Display"/>
          <w:color w:val="0F4761"/>
          <w:kern w:val="2"/>
          <w:sz w:val="40"/>
          <w:szCs w:val="40"/>
          <w14:ligatures w14:val="standardContextual"/>
        </w:rPr>
        <w:t>Contents</w:t>
      </w:r>
      <w:bookmarkEnd w:id="5"/>
    </w:p>
    <w:p w14:paraId="644023FE" w14:textId="525723CB" w:rsidR="00BE00FE" w:rsidRPr="00BE3DAF" w:rsidRDefault="00203A56">
      <w:pPr>
        <w:pStyle w:val="TOC1"/>
        <w:tabs>
          <w:tab w:val="right" w:leader="dot" w:pos="9629"/>
        </w:tabs>
        <w:rPr>
          <w:rFonts w:eastAsiaTheme="minorEastAsia" w:cstheme="minorBidi"/>
          <w:b w:val="0"/>
          <w:bCs w:val="0"/>
          <w:noProof/>
          <w:kern w:val="2"/>
          <w:sz w:val="24"/>
          <w:szCs w:val="24"/>
          <w:lang w:eastAsia="en-GB"/>
          <w14:ligatures w14:val="standardContextual"/>
        </w:rPr>
      </w:pPr>
      <w:r w:rsidRPr="00BE3DAF">
        <w:rPr>
          <w:rFonts w:ascii="Aptos" w:eastAsia="Aptos" w:hAnsi="Aptos" w:cs="Arial"/>
          <w:kern w:val="2"/>
          <w:sz w:val="22"/>
          <w:szCs w:val="22"/>
          <w14:ligatures w14:val="standardContextual"/>
        </w:rPr>
        <w:fldChar w:fldCharType="begin"/>
      </w:r>
      <w:r w:rsidRPr="00BE3DAF">
        <w:rPr>
          <w:rFonts w:ascii="Aptos" w:eastAsia="Aptos" w:hAnsi="Aptos" w:cs="Arial"/>
          <w:kern w:val="2"/>
          <w:sz w:val="22"/>
          <w:szCs w:val="22"/>
          <w14:ligatures w14:val="standardContextual"/>
        </w:rPr>
        <w:instrText xml:space="preserve"> TOC \t "Part title,1,Section,2" </w:instrText>
      </w:r>
      <w:r w:rsidRPr="00BE3DAF">
        <w:rPr>
          <w:rFonts w:ascii="Aptos" w:eastAsia="Aptos" w:hAnsi="Aptos" w:cs="Arial"/>
          <w:kern w:val="2"/>
          <w:sz w:val="22"/>
          <w:szCs w:val="22"/>
          <w14:ligatures w14:val="standardContextual"/>
        </w:rPr>
        <w:fldChar w:fldCharType="separate"/>
      </w:r>
      <w:r w:rsidR="00BE00FE" w:rsidRPr="00BE3DAF">
        <w:rPr>
          <w:noProof/>
        </w:rPr>
        <w:t>Introduction</w:t>
      </w:r>
      <w:r w:rsidR="00BE00FE" w:rsidRPr="00BE3DAF">
        <w:rPr>
          <w:noProof/>
        </w:rPr>
        <w:tab/>
      </w:r>
      <w:r w:rsidR="00BE00FE" w:rsidRPr="00BE3DAF">
        <w:rPr>
          <w:noProof/>
        </w:rPr>
        <w:fldChar w:fldCharType="begin"/>
      </w:r>
      <w:r w:rsidR="00BE00FE" w:rsidRPr="00BE3DAF">
        <w:rPr>
          <w:noProof/>
        </w:rPr>
        <w:instrText xml:space="preserve"> PAGEREF _Toc189658571 \h </w:instrText>
      </w:r>
      <w:r w:rsidR="00BE00FE" w:rsidRPr="00BE3DAF">
        <w:rPr>
          <w:noProof/>
        </w:rPr>
      </w:r>
      <w:r w:rsidR="00BE00FE" w:rsidRPr="00BE3DAF">
        <w:rPr>
          <w:noProof/>
        </w:rPr>
        <w:fldChar w:fldCharType="separate"/>
      </w:r>
      <w:r w:rsidR="00D00449" w:rsidRPr="00BE3DAF">
        <w:rPr>
          <w:noProof/>
        </w:rPr>
        <w:t>3</w:t>
      </w:r>
      <w:r w:rsidR="00BE00FE" w:rsidRPr="00BE3DAF">
        <w:rPr>
          <w:noProof/>
        </w:rPr>
        <w:fldChar w:fldCharType="end"/>
      </w:r>
    </w:p>
    <w:p w14:paraId="0BB1BCC4" w14:textId="006040E4" w:rsidR="00BE00FE" w:rsidRPr="00BE3DAF" w:rsidRDefault="00BE00FE">
      <w:pPr>
        <w:pStyle w:val="TOC1"/>
        <w:tabs>
          <w:tab w:val="right" w:leader="dot" w:pos="9629"/>
        </w:tabs>
        <w:rPr>
          <w:rFonts w:eastAsiaTheme="minorEastAsia" w:cstheme="minorBidi"/>
          <w:b w:val="0"/>
          <w:bCs w:val="0"/>
          <w:noProof/>
          <w:kern w:val="2"/>
          <w:sz w:val="24"/>
          <w:szCs w:val="24"/>
          <w:lang w:eastAsia="en-GB"/>
          <w14:ligatures w14:val="standardContextual"/>
        </w:rPr>
      </w:pPr>
      <w:r w:rsidRPr="00BE3DAF">
        <w:rPr>
          <w:noProof/>
        </w:rPr>
        <w:t>Part 1. The state of digital connectivity in Asia and the Pacific and recent trends</w:t>
      </w:r>
      <w:r w:rsidRPr="00BE3DAF">
        <w:rPr>
          <w:noProof/>
        </w:rPr>
        <w:tab/>
      </w:r>
      <w:r w:rsidRPr="00BE3DAF">
        <w:rPr>
          <w:noProof/>
        </w:rPr>
        <w:fldChar w:fldCharType="begin"/>
      </w:r>
      <w:r w:rsidRPr="00BE3DAF">
        <w:rPr>
          <w:noProof/>
        </w:rPr>
        <w:instrText xml:space="preserve"> PAGEREF _Toc189658572 \h </w:instrText>
      </w:r>
      <w:r w:rsidRPr="00BE3DAF">
        <w:rPr>
          <w:noProof/>
        </w:rPr>
      </w:r>
      <w:r w:rsidRPr="00BE3DAF">
        <w:rPr>
          <w:noProof/>
        </w:rPr>
        <w:fldChar w:fldCharType="separate"/>
      </w:r>
      <w:r w:rsidR="00D00449" w:rsidRPr="00BE3DAF">
        <w:rPr>
          <w:noProof/>
        </w:rPr>
        <w:t>5</w:t>
      </w:r>
      <w:r w:rsidRPr="00BE3DAF">
        <w:rPr>
          <w:noProof/>
        </w:rPr>
        <w:fldChar w:fldCharType="end"/>
      </w:r>
    </w:p>
    <w:p w14:paraId="3CA3577C" w14:textId="08EB7EC6"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ICT regulation and digital policy frameworks</w:t>
      </w:r>
      <w:r w:rsidRPr="00BE3DAF">
        <w:rPr>
          <w:noProof/>
        </w:rPr>
        <w:tab/>
      </w:r>
      <w:r w:rsidRPr="00BE3DAF">
        <w:rPr>
          <w:noProof/>
        </w:rPr>
        <w:fldChar w:fldCharType="begin"/>
      </w:r>
      <w:r w:rsidRPr="00BE3DAF">
        <w:rPr>
          <w:noProof/>
        </w:rPr>
        <w:instrText xml:space="preserve"> PAGEREF _Toc189658573 \h </w:instrText>
      </w:r>
      <w:r w:rsidRPr="00BE3DAF">
        <w:rPr>
          <w:noProof/>
        </w:rPr>
      </w:r>
      <w:r w:rsidRPr="00BE3DAF">
        <w:rPr>
          <w:noProof/>
        </w:rPr>
        <w:fldChar w:fldCharType="separate"/>
      </w:r>
      <w:r w:rsidR="00D00449" w:rsidRPr="00BE3DAF">
        <w:rPr>
          <w:noProof/>
        </w:rPr>
        <w:t>5</w:t>
      </w:r>
      <w:r w:rsidRPr="00BE3DAF">
        <w:rPr>
          <w:noProof/>
        </w:rPr>
        <w:fldChar w:fldCharType="end"/>
      </w:r>
    </w:p>
    <w:p w14:paraId="6160174C" w14:textId="24132AA0"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Internet use</w:t>
      </w:r>
      <w:r w:rsidRPr="00BE3DAF">
        <w:rPr>
          <w:noProof/>
        </w:rPr>
        <w:tab/>
      </w:r>
      <w:r w:rsidRPr="00BE3DAF">
        <w:rPr>
          <w:noProof/>
        </w:rPr>
        <w:fldChar w:fldCharType="begin"/>
      </w:r>
      <w:r w:rsidRPr="00BE3DAF">
        <w:rPr>
          <w:noProof/>
        </w:rPr>
        <w:instrText xml:space="preserve"> PAGEREF _Toc189658574 \h </w:instrText>
      </w:r>
      <w:r w:rsidRPr="00BE3DAF">
        <w:rPr>
          <w:noProof/>
        </w:rPr>
      </w:r>
      <w:r w:rsidRPr="00BE3DAF">
        <w:rPr>
          <w:noProof/>
        </w:rPr>
        <w:fldChar w:fldCharType="separate"/>
      </w:r>
      <w:r w:rsidR="00D00449" w:rsidRPr="00BE3DAF">
        <w:rPr>
          <w:noProof/>
        </w:rPr>
        <w:t>11</w:t>
      </w:r>
      <w:r w:rsidRPr="00BE3DAF">
        <w:rPr>
          <w:noProof/>
        </w:rPr>
        <w:fldChar w:fldCharType="end"/>
      </w:r>
    </w:p>
    <w:p w14:paraId="3E6AA3FD" w14:textId="39F04493"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Broadband subscriptions</w:t>
      </w:r>
      <w:r w:rsidRPr="00BE3DAF">
        <w:rPr>
          <w:noProof/>
        </w:rPr>
        <w:tab/>
      </w:r>
      <w:r w:rsidRPr="00BE3DAF">
        <w:rPr>
          <w:noProof/>
        </w:rPr>
        <w:fldChar w:fldCharType="begin"/>
      </w:r>
      <w:r w:rsidRPr="00BE3DAF">
        <w:rPr>
          <w:noProof/>
        </w:rPr>
        <w:instrText xml:space="preserve"> PAGEREF _Toc189658575 \h </w:instrText>
      </w:r>
      <w:r w:rsidRPr="00BE3DAF">
        <w:rPr>
          <w:noProof/>
        </w:rPr>
      </w:r>
      <w:r w:rsidRPr="00BE3DAF">
        <w:rPr>
          <w:noProof/>
        </w:rPr>
        <w:fldChar w:fldCharType="separate"/>
      </w:r>
      <w:r w:rsidR="00D00449" w:rsidRPr="00BE3DAF">
        <w:rPr>
          <w:noProof/>
        </w:rPr>
        <w:t>16</w:t>
      </w:r>
      <w:r w:rsidRPr="00BE3DAF">
        <w:rPr>
          <w:noProof/>
        </w:rPr>
        <w:fldChar w:fldCharType="end"/>
      </w:r>
    </w:p>
    <w:p w14:paraId="1C21F189" w14:textId="3C32C90A"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Mobile network coverage</w:t>
      </w:r>
      <w:r w:rsidRPr="00BE3DAF">
        <w:rPr>
          <w:noProof/>
        </w:rPr>
        <w:tab/>
      </w:r>
      <w:r w:rsidRPr="00BE3DAF">
        <w:rPr>
          <w:noProof/>
        </w:rPr>
        <w:fldChar w:fldCharType="begin"/>
      </w:r>
      <w:r w:rsidRPr="00BE3DAF">
        <w:rPr>
          <w:noProof/>
        </w:rPr>
        <w:instrText xml:space="preserve"> PAGEREF _Toc189658576 \h </w:instrText>
      </w:r>
      <w:r w:rsidRPr="00BE3DAF">
        <w:rPr>
          <w:noProof/>
        </w:rPr>
      </w:r>
      <w:r w:rsidRPr="00BE3DAF">
        <w:rPr>
          <w:noProof/>
        </w:rPr>
        <w:fldChar w:fldCharType="separate"/>
      </w:r>
      <w:r w:rsidR="00D00449" w:rsidRPr="00BE3DAF">
        <w:rPr>
          <w:noProof/>
        </w:rPr>
        <w:t>18</w:t>
      </w:r>
      <w:r w:rsidRPr="00BE3DAF">
        <w:rPr>
          <w:noProof/>
        </w:rPr>
        <w:fldChar w:fldCharType="end"/>
      </w:r>
    </w:p>
    <w:p w14:paraId="5D3BD954" w14:textId="46636113"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Availability of fixed-broadband infrastructure</w:t>
      </w:r>
      <w:r w:rsidRPr="00BE3DAF">
        <w:rPr>
          <w:noProof/>
        </w:rPr>
        <w:tab/>
      </w:r>
      <w:r w:rsidRPr="00BE3DAF">
        <w:rPr>
          <w:noProof/>
        </w:rPr>
        <w:fldChar w:fldCharType="begin"/>
      </w:r>
      <w:r w:rsidRPr="00BE3DAF">
        <w:rPr>
          <w:noProof/>
        </w:rPr>
        <w:instrText xml:space="preserve"> PAGEREF _Toc189658577 \h </w:instrText>
      </w:r>
      <w:r w:rsidRPr="00BE3DAF">
        <w:rPr>
          <w:noProof/>
        </w:rPr>
      </w:r>
      <w:r w:rsidRPr="00BE3DAF">
        <w:rPr>
          <w:noProof/>
        </w:rPr>
        <w:fldChar w:fldCharType="separate"/>
      </w:r>
      <w:r w:rsidR="00D00449" w:rsidRPr="00BE3DAF">
        <w:rPr>
          <w:noProof/>
        </w:rPr>
        <w:t>21</w:t>
      </w:r>
      <w:r w:rsidRPr="00BE3DAF">
        <w:rPr>
          <w:noProof/>
        </w:rPr>
        <w:fldChar w:fldCharType="end"/>
      </w:r>
    </w:p>
    <w:p w14:paraId="5C0D4D12" w14:textId="44800E1F"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Internet traffic and international bandwidth</w:t>
      </w:r>
      <w:r w:rsidRPr="00BE3DAF">
        <w:rPr>
          <w:noProof/>
        </w:rPr>
        <w:tab/>
      </w:r>
      <w:r w:rsidRPr="00BE3DAF">
        <w:rPr>
          <w:noProof/>
        </w:rPr>
        <w:fldChar w:fldCharType="begin"/>
      </w:r>
      <w:r w:rsidRPr="00BE3DAF">
        <w:rPr>
          <w:noProof/>
        </w:rPr>
        <w:instrText xml:space="preserve"> PAGEREF _Toc189658578 \h </w:instrText>
      </w:r>
      <w:r w:rsidRPr="00BE3DAF">
        <w:rPr>
          <w:noProof/>
        </w:rPr>
      </w:r>
      <w:r w:rsidRPr="00BE3DAF">
        <w:rPr>
          <w:noProof/>
        </w:rPr>
        <w:fldChar w:fldCharType="separate"/>
      </w:r>
      <w:r w:rsidR="00D00449" w:rsidRPr="00BE3DAF">
        <w:rPr>
          <w:noProof/>
        </w:rPr>
        <w:t>23</w:t>
      </w:r>
      <w:r w:rsidRPr="00BE3DAF">
        <w:rPr>
          <w:noProof/>
        </w:rPr>
        <w:fldChar w:fldCharType="end"/>
      </w:r>
    </w:p>
    <w:p w14:paraId="0552986A" w14:textId="4C0A706E"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Affordability of ICT services</w:t>
      </w:r>
      <w:r w:rsidRPr="00BE3DAF">
        <w:rPr>
          <w:noProof/>
        </w:rPr>
        <w:tab/>
      </w:r>
      <w:r w:rsidRPr="00BE3DAF">
        <w:rPr>
          <w:noProof/>
        </w:rPr>
        <w:fldChar w:fldCharType="begin"/>
      </w:r>
      <w:r w:rsidRPr="00BE3DAF">
        <w:rPr>
          <w:noProof/>
        </w:rPr>
        <w:instrText xml:space="preserve"> PAGEREF _Toc189658579 \h </w:instrText>
      </w:r>
      <w:r w:rsidRPr="00BE3DAF">
        <w:rPr>
          <w:noProof/>
        </w:rPr>
      </w:r>
      <w:r w:rsidRPr="00BE3DAF">
        <w:rPr>
          <w:noProof/>
        </w:rPr>
        <w:fldChar w:fldCharType="separate"/>
      </w:r>
      <w:r w:rsidR="00D00449" w:rsidRPr="00BE3DAF">
        <w:rPr>
          <w:noProof/>
        </w:rPr>
        <w:t>27</w:t>
      </w:r>
      <w:r w:rsidRPr="00BE3DAF">
        <w:rPr>
          <w:noProof/>
        </w:rPr>
        <w:fldChar w:fldCharType="end"/>
      </w:r>
    </w:p>
    <w:p w14:paraId="4CADCB10" w14:textId="49674EBB"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Mobile phone ownership and subscriptions</w:t>
      </w:r>
      <w:r w:rsidRPr="00BE3DAF">
        <w:rPr>
          <w:noProof/>
        </w:rPr>
        <w:tab/>
      </w:r>
      <w:r w:rsidRPr="00BE3DAF">
        <w:rPr>
          <w:noProof/>
        </w:rPr>
        <w:fldChar w:fldCharType="begin"/>
      </w:r>
      <w:r w:rsidRPr="00BE3DAF">
        <w:rPr>
          <w:noProof/>
        </w:rPr>
        <w:instrText xml:space="preserve"> PAGEREF _Toc189658580 \h </w:instrText>
      </w:r>
      <w:r w:rsidRPr="00BE3DAF">
        <w:rPr>
          <w:noProof/>
        </w:rPr>
      </w:r>
      <w:r w:rsidRPr="00BE3DAF">
        <w:rPr>
          <w:noProof/>
        </w:rPr>
        <w:fldChar w:fldCharType="separate"/>
      </w:r>
      <w:r w:rsidR="00D00449" w:rsidRPr="00BE3DAF">
        <w:rPr>
          <w:noProof/>
        </w:rPr>
        <w:t>29</w:t>
      </w:r>
      <w:r w:rsidRPr="00BE3DAF">
        <w:rPr>
          <w:noProof/>
        </w:rPr>
        <w:fldChar w:fldCharType="end"/>
      </w:r>
    </w:p>
    <w:p w14:paraId="4253F343" w14:textId="20F29412"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ICT skills</w:t>
      </w:r>
      <w:r w:rsidRPr="00BE3DAF">
        <w:rPr>
          <w:noProof/>
        </w:rPr>
        <w:tab/>
      </w:r>
      <w:r w:rsidRPr="00BE3DAF">
        <w:rPr>
          <w:noProof/>
        </w:rPr>
        <w:fldChar w:fldCharType="begin"/>
      </w:r>
      <w:r w:rsidRPr="00BE3DAF">
        <w:rPr>
          <w:noProof/>
        </w:rPr>
        <w:instrText xml:space="preserve"> PAGEREF _Toc189658581 \h </w:instrText>
      </w:r>
      <w:r w:rsidRPr="00BE3DAF">
        <w:rPr>
          <w:noProof/>
        </w:rPr>
      </w:r>
      <w:r w:rsidRPr="00BE3DAF">
        <w:rPr>
          <w:noProof/>
        </w:rPr>
        <w:fldChar w:fldCharType="separate"/>
      </w:r>
      <w:r w:rsidR="00D00449" w:rsidRPr="00BE3DAF">
        <w:rPr>
          <w:noProof/>
        </w:rPr>
        <w:t>32</w:t>
      </w:r>
      <w:r w:rsidRPr="00BE3DAF">
        <w:rPr>
          <w:noProof/>
        </w:rPr>
        <w:fldChar w:fldCharType="end"/>
      </w:r>
    </w:p>
    <w:p w14:paraId="29A83200" w14:textId="1F3AF6CF"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Revenue and investment</w:t>
      </w:r>
      <w:r w:rsidRPr="00BE3DAF">
        <w:rPr>
          <w:noProof/>
        </w:rPr>
        <w:tab/>
      </w:r>
      <w:r w:rsidRPr="00BE3DAF">
        <w:rPr>
          <w:noProof/>
        </w:rPr>
        <w:fldChar w:fldCharType="begin"/>
      </w:r>
      <w:r w:rsidRPr="00BE3DAF">
        <w:rPr>
          <w:noProof/>
        </w:rPr>
        <w:instrText xml:space="preserve"> PAGEREF _Toc189658582 \h </w:instrText>
      </w:r>
      <w:r w:rsidRPr="00BE3DAF">
        <w:rPr>
          <w:noProof/>
        </w:rPr>
      </w:r>
      <w:r w:rsidRPr="00BE3DAF">
        <w:rPr>
          <w:noProof/>
        </w:rPr>
        <w:fldChar w:fldCharType="separate"/>
      </w:r>
      <w:r w:rsidR="00D00449" w:rsidRPr="00BE3DAF">
        <w:rPr>
          <w:noProof/>
        </w:rPr>
        <w:t>38</w:t>
      </w:r>
      <w:r w:rsidRPr="00BE3DAF">
        <w:rPr>
          <w:noProof/>
        </w:rPr>
        <w:fldChar w:fldCharType="end"/>
      </w:r>
    </w:p>
    <w:p w14:paraId="3492E99D" w14:textId="1343C2D8"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Cybersecurity</w:t>
      </w:r>
      <w:r w:rsidRPr="00BE3DAF">
        <w:rPr>
          <w:noProof/>
        </w:rPr>
        <w:tab/>
      </w:r>
      <w:r w:rsidRPr="00BE3DAF">
        <w:rPr>
          <w:noProof/>
        </w:rPr>
        <w:fldChar w:fldCharType="begin"/>
      </w:r>
      <w:r w:rsidRPr="00BE3DAF">
        <w:rPr>
          <w:noProof/>
        </w:rPr>
        <w:instrText xml:space="preserve"> PAGEREF _Toc189658583 \h </w:instrText>
      </w:r>
      <w:r w:rsidRPr="00BE3DAF">
        <w:rPr>
          <w:noProof/>
        </w:rPr>
      </w:r>
      <w:r w:rsidRPr="00BE3DAF">
        <w:rPr>
          <w:noProof/>
        </w:rPr>
        <w:fldChar w:fldCharType="separate"/>
      </w:r>
      <w:r w:rsidR="00D00449" w:rsidRPr="00BE3DAF">
        <w:rPr>
          <w:noProof/>
        </w:rPr>
        <w:t>40</w:t>
      </w:r>
      <w:r w:rsidRPr="00BE3DAF">
        <w:rPr>
          <w:noProof/>
        </w:rPr>
        <w:fldChar w:fldCharType="end"/>
      </w:r>
    </w:p>
    <w:p w14:paraId="03190E0C" w14:textId="0FF68F6B"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E-waste management</w:t>
      </w:r>
      <w:r w:rsidRPr="00BE3DAF">
        <w:rPr>
          <w:noProof/>
        </w:rPr>
        <w:tab/>
      </w:r>
      <w:r w:rsidRPr="00BE3DAF">
        <w:rPr>
          <w:noProof/>
        </w:rPr>
        <w:fldChar w:fldCharType="begin"/>
      </w:r>
      <w:r w:rsidRPr="00BE3DAF">
        <w:rPr>
          <w:noProof/>
        </w:rPr>
        <w:instrText xml:space="preserve"> PAGEREF _Toc189658584 \h </w:instrText>
      </w:r>
      <w:r w:rsidRPr="00BE3DAF">
        <w:rPr>
          <w:noProof/>
        </w:rPr>
      </w:r>
      <w:r w:rsidRPr="00BE3DAF">
        <w:rPr>
          <w:noProof/>
        </w:rPr>
        <w:fldChar w:fldCharType="separate"/>
      </w:r>
      <w:r w:rsidR="00D00449" w:rsidRPr="00BE3DAF">
        <w:rPr>
          <w:noProof/>
        </w:rPr>
        <w:t>42</w:t>
      </w:r>
      <w:r w:rsidRPr="00BE3DAF">
        <w:rPr>
          <w:noProof/>
        </w:rPr>
        <w:fldChar w:fldCharType="end"/>
      </w:r>
    </w:p>
    <w:p w14:paraId="733C85F3" w14:textId="77D58F6F"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Disparities within the region</w:t>
      </w:r>
      <w:r w:rsidRPr="00BE3DAF">
        <w:rPr>
          <w:noProof/>
        </w:rPr>
        <w:tab/>
      </w:r>
      <w:r w:rsidRPr="00BE3DAF">
        <w:rPr>
          <w:noProof/>
        </w:rPr>
        <w:fldChar w:fldCharType="begin"/>
      </w:r>
      <w:r w:rsidRPr="00BE3DAF">
        <w:rPr>
          <w:noProof/>
        </w:rPr>
        <w:instrText xml:space="preserve"> PAGEREF _Toc189658585 \h </w:instrText>
      </w:r>
      <w:r w:rsidRPr="00BE3DAF">
        <w:rPr>
          <w:noProof/>
        </w:rPr>
      </w:r>
      <w:r w:rsidRPr="00BE3DAF">
        <w:rPr>
          <w:noProof/>
        </w:rPr>
        <w:fldChar w:fldCharType="separate"/>
      </w:r>
      <w:r w:rsidR="00D00449" w:rsidRPr="00BE3DAF">
        <w:rPr>
          <w:noProof/>
        </w:rPr>
        <w:t>46</w:t>
      </w:r>
      <w:r w:rsidRPr="00BE3DAF">
        <w:rPr>
          <w:noProof/>
        </w:rPr>
        <w:fldChar w:fldCharType="end"/>
      </w:r>
    </w:p>
    <w:p w14:paraId="73EB9FD5" w14:textId="4CF7BBEA"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Overview of data availability in Asia and the Pacific</w:t>
      </w:r>
      <w:r w:rsidRPr="00BE3DAF">
        <w:rPr>
          <w:noProof/>
        </w:rPr>
        <w:tab/>
      </w:r>
      <w:r w:rsidRPr="00BE3DAF">
        <w:rPr>
          <w:noProof/>
        </w:rPr>
        <w:fldChar w:fldCharType="begin"/>
      </w:r>
      <w:r w:rsidRPr="00BE3DAF">
        <w:rPr>
          <w:noProof/>
        </w:rPr>
        <w:instrText xml:space="preserve"> PAGEREF _Toc189658586 \h </w:instrText>
      </w:r>
      <w:r w:rsidRPr="00BE3DAF">
        <w:rPr>
          <w:noProof/>
        </w:rPr>
      </w:r>
      <w:r w:rsidRPr="00BE3DAF">
        <w:rPr>
          <w:noProof/>
        </w:rPr>
        <w:fldChar w:fldCharType="separate"/>
      </w:r>
      <w:r w:rsidR="00D00449" w:rsidRPr="00BE3DAF">
        <w:rPr>
          <w:noProof/>
        </w:rPr>
        <w:t>48</w:t>
      </w:r>
      <w:r w:rsidRPr="00BE3DAF">
        <w:rPr>
          <w:noProof/>
        </w:rPr>
        <w:fldChar w:fldCharType="end"/>
      </w:r>
    </w:p>
    <w:p w14:paraId="315F9628" w14:textId="728E783B" w:rsidR="00BE00FE" w:rsidRPr="00BE3DAF" w:rsidRDefault="00BE00FE">
      <w:pPr>
        <w:pStyle w:val="TOC1"/>
        <w:tabs>
          <w:tab w:val="right" w:leader="dot" w:pos="9629"/>
        </w:tabs>
        <w:rPr>
          <w:rFonts w:eastAsiaTheme="minorEastAsia" w:cstheme="minorBidi"/>
          <w:b w:val="0"/>
          <w:bCs w:val="0"/>
          <w:noProof/>
          <w:kern w:val="2"/>
          <w:sz w:val="24"/>
          <w:szCs w:val="24"/>
          <w:lang w:eastAsia="en-GB"/>
          <w14:ligatures w14:val="standardContextual"/>
        </w:rPr>
      </w:pPr>
      <w:r w:rsidRPr="00BE3DAF">
        <w:rPr>
          <w:noProof/>
        </w:rPr>
        <w:t>Part 2. BDT4Impact: Selected case studies from Asia and the Pacific</w:t>
      </w:r>
      <w:r w:rsidRPr="00BE3DAF">
        <w:rPr>
          <w:noProof/>
        </w:rPr>
        <w:tab/>
      </w:r>
      <w:r w:rsidRPr="00BE3DAF">
        <w:rPr>
          <w:noProof/>
        </w:rPr>
        <w:fldChar w:fldCharType="begin"/>
      </w:r>
      <w:r w:rsidRPr="00BE3DAF">
        <w:rPr>
          <w:noProof/>
        </w:rPr>
        <w:instrText xml:space="preserve"> PAGEREF _Toc189658587 \h </w:instrText>
      </w:r>
      <w:r w:rsidRPr="00BE3DAF">
        <w:rPr>
          <w:noProof/>
        </w:rPr>
      </w:r>
      <w:r w:rsidRPr="00BE3DAF">
        <w:rPr>
          <w:noProof/>
        </w:rPr>
        <w:fldChar w:fldCharType="separate"/>
      </w:r>
      <w:r w:rsidR="00D00449" w:rsidRPr="00BE3DAF">
        <w:rPr>
          <w:noProof/>
        </w:rPr>
        <w:t>51</w:t>
      </w:r>
      <w:r w:rsidRPr="00BE3DAF">
        <w:rPr>
          <w:noProof/>
        </w:rPr>
        <w:fldChar w:fldCharType="end"/>
      </w:r>
    </w:p>
    <w:p w14:paraId="3B104609" w14:textId="5858B333"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Farmers in Papua New Guinea gain digital skills to boost their businesses</w:t>
      </w:r>
      <w:r w:rsidRPr="00BE3DAF">
        <w:rPr>
          <w:noProof/>
        </w:rPr>
        <w:tab/>
      </w:r>
      <w:r w:rsidRPr="00BE3DAF">
        <w:rPr>
          <w:noProof/>
        </w:rPr>
        <w:fldChar w:fldCharType="begin"/>
      </w:r>
      <w:r w:rsidRPr="00BE3DAF">
        <w:rPr>
          <w:noProof/>
        </w:rPr>
        <w:instrText xml:space="preserve"> PAGEREF _Toc189658588 \h </w:instrText>
      </w:r>
      <w:r w:rsidRPr="00BE3DAF">
        <w:rPr>
          <w:noProof/>
        </w:rPr>
      </w:r>
      <w:r w:rsidRPr="00BE3DAF">
        <w:rPr>
          <w:noProof/>
        </w:rPr>
        <w:fldChar w:fldCharType="separate"/>
      </w:r>
      <w:r w:rsidR="00D00449" w:rsidRPr="00BE3DAF">
        <w:rPr>
          <w:noProof/>
        </w:rPr>
        <w:t>51</w:t>
      </w:r>
      <w:r w:rsidRPr="00BE3DAF">
        <w:rPr>
          <w:noProof/>
        </w:rPr>
        <w:fldChar w:fldCharType="end"/>
      </w:r>
    </w:p>
    <w:p w14:paraId="7A5BA860" w14:textId="64E0C3BD"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Smart Village Gokina reaps the rewards of digital transformation</w:t>
      </w:r>
      <w:r w:rsidRPr="00BE3DAF">
        <w:rPr>
          <w:noProof/>
        </w:rPr>
        <w:tab/>
      </w:r>
      <w:r w:rsidRPr="00BE3DAF">
        <w:rPr>
          <w:noProof/>
        </w:rPr>
        <w:fldChar w:fldCharType="begin"/>
      </w:r>
      <w:r w:rsidRPr="00BE3DAF">
        <w:rPr>
          <w:noProof/>
        </w:rPr>
        <w:instrText xml:space="preserve"> PAGEREF _Toc189658589 \h </w:instrText>
      </w:r>
      <w:r w:rsidRPr="00BE3DAF">
        <w:rPr>
          <w:noProof/>
        </w:rPr>
      </w:r>
      <w:r w:rsidRPr="00BE3DAF">
        <w:rPr>
          <w:noProof/>
        </w:rPr>
        <w:fldChar w:fldCharType="separate"/>
      </w:r>
      <w:r w:rsidR="00D00449" w:rsidRPr="00BE3DAF">
        <w:rPr>
          <w:noProof/>
        </w:rPr>
        <w:t>51</w:t>
      </w:r>
      <w:r w:rsidRPr="00BE3DAF">
        <w:rPr>
          <w:noProof/>
        </w:rPr>
        <w:fldChar w:fldCharType="end"/>
      </w:r>
    </w:p>
    <w:p w14:paraId="2957544D" w14:textId="39CD577D"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Workshop in Mongolia delves into regional digital infrastructure challenges</w:t>
      </w:r>
      <w:r w:rsidRPr="00BE3DAF">
        <w:rPr>
          <w:noProof/>
        </w:rPr>
        <w:tab/>
      </w:r>
      <w:r w:rsidRPr="00BE3DAF">
        <w:rPr>
          <w:noProof/>
        </w:rPr>
        <w:fldChar w:fldCharType="begin"/>
      </w:r>
      <w:r w:rsidRPr="00BE3DAF">
        <w:rPr>
          <w:noProof/>
        </w:rPr>
        <w:instrText xml:space="preserve"> PAGEREF _Toc189658590 \h </w:instrText>
      </w:r>
      <w:r w:rsidRPr="00BE3DAF">
        <w:rPr>
          <w:noProof/>
        </w:rPr>
      </w:r>
      <w:r w:rsidRPr="00BE3DAF">
        <w:rPr>
          <w:noProof/>
        </w:rPr>
        <w:fldChar w:fldCharType="separate"/>
      </w:r>
      <w:r w:rsidR="00D00449" w:rsidRPr="00BE3DAF">
        <w:rPr>
          <w:noProof/>
        </w:rPr>
        <w:t>51</w:t>
      </w:r>
      <w:r w:rsidRPr="00BE3DAF">
        <w:rPr>
          <w:noProof/>
        </w:rPr>
        <w:fldChar w:fldCharType="end"/>
      </w:r>
    </w:p>
    <w:p w14:paraId="1649D755" w14:textId="083C0EC8"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Girls in ICT Day 2024 provided digital skills, role models and career ideas</w:t>
      </w:r>
      <w:r w:rsidRPr="00BE3DAF">
        <w:rPr>
          <w:noProof/>
        </w:rPr>
        <w:tab/>
      </w:r>
      <w:r w:rsidRPr="00BE3DAF">
        <w:rPr>
          <w:noProof/>
        </w:rPr>
        <w:fldChar w:fldCharType="begin"/>
      </w:r>
      <w:r w:rsidRPr="00BE3DAF">
        <w:rPr>
          <w:noProof/>
        </w:rPr>
        <w:instrText xml:space="preserve"> PAGEREF _Toc189658591 \h </w:instrText>
      </w:r>
      <w:r w:rsidRPr="00BE3DAF">
        <w:rPr>
          <w:noProof/>
        </w:rPr>
      </w:r>
      <w:r w:rsidRPr="00BE3DAF">
        <w:rPr>
          <w:noProof/>
        </w:rPr>
        <w:fldChar w:fldCharType="separate"/>
      </w:r>
      <w:r w:rsidR="00D00449" w:rsidRPr="00BE3DAF">
        <w:rPr>
          <w:noProof/>
        </w:rPr>
        <w:t>52</w:t>
      </w:r>
      <w:r w:rsidRPr="00BE3DAF">
        <w:rPr>
          <w:noProof/>
        </w:rPr>
        <w:fldChar w:fldCharType="end"/>
      </w:r>
    </w:p>
    <w:p w14:paraId="29D684B0" w14:textId="0F693A96"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Leaders focus on digital inclusion as a component of healthy aging</w:t>
      </w:r>
      <w:r w:rsidRPr="00BE3DAF">
        <w:rPr>
          <w:noProof/>
        </w:rPr>
        <w:tab/>
      </w:r>
      <w:r w:rsidRPr="00BE3DAF">
        <w:rPr>
          <w:noProof/>
        </w:rPr>
        <w:fldChar w:fldCharType="begin"/>
      </w:r>
      <w:r w:rsidRPr="00BE3DAF">
        <w:rPr>
          <w:noProof/>
        </w:rPr>
        <w:instrText xml:space="preserve"> PAGEREF _Toc189658592 \h </w:instrText>
      </w:r>
      <w:r w:rsidRPr="00BE3DAF">
        <w:rPr>
          <w:noProof/>
        </w:rPr>
      </w:r>
      <w:r w:rsidRPr="00BE3DAF">
        <w:rPr>
          <w:noProof/>
        </w:rPr>
        <w:fldChar w:fldCharType="separate"/>
      </w:r>
      <w:r w:rsidR="00D00449" w:rsidRPr="00BE3DAF">
        <w:rPr>
          <w:noProof/>
        </w:rPr>
        <w:t>52</w:t>
      </w:r>
      <w:r w:rsidRPr="00BE3DAF">
        <w:rPr>
          <w:noProof/>
        </w:rPr>
        <w:fldChar w:fldCharType="end"/>
      </w:r>
    </w:p>
    <w:p w14:paraId="25AD1F3E" w14:textId="3FEF8C12" w:rsidR="00BE00FE" w:rsidRPr="00BE3DAF" w:rsidRDefault="00BE00FE">
      <w:pPr>
        <w:pStyle w:val="TOC2"/>
        <w:tabs>
          <w:tab w:val="right" w:leader="dot" w:pos="9629"/>
        </w:tabs>
        <w:rPr>
          <w:rFonts w:eastAsiaTheme="minorEastAsia" w:cstheme="minorBidi"/>
          <w:i w:val="0"/>
          <w:iCs w:val="0"/>
          <w:noProof/>
          <w:kern w:val="2"/>
          <w:sz w:val="24"/>
          <w:szCs w:val="24"/>
          <w:lang w:eastAsia="en-GB"/>
          <w14:ligatures w14:val="standardContextual"/>
        </w:rPr>
      </w:pPr>
      <w:r w:rsidRPr="00BE3DAF">
        <w:rPr>
          <w:noProof/>
        </w:rPr>
        <w:t>Innovation Centre in New Delhi unites stakeholders, enables digital advancements across sectors</w:t>
      </w:r>
      <w:r w:rsidRPr="00BE3DAF">
        <w:rPr>
          <w:noProof/>
        </w:rPr>
        <w:tab/>
      </w:r>
      <w:r w:rsidRPr="00BE3DAF">
        <w:rPr>
          <w:noProof/>
        </w:rPr>
        <w:fldChar w:fldCharType="begin"/>
      </w:r>
      <w:r w:rsidRPr="00BE3DAF">
        <w:rPr>
          <w:noProof/>
        </w:rPr>
        <w:instrText xml:space="preserve"> PAGEREF _Toc189658593 \h </w:instrText>
      </w:r>
      <w:r w:rsidRPr="00BE3DAF">
        <w:rPr>
          <w:noProof/>
        </w:rPr>
      </w:r>
      <w:r w:rsidRPr="00BE3DAF">
        <w:rPr>
          <w:noProof/>
        </w:rPr>
        <w:fldChar w:fldCharType="separate"/>
      </w:r>
      <w:r w:rsidR="00D00449" w:rsidRPr="00BE3DAF">
        <w:rPr>
          <w:noProof/>
        </w:rPr>
        <w:t>53</w:t>
      </w:r>
      <w:r w:rsidRPr="00BE3DAF">
        <w:rPr>
          <w:noProof/>
        </w:rPr>
        <w:fldChar w:fldCharType="end"/>
      </w:r>
    </w:p>
    <w:p w14:paraId="7D94560D" w14:textId="3E39B716" w:rsidR="00BE00FE" w:rsidRPr="00BE3DAF" w:rsidRDefault="00BE00FE">
      <w:pPr>
        <w:pStyle w:val="TOC1"/>
        <w:tabs>
          <w:tab w:val="right" w:leader="dot" w:pos="9629"/>
        </w:tabs>
        <w:rPr>
          <w:rFonts w:eastAsiaTheme="minorEastAsia" w:cstheme="minorBidi"/>
          <w:b w:val="0"/>
          <w:bCs w:val="0"/>
          <w:noProof/>
          <w:kern w:val="2"/>
          <w:sz w:val="24"/>
          <w:szCs w:val="24"/>
          <w:lang w:eastAsia="en-GB"/>
          <w14:ligatures w14:val="standardContextual"/>
        </w:rPr>
      </w:pPr>
      <w:r w:rsidRPr="00BE3DAF">
        <w:rPr>
          <w:noProof/>
        </w:rPr>
        <w:t>Annex: Data resources</w:t>
      </w:r>
      <w:r w:rsidRPr="00BE3DAF">
        <w:rPr>
          <w:noProof/>
        </w:rPr>
        <w:tab/>
      </w:r>
      <w:r w:rsidRPr="00BE3DAF">
        <w:rPr>
          <w:noProof/>
        </w:rPr>
        <w:fldChar w:fldCharType="begin"/>
      </w:r>
      <w:r w:rsidRPr="00BE3DAF">
        <w:rPr>
          <w:noProof/>
        </w:rPr>
        <w:instrText xml:space="preserve"> PAGEREF _Toc189658594 \h </w:instrText>
      </w:r>
      <w:r w:rsidRPr="00BE3DAF">
        <w:rPr>
          <w:noProof/>
        </w:rPr>
      </w:r>
      <w:r w:rsidRPr="00BE3DAF">
        <w:rPr>
          <w:noProof/>
        </w:rPr>
        <w:fldChar w:fldCharType="separate"/>
      </w:r>
      <w:r w:rsidR="00D00449" w:rsidRPr="00BE3DAF">
        <w:rPr>
          <w:noProof/>
        </w:rPr>
        <w:t>54</w:t>
      </w:r>
      <w:r w:rsidRPr="00BE3DAF">
        <w:rPr>
          <w:noProof/>
        </w:rPr>
        <w:fldChar w:fldCharType="end"/>
      </w:r>
    </w:p>
    <w:p w14:paraId="095B8632" w14:textId="3EB62A55" w:rsidR="00394A30" w:rsidRPr="00BE3DAF" w:rsidRDefault="00203A56" w:rsidP="00E22751">
      <w:pPr>
        <w:rPr>
          <w:rFonts w:eastAsia="Yu Gothic Light"/>
        </w:rPr>
      </w:pPr>
      <w:r w:rsidRPr="00BE3DAF">
        <w:rPr>
          <w:rFonts w:ascii="Aptos" w:eastAsia="Aptos" w:hAnsi="Aptos" w:cs="Arial"/>
          <w:kern w:val="2"/>
          <w:sz w:val="22"/>
          <w:szCs w:val="22"/>
          <w14:ligatures w14:val="standardContextual"/>
        </w:rPr>
        <w:fldChar w:fldCharType="end"/>
      </w:r>
    </w:p>
    <w:p w14:paraId="55E4843D" w14:textId="77777777" w:rsidR="00394A30" w:rsidRPr="00BE3DAF"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BE3DAF">
        <w:rPr>
          <w:rFonts w:eastAsia="Yu Gothic Light"/>
        </w:rPr>
        <w:br w:type="page"/>
      </w:r>
    </w:p>
    <w:p w14:paraId="503B6FEE" w14:textId="0D43A33C" w:rsidR="006C41B5" w:rsidRPr="00BE3DAF" w:rsidRDefault="006C41B5" w:rsidP="00554ABD">
      <w:pPr>
        <w:pStyle w:val="Parttitle0"/>
      </w:pPr>
      <w:bookmarkStart w:id="6" w:name="_Toc189658571"/>
      <w:r w:rsidRPr="00BE3DAF">
        <w:lastRenderedPageBreak/>
        <w:t>Introduction</w:t>
      </w:r>
      <w:bookmarkEnd w:id="6"/>
    </w:p>
    <w:p w14:paraId="1183AF85" w14:textId="6EFACF5F" w:rsidR="006C41B5" w:rsidRPr="00BE3DAF" w:rsidRDefault="006C41B5" w:rsidP="00A6778B">
      <w:pPr>
        <w:rPr>
          <w:rFonts w:ascii="Aptos" w:eastAsia="Yu Gothic Light" w:hAnsi="Aptos"/>
          <w:color w:val="0F4761"/>
          <w:kern w:val="2"/>
          <w:sz w:val="22"/>
          <w:szCs w:val="22"/>
          <w14:ligatures w14:val="standardContextual"/>
        </w:rPr>
      </w:pPr>
      <w:r w:rsidRPr="00BE3DAF">
        <w:rPr>
          <w:rFonts w:ascii="Aptos" w:eastAsia="Aptos" w:hAnsi="Aptos" w:cs="Arial"/>
          <w:kern w:val="2"/>
          <w:sz w:val="22"/>
          <w:szCs w:val="22"/>
          <w14:ligatures w14:val="standardContextual"/>
        </w:rPr>
        <w:t xml:space="preserve">The Regional Preparatory Meetings (RPMs) aim at engaging the membership in the preparations of the World Telecommunication Development Conference 2025 (WTDC-25). </w:t>
      </w:r>
      <w:r w:rsidR="00EC106A" w:rsidRPr="00BE3DAF">
        <w:rPr>
          <w:rFonts w:ascii="Aptos" w:eastAsia="Aptos" w:hAnsi="Aptos" w:cs="Arial"/>
          <w:kern w:val="2"/>
          <w:sz w:val="22"/>
          <w:szCs w:val="22"/>
          <w14:ligatures w14:val="standardContextual"/>
        </w:rPr>
        <w:t>P</w:t>
      </w:r>
      <w:r w:rsidRPr="00BE3DAF">
        <w:rPr>
          <w:rFonts w:ascii="Aptos" w:eastAsia="Aptos" w:hAnsi="Aptos" w:cs="Arial"/>
          <w:kern w:val="2"/>
          <w:sz w:val="22"/>
          <w:szCs w:val="22"/>
          <w14:ligatures w14:val="standardContextual"/>
        </w:rPr>
        <w:t xml:space="preserve">repared for the </w:t>
      </w:r>
      <w:hyperlink r:id="rId12" w:history="1">
        <w:r w:rsidRPr="00BE3DAF">
          <w:rPr>
            <w:rStyle w:val="Hyperlink"/>
            <w:rFonts w:ascii="Aptos" w:eastAsia="Aptos" w:hAnsi="Aptos" w:cs="Arial"/>
            <w:kern w:val="2"/>
            <w:sz w:val="22"/>
            <w:szCs w:val="22"/>
            <w14:ligatures w14:val="standardContextual"/>
          </w:rPr>
          <w:t xml:space="preserve">RPM </w:t>
        </w:r>
        <w:r w:rsidR="00992C0C" w:rsidRPr="00BE3DAF">
          <w:rPr>
            <w:rStyle w:val="Hyperlink"/>
            <w:rFonts w:ascii="Aptos" w:eastAsia="Aptos" w:hAnsi="Aptos" w:cs="Arial"/>
            <w:kern w:val="2"/>
            <w:sz w:val="22"/>
            <w:szCs w:val="22"/>
            <w14:ligatures w14:val="standardContextual"/>
          </w:rPr>
          <w:t xml:space="preserve">for </w:t>
        </w:r>
        <w:r w:rsidR="00670782" w:rsidRPr="00BE3DAF">
          <w:rPr>
            <w:rStyle w:val="Hyperlink"/>
            <w:rFonts w:ascii="Aptos" w:eastAsia="Aptos" w:hAnsi="Aptos" w:cs="Arial"/>
            <w:kern w:val="2"/>
            <w:sz w:val="22"/>
            <w:szCs w:val="22"/>
            <w14:ligatures w14:val="standardContextual"/>
          </w:rPr>
          <w:t>Asia and the Pacific</w:t>
        </w:r>
      </w:hyperlink>
      <w:r w:rsidR="00992C0C" w:rsidRPr="00BE3DAF">
        <w:rPr>
          <w:rFonts w:ascii="Aptos" w:eastAsia="Aptos" w:hAnsi="Aptos" w:cs="Arial"/>
          <w:kern w:val="2"/>
          <w:sz w:val="22"/>
          <w:szCs w:val="22"/>
          <w14:ligatures w14:val="standardContextual"/>
        </w:rPr>
        <w:t xml:space="preserve"> held</w:t>
      </w:r>
      <w:r w:rsidR="00670782"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on </w:t>
      </w:r>
      <w:r w:rsidR="00670782" w:rsidRPr="00BE3DAF">
        <w:rPr>
          <w:rFonts w:ascii="Aptos" w:eastAsia="Aptos" w:hAnsi="Aptos" w:cs="Arial"/>
          <w:kern w:val="2"/>
          <w:sz w:val="22"/>
          <w:szCs w:val="22"/>
          <w14:ligatures w14:val="standardContextual"/>
        </w:rPr>
        <w:t>20-21</w:t>
      </w:r>
      <w:r w:rsidRPr="00BE3DAF">
        <w:rPr>
          <w:rFonts w:ascii="Aptos" w:eastAsia="Aptos" w:hAnsi="Aptos" w:cs="Arial"/>
          <w:kern w:val="2"/>
          <w:sz w:val="22"/>
          <w:szCs w:val="22"/>
          <w14:ligatures w14:val="standardContextual"/>
        </w:rPr>
        <w:t xml:space="preserve"> </w:t>
      </w:r>
      <w:r w:rsidR="00670782" w:rsidRPr="00BE3DAF">
        <w:rPr>
          <w:rFonts w:ascii="Aptos" w:eastAsia="Aptos" w:hAnsi="Aptos" w:cs="Arial"/>
          <w:kern w:val="2"/>
          <w:sz w:val="22"/>
          <w:szCs w:val="22"/>
          <w14:ligatures w14:val="standardContextual"/>
        </w:rPr>
        <w:t xml:space="preserve">March </w:t>
      </w:r>
      <w:r w:rsidRPr="00BE3DAF">
        <w:rPr>
          <w:rFonts w:ascii="Aptos" w:eastAsia="Aptos" w:hAnsi="Aptos" w:cs="Arial"/>
          <w:kern w:val="2"/>
          <w:sz w:val="22"/>
          <w:szCs w:val="22"/>
          <w14:ligatures w14:val="standardContextual"/>
        </w:rPr>
        <w:t xml:space="preserve">2025, </w:t>
      </w:r>
      <w:r w:rsidR="00EC106A" w:rsidRPr="00BE3DAF">
        <w:rPr>
          <w:rFonts w:ascii="Aptos" w:eastAsia="Aptos" w:hAnsi="Aptos" w:cs="Arial"/>
          <w:kern w:val="2"/>
          <w:sz w:val="22"/>
          <w:szCs w:val="22"/>
          <w14:ligatures w14:val="standardContextual"/>
        </w:rPr>
        <w:t xml:space="preserve">this document </w:t>
      </w:r>
      <w:r w:rsidRPr="00BE3DAF">
        <w:rPr>
          <w:rFonts w:ascii="Aptos" w:eastAsia="Aptos" w:hAnsi="Aptos" w:cs="Arial"/>
          <w:kern w:val="2"/>
          <w:sz w:val="22"/>
          <w:szCs w:val="22"/>
          <w14:ligatures w14:val="standardContextual"/>
        </w:rPr>
        <w:t xml:space="preserve">seeks to inform participants and stakeholders as they </w:t>
      </w:r>
      <w:r w:rsidR="0089146F" w:rsidRPr="00BE3DAF">
        <w:rPr>
          <w:rFonts w:ascii="Aptos" w:eastAsia="Aptos" w:hAnsi="Aptos" w:cs="Arial"/>
          <w:kern w:val="2"/>
          <w:sz w:val="22"/>
          <w:szCs w:val="22"/>
          <w14:ligatures w14:val="standardContextual"/>
        </w:rPr>
        <w:t xml:space="preserve">discuss </w:t>
      </w:r>
      <w:r w:rsidRPr="00BE3DAF">
        <w:rPr>
          <w:rFonts w:ascii="Aptos" w:eastAsia="Aptos" w:hAnsi="Aptos" w:cs="Arial"/>
          <w:kern w:val="2"/>
          <w:sz w:val="22"/>
          <w:szCs w:val="22"/>
          <w14:ligatures w14:val="standardContextual"/>
        </w:rPr>
        <w:t>the region’s digital agenda.</w:t>
      </w:r>
      <w:r w:rsidRPr="00BE3DAF">
        <w:rPr>
          <w:rFonts w:ascii="Aptos" w:eastAsia="Aptos" w:hAnsi="Aptos" w:cs="Arial"/>
          <w:kern w:val="2"/>
          <w:sz w:val="22"/>
          <w:szCs w:val="22"/>
          <w:vertAlign w:val="superscript"/>
          <w14:ligatures w14:val="standardContextual"/>
        </w:rPr>
        <w:footnoteReference w:id="2"/>
      </w:r>
      <w:r w:rsidRPr="00BE3DAF">
        <w:rPr>
          <w:rFonts w:ascii="Aptos" w:eastAsia="Aptos" w:hAnsi="Aptos" w:cs="Arial"/>
          <w:kern w:val="2"/>
          <w:sz w:val="22"/>
          <w:szCs w:val="22"/>
          <w14:ligatures w14:val="standardContextual"/>
        </w:rPr>
        <w:t xml:space="preserve"> </w:t>
      </w:r>
      <w:r w:rsidR="00722F24" w:rsidRPr="00BE3DAF">
        <w:rPr>
          <w:rFonts w:ascii="Aptos" w:eastAsia="Aptos" w:hAnsi="Aptos" w:cs="Arial"/>
          <w:kern w:val="2"/>
          <w:sz w:val="22"/>
          <w:szCs w:val="22"/>
          <w14:ligatures w14:val="standardContextual"/>
        </w:rPr>
        <w:t>The document consists of</w:t>
      </w:r>
      <w:r w:rsidRPr="00BE3DAF">
        <w:rPr>
          <w:rFonts w:ascii="Aptos" w:eastAsia="Aptos" w:hAnsi="Aptos" w:cs="Arial"/>
          <w:kern w:val="2"/>
          <w:sz w:val="22"/>
          <w:szCs w:val="22"/>
          <w14:ligatures w14:val="standardContextual"/>
        </w:rPr>
        <w:t xml:space="preserve"> two parts: the first provides an overview of the state of digital connectivity in </w:t>
      </w:r>
      <w:r w:rsidR="00786B4E" w:rsidRPr="00BE3DAF">
        <w:rPr>
          <w:rFonts w:ascii="Aptos" w:eastAsia="Aptos" w:hAnsi="Aptos" w:cs="Arial"/>
          <w:kern w:val="2"/>
          <w:sz w:val="22"/>
          <w:szCs w:val="22"/>
          <w14:ligatures w14:val="standardContextual"/>
        </w:rPr>
        <w:t>the region</w:t>
      </w:r>
      <w:r w:rsidR="005C04D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through key indicators, and the second </w:t>
      </w:r>
      <w:r w:rsidR="005867B4" w:rsidRPr="00BE3DAF">
        <w:rPr>
          <w:rFonts w:ascii="Aptos" w:eastAsia="Aptos" w:hAnsi="Aptos" w:cs="Arial"/>
          <w:kern w:val="2"/>
          <w:sz w:val="22"/>
          <w:szCs w:val="22"/>
          <w14:ligatures w14:val="standardContextual"/>
        </w:rPr>
        <w:t>showcases</w:t>
      </w:r>
      <w:r w:rsidRPr="00BE3DAF">
        <w:rPr>
          <w:rFonts w:ascii="Aptos" w:eastAsia="Aptos" w:hAnsi="Aptos" w:cs="Arial"/>
          <w:kern w:val="2"/>
          <w:sz w:val="22"/>
          <w:szCs w:val="22"/>
          <w14:ligatures w14:val="standardContextual"/>
        </w:rPr>
        <w:t xml:space="preserve"> impactful case studies.</w:t>
      </w:r>
    </w:p>
    <w:p w14:paraId="519A74C9" w14:textId="6FAD4B56" w:rsidR="002B5019" w:rsidRPr="00BE3DAF" w:rsidRDefault="00C57355" w:rsidP="002B5019">
      <w:pPr>
        <w:rPr>
          <w:rFonts w:ascii="Aptos" w:hAnsi="Aptos"/>
          <w:sz w:val="22"/>
          <w:szCs w:val="22"/>
          <w:lang w:eastAsia="en-GB"/>
        </w:rPr>
      </w:pPr>
      <w:r w:rsidRPr="00BE3DAF">
        <w:rPr>
          <w:rFonts w:ascii="Aptos" w:hAnsi="Aptos"/>
          <w:b/>
          <w:bCs/>
          <w:sz w:val="22"/>
          <w:szCs w:val="22"/>
        </w:rPr>
        <w:t xml:space="preserve">Universal and meaningful connectivity </w:t>
      </w:r>
      <w:r w:rsidR="00F53880" w:rsidRPr="00BE3DAF">
        <w:rPr>
          <w:rFonts w:ascii="Aptos" w:hAnsi="Aptos"/>
          <w:b/>
          <w:bCs/>
          <w:sz w:val="22"/>
          <w:szCs w:val="22"/>
        </w:rPr>
        <w:t xml:space="preserve">is a policy imperative. </w:t>
      </w:r>
      <w:r w:rsidRPr="00BE3DAF">
        <w:rPr>
          <w:rFonts w:ascii="Aptos" w:hAnsi="Aptos"/>
          <w:sz w:val="22"/>
          <w:szCs w:val="22"/>
        </w:rPr>
        <w:t xml:space="preserve">The concept of universal and meaningful connectivity (UMC) has emerged as a </w:t>
      </w:r>
      <w:r w:rsidR="00F53880" w:rsidRPr="00BE3DAF">
        <w:rPr>
          <w:rFonts w:ascii="Aptos" w:hAnsi="Aptos"/>
          <w:sz w:val="22"/>
          <w:szCs w:val="22"/>
        </w:rPr>
        <w:t xml:space="preserve">vital </w:t>
      </w:r>
      <w:r w:rsidRPr="00BE3DAF">
        <w:rPr>
          <w:rFonts w:ascii="Aptos" w:hAnsi="Aptos"/>
          <w:sz w:val="22"/>
          <w:szCs w:val="22"/>
        </w:rPr>
        <w:t xml:space="preserve">policy objective. UMC is defined as enabling everyone to enjoy a safe, enriching, and productive online experience at an affordable cost. </w:t>
      </w:r>
      <w:r w:rsidRPr="00BE3DAF">
        <w:rPr>
          <w:rFonts w:ascii="Aptos" w:hAnsi="Aptos"/>
          <w:sz w:val="22"/>
          <w:szCs w:val="22"/>
          <w:lang w:eastAsia="en-GB"/>
        </w:rPr>
        <w:t>UMC does not mean everyone must be connected all the time</w:t>
      </w:r>
      <w:r w:rsidR="00FA74B7" w:rsidRPr="00BE3DAF">
        <w:rPr>
          <w:rFonts w:ascii="Aptos" w:hAnsi="Aptos"/>
          <w:sz w:val="22"/>
          <w:szCs w:val="22"/>
          <w:lang w:eastAsia="en-GB"/>
        </w:rPr>
        <w:t xml:space="preserve"> but describes </w:t>
      </w:r>
      <w:r w:rsidRPr="00BE3DAF">
        <w:rPr>
          <w:rFonts w:ascii="Aptos" w:hAnsi="Aptos"/>
          <w:sz w:val="22"/>
          <w:szCs w:val="22"/>
          <w:lang w:eastAsia="en-GB"/>
        </w:rPr>
        <w:t xml:space="preserve">a situation where </w:t>
      </w:r>
      <w:r w:rsidRPr="00BE3DAF">
        <w:rPr>
          <w:rFonts w:ascii="Aptos" w:hAnsi="Aptos"/>
          <w:sz w:val="22"/>
          <w:szCs w:val="22"/>
        </w:rPr>
        <w:t>everyone can access the Internet optimally and affordably whenever and wherever needed</w:t>
      </w:r>
      <w:r w:rsidRPr="00BE3DAF">
        <w:rPr>
          <w:rFonts w:ascii="Aptos" w:hAnsi="Aptos"/>
          <w:sz w:val="22"/>
          <w:szCs w:val="22"/>
          <w:lang w:eastAsia="en-GB"/>
        </w:rPr>
        <w:t xml:space="preserve">. </w:t>
      </w:r>
      <w:r w:rsidR="00982F7A" w:rsidRPr="00BE3DAF">
        <w:rPr>
          <w:rFonts w:ascii="Aptos" w:hAnsi="Aptos"/>
          <w:sz w:val="22"/>
          <w:szCs w:val="22"/>
          <w:lang w:eastAsia="en-GB"/>
        </w:rPr>
        <w:t>While the Asia</w:t>
      </w:r>
      <w:r w:rsidR="00E71C81" w:rsidRPr="00BE3DAF">
        <w:rPr>
          <w:rFonts w:ascii="Aptos" w:hAnsi="Aptos"/>
          <w:sz w:val="22"/>
          <w:szCs w:val="22"/>
          <w:lang w:eastAsia="en-GB"/>
        </w:rPr>
        <w:t xml:space="preserve"> and the </w:t>
      </w:r>
      <w:r w:rsidR="00982F7A" w:rsidRPr="00BE3DAF">
        <w:rPr>
          <w:rFonts w:ascii="Aptos" w:hAnsi="Aptos"/>
          <w:sz w:val="22"/>
          <w:szCs w:val="22"/>
          <w:lang w:eastAsia="en-GB"/>
        </w:rPr>
        <w:t>Pacific region is making notable progress toward UMC, significant challenges remain.</w:t>
      </w:r>
    </w:p>
    <w:p w14:paraId="0701623F" w14:textId="4240A89B" w:rsidR="00E71BBE" w:rsidRPr="00BE3DAF" w:rsidRDefault="00952C89" w:rsidP="00064828">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 xml:space="preserve">The region is marked by significant contrasts in digital development. </w:t>
      </w:r>
      <w:r w:rsidRPr="00BE3DAF">
        <w:rPr>
          <w:rFonts w:ascii="Aptos" w:eastAsia="Aptos" w:hAnsi="Aptos" w:cs="Arial"/>
          <w:kern w:val="2"/>
          <w:sz w:val="22"/>
          <w:szCs w:val="22"/>
          <w14:ligatures w14:val="standardContextual"/>
        </w:rPr>
        <w:t xml:space="preserve">Home to 41 Member States, </w:t>
      </w:r>
      <w:r w:rsidR="004854C3" w:rsidRPr="00BE3DAF">
        <w:rPr>
          <w:rFonts w:ascii="Aptos" w:eastAsia="Aptos" w:hAnsi="Aptos" w:cs="Arial"/>
          <w:kern w:val="2"/>
          <w:sz w:val="22"/>
          <w:szCs w:val="22"/>
          <w14:ligatures w14:val="standardContextual"/>
        </w:rPr>
        <w:t>including Palau</w:t>
      </w:r>
      <w:r w:rsidR="007759F7" w:rsidRPr="00BE3DAF">
        <w:rPr>
          <w:rFonts w:ascii="Aptos" w:eastAsia="Aptos" w:hAnsi="Aptos" w:cs="Arial"/>
          <w:kern w:val="2"/>
          <w:sz w:val="22"/>
          <w:szCs w:val="22"/>
          <w14:ligatures w14:val="standardContextual"/>
        </w:rPr>
        <w:t xml:space="preserve">, </w:t>
      </w:r>
      <w:r w:rsidR="00956EA8" w:rsidRPr="00BE3DAF">
        <w:rPr>
          <w:rFonts w:ascii="Aptos" w:eastAsia="Aptos" w:hAnsi="Aptos" w:cs="Arial"/>
          <w:kern w:val="2"/>
          <w:sz w:val="22"/>
          <w:szCs w:val="22"/>
          <w14:ligatures w14:val="standardContextual"/>
        </w:rPr>
        <w:t xml:space="preserve">the latest to </w:t>
      </w:r>
      <w:r w:rsidR="007759F7" w:rsidRPr="00BE3DAF">
        <w:rPr>
          <w:rFonts w:ascii="Aptos" w:eastAsia="Aptos" w:hAnsi="Aptos" w:cs="Arial"/>
          <w:kern w:val="2"/>
          <w:sz w:val="22"/>
          <w:szCs w:val="22"/>
          <w14:ligatures w14:val="standardContextual"/>
        </w:rPr>
        <w:t>join</w:t>
      </w:r>
      <w:r w:rsidR="00956EA8" w:rsidRPr="00BE3DAF">
        <w:rPr>
          <w:rFonts w:ascii="Aptos" w:eastAsia="Aptos" w:hAnsi="Aptos" w:cs="Arial"/>
          <w:kern w:val="2"/>
          <w:sz w:val="22"/>
          <w:szCs w:val="22"/>
          <w14:ligatures w14:val="standardContextual"/>
        </w:rPr>
        <w:t xml:space="preserve"> </w:t>
      </w:r>
      <w:r w:rsidR="007759F7" w:rsidRPr="00BE3DAF">
        <w:rPr>
          <w:rFonts w:ascii="Aptos" w:eastAsia="Aptos" w:hAnsi="Aptos" w:cs="Arial"/>
          <w:kern w:val="2"/>
          <w:sz w:val="22"/>
          <w:szCs w:val="22"/>
          <w14:ligatures w14:val="standardContextual"/>
        </w:rPr>
        <w:t>the Union in 2024, t</w:t>
      </w:r>
      <w:r w:rsidRPr="00BE3DAF">
        <w:rPr>
          <w:rFonts w:ascii="Aptos" w:eastAsia="Aptos" w:hAnsi="Aptos" w:cs="Arial"/>
          <w:kern w:val="2"/>
          <w:sz w:val="22"/>
          <w:szCs w:val="22"/>
          <w14:ligatures w14:val="standardContextual"/>
        </w:rPr>
        <w:t xml:space="preserve">he region encompasses </w:t>
      </w:r>
      <w:r w:rsidR="005A3C1C" w:rsidRPr="00BE3DAF">
        <w:rPr>
          <w:rFonts w:ascii="Aptos" w:eastAsia="Aptos" w:hAnsi="Aptos" w:cs="Arial"/>
          <w:kern w:val="2"/>
          <w:sz w:val="22"/>
          <w:szCs w:val="22"/>
          <w14:ligatures w14:val="standardContextual"/>
        </w:rPr>
        <w:t xml:space="preserve">a wide range </w:t>
      </w:r>
      <w:r w:rsidR="00E71BBE" w:rsidRPr="00BE3DAF">
        <w:rPr>
          <w:rFonts w:ascii="Aptos" w:eastAsia="Aptos" w:hAnsi="Aptos" w:cs="Arial"/>
          <w:kern w:val="2"/>
          <w:sz w:val="22"/>
          <w:szCs w:val="22"/>
          <w14:ligatures w14:val="standardContextual"/>
        </w:rPr>
        <w:t xml:space="preserve">of </w:t>
      </w:r>
      <w:r w:rsidR="005A3C1C" w:rsidRPr="00BE3DAF">
        <w:rPr>
          <w:rFonts w:ascii="Aptos" w:eastAsia="Aptos" w:hAnsi="Aptos" w:cs="Arial"/>
          <w:kern w:val="2"/>
          <w:sz w:val="22"/>
          <w:szCs w:val="22"/>
          <w14:ligatures w14:val="standardContextual"/>
        </w:rPr>
        <w:t>countries</w:t>
      </w:r>
      <w:r w:rsidRPr="00BE3DAF">
        <w:rPr>
          <w:rFonts w:ascii="Aptos" w:eastAsia="Aptos" w:hAnsi="Aptos" w:cs="Arial"/>
          <w:kern w:val="2"/>
          <w:sz w:val="22"/>
          <w:szCs w:val="22"/>
          <w14:ligatures w14:val="standardContextual"/>
        </w:rPr>
        <w:t xml:space="preserve">, from some of the most technologically advanced nations to others still striving to bridge </w:t>
      </w:r>
      <w:r w:rsidR="00E92AA1" w:rsidRPr="00BE3DAF">
        <w:rPr>
          <w:rFonts w:ascii="Aptos" w:eastAsia="Aptos" w:hAnsi="Aptos" w:cs="Arial"/>
          <w:kern w:val="2"/>
          <w:sz w:val="22"/>
          <w:szCs w:val="22"/>
          <w14:ligatures w14:val="standardContextual"/>
        </w:rPr>
        <w:t>multiple</w:t>
      </w:r>
      <w:r w:rsidRPr="00BE3DAF">
        <w:rPr>
          <w:rFonts w:ascii="Aptos" w:eastAsia="Aptos" w:hAnsi="Aptos" w:cs="Arial"/>
          <w:kern w:val="2"/>
          <w:sz w:val="22"/>
          <w:szCs w:val="22"/>
          <w14:ligatures w14:val="standardContextual"/>
        </w:rPr>
        <w:t xml:space="preserve"> connectivity gaps. This diversity is reflected in </w:t>
      </w:r>
      <w:r w:rsidR="00DF314A" w:rsidRPr="00BE3DAF">
        <w:rPr>
          <w:rFonts w:ascii="Aptos" w:eastAsia="Aptos" w:hAnsi="Aptos" w:cs="Arial"/>
          <w:kern w:val="2"/>
          <w:sz w:val="22"/>
          <w:szCs w:val="22"/>
          <w14:ligatures w14:val="standardContextual"/>
        </w:rPr>
        <w:t xml:space="preserve">vastly different </w:t>
      </w:r>
      <w:r w:rsidRPr="00BE3DAF">
        <w:rPr>
          <w:rFonts w:ascii="Aptos" w:eastAsia="Aptos" w:hAnsi="Aptos" w:cs="Arial"/>
          <w:kern w:val="2"/>
          <w:sz w:val="22"/>
          <w:szCs w:val="22"/>
          <w14:ligatures w14:val="standardContextual"/>
        </w:rPr>
        <w:t xml:space="preserve">levels of </w:t>
      </w:r>
      <w:r w:rsidR="00956EA8" w:rsidRPr="00BE3DAF">
        <w:rPr>
          <w:rFonts w:ascii="Aptos" w:eastAsia="Aptos" w:hAnsi="Aptos" w:cs="Arial"/>
          <w:kern w:val="2"/>
          <w:sz w:val="22"/>
          <w:szCs w:val="22"/>
          <w14:ligatures w14:val="standardContextual"/>
        </w:rPr>
        <w:t>digital development</w:t>
      </w:r>
      <w:r w:rsidR="001D7AEF" w:rsidRPr="00BE3DAF">
        <w:rPr>
          <w:rFonts w:ascii="Aptos" w:eastAsia="Aptos" w:hAnsi="Aptos" w:cs="Arial"/>
          <w:kern w:val="2"/>
          <w:sz w:val="22"/>
          <w:szCs w:val="22"/>
          <w14:ligatures w14:val="standardContextual"/>
        </w:rPr>
        <w:t xml:space="preserve"> </w:t>
      </w:r>
      <w:r w:rsidR="008179F8" w:rsidRPr="00BE3DAF">
        <w:rPr>
          <w:rFonts w:ascii="Aptos" w:eastAsia="Aptos" w:hAnsi="Aptos" w:cs="Arial"/>
          <w:kern w:val="2"/>
          <w:sz w:val="22"/>
          <w:szCs w:val="22"/>
          <w14:ligatures w14:val="standardContextual"/>
        </w:rPr>
        <w:t xml:space="preserve">not only </w:t>
      </w:r>
      <w:r w:rsidR="001D7AEF" w:rsidRPr="00BE3DAF">
        <w:rPr>
          <w:rFonts w:ascii="Aptos" w:eastAsia="Aptos" w:hAnsi="Aptos" w:cs="Arial"/>
          <w:kern w:val="2"/>
          <w:sz w:val="22"/>
          <w:szCs w:val="22"/>
          <w14:ligatures w14:val="standardContextual"/>
        </w:rPr>
        <w:t>across</w:t>
      </w:r>
      <w:r w:rsidR="00C2127C" w:rsidRPr="00BE3DAF">
        <w:rPr>
          <w:rFonts w:ascii="Aptos" w:eastAsia="Aptos" w:hAnsi="Aptos" w:cs="Arial"/>
          <w:kern w:val="2"/>
          <w:sz w:val="22"/>
          <w:szCs w:val="22"/>
          <w14:ligatures w14:val="standardContextual"/>
        </w:rPr>
        <w:t xml:space="preserve"> countries </w:t>
      </w:r>
      <w:r w:rsidR="008179F8" w:rsidRPr="00BE3DAF">
        <w:rPr>
          <w:rFonts w:ascii="Aptos" w:eastAsia="Aptos" w:hAnsi="Aptos" w:cs="Arial"/>
          <w:kern w:val="2"/>
          <w:sz w:val="22"/>
          <w:szCs w:val="22"/>
          <w14:ligatures w14:val="standardContextual"/>
        </w:rPr>
        <w:t>but also within countries</w:t>
      </w:r>
      <w:r w:rsidR="00E71BBE" w:rsidRPr="00BE3DAF">
        <w:rPr>
          <w:rFonts w:ascii="Aptos" w:eastAsia="Aptos" w:hAnsi="Aptos" w:cs="Arial"/>
          <w:kern w:val="2"/>
          <w:sz w:val="22"/>
          <w:szCs w:val="22"/>
          <w14:ligatures w14:val="standardContextual"/>
        </w:rPr>
        <w:t xml:space="preserve">. </w:t>
      </w:r>
    </w:p>
    <w:p w14:paraId="45C1281B" w14:textId="6395C88A" w:rsidR="003B525B" w:rsidRPr="00BE3DAF" w:rsidRDefault="0084527F" w:rsidP="00952C89">
      <w:pPr>
        <w:rPr>
          <w:rFonts w:ascii="Aptos" w:eastAsia="Aptos" w:hAnsi="Aptos"/>
          <w:sz w:val="22"/>
          <w:szCs w:val="22"/>
          <w:lang w:eastAsia="en-GB"/>
        </w:rPr>
      </w:pPr>
      <w:r w:rsidRPr="00BE3DAF">
        <w:rPr>
          <w:rFonts w:ascii="Aptos" w:hAnsi="Aptos"/>
          <w:b/>
          <w:bCs/>
          <w:sz w:val="22"/>
          <w:szCs w:val="22"/>
          <w:lang w:eastAsia="en-GB"/>
        </w:rPr>
        <w:t>Thanks to rapid expansion,</w:t>
      </w:r>
      <w:r w:rsidR="00C2127C" w:rsidRPr="00BE3DAF">
        <w:rPr>
          <w:rFonts w:ascii="Aptos" w:eastAsia="Aptos" w:hAnsi="Aptos"/>
          <w:b/>
          <w:bCs/>
          <w:sz w:val="22"/>
          <w:szCs w:val="22"/>
          <w:lang w:eastAsia="en-GB"/>
        </w:rPr>
        <w:t xml:space="preserve"> universal </w:t>
      </w:r>
      <w:r w:rsidRPr="00BE3DAF">
        <w:rPr>
          <w:rFonts w:ascii="Aptos" w:hAnsi="Aptos"/>
          <w:b/>
          <w:bCs/>
          <w:sz w:val="22"/>
          <w:szCs w:val="22"/>
          <w:lang w:eastAsia="en-GB"/>
        </w:rPr>
        <w:t xml:space="preserve">access is within reach. </w:t>
      </w:r>
      <w:r w:rsidR="00AB57D7" w:rsidRPr="00BE3DAF">
        <w:rPr>
          <w:rFonts w:ascii="Aptos" w:hAnsi="Aptos"/>
          <w:sz w:val="22"/>
          <w:szCs w:val="22"/>
          <w:lang w:eastAsia="en-GB"/>
        </w:rPr>
        <w:t>Mobile network</w:t>
      </w:r>
      <w:r w:rsidR="00C2127C" w:rsidRPr="00BE3DAF">
        <w:rPr>
          <w:rFonts w:ascii="Aptos" w:eastAsia="Aptos" w:hAnsi="Aptos"/>
          <w:sz w:val="22"/>
          <w:szCs w:val="22"/>
          <w:lang w:eastAsia="en-GB"/>
        </w:rPr>
        <w:t xml:space="preserve"> coverage in </w:t>
      </w:r>
      <w:r w:rsidR="006C6581" w:rsidRPr="00BE3DAF">
        <w:rPr>
          <w:rFonts w:ascii="Aptos" w:eastAsia="Aptos" w:hAnsi="Aptos"/>
          <w:sz w:val="22"/>
          <w:szCs w:val="22"/>
          <w:lang w:eastAsia="en-GB"/>
        </w:rPr>
        <w:t xml:space="preserve">the </w:t>
      </w:r>
      <w:r w:rsidR="00AB57D7" w:rsidRPr="00BE3DAF">
        <w:rPr>
          <w:rFonts w:ascii="Aptos" w:hAnsi="Aptos"/>
          <w:sz w:val="22"/>
          <w:szCs w:val="22"/>
          <w:lang w:eastAsia="en-GB"/>
        </w:rPr>
        <w:t xml:space="preserve">Asia-Pacific region has expanded faster than in most regions, with </w:t>
      </w:r>
      <w:r w:rsidR="00B06DE2" w:rsidRPr="00BE3DAF">
        <w:rPr>
          <w:rFonts w:ascii="Aptos" w:hAnsi="Aptos"/>
          <w:sz w:val="22"/>
          <w:szCs w:val="22"/>
          <w:lang w:eastAsia="en-GB"/>
        </w:rPr>
        <w:t xml:space="preserve">96.2 </w:t>
      </w:r>
      <w:r w:rsidR="00AB57D7" w:rsidRPr="00BE3DAF">
        <w:rPr>
          <w:rFonts w:ascii="Aptos" w:hAnsi="Aptos"/>
          <w:sz w:val="22"/>
          <w:szCs w:val="22"/>
          <w:lang w:eastAsia="en-GB"/>
        </w:rPr>
        <w:t xml:space="preserve">percent of the population covered by at least a </w:t>
      </w:r>
      <w:r w:rsidR="00B06DE2" w:rsidRPr="00BE3DAF">
        <w:rPr>
          <w:rFonts w:ascii="Aptos" w:hAnsi="Aptos"/>
          <w:sz w:val="22"/>
          <w:szCs w:val="22"/>
          <w:lang w:eastAsia="en-GB"/>
        </w:rPr>
        <w:t xml:space="preserve">4G </w:t>
      </w:r>
      <w:r w:rsidR="00AB57D7" w:rsidRPr="00BE3DAF">
        <w:rPr>
          <w:rFonts w:ascii="Aptos" w:hAnsi="Aptos"/>
          <w:sz w:val="22"/>
          <w:szCs w:val="22"/>
          <w:lang w:eastAsia="en-GB"/>
        </w:rPr>
        <w:t xml:space="preserve">network. </w:t>
      </w:r>
      <w:r w:rsidR="0049178E" w:rsidRPr="00BE3DAF">
        <w:rPr>
          <w:rFonts w:ascii="Aptos" w:hAnsi="Aptos"/>
          <w:sz w:val="22"/>
          <w:szCs w:val="22"/>
          <w:lang w:eastAsia="en-GB"/>
        </w:rPr>
        <w:t xml:space="preserve">Although </w:t>
      </w:r>
      <w:r w:rsidR="00202C34" w:rsidRPr="00BE3DAF">
        <w:rPr>
          <w:rFonts w:ascii="Aptos" w:hAnsi="Aptos"/>
          <w:sz w:val="22"/>
          <w:szCs w:val="22"/>
          <w:lang w:eastAsia="en-GB"/>
        </w:rPr>
        <w:t xml:space="preserve">some remote </w:t>
      </w:r>
      <w:r w:rsidR="00AB57D7" w:rsidRPr="00BE3DAF">
        <w:rPr>
          <w:rFonts w:ascii="Aptos" w:hAnsi="Aptos"/>
          <w:sz w:val="22"/>
          <w:szCs w:val="22"/>
          <w:lang w:eastAsia="en-GB"/>
        </w:rPr>
        <w:t>areas still face significant coverage gap,</w:t>
      </w:r>
      <w:r w:rsidR="0049178E" w:rsidRPr="00BE3DAF">
        <w:rPr>
          <w:rFonts w:ascii="Aptos" w:hAnsi="Aptos"/>
          <w:sz w:val="22"/>
          <w:szCs w:val="22"/>
          <w:lang w:eastAsia="en-GB"/>
        </w:rPr>
        <w:t xml:space="preserve"> these </w:t>
      </w:r>
      <w:r w:rsidR="00AB57D7" w:rsidRPr="00BE3DAF">
        <w:rPr>
          <w:rFonts w:ascii="Aptos" w:hAnsi="Aptos"/>
          <w:sz w:val="22"/>
          <w:szCs w:val="22"/>
          <w:lang w:eastAsia="en-GB"/>
        </w:rPr>
        <w:t>gains bring</w:t>
      </w:r>
      <w:r w:rsidR="003B525B" w:rsidRPr="00BE3DAF">
        <w:rPr>
          <w:rFonts w:ascii="Aptos" w:eastAsia="Aptos" w:hAnsi="Aptos"/>
          <w:sz w:val="22"/>
          <w:szCs w:val="22"/>
          <w:lang w:eastAsia="en-GB"/>
        </w:rPr>
        <w:t xml:space="preserve"> universal</w:t>
      </w:r>
      <w:r w:rsidR="00AB57D7" w:rsidRPr="00BE3DAF">
        <w:rPr>
          <w:rFonts w:ascii="Aptos" w:hAnsi="Aptos"/>
          <w:sz w:val="22"/>
          <w:szCs w:val="22"/>
          <w:lang w:eastAsia="en-GB"/>
        </w:rPr>
        <w:t xml:space="preserve"> access—the ability for everyone to connect to the</w:t>
      </w:r>
      <w:r w:rsidR="003B525B" w:rsidRPr="00BE3DAF">
        <w:rPr>
          <w:rFonts w:ascii="Aptos" w:eastAsia="Aptos" w:hAnsi="Aptos"/>
          <w:sz w:val="22"/>
          <w:szCs w:val="22"/>
          <w:lang w:eastAsia="en-GB"/>
        </w:rPr>
        <w:t xml:space="preserve"> Internet</w:t>
      </w:r>
      <w:r w:rsidR="00AB57D7" w:rsidRPr="00BE3DAF">
        <w:rPr>
          <w:rFonts w:ascii="Aptos" w:hAnsi="Aptos"/>
          <w:sz w:val="22"/>
          <w:szCs w:val="22"/>
          <w:lang w:eastAsia="en-GB"/>
        </w:rPr>
        <w:t>—within reach. The focus must now shift to overcoming barriers to usage and enabling meaningful connectivity.</w:t>
      </w:r>
    </w:p>
    <w:p w14:paraId="7232B3C2" w14:textId="043B318D" w:rsidR="00E862EE" w:rsidRPr="00BE3DAF" w:rsidRDefault="00E862EE" w:rsidP="00952C89">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Connectivity quality shapes the digital experience across the region.</w:t>
      </w:r>
      <w:r w:rsidRPr="00BE3DAF">
        <w:rPr>
          <w:rFonts w:ascii="Aptos" w:eastAsia="Aptos" w:hAnsi="Aptos" w:cs="Arial"/>
          <w:kern w:val="2"/>
          <w:sz w:val="22"/>
          <w:szCs w:val="22"/>
          <w14:ligatures w14:val="standardContextual"/>
        </w:rPr>
        <w:t xml:space="preserve"> While </w:t>
      </w:r>
      <w:r w:rsidR="000C014D" w:rsidRPr="00BE3DAF">
        <w:rPr>
          <w:rFonts w:ascii="Aptos" w:eastAsia="Aptos" w:hAnsi="Aptos" w:cs="Arial"/>
          <w:kern w:val="2"/>
          <w:sz w:val="22"/>
          <w:szCs w:val="22"/>
          <w14:ligatures w14:val="standardContextual"/>
        </w:rPr>
        <w:t xml:space="preserve">mobile </w:t>
      </w:r>
      <w:r w:rsidRPr="00BE3DAF">
        <w:rPr>
          <w:rFonts w:ascii="Aptos" w:eastAsia="Aptos" w:hAnsi="Aptos" w:cs="Arial"/>
          <w:kern w:val="2"/>
          <w:sz w:val="22"/>
          <w:szCs w:val="22"/>
          <w14:ligatures w14:val="standardContextual"/>
        </w:rPr>
        <w:t xml:space="preserve">network coverage has expanded significantly, the availability and quality of infrastructure vary widely, directly influencing how people access and use the Internet. </w:t>
      </w:r>
      <w:r w:rsidR="00386497" w:rsidRPr="00BE3DAF">
        <w:rPr>
          <w:rFonts w:ascii="Aptos" w:hAnsi="Aptos"/>
          <w:sz w:val="22"/>
          <w:szCs w:val="22"/>
          <w:lang w:eastAsia="en-GB"/>
        </w:rPr>
        <w:t>5G is advancing rapidly in high-income economies</w:t>
      </w:r>
      <w:r w:rsidR="00EB6E72" w:rsidRPr="00BE3DAF">
        <w:rPr>
          <w:rFonts w:ascii="Aptos" w:hAnsi="Aptos"/>
          <w:sz w:val="22"/>
          <w:szCs w:val="22"/>
          <w:lang w:eastAsia="en-GB"/>
        </w:rPr>
        <w:t xml:space="preserve"> </w:t>
      </w:r>
      <w:r w:rsidR="00C169F6" w:rsidRPr="00BE3DAF">
        <w:rPr>
          <w:rFonts w:ascii="Aptos" w:hAnsi="Aptos"/>
          <w:sz w:val="22"/>
          <w:szCs w:val="22"/>
          <w:lang w:eastAsia="en-GB"/>
        </w:rPr>
        <w:t xml:space="preserve">but </w:t>
      </w:r>
      <w:r w:rsidR="00386497" w:rsidRPr="00BE3DAF">
        <w:rPr>
          <w:rFonts w:ascii="Aptos" w:hAnsi="Aptos"/>
          <w:sz w:val="22"/>
          <w:szCs w:val="22"/>
          <w:lang w:eastAsia="en-GB"/>
        </w:rPr>
        <w:t xml:space="preserve">remains limited in several </w:t>
      </w:r>
      <w:r w:rsidR="006C0801" w:rsidRPr="00BE3DAF">
        <w:rPr>
          <w:rFonts w:ascii="Aptos" w:hAnsi="Aptos"/>
          <w:sz w:val="22"/>
          <w:szCs w:val="22"/>
          <w:lang w:eastAsia="en-GB"/>
        </w:rPr>
        <w:t xml:space="preserve">low-income </w:t>
      </w:r>
      <w:r w:rsidR="00C169F6" w:rsidRPr="00BE3DAF">
        <w:rPr>
          <w:rFonts w:ascii="Aptos" w:hAnsi="Aptos"/>
          <w:sz w:val="22"/>
          <w:szCs w:val="22"/>
          <w:lang w:eastAsia="en-GB"/>
        </w:rPr>
        <w:t>countries</w:t>
      </w:r>
      <w:r w:rsidR="00EB6E72" w:rsidRPr="00BE3DAF">
        <w:rPr>
          <w:rFonts w:ascii="Aptos" w:hAnsi="Aptos"/>
          <w:sz w:val="22"/>
          <w:szCs w:val="22"/>
          <w:lang w:eastAsia="en-GB"/>
        </w:rPr>
        <w:t xml:space="preserve">. </w:t>
      </w:r>
      <w:r w:rsidRPr="00BE3DAF">
        <w:rPr>
          <w:rFonts w:ascii="Aptos" w:eastAsia="Aptos" w:hAnsi="Aptos" w:cs="Arial"/>
          <w:kern w:val="2"/>
          <w:sz w:val="22"/>
          <w:szCs w:val="22"/>
          <w14:ligatures w14:val="standardContextual"/>
        </w:rPr>
        <w:t>Differences in fixed-broadband infrastructure and international bandwidth capacity mean that some users enjoy high-speed, reliable connections, while others face slower</w:t>
      </w:r>
      <w:r w:rsidR="00586323" w:rsidRPr="00BE3DAF">
        <w:rPr>
          <w:rFonts w:ascii="Aptos" w:eastAsia="Aptos" w:hAnsi="Aptos" w:cs="Arial"/>
          <w:kern w:val="2"/>
          <w:sz w:val="22"/>
          <w:szCs w:val="22"/>
          <w14:ligatures w14:val="standardContextual"/>
        </w:rPr>
        <w:t xml:space="preserve">, less reliable </w:t>
      </w:r>
      <w:r w:rsidRPr="00BE3DAF">
        <w:rPr>
          <w:rFonts w:ascii="Aptos" w:eastAsia="Aptos" w:hAnsi="Aptos" w:cs="Arial"/>
          <w:kern w:val="2"/>
          <w:sz w:val="22"/>
          <w:szCs w:val="22"/>
          <w14:ligatures w14:val="standardContextual"/>
        </w:rPr>
        <w:t>service. These disparities are reflected in vastly different patterns of data consumption</w:t>
      </w:r>
      <w:r w:rsidR="00A96818" w:rsidRPr="00BE3DAF">
        <w:rPr>
          <w:rFonts w:ascii="Aptos" w:eastAsia="Aptos" w:hAnsi="Aptos" w:cs="Arial"/>
          <w:kern w:val="2"/>
          <w:sz w:val="22"/>
          <w:szCs w:val="22"/>
          <w14:ligatures w14:val="standardContextual"/>
        </w:rPr>
        <w:t xml:space="preserve">. </w:t>
      </w:r>
      <w:r w:rsidR="00504482" w:rsidRPr="00BE3DAF">
        <w:rPr>
          <w:rFonts w:ascii="Aptos" w:eastAsia="Aptos" w:hAnsi="Aptos" w:cs="Arial"/>
          <w:kern w:val="2"/>
          <w:sz w:val="22"/>
          <w:szCs w:val="22"/>
          <w14:ligatures w14:val="standardContextual"/>
        </w:rPr>
        <w:t xml:space="preserve">Addressing these inequalities requires investments in network capacity, </w:t>
      </w:r>
      <w:r w:rsidR="00BF7F62" w:rsidRPr="00BE3DAF">
        <w:rPr>
          <w:rFonts w:ascii="Aptos" w:eastAsia="Aptos" w:hAnsi="Aptos" w:cs="Arial"/>
          <w:sz w:val="22"/>
          <w:szCs w:val="22"/>
          <w:u w:val="single"/>
        </w:rPr>
        <w:t xml:space="preserve">attractive spectrum pricing, </w:t>
      </w:r>
      <w:r w:rsidR="00504482" w:rsidRPr="00BE3DAF">
        <w:rPr>
          <w:rFonts w:ascii="Aptos" w:eastAsia="Aptos" w:hAnsi="Aptos" w:cs="Arial"/>
          <w:kern w:val="2"/>
          <w:sz w:val="22"/>
          <w:szCs w:val="22"/>
          <w14:ligatures w14:val="standardContextual"/>
        </w:rPr>
        <w:t>backhaul expansion, and policies that enhance service quality</w:t>
      </w:r>
      <w:r w:rsidR="003138E9" w:rsidRPr="00BE3DAF">
        <w:rPr>
          <w:rFonts w:ascii="Aptos" w:eastAsia="Aptos" w:hAnsi="Aptos" w:cs="Arial"/>
          <w:kern w:val="2"/>
          <w:sz w:val="22"/>
          <w:szCs w:val="22"/>
          <w14:ligatures w14:val="standardContextual"/>
        </w:rPr>
        <w:t xml:space="preserve"> and affordability</w:t>
      </w:r>
      <w:r w:rsidR="00504482" w:rsidRPr="00BE3DAF">
        <w:rPr>
          <w:rFonts w:ascii="Aptos" w:eastAsia="Aptos" w:hAnsi="Aptos" w:cs="Arial"/>
          <w:kern w:val="2"/>
          <w:sz w:val="22"/>
          <w:szCs w:val="22"/>
          <w14:ligatures w14:val="standardContextual"/>
        </w:rPr>
        <w:t>.</w:t>
      </w:r>
    </w:p>
    <w:p w14:paraId="44C7BD8C" w14:textId="6DE89269" w:rsidR="00B7782A" w:rsidRPr="00BE3DAF" w:rsidRDefault="00B7782A" w:rsidP="00B7782A">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 xml:space="preserve">Affordability and digital skills </w:t>
      </w:r>
      <w:r w:rsidR="007C07B4" w:rsidRPr="00BE3DAF">
        <w:rPr>
          <w:rFonts w:ascii="Aptos" w:eastAsia="Aptos" w:hAnsi="Aptos" w:cs="Arial"/>
          <w:b/>
          <w:bCs/>
          <w:kern w:val="2"/>
          <w:sz w:val="22"/>
          <w:szCs w:val="22"/>
          <w14:ligatures w14:val="standardContextual"/>
        </w:rPr>
        <w:t>are essential enablers of UMC</w:t>
      </w:r>
      <w:r w:rsidRPr="00BE3DAF">
        <w:rPr>
          <w:rFonts w:ascii="Aptos" w:eastAsia="Aptos" w:hAnsi="Aptos" w:cs="Arial"/>
          <w:b/>
          <w:bCs/>
          <w:kern w:val="2"/>
          <w:sz w:val="22"/>
          <w:szCs w:val="22"/>
          <w14:ligatures w14:val="standardContextual"/>
        </w:rPr>
        <w:t>.</w:t>
      </w:r>
      <w:r w:rsidRPr="00BE3DAF">
        <w:rPr>
          <w:rFonts w:ascii="Aptos" w:eastAsia="Aptos" w:hAnsi="Aptos" w:cs="Arial"/>
          <w:kern w:val="2"/>
          <w:sz w:val="22"/>
          <w:szCs w:val="22"/>
          <w14:ligatures w14:val="standardContextual"/>
        </w:rPr>
        <w:t xml:space="preserve"> </w:t>
      </w:r>
      <w:r w:rsidR="00E15E69" w:rsidRPr="00BE3DAF">
        <w:rPr>
          <w:rFonts w:ascii="Aptos" w:eastAsia="Aptos" w:hAnsi="Aptos" w:cs="Arial"/>
          <w:kern w:val="2"/>
          <w:sz w:val="22"/>
          <w:szCs w:val="22"/>
          <w14:ligatures w14:val="standardContextual"/>
        </w:rPr>
        <w:t>B</w:t>
      </w:r>
      <w:r w:rsidR="006129DC" w:rsidRPr="00BE3DAF">
        <w:rPr>
          <w:rFonts w:ascii="Aptos" w:eastAsia="Aptos" w:hAnsi="Aptos" w:cs="Arial"/>
          <w:kern w:val="2"/>
          <w:sz w:val="22"/>
          <w:szCs w:val="22"/>
          <w14:ligatures w14:val="standardContextual"/>
        </w:rPr>
        <w:t>roadband prices have been declining across the Asia</w:t>
      </w:r>
      <w:r w:rsidR="00FF5121" w:rsidRPr="00BE3DAF">
        <w:rPr>
          <w:rFonts w:ascii="Aptos" w:eastAsia="Aptos" w:hAnsi="Aptos" w:cs="Arial"/>
          <w:kern w:val="2"/>
          <w:sz w:val="22"/>
          <w:szCs w:val="22"/>
          <w14:ligatures w14:val="standardContextual"/>
        </w:rPr>
        <w:t xml:space="preserve"> and the </w:t>
      </w:r>
      <w:r w:rsidR="006129DC" w:rsidRPr="00BE3DAF">
        <w:rPr>
          <w:rFonts w:ascii="Aptos" w:eastAsia="Aptos" w:hAnsi="Aptos" w:cs="Arial"/>
          <w:kern w:val="2"/>
          <w:sz w:val="22"/>
          <w:szCs w:val="22"/>
          <w14:ligatures w14:val="standardContextual"/>
        </w:rPr>
        <w:t>Pacific region, making entry</w:t>
      </w:r>
      <w:r w:rsidRPr="00BE3DAF">
        <w:rPr>
          <w:rFonts w:ascii="Aptos" w:eastAsia="Aptos" w:hAnsi="Aptos" w:cs="Arial"/>
          <w:kern w:val="2"/>
          <w:sz w:val="22"/>
          <w:szCs w:val="22"/>
          <w14:ligatures w14:val="standardContextual"/>
        </w:rPr>
        <w:t xml:space="preserve">-level mobile broadband </w:t>
      </w:r>
      <w:r w:rsidR="006129DC" w:rsidRPr="00BE3DAF">
        <w:rPr>
          <w:rFonts w:ascii="Aptos" w:eastAsia="Aptos" w:hAnsi="Aptos" w:cs="Arial"/>
          <w:kern w:val="2"/>
          <w:sz w:val="22"/>
          <w:szCs w:val="22"/>
          <w14:ligatures w14:val="standardContextual"/>
        </w:rPr>
        <w:t xml:space="preserve">affordable in </w:t>
      </w:r>
      <w:r w:rsidR="00E15E69" w:rsidRPr="00BE3DAF">
        <w:rPr>
          <w:rFonts w:ascii="Aptos" w:eastAsia="Aptos" w:hAnsi="Aptos" w:cs="Arial"/>
          <w:kern w:val="2"/>
          <w:sz w:val="22"/>
          <w:szCs w:val="22"/>
          <w14:ligatures w14:val="standardContextual"/>
        </w:rPr>
        <w:t xml:space="preserve">most </w:t>
      </w:r>
      <w:r w:rsidR="006129DC" w:rsidRPr="00BE3DAF">
        <w:rPr>
          <w:rFonts w:ascii="Aptos" w:eastAsia="Aptos" w:hAnsi="Aptos" w:cs="Arial"/>
          <w:kern w:val="2"/>
          <w:sz w:val="22"/>
          <w:szCs w:val="22"/>
          <w14:ligatures w14:val="standardContextual"/>
        </w:rPr>
        <w:t>countries. The region’s</w:t>
      </w:r>
      <w:r w:rsidR="00315EB7" w:rsidRPr="00BE3DAF">
        <w:rPr>
          <w:rFonts w:ascii="Aptos" w:eastAsia="Aptos" w:hAnsi="Aptos" w:cs="Arial"/>
          <w:kern w:val="2"/>
          <w:sz w:val="22"/>
          <w:szCs w:val="22"/>
          <w14:ligatures w14:val="standardContextual"/>
        </w:rPr>
        <w:t xml:space="preserve"> average</w:t>
      </w:r>
      <w:r w:rsidR="006129DC" w:rsidRPr="00BE3DAF">
        <w:rPr>
          <w:rFonts w:ascii="Aptos" w:eastAsia="Aptos" w:hAnsi="Aptos" w:cs="Arial"/>
          <w:kern w:val="2"/>
          <w:sz w:val="22"/>
          <w:szCs w:val="22"/>
          <w14:ligatures w14:val="standardContextual"/>
        </w:rPr>
        <w:t xml:space="preserve"> mobile broadband price is now below the global average. Fixed broadband prices have also been decreasing, yet this technology remains</w:t>
      </w:r>
      <w:r w:rsidRPr="00BE3DAF">
        <w:rPr>
          <w:rFonts w:ascii="Aptos" w:eastAsia="Aptos" w:hAnsi="Aptos" w:cs="Arial"/>
          <w:kern w:val="2"/>
          <w:sz w:val="22"/>
          <w:szCs w:val="22"/>
          <w14:ligatures w14:val="standardContextual"/>
        </w:rPr>
        <w:t xml:space="preserve"> unaffordable </w:t>
      </w:r>
      <w:r w:rsidR="006129DC" w:rsidRPr="00BE3DAF">
        <w:rPr>
          <w:rFonts w:ascii="Aptos" w:eastAsia="Aptos" w:hAnsi="Aptos" w:cs="Arial"/>
          <w:kern w:val="2"/>
          <w:sz w:val="22"/>
          <w:szCs w:val="22"/>
          <w14:ligatures w14:val="standardContextual"/>
        </w:rPr>
        <w:t>in nearly half of the countries</w:t>
      </w:r>
      <w:r w:rsidR="00E74851" w:rsidRPr="00BE3DAF">
        <w:rPr>
          <w:rFonts w:ascii="Aptos" w:eastAsia="Aptos" w:hAnsi="Aptos" w:cs="Arial"/>
          <w:kern w:val="2"/>
          <w:sz w:val="22"/>
          <w:szCs w:val="22"/>
          <w14:ligatures w14:val="standardContextual"/>
        </w:rPr>
        <w:t>.</w:t>
      </w:r>
      <w:r w:rsidRPr="00BE3DAF">
        <w:rPr>
          <w:rFonts w:ascii="Aptos" w:eastAsia="Aptos" w:hAnsi="Aptos" w:cs="Arial"/>
          <w:kern w:val="2"/>
          <w:sz w:val="22"/>
          <w:szCs w:val="22"/>
          <w14:ligatures w14:val="standardContextual"/>
        </w:rPr>
        <w:t xml:space="preserve"> Moreover, digital literacy disparities </w:t>
      </w:r>
      <w:r w:rsidR="00C75552" w:rsidRPr="00BE3DAF">
        <w:rPr>
          <w:rFonts w:ascii="Aptos" w:eastAsia="Aptos" w:hAnsi="Aptos" w:cs="Arial"/>
          <w:kern w:val="2"/>
          <w:sz w:val="22"/>
          <w:szCs w:val="22"/>
          <w14:ligatures w14:val="standardContextual"/>
        </w:rPr>
        <w:t xml:space="preserve">limit </w:t>
      </w:r>
      <w:r w:rsidRPr="00BE3DAF">
        <w:rPr>
          <w:rFonts w:ascii="Aptos" w:eastAsia="Aptos" w:hAnsi="Aptos" w:cs="Arial"/>
          <w:kern w:val="2"/>
          <w:sz w:val="22"/>
          <w:szCs w:val="22"/>
          <w14:ligatures w14:val="standardContextual"/>
        </w:rPr>
        <w:t xml:space="preserve">individuals' ability to </w:t>
      </w:r>
      <w:r w:rsidR="00005305" w:rsidRPr="00BE3DAF">
        <w:rPr>
          <w:rFonts w:ascii="Aptos" w:eastAsia="Aptos" w:hAnsi="Aptos" w:cs="Arial"/>
          <w:kern w:val="2"/>
          <w:sz w:val="22"/>
          <w:szCs w:val="22"/>
          <w14:ligatures w14:val="standardContextual"/>
        </w:rPr>
        <w:t xml:space="preserve">benefit fully </w:t>
      </w:r>
      <w:r w:rsidR="00BD4D42" w:rsidRPr="00BE3DAF">
        <w:rPr>
          <w:rFonts w:ascii="Aptos" w:eastAsia="Aptos" w:hAnsi="Aptos" w:cs="Arial"/>
          <w:kern w:val="2"/>
          <w:sz w:val="22"/>
          <w:szCs w:val="22"/>
          <w14:ligatures w14:val="standardContextual"/>
        </w:rPr>
        <w:t>f</w:t>
      </w:r>
      <w:r w:rsidR="00005305" w:rsidRPr="00BE3DAF">
        <w:rPr>
          <w:rFonts w:ascii="Aptos" w:eastAsia="Aptos" w:hAnsi="Aptos" w:cs="Arial"/>
          <w:kern w:val="2"/>
          <w:sz w:val="22"/>
          <w:szCs w:val="22"/>
          <w14:ligatures w14:val="standardContextual"/>
        </w:rPr>
        <w:t xml:space="preserve">rom </w:t>
      </w:r>
      <w:r w:rsidR="00CE312E" w:rsidRPr="00BE3DAF">
        <w:rPr>
          <w:rFonts w:ascii="Aptos" w:eastAsia="Aptos" w:hAnsi="Aptos" w:cs="Arial"/>
          <w:kern w:val="2"/>
          <w:sz w:val="22"/>
          <w:szCs w:val="22"/>
          <w14:ligatures w14:val="standardContextual"/>
        </w:rPr>
        <w:t>connectivity</w:t>
      </w:r>
      <w:r w:rsidRPr="00BE3DAF">
        <w:rPr>
          <w:rFonts w:ascii="Aptos" w:eastAsia="Aptos" w:hAnsi="Aptos" w:cs="Arial"/>
          <w:kern w:val="2"/>
          <w:sz w:val="22"/>
          <w:szCs w:val="22"/>
          <w14:ligatures w14:val="standardContextual"/>
        </w:rPr>
        <w:t xml:space="preserve">. </w:t>
      </w:r>
      <w:r w:rsidR="00BD4D42" w:rsidRPr="00BE3DAF">
        <w:rPr>
          <w:rFonts w:ascii="Aptos" w:eastAsia="Aptos" w:hAnsi="Aptos" w:cs="Arial"/>
          <w:kern w:val="2"/>
          <w:sz w:val="22"/>
          <w:szCs w:val="22"/>
          <w14:ligatures w14:val="standardContextual"/>
        </w:rPr>
        <w:t>Even among Internet users, digital skills vary widely in the region</w:t>
      </w:r>
      <w:r w:rsidR="005D47B9" w:rsidRPr="00BE3DAF">
        <w:rPr>
          <w:rFonts w:ascii="Aptos" w:eastAsia="Aptos" w:hAnsi="Aptos" w:cs="Arial"/>
          <w:kern w:val="2"/>
          <w:sz w:val="22"/>
          <w:szCs w:val="22"/>
          <w14:ligatures w14:val="standardContextual"/>
        </w:rPr>
        <w:t>.</w:t>
      </w:r>
      <w:r w:rsidR="00C6746B" w:rsidRPr="00BE3DAF">
        <w:rPr>
          <w:rFonts w:ascii="Aptos" w:eastAsia="Aptos" w:hAnsi="Aptos" w:cs="Arial"/>
          <w:kern w:val="2"/>
          <w:sz w:val="22"/>
          <w:szCs w:val="22"/>
          <w14:ligatures w14:val="standardContextual"/>
        </w:rPr>
        <w:t xml:space="preserve"> </w:t>
      </w:r>
      <w:r w:rsidR="005D47B9" w:rsidRPr="00BE3DAF">
        <w:rPr>
          <w:rFonts w:ascii="Aptos" w:eastAsia="Aptos" w:hAnsi="Aptos" w:cs="Arial"/>
          <w:kern w:val="2"/>
          <w:sz w:val="22"/>
          <w:szCs w:val="22"/>
          <w14:ligatures w14:val="standardContextual"/>
        </w:rPr>
        <w:t>D</w:t>
      </w:r>
      <w:r w:rsidR="00C6746B" w:rsidRPr="00BE3DAF">
        <w:rPr>
          <w:rFonts w:ascii="Aptos" w:eastAsia="Aptos" w:hAnsi="Aptos" w:cs="Arial"/>
          <w:kern w:val="2"/>
          <w:sz w:val="22"/>
          <w:szCs w:val="22"/>
          <w14:ligatures w14:val="standardContextual"/>
        </w:rPr>
        <w:t>igital content creation</w:t>
      </w:r>
      <w:r w:rsidR="005D47B9" w:rsidRPr="00BE3DAF">
        <w:rPr>
          <w:rFonts w:ascii="Aptos" w:eastAsia="Aptos" w:hAnsi="Aptos" w:cs="Arial"/>
          <w:kern w:val="2"/>
          <w:sz w:val="22"/>
          <w:szCs w:val="22"/>
          <w14:ligatures w14:val="standardContextual"/>
        </w:rPr>
        <w:t>,</w:t>
      </w:r>
      <w:r w:rsidR="00C6746B" w:rsidRPr="00BE3DAF">
        <w:rPr>
          <w:rFonts w:ascii="Aptos" w:eastAsia="Aptos" w:hAnsi="Aptos" w:cs="Arial"/>
          <w:kern w:val="2"/>
          <w:sz w:val="22"/>
          <w:szCs w:val="22"/>
          <w14:ligatures w14:val="standardContextual"/>
        </w:rPr>
        <w:t xml:space="preserve"> problem solving</w:t>
      </w:r>
      <w:r w:rsidR="005D47B9" w:rsidRPr="00BE3DAF">
        <w:rPr>
          <w:rFonts w:ascii="Aptos" w:eastAsia="Aptos" w:hAnsi="Aptos" w:cs="Arial"/>
          <w:kern w:val="2"/>
          <w:sz w:val="22"/>
          <w:szCs w:val="22"/>
          <w14:ligatures w14:val="standardContextual"/>
        </w:rPr>
        <w:t>, and safety</w:t>
      </w:r>
      <w:r w:rsidR="00C6746B" w:rsidRPr="00BE3DAF">
        <w:rPr>
          <w:rFonts w:ascii="Aptos" w:eastAsia="Aptos" w:hAnsi="Aptos" w:cs="Arial"/>
          <w:kern w:val="2"/>
          <w:sz w:val="22"/>
          <w:szCs w:val="22"/>
          <w14:ligatures w14:val="standardContextual"/>
        </w:rPr>
        <w:t xml:space="preserve"> skills </w:t>
      </w:r>
      <w:r w:rsidR="005D47B9" w:rsidRPr="00BE3DAF">
        <w:rPr>
          <w:rFonts w:ascii="Aptos" w:eastAsia="Aptos" w:hAnsi="Aptos" w:cs="Arial"/>
          <w:kern w:val="2"/>
          <w:sz w:val="22"/>
          <w:szCs w:val="22"/>
          <w14:ligatures w14:val="standardContextual"/>
        </w:rPr>
        <w:t>generally</w:t>
      </w:r>
      <w:r w:rsidR="00C6746B" w:rsidRPr="00BE3DAF">
        <w:rPr>
          <w:rFonts w:ascii="Aptos" w:eastAsia="Aptos" w:hAnsi="Aptos" w:cs="Arial"/>
          <w:kern w:val="2"/>
          <w:sz w:val="22"/>
          <w:szCs w:val="22"/>
          <w14:ligatures w14:val="standardContextual"/>
        </w:rPr>
        <w:t xml:space="preserve"> lag far behind communication and collaboration skills.</w:t>
      </w:r>
      <w:r w:rsidR="009068AC" w:rsidRPr="00BE3DAF">
        <w:rPr>
          <w:rFonts w:ascii="Aptos" w:eastAsia="Aptos" w:hAnsi="Aptos" w:cs="Arial"/>
          <w:kern w:val="2"/>
          <w:sz w:val="22"/>
          <w:szCs w:val="22"/>
          <w14:ligatures w14:val="standardContextual"/>
        </w:rPr>
        <w:t xml:space="preserve"> </w:t>
      </w:r>
    </w:p>
    <w:p w14:paraId="06DDE7C0" w14:textId="0E45BC16" w:rsidR="003771FD" w:rsidRPr="00BE3DAF" w:rsidRDefault="003771FD" w:rsidP="003771FD">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lastRenderedPageBreak/>
        <w:t xml:space="preserve">Sound ICT policies and regulations </w:t>
      </w:r>
      <w:r w:rsidR="002C7411" w:rsidRPr="00BE3DAF">
        <w:rPr>
          <w:rFonts w:ascii="Aptos" w:eastAsia="Aptos" w:hAnsi="Aptos" w:cs="Arial"/>
          <w:b/>
          <w:bCs/>
          <w:kern w:val="2"/>
          <w:sz w:val="22"/>
          <w:szCs w:val="22"/>
          <w14:ligatures w14:val="standardContextual"/>
        </w:rPr>
        <w:t xml:space="preserve">are </w:t>
      </w:r>
      <w:r w:rsidRPr="00BE3DAF">
        <w:rPr>
          <w:rFonts w:ascii="Aptos" w:eastAsia="Aptos" w:hAnsi="Aptos" w:cs="Arial"/>
          <w:b/>
          <w:bCs/>
          <w:kern w:val="2"/>
          <w:sz w:val="22"/>
          <w:szCs w:val="22"/>
          <w14:ligatures w14:val="standardContextual"/>
        </w:rPr>
        <w:t>key for digital transformation.</w:t>
      </w:r>
      <w:r w:rsidRPr="00BE3DAF">
        <w:rPr>
          <w:rFonts w:ascii="Aptos" w:eastAsia="Aptos" w:hAnsi="Aptos" w:cs="Arial"/>
          <w:kern w:val="2"/>
          <w:sz w:val="22"/>
          <w:szCs w:val="22"/>
          <w14:ligatures w14:val="standardContextual"/>
        </w:rPr>
        <w:t xml:space="preserve"> Sound and comprehensive regulations and policies are essential for fostering investment, competition and innovation in the ICT sector. The Asia</w:t>
      </w:r>
      <w:r w:rsidR="00EF7AD6" w:rsidRPr="00BE3DAF">
        <w:rPr>
          <w:rFonts w:ascii="Aptos" w:eastAsia="Aptos" w:hAnsi="Aptos" w:cs="Arial"/>
          <w:kern w:val="2"/>
          <w:sz w:val="22"/>
          <w:szCs w:val="22"/>
          <w14:ligatures w14:val="standardContextual"/>
        </w:rPr>
        <w:t xml:space="preserve"> and the </w:t>
      </w:r>
      <w:r w:rsidRPr="00BE3DAF">
        <w:rPr>
          <w:rFonts w:ascii="Aptos" w:eastAsia="Aptos" w:hAnsi="Aptos" w:cs="Arial"/>
          <w:kern w:val="2"/>
          <w:sz w:val="22"/>
          <w:szCs w:val="22"/>
          <w14:ligatures w14:val="standardContextual"/>
        </w:rPr>
        <w:t>Pacific region exhibits a broad spectrum of regulatory maturity, with some economies having highly developed ICT policies while others are still in the process of establishing independent regulatory authorities. Countries with advanced regulatory environments have seen greater progress in broadband expansion and digital service adoption, while regulatory gaps in some areas continue to impede investment and market growth.</w:t>
      </w:r>
    </w:p>
    <w:p w14:paraId="760AEA43" w14:textId="0F7112DA" w:rsidR="007C727F" w:rsidRPr="00BE3DAF" w:rsidRDefault="007C727F" w:rsidP="00AE1662">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 xml:space="preserve">Investment in ICT infrastructure is a key driver of economic growth. </w:t>
      </w:r>
      <w:r w:rsidR="0096723C" w:rsidRPr="00BE3DAF">
        <w:rPr>
          <w:rFonts w:ascii="Segoe UI" w:hAnsi="Segoe UI" w:cs="Segoe UI"/>
          <w:sz w:val="18"/>
          <w:szCs w:val="18"/>
        </w:rPr>
        <w:t>I</w:t>
      </w:r>
      <w:r w:rsidR="00D86281" w:rsidRPr="00BE3DAF">
        <w:rPr>
          <w:rFonts w:ascii="Aptos" w:eastAsia="Aptos" w:hAnsi="Aptos" w:cs="Arial"/>
          <w:kern w:val="2"/>
          <w:sz w:val="22"/>
          <w:szCs w:val="22"/>
          <w14:ligatures w14:val="standardContextual"/>
        </w:rPr>
        <w:t>nvestment in ICT infrastructure deployment and upgrade is essential [for UMC and digital transformation]. The telecom sector is a significant source of revenue across the region, yet capital expenditures remain uneven, with higher-income countries leading in network expansion while others struggle with financial and regulatory constraints.</w:t>
      </w:r>
    </w:p>
    <w:p w14:paraId="5DC3A75A" w14:textId="6F335284" w:rsidR="00AE1662" w:rsidRPr="00BE3DAF" w:rsidRDefault="00AE1662" w:rsidP="00AE1662">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Insufficient collection and recycling hinder the circular economy for electronics.</w:t>
      </w:r>
      <w:r w:rsidRPr="00BE3DAF">
        <w:rPr>
          <w:rFonts w:ascii="Aptos" w:eastAsia="Aptos" w:hAnsi="Aptos" w:cs="Arial"/>
          <w:kern w:val="2"/>
          <w:sz w:val="22"/>
          <w:szCs w:val="22"/>
          <w14:ligatures w14:val="standardContextual"/>
        </w:rPr>
        <w:t xml:space="preserve"> The rapid growth of digital technologies has led to a significant increase in electronic waste (e-waste), posing environmental and regulatory challenges. </w:t>
      </w:r>
      <w:r w:rsidR="00C218F6" w:rsidRPr="00BE3DAF">
        <w:rPr>
          <w:rFonts w:ascii="Aptos" w:eastAsia="Aptos" w:hAnsi="Aptos" w:cs="Arial"/>
          <w:kern w:val="2"/>
          <w:sz w:val="22"/>
          <w:szCs w:val="22"/>
          <w14:ligatures w14:val="standardContextual"/>
        </w:rPr>
        <w:t>The region’s e-waste r</w:t>
      </w:r>
      <w:r w:rsidR="0050000D" w:rsidRPr="00BE3DAF">
        <w:rPr>
          <w:rFonts w:ascii="Aptos" w:eastAsia="Aptos" w:hAnsi="Aptos" w:cs="Arial"/>
          <w:kern w:val="2"/>
          <w:sz w:val="22"/>
          <w:szCs w:val="22"/>
          <w14:ligatures w14:val="standardContextual"/>
        </w:rPr>
        <w:t>ecycling rate</w:t>
      </w:r>
      <w:r w:rsidR="00C218F6" w:rsidRPr="00BE3DAF">
        <w:rPr>
          <w:rFonts w:ascii="Aptos" w:eastAsia="Aptos" w:hAnsi="Aptos" w:cs="Arial"/>
          <w:kern w:val="2"/>
          <w:sz w:val="22"/>
          <w:szCs w:val="22"/>
          <w14:ligatures w14:val="standardContextual"/>
        </w:rPr>
        <w:t xml:space="preserve"> is about half </w:t>
      </w:r>
      <w:r w:rsidR="00494AA6" w:rsidRPr="00BE3DAF">
        <w:rPr>
          <w:rFonts w:ascii="Aptos" w:eastAsia="Aptos" w:hAnsi="Aptos" w:cs="Arial"/>
          <w:kern w:val="2"/>
          <w:sz w:val="22"/>
          <w:szCs w:val="22"/>
          <w14:ligatures w14:val="standardContextual"/>
        </w:rPr>
        <w:t>the world’s average</w:t>
      </w:r>
      <w:r w:rsidR="00C218F6" w:rsidRPr="00BE3DAF">
        <w:rPr>
          <w:rFonts w:ascii="Aptos" w:eastAsia="Aptos" w:hAnsi="Aptos" w:cs="Arial"/>
          <w:kern w:val="2"/>
          <w:sz w:val="22"/>
          <w:szCs w:val="22"/>
          <w14:ligatures w14:val="standardContextual"/>
        </w:rPr>
        <w:t xml:space="preserve"> rate</w:t>
      </w:r>
      <w:r w:rsidR="0050000D"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While some countries have implemented national e-waste management policies and recycling initiatives, many still lack formal collection systems and extended producer responsibility frameworks. The disparity in e-waste policies underscores the need for stronger regulations, investment in recycling infrastructure, and regional cooperation to promote e-waste management. </w:t>
      </w:r>
    </w:p>
    <w:p w14:paraId="6380BF50" w14:textId="09A3D1F5" w:rsidR="005C08C4" w:rsidRPr="00BE3DAF" w:rsidRDefault="000F7FAA" w:rsidP="005C08C4">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Cybersecurity frameworks are essential for digital trust and resilience.</w:t>
      </w:r>
      <w:r w:rsidRPr="00BE3DAF">
        <w:rPr>
          <w:rFonts w:ascii="Aptos" w:eastAsia="Aptos" w:hAnsi="Aptos" w:cs="Arial"/>
          <w:kern w:val="2"/>
          <w:sz w:val="22"/>
          <w:szCs w:val="22"/>
          <w14:ligatures w14:val="standardContextual"/>
        </w:rPr>
        <w:t xml:space="preserve"> With increasing connectivity comes the need for robust cybersecurity policies and data governance frameworks. The Asia</w:t>
      </w:r>
      <w:r w:rsidR="00C15E7F" w:rsidRPr="00BE3DAF">
        <w:rPr>
          <w:rFonts w:ascii="Aptos" w:eastAsia="Aptos" w:hAnsi="Aptos" w:cs="Arial"/>
          <w:kern w:val="2"/>
          <w:sz w:val="22"/>
          <w:szCs w:val="22"/>
          <w14:ligatures w14:val="standardContextual"/>
        </w:rPr>
        <w:t xml:space="preserve"> and the </w:t>
      </w:r>
      <w:r w:rsidRPr="00BE3DAF">
        <w:rPr>
          <w:rFonts w:ascii="Aptos" w:eastAsia="Aptos" w:hAnsi="Aptos" w:cs="Arial"/>
          <w:kern w:val="2"/>
          <w:sz w:val="22"/>
          <w:szCs w:val="22"/>
          <w14:ligatures w14:val="standardContextual"/>
        </w:rPr>
        <w:t xml:space="preserve">Pacific region has seen a growing focus on cybersecurity, with many economies adopting national cybersecurity strategies and enhancing digital resilience measures. However, cybersecurity preparedness remains </w:t>
      </w:r>
      <w:r w:rsidR="00995A97" w:rsidRPr="00BE3DAF">
        <w:rPr>
          <w:rFonts w:ascii="Aptos" w:eastAsia="Aptos" w:hAnsi="Aptos" w:cs="Arial"/>
          <w:kern w:val="2"/>
          <w:sz w:val="22"/>
          <w:szCs w:val="22"/>
          <w14:ligatures w14:val="standardContextual"/>
        </w:rPr>
        <w:t xml:space="preserve">extremely </w:t>
      </w:r>
      <w:r w:rsidRPr="00BE3DAF">
        <w:rPr>
          <w:rFonts w:ascii="Aptos" w:eastAsia="Aptos" w:hAnsi="Aptos" w:cs="Arial"/>
          <w:kern w:val="2"/>
          <w:sz w:val="22"/>
          <w:szCs w:val="22"/>
          <w14:ligatures w14:val="standardContextual"/>
        </w:rPr>
        <w:t xml:space="preserve">uneven, with some countries ranking among the global leaders while others face substantial vulnerabilities. Strengthening regional collaboration and </w:t>
      </w:r>
      <w:r w:rsidR="00CE0F8E" w:rsidRPr="00BE3DAF">
        <w:rPr>
          <w:rFonts w:ascii="Aptos" w:eastAsia="Aptos" w:hAnsi="Aptos" w:cs="Arial"/>
          <w:kern w:val="2"/>
          <w:sz w:val="22"/>
          <w:szCs w:val="22"/>
          <w14:ligatures w14:val="standardContextual"/>
        </w:rPr>
        <w:t>countries’ incidence response capabilities</w:t>
      </w:r>
      <w:r w:rsidRPr="00BE3DAF">
        <w:rPr>
          <w:rFonts w:ascii="Aptos" w:eastAsia="Aptos" w:hAnsi="Aptos" w:cs="Arial"/>
          <w:kern w:val="2"/>
          <w:sz w:val="22"/>
          <w:szCs w:val="22"/>
          <w14:ligatures w14:val="standardContextual"/>
        </w:rPr>
        <w:t xml:space="preserve"> will be crucial to ensuring a secure </w:t>
      </w:r>
      <w:r w:rsidR="00BC09F6" w:rsidRPr="00BE3DAF">
        <w:rPr>
          <w:rFonts w:ascii="Aptos" w:eastAsia="Aptos" w:hAnsi="Aptos" w:cs="Arial"/>
          <w:kern w:val="2"/>
          <w:sz w:val="22"/>
          <w:szCs w:val="22"/>
          <w14:ligatures w14:val="standardContextual"/>
        </w:rPr>
        <w:t xml:space="preserve">regional </w:t>
      </w:r>
      <w:r w:rsidRPr="00BE3DAF">
        <w:rPr>
          <w:rFonts w:ascii="Aptos" w:eastAsia="Aptos" w:hAnsi="Aptos" w:cs="Arial"/>
          <w:kern w:val="2"/>
          <w:sz w:val="22"/>
          <w:szCs w:val="22"/>
          <w14:ligatures w14:val="standardContextual"/>
        </w:rPr>
        <w:t xml:space="preserve">digital </w:t>
      </w:r>
      <w:r w:rsidR="00BC09F6" w:rsidRPr="00BE3DAF">
        <w:rPr>
          <w:rFonts w:ascii="Aptos" w:eastAsia="Aptos" w:hAnsi="Aptos" w:cs="Arial"/>
          <w:kern w:val="2"/>
          <w:sz w:val="22"/>
          <w:szCs w:val="22"/>
          <w14:ligatures w14:val="standardContextual"/>
        </w:rPr>
        <w:t>landscape</w:t>
      </w:r>
      <w:r w:rsidRPr="00BE3DAF">
        <w:rPr>
          <w:rFonts w:ascii="Aptos" w:eastAsia="Aptos" w:hAnsi="Aptos" w:cs="Arial"/>
          <w:kern w:val="2"/>
          <w:sz w:val="22"/>
          <w:szCs w:val="22"/>
          <w14:ligatures w14:val="standardContextual"/>
        </w:rPr>
        <w:t>.</w:t>
      </w:r>
    </w:p>
    <w:p w14:paraId="6D57C3F3" w14:textId="6CBA6796" w:rsidR="008837FD" w:rsidRPr="00BE3DAF" w:rsidRDefault="008837FD" w:rsidP="005C08C4">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Reliable data is essential for achieving UMC.</w:t>
      </w:r>
      <w:r w:rsidRPr="00BE3DAF">
        <w:rPr>
          <w:rFonts w:ascii="Aptos" w:eastAsia="Aptos" w:hAnsi="Aptos" w:cs="Arial"/>
          <w:kern w:val="2"/>
          <w:sz w:val="22"/>
          <w:szCs w:val="22"/>
          <w14:ligatures w14:val="standardContextual"/>
        </w:rPr>
        <w:t xml:space="preserve"> Accurate</w:t>
      </w:r>
      <w:r w:rsidR="00B063AA" w:rsidRPr="00BE3DAF">
        <w:rPr>
          <w:rFonts w:ascii="Aptos" w:eastAsia="Aptos" w:hAnsi="Aptos" w:cs="Arial"/>
          <w:kern w:val="2"/>
          <w:sz w:val="22"/>
          <w:szCs w:val="22"/>
          <w14:ligatures w14:val="standardContextual"/>
        </w:rPr>
        <w:t xml:space="preserve">, granular, </w:t>
      </w:r>
      <w:r w:rsidRPr="00BE3DAF">
        <w:rPr>
          <w:rFonts w:ascii="Aptos" w:eastAsia="Aptos" w:hAnsi="Aptos" w:cs="Arial"/>
          <w:kern w:val="2"/>
          <w:sz w:val="22"/>
          <w:szCs w:val="22"/>
          <w14:ligatures w14:val="standardContextual"/>
        </w:rPr>
        <w:t xml:space="preserve">and timely </w:t>
      </w:r>
      <w:r w:rsidR="00B063AA" w:rsidRPr="00BE3DAF">
        <w:rPr>
          <w:rFonts w:ascii="Aptos" w:eastAsia="Aptos" w:hAnsi="Aptos" w:cs="Arial"/>
          <w:kern w:val="2"/>
          <w:sz w:val="22"/>
          <w:szCs w:val="22"/>
          <w14:ligatures w14:val="standardContextual"/>
        </w:rPr>
        <w:t xml:space="preserve">data </w:t>
      </w:r>
      <w:r w:rsidR="00A47330" w:rsidRPr="00BE3DAF">
        <w:rPr>
          <w:rFonts w:ascii="Aptos" w:eastAsia="Aptos" w:hAnsi="Aptos" w:cs="Arial"/>
          <w:kern w:val="2"/>
          <w:sz w:val="22"/>
          <w:szCs w:val="22"/>
          <w14:ligatures w14:val="standardContextual"/>
        </w:rPr>
        <w:t xml:space="preserve">is crucial for identifying gaps, </w:t>
      </w:r>
      <w:r w:rsidR="00451003" w:rsidRPr="00BE3DAF">
        <w:rPr>
          <w:rFonts w:ascii="Aptos" w:eastAsia="Aptos" w:hAnsi="Aptos" w:cs="Arial"/>
          <w:kern w:val="2"/>
          <w:sz w:val="22"/>
          <w:szCs w:val="22"/>
          <w14:ligatures w14:val="standardContextual"/>
        </w:rPr>
        <w:t>designing interventions</w:t>
      </w:r>
      <w:r w:rsidR="00A47330" w:rsidRPr="00BE3DAF">
        <w:rPr>
          <w:rFonts w:ascii="Aptos" w:eastAsia="Aptos" w:hAnsi="Aptos" w:cs="Arial"/>
          <w:kern w:val="2"/>
          <w:sz w:val="22"/>
          <w:szCs w:val="22"/>
          <w14:ligatures w14:val="standardContextual"/>
        </w:rPr>
        <w:t>, and measuring progress. However, many Asia</w:t>
      </w:r>
      <w:r w:rsidR="000019BA" w:rsidRPr="00BE3DAF">
        <w:rPr>
          <w:rFonts w:ascii="Aptos" w:eastAsia="Aptos" w:hAnsi="Aptos" w:cs="Arial"/>
          <w:kern w:val="2"/>
          <w:sz w:val="22"/>
          <w:szCs w:val="22"/>
          <w14:ligatures w14:val="standardContextual"/>
        </w:rPr>
        <w:t xml:space="preserve"> and the </w:t>
      </w:r>
      <w:r w:rsidR="00A47330" w:rsidRPr="00BE3DAF">
        <w:rPr>
          <w:rFonts w:ascii="Aptos" w:eastAsia="Aptos" w:hAnsi="Aptos" w:cs="Arial"/>
          <w:kern w:val="2"/>
          <w:sz w:val="22"/>
          <w:szCs w:val="22"/>
          <w14:ligatures w14:val="standardContextual"/>
        </w:rPr>
        <w:t>Pacific countries lack comprehensive, up-to-date ICT statistics, and most do not disaggregate data by socio-economic attributes, seriously limiting evidence-based policymaking</w:t>
      </w:r>
      <w:r w:rsidR="005844F2" w:rsidRPr="00BE3DAF">
        <w:rPr>
          <w:rFonts w:ascii="Aptos" w:eastAsia="Aptos" w:hAnsi="Aptos" w:cs="Arial"/>
          <w:kern w:val="2"/>
          <w:sz w:val="22"/>
          <w:szCs w:val="22"/>
          <w14:ligatures w14:val="standardContextual"/>
        </w:rPr>
        <w:t xml:space="preserve"> and hindering progress towards UMC.</w:t>
      </w:r>
    </w:p>
    <w:p w14:paraId="6563BF70" w14:textId="4624DF8D" w:rsidR="000E3443" w:rsidRPr="00BE3DAF" w:rsidRDefault="000E3443" w:rsidP="002B5019">
      <w:pPr>
        <w:rPr>
          <w:rFonts w:ascii="Aptos" w:eastAsia="Aptos" w:hAnsi="Aptos" w:cs="Arial"/>
          <w:b/>
          <w:bCs/>
          <w:kern w:val="2"/>
          <w:sz w:val="22"/>
          <w:szCs w:val="22"/>
          <w14:ligatures w14:val="standardContextual"/>
        </w:rPr>
      </w:pPr>
      <w:r w:rsidRPr="00BE3DAF">
        <w:rPr>
          <w:rFonts w:ascii="Aptos" w:eastAsia="Aptos" w:hAnsi="Aptos" w:cs="Arial"/>
          <w:b/>
          <w:bCs/>
          <w:kern w:val="2"/>
          <w:sz w:val="22"/>
          <w:szCs w:val="22"/>
          <w14:ligatures w14:val="standardContextual"/>
        </w:rPr>
        <w:t>Impactful initiatives demonstrate the power of digital connectivity</w:t>
      </w:r>
      <w:r w:rsidRPr="00BE3DAF">
        <w:rPr>
          <w:rFonts w:ascii="Aptos" w:eastAsia="Aptos" w:hAnsi="Aptos" w:cs="Arial"/>
          <w:kern w:val="2"/>
          <w:sz w:val="22"/>
          <w:szCs w:val="22"/>
          <w14:ligatures w14:val="standardContextual"/>
        </w:rPr>
        <w:t>. The second part of this document presents a selection of projects and initiatives supported by the ITU Telecommunication Development Bureau (BDT) in collaboration with regional stakeholders. These case studies highlight how digital technologies are transforming education, healthcare, entrepreneurship, and rural development</w:t>
      </w:r>
      <w:r w:rsidR="00D8699A" w:rsidRPr="00BE3DAF">
        <w:rPr>
          <w:rFonts w:ascii="Aptos" w:eastAsia="Aptos" w:hAnsi="Aptos" w:cs="Arial"/>
          <w:kern w:val="2"/>
          <w:sz w:val="22"/>
          <w:szCs w:val="22"/>
          <w14:ligatures w14:val="standardContextual"/>
        </w:rPr>
        <w:t xml:space="preserve">, and </w:t>
      </w:r>
      <w:r w:rsidR="001D417A" w:rsidRPr="00BE3DAF">
        <w:rPr>
          <w:rFonts w:ascii="Aptos" w:eastAsia="Aptos" w:hAnsi="Aptos" w:cs="Arial"/>
          <w:kern w:val="2"/>
          <w:sz w:val="22"/>
          <w:szCs w:val="22"/>
          <w14:ligatures w14:val="standardContextual"/>
        </w:rPr>
        <w:t xml:space="preserve">fostering </w:t>
      </w:r>
      <w:r w:rsidRPr="00BE3DAF">
        <w:rPr>
          <w:rFonts w:ascii="Aptos" w:eastAsia="Aptos" w:hAnsi="Aptos" w:cs="Arial"/>
          <w:kern w:val="2"/>
          <w:sz w:val="22"/>
          <w:szCs w:val="22"/>
          <w14:ligatures w14:val="standardContextual"/>
        </w:rPr>
        <w:t xml:space="preserve">digital </w:t>
      </w:r>
      <w:r w:rsidR="00D8699A" w:rsidRPr="00BE3DAF">
        <w:rPr>
          <w:rFonts w:ascii="Aptos" w:eastAsia="Aptos" w:hAnsi="Aptos" w:cs="Arial"/>
          <w:kern w:val="2"/>
          <w:sz w:val="22"/>
          <w:szCs w:val="22"/>
          <w14:ligatures w14:val="standardContextual"/>
        </w:rPr>
        <w:t>innovation</w:t>
      </w:r>
      <w:r w:rsidRPr="00BE3DAF">
        <w:rPr>
          <w:rFonts w:ascii="Aptos" w:eastAsia="Aptos" w:hAnsi="Aptos" w:cs="Arial"/>
          <w:kern w:val="2"/>
          <w:sz w:val="22"/>
          <w:szCs w:val="22"/>
          <w14:ligatures w14:val="standardContextual"/>
        </w:rPr>
        <w:t xml:space="preserve">. </w:t>
      </w:r>
      <w:r w:rsidR="00D8699A" w:rsidRPr="00BE3DAF">
        <w:rPr>
          <w:rFonts w:ascii="Aptos" w:eastAsia="Aptos" w:hAnsi="Aptos" w:cs="Arial"/>
          <w:kern w:val="2"/>
          <w:sz w:val="22"/>
          <w:szCs w:val="22"/>
          <w14:ligatures w14:val="standardContextual"/>
        </w:rPr>
        <w:t>T</w:t>
      </w:r>
      <w:r w:rsidRPr="00BE3DAF">
        <w:rPr>
          <w:rFonts w:ascii="Aptos" w:eastAsia="Aptos" w:hAnsi="Aptos" w:cs="Arial"/>
          <w:kern w:val="2"/>
          <w:sz w:val="22"/>
          <w:szCs w:val="22"/>
          <w14:ligatures w14:val="standardContextual"/>
        </w:rPr>
        <w:t>hese examples illustrate how targeted interventions can drive meaningful change and create opportunities for communities across the Asia</w:t>
      </w:r>
      <w:r w:rsidR="00595085" w:rsidRPr="00BE3DAF">
        <w:rPr>
          <w:rFonts w:ascii="Aptos" w:eastAsia="Aptos" w:hAnsi="Aptos" w:cs="Arial"/>
          <w:kern w:val="2"/>
          <w:sz w:val="22"/>
          <w:szCs w:val="22"/>
          <w14:ligatures w14:val="standardContextual"/>
        </w:rPr>
        <w:t xml:space="preserve"> and the </w:t>
      </w:r>
      <w:r w:rsidRPr="00BE3DAF">
        <w:rPr>
          <w:rFonts w:ascii="Aptos" w:eastAsia="Aptos" w:hAnsi="Aptos" w:cs="Arial"/>
          <w:kern w:val="2"/>
          <w:sz w:val="22"/>
          <w:szCs w:val="22"/>
          <w14:ligatures w14:val="standardContextual"/>
        </w:rPr>
        <w:t>Pacific region.</w:t>
      </w:r>
    </w:p>
    <w:p w14:paraId="46FC0294" w14:textId="0FA0FA05" w:rsidR="006C41B5" w:rsidRPr="00BE3DAF" w:rsidRDefault="00964D13" w:rsidP="007254C9">
      <w:pPr>
        <w:rPr>
          <w:rFonts w:ascii="Aptos" w:eastAsia="Aptos" w:hAnsi="Aptos" w:cs="Arial"/>
          <w:kern w:val="2"/>
          <w:sz w:val="22"/>
          <w:szCs w:val="22"/>
          <w14:ligatures w14:val="standardContextual"/>
        </w:rPr>
      </w:pPr>
      <w:r w:rsidRPr="00BE3DAF">
        <w:rPr>
          <w:rFonts w:ascii="Aptos" w:eastAsia="Aptos" w:hAnsi="Aptos" w:cs="Arial"/>
          <w:b/>
          <w:bCs/>
          <w:kern w:val="2"/>
          <w:sz w:val="22"/>
          <w:szCs w:val="22"/>
          <w14:ligatures w14:val="standardContextual"/>
        </w:rPr>
        <w:t xml:space="preserve">The region has made great strides but </w:t>
      </w:r>
      <w:r w:rsidR="00615A70" w:rsidRPr="00BE3DAF">
        <w:rPr>
          <w:rFonts w:ascii="Aptos" w:eastAsia="Aptos" w:hAnsi="Aptos" w:cs="Arial"/>
          <w:b/>
          <w:bCs/>
          <w:kern w:val="2"/>
          <w:sz w:val="22"/>
          <w:szCs w:val="22"/>
          <w14:ligatures w14:val="standardContextual"/>
        </w:rPr>
        <w:t>the journey towards UMC is still long</w:t>
      </w:r>
      <w:r w:rsidR="005E1877" w:rsidRPr="00BE3DAF">
        <w:rPr>
          <w:rFonts w:ascii="Aptos" w:eastAsia="Aptos" w:hAnsi="Aptos" w:cs="Arial"/>
          <w:b/>
          <w:bCs/>
          <w:kern w:val="2"/>
          <w:sz w:val="22"/>
          <w:szCs w:val="22"/>
          <w14:ligatures w14:val="standardContextual"/>
        </w:rPr>
        <w:t>.</w:t>
      </w:r>
      <w:r w:rsidR="005E1877" w:rsidRPr="00BE3DAF">
        <w:rPr>
          <w:rFonts w:ascii="Aptos" w:eastAsia="Aptos" w:hAnsi="Aptos" w:cs="Arial"/>
          <w:kern w:val="2"/>
          <w:sz w:val="22"/>
          <w:szCs w:val="22"/>
          <w14:ligatures w14:val="standardContextual"/>
        </w:rPr>
        <w:t xml:space="preserve"> </w:t>
      </w:r>
      <w:r w:rsidR="00BD3DCF" w:rsidRPr="00BE3DAF">
        <w:rPr>
          <w:rFonts w:ascii="Aptos" w:eastAsia="Aptos" w:hAnsi="Aptos" w:cs="Arial"/>
          <w:kern w:val="2"/>
          <w:sz w:val="22"/>
          <w:szCs w:val="22"/>
          <w14:ligatures w14:val="standardContextual"/>
        </w:rPr>
        <w:t>The Asia</w:t>
      </w:r>
      <w:r w:rsidR="00595085" w:rsidRPr="00BE3DAF">
        <w:rPr>
          <w:rFonts w:ascii="Aptos" w:eastAsia="Aptos" w:hAnsi="Aptos" w:cs="Arial"/>
          <w:kern w:val="2"/>
          <w:sz w:val="22"/>
          <w:szCs w:val="22"/>
          <w14:ligatures w14:val="standardContextual"/>
        </w:rPr>
        <w:t xml:space="preserve"> and the</w:t>
      </w:r>
      <w:r w:rsidR="00F12B93" w:rsidRPr="00BE3DAF">
        <w:rPr>
          <w:rFonts w:ascii="Aptos" w:eastAsia="Aptos" w:hAnsi="Aptos" w:cs="Arial"/>
          <w:kern w:val="2"/>
          <w:sz w:val="22"/>
          <w:szCs w:val="22"/>
          <w14:ligatures w14:val="standardContextual"/>
        </w:rPr>
        <w:t xml:space="preserve"> </w:t>
      </w:r>
      <w:r w:rsidR="00BD3DCF" w:rsidRPr="00BE3DAF">
        <w:rPr>
          <w:rFonts w:ascii="Aptos" w:eastAsia="Aptos" w:hAnsi="Aptos" w:cs="Arial"/>
          <w:kern w:val="2"/>
          <w:sz w:val="22"/>
          <w:szCs w:val="22"/>
          <w14:ligatures w14:val="standardContextual"/>
        </w:rPr>
        <w:t xml:space="preserve">Pacific’s digital journey has been remarkable, but universal access is only a milestone. Achieving meaningful connectivity </w:t>
      </w:r>
      <w:r w:rsidR="00FF032B" w:rsidRPr="00BE3DAF">
        <w:rPr>
          <w:rFonts w:ascii="Aptos" w:eastAsia="Aptos" w:hAnsi="Aptos" w:cs="Arial"/>
          <w:kern w:val="2"/>
          <w:sz w:val="22"/>
          <w:szCs w:val="22"/>
          <w14:ligatures w14:val="standardContextual"/>
        </w:rPr>
        <w:t xml:space="preserve">for everyone </w:t>
      </w:r>
      <w:r w:rsidR="002C008E" w:rsidRPr="00BE3DAF">
        <w:rPr>
          <w:rFonts w:ascii="Aptos" w:eastAsia="Aptos" w:hAnsi="Aptos" w:cs="Arial"/>
          <w:kern w:val="2"/>
          <w:sz w:val="22"/>
          <w:szCs w:val="22"/>
          <w14:ligatures w14:val="standardContextual"/>
        </w:rPr>
        <w:t xml:space="preserve">and enabling digital transformation </w:t>
      </w:r>
      <w:r w:rsidR="00765573" w:rsidRPr="00BE3DAF">
        <w:rPr>
          <w:rFonts w:ascii="Aptos" w:eastAsia="Aptos" w:hAnsi="Aptos" w:cs="Arial"/>
          <w:kern w:val="2"/>
          <w:sz w:val="22"/>
          <w:szCs w:val="22"/>
          <w14:ligatures w14:val="standardContextual"/>
        </w:rPr>
        <w:t xml:space="preserve">in all countries </w:t>
      </w:r>
      <w:r w:rsidR="00BD3DCF" w:rsidRPr="00BE3DAF">
        <w:rPr>
          <w:rFonts w:ascii="Aptos" w:eastAsia="Aptos" w:hAnsi="Aptos" w:cs="Arial"/>
          <w:kern w:val="2"/>
          <w:sz w:val="22"/>
          <w:szCs w:val="22"/>
          <w14:ligatures w14:val="standardContextual"/>
        </w:rPr>
        <w:t xml:space="preserve">will require a multi-faceted approach, including infrastructure investments, policy reforms, capacity building, and regional cooperation. </w:t>
      </w:r>
    </w:p>
    <w:p w14:paraId="4CFBC4AD" w14:textId="5379A217" w:rsidR="006C41B5" w:rsidRPr="00BE3DAF" w:rsidRDefault="006C41B5" w:rsidP="00AF1DE3">
      <w:pPr>
        <w:pStyle w:val="Parttitle0"/>
      </w:pPr>
      <w:bookmarkStart w:id="7" w:name="_Toc189658572"/>
      <w:r w:rsidRPr="00BE3DAF">
        <w:lastRenderedPageBreak/>
        <w:t>Part 1</w:t>
      </w:r>
      <w:r w:rsidR="006731EB" w:rsidRPr="00BE3DAF">
        <w:t>.</w:t>
      </w:r>
      <w:r w:rsidRPr="00BE3DAF">
        <w:t xml:space="preserve"> The state of digital connectivity in </w:t>
      </w:r>
      <w:r w:rsidR="00B51B01" w:rsidRPr="00BE3DAF">
        <w:t>Asia and the Pacific</w:t>
      </w:r>
      <w:r w:rsidRPr="00BE3DAF">
        <w:t xml:space="preserve"> and recent trends</w:t>
      </w:r>
      <w:bookmarkEnd w:id="7"/>
    </w:p>
    <w:p w14:paraId="71B503AD" w14:textId="77777777" w:rsidR="006C41B5" w:rsidRPr="00BE3DAF" w:rsidRDefault="006C41B5" w:rsidP="00A217F8">
      <w:pPr>
        <w:pStyle w:val="Section"/>
      </w:pPr>
      <w:bookmarkStart w:id="8" w:name="_Toc189658573"/>
      <w:r w:rsidRPr="00BE3DAF">
        <w:t>ICT regulation and digital policy frameworks</w:t>
      </w:r>
      <w:bookmarkEnd w:id="8"/>
    </w:p>
    <w:p w14:paraId="77317D62" w14:textId="77777777" w:rsidR="00E80936" w:rsidRPr="00BE3DAF" w:rsidRDefault="00E8093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evolving landscape of ICT regulation and digital policy frameworks plays a critical role in driving an inclusive and sustainable digital transformation as well as fostering thriving digital economies. To ensure national frameworks remain effective and adaptive, it is crucial to assess progress, identify best practices and address existing gaps.</w:t>
      </w:r>
    </w:p>
    <w:p w14:paraId="6452F417" w14:textId="498E6821" w:rsidR="006C41B5" w:rsidRPr="00BE3DAF" w:rsidRDefault="0077745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ICT regulation in Asia and the Pacific has advanced positively, but key reforms remain outstanding</w:t>
      </w:r>
    </w:p>
    <w:p w14:paraId="4864011E" w14:textId="04D68D5E" w:rsidR="00820E17" w:rsidRPr="00BE3DAF" w:rsidRDefault="00820E17" w:rsidP="00820E1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ICT regulation in Asia and the Pacific region has undergone transformative changes over the past </w:t>
      </w:r>
      <w:r w:rsidR="00B95CD2" w:rsidRPr="00BE3DAF">
        <w:rPr>
          <w:rFonts w:ascii="Aptos" w:eastAsia="Aptos" w:hAnsi="Aptos" w:cs="Arial"/>
          <w:kern w:val="2"/>
          <w:sz w:val="22"/>
          <w:szCs w:val="22"/>
          <w14:ligatures w14:val="standardContextual"/>
        </w:rPr>
        <w:t>fifteen</w:t>
      </w:r>
      <w:r w:rsidRPr="00BE3DAF">
        <w:rPr>
          <w:rFonts w:ascii="Aptos" w:eastAsia="Aptos" w:hAnsi="Aptos" w:cs="Arial"/>
          <w:kern w:val="2"/>
          <w:sz w:val="22"/>
          <w:szCs w:val="22"/>
          <w14:ligatures w14:val="standardContextual"/>
        </w:rPr>
        <w:t xml:space="preserve"> years, driven by the need to align with global good practices and respond to evolving markets and rapid technological innovation. In 2007, 90 per cent of countries in the region were classified as Generation 1 (G1) or Generation 2 (G2), the least advanced levels of ICT regulatory maturity. Australia became the first country in the region to achieve Generation 4 (G4), the most advanced level, in 2008, joining a select group of five G4 countries globally at the time. </w:t>
      </w:r>
    </w:p>
    <w:p w14:paraId="4DD3859C" w14:textId="35420CED" w:rsidR="00820E17" w:rsidRPr="00BE3DAF" w:rsidRDefault="00820E17" w:rsidP="00820E1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Today, a quarter of </w:t>
      </w:r>
      <w:r w:rsidR="008614B0" w:rsidRPr="00BE3DAF">
        <w:rPr>
          <w:rFonts w:ascii="Aptos" w:eastAsia="Aptos" w:hAnsi="Aptos" w:cs="Arial"/>
          <w:kern w:val="2"/>
          <w:sz w:val="22"/>
          <w:szCs w:val="22"/>
          <w14:ligatures w14:val="standardContextual"/>
        </w:rPr>
        <w:t xml:space="preserve">the 39 </w:t>
      </w:r>
      <w:r w:rsidRPr="00BE3DAF">
        <w:rPr>
          <w:rFonts w:ascii="Aptos" w:eastAsia="Aptos" w:hAnsi="Aptos" w:cs="Arial"/>
          <w:kern w:val="2"/>
          <w:sz w:val="22"/>
          <w:szCs w:val="22"/>
          <w14:ligatures w14:val="standardContextual"/>
        </w:rPr>
        <w:t xml:space="preserve">countries </w:t>
      </w:r>
      <w:r w:rsidR="008614B0" w:rsidRPr="00BE3DAF">
        <w:rPr>
          <w:rFonts w:ascii="Aptos" w:eastAsia="Aptos" w:hAnsi="Aptos" w:cs="Arial"/>
          <w:kern w:val="2"/>
          <w:sz w:val="22"/>
          <w:szCs w:val="22"/>
          <w14:ligatures w14:val="standardContextual"/>
        </w:rPr>
        <w:t>studied</w:t>
      </w:r>
      <w:r w:rsidRPr="00BE3DAF">
        <w:rPr>
          <w:rFonts w:ascii="Aptos" w:eastAsia="Aptos" w:hAnsi="Aptos" w:cs="Arial"/>
          <w:kern w:val="2"/>
          <w:sz w:val="22"/>
          <w:szCs w:val="22"/>
          <w14:ligatures w14:val="standardContextual"/>
        </w:rPr>
        <w:t xml:space="preserve"> in the region have upgraded their national legal frameworks to G4 status, while only three remain in G1. </w:t>
      </w:r>
      <w:r w:rsidR="008614B0" w:rsidRPr="00BE3DAF">
        <w:rPr>
          <w:rFonts w:ascii="Aptos" w:eastAsia="Aptos" w:hAnsi="Aptos" w:cs="Arial"/>
          <w:kern w:val="2"/>
          <w:sz w:val="22"/>
          <w:szCs w:val="22"/>
          <w14:ligatures w14:val="standardContextual"/>
        </w:rPr>
        <w:t>T</w:t>
      </w:r>
      <w:r w:rsidRPr="00BE3DAF">
        <w:rPr>
          <w:rFonts w:ascii="Aptos" w:eastAsia="Aptos" w:hAnsi="Aptos" w:cs="Arial"/>
          <w:kern w:val="2"/>
          <w:sz w:val="22"/>
          <w:szCs w:val="22"/>
          <w14:ligatures w14:val="standardContextual"/>
        </w:rPr>
        <w:t>wo thirds linger in G2 and G3 – underscoring the urgency of addressing gaps and enhancing regulatory maturity.</w:t>
      </w:r>
    </w:p>
    <w:p w14:paraId="6BE39072" w14:textId="6E94642A" w:rsidR="006C41B5" w:rsidRPr="00BE3DAF" w:rsidRDefault="006C41B5" w:rsidP="00820E17">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Evolution of the generations of ICT regulation in</w:t>
      </w:r>
      <w:r w:rsidR="007D5F22" w:rsidRPr="00BE3DAF">
        <w:t xml:space="preserve"> </w:t>
      </w:r>
      <w:r w:rsidR="007D5F22" w:rsidRPr="00BE3DAF">
        <w:rPr>
          <w:rFonts w:ascii="AvenirNext LT Pro Light" w:eastAsia="Yu Gothic Light" w:hAnsi="AvenirNext LT Pro Light" w:cs="Calibri"/>
          <w:color w:val="0070C0"/>
          <w:spacing w:val="-10"/>
          <w:kern w:val="28"/>
        </w:rPr>
        <w:t>Asia and the Pacific</w:t>
      </w:r>
    </w:p>
    <w:p w14:paraId="0CB6B476" w14:textId="17C1F613" w:rsidR="00FB0E93" w:rsidRPr="00BE3DAF" w:rsidRDefault="00FE6DD8" w:rsidP="00EB15E6">
      <w:pPr>
        <w:pStyle w:val="notetext"/>
      </w:pPr>
      <w:r w:rsidRPr="00BE3DAF">
        <w:rPr>
          <w:noProof/>
        </w:rPr>
        <w:drawing>
          <wp:inline distT="0" distB="0" distL="0" distR="0" wp14:anchorId="40D775C7" wp14:editId="6F2E312E">
            <wp:extent cx="5915025" cy="2962115"/>
            <wp:effectExtent l="0" t="0" r="0" b="0"/>
            <wp:docPr id="10111887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8874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18572" cy="2963891"/>
                    </a:xfrm>
                    <a:prstGeom prst="rect">
                      <a:avLst/>
                    </a:prstGeom>
                  </pic:spPr>
                </pic:pic>
              </a:graphicData>
            </a:graphic>
          </wp:inline>
        </w:drawing>
      </w:r>
    </w:p>
    <w:p w14:paraId="66B64067" w14:textId="127424DC" w:rsidR="00F77576" w:rsidRPr="00BE3DAF" w:rsidRDefault="00F77576" w:rsidP="00EB15E6">
      <w:pPr>
        <w:pStyle w:val="notetext"/>
      </w:pPr>
      <w:r w:rsidRPr="00BE3DAF">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5" w:history="1">
        <w:r w:rsidRPr="00BE3DAF">
          <w:t>ICT Regulatory Tracker</w:t>
        </w:r>
      </w:hyperlink>
      <w:r w:rsidR="002D3677" w:rsidRPr="00BE3DAF">
        <w:t xml:space="preserve"> s</w:t>
      </w:r>
      <w:r w:rsidRPr="00BE3DAF">
        <w:t>cores:</w:t>
      </w:r>
    </w:p>
    <w:p w14:paraId="78D1ADE5" w14:textId="77777777" w:rsidR="00F77576" w:rsidRPr="00BE3DAF" w:rsidRDefault="00F77576" w:rsidP="00EB15E6">
      <w:pPr>
        <w:pStyle w:val="notetext"/>
      </w:pPr>
      <w:r w:rsidRPr="00BE3DAF">
        <w:t xml:space="preserve">G1 – Command and control approach: score between 0 and 40 </w:t>
      </w:r>
      <w:r w:rsidRPr="00BE3DAF">
        <w:br/>
        <w:t xml:space="preserve">G2 – Early open markets: score between 40 and 70 </w:t>
      </w:r>
      <w:r w:rsidRPr="00BE3DAF">
        <w:br/>
        <w:t xml:space="preserve">G3 – Enabling investment and access: score between 70 and 85 </w:t>
      </w:r>
      <w:r w:rsidRPr="00BE3DAF">
        <w:br/>
        <w:t>G4 – Integrated telecommunication regulation: score between 85 and 100</w:t>
      </w:r>
    </w:p>
    <w:p w14:paraId="1F091B69" w14:textId="77777777" w:rsidR="00F77576" w:rsidRPr="00BE3DAF" w:rsidRDefault="00F77576" w:rsidP="00EB15E6">
      <w:pPr>
        <w:pStyle w:val="notetext"/>
      </w:pPr>
      <w:r w:rsidRPr="00BE3DAF">
        <w:t>Data for 2021 is unavailable; 2020 data is used as a proxy for 2021.</w:t>
      </w:r>
    </w:p>
    <w:p w14:paraId="3B6D504E" w14:textId="77777777" w:rsidR="00F77576" w:rsidRPr="00BE3DAF" w:rsidRDefault="00F77576" w:rsidP="00EB15E6">
      <w:pPr>
        <w:pStyle w:val="Sourcetext"/>
      </w:pPr>
      <w:r w:rsidRPr="00BE3DAF">
        <w:t>Source: ITU</w:t>
      </w:r>
    </w:p>
    <w:p w14:paraId="7EA4597A" w14:textId="4DFF82D1" w:rsidR="0056644E" w:rsidRPr="00BE3DAF" w:rsidRDefault="00935B2A" w:rsidP="005664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Progress across the region varies, influenced by the diverse development profiles of countries. The regional average for ICT regulatory maturity stands at 66 per cent, compared to 56 per cent for Least Developed Countries (LDCs) and 55 per cent for Small Island Developing States (SIDS) in the region. All remain below the global average of 72 per cent, revealing a need for focused reforms to bolster ICT regulatory frameworks – which are also the foundation of digital readiness and market take-up.</w:t>
      </w:r>
    </w:p>
    <w:p w14:paraId="0EC559AB" w14:textId="2BF8974C" w:rsidR="006C41B5" w:rsidRPr="00BE3DAF" w:rsidRDefault="002A08D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Mixed progress in digital governance</w:t>
      </w:r>
    </w:p>
    <w:p w14:paraId="3DA45984" w14:textId="413F07C9" w:rsidR="00412294" w:rsidRPr="00BE3DAF" w:rsidRDefault="00412294" w:rsidP="00412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Asia and the Pacific is home to several of the world's top countries with respect to digital governance frameworks. In 2023, seven of the 19 countries in the Leading tier of the G5 Benchmark are from the region: Australia, India, Malaysia, New Zealand</w:t>
      </w:r>
      <w:r w:rsidR="00CC4C9F" w:rsidRPr="00BE3DAF">
        <w:rPr>
          <w:rFonts w:ascii="Aptos" w:eastAsia="Aptos" w:hAnsi="Aptos" w:cs="Arial"/>
          <w:kern w:val="2"/>
          <w:sz w:val="22"/>
          <w:szCs w:val="22"/>
          <w14:ligatures w14:val="standardContextual"/>
        </w:rPr>
        <w:t>,</w:t>
      </w:r>
      <w:r w:rsidRPr="00BE3DAF">
        <w:rPr>
          <w:rFonts w:ascii="Aptos" w:eastAsia="Aptos" w:hAnsi="Aptos" w:cs="Arial"/>
          <w:kern w:val="2"/>
          <w:sz w:val="22"/>
          <w:szCs w:val="22"/>
          <w14:ligatures w14:val="standardContextual"/>
        </w:rPr>
        <w:t xml:space="preserve"> Philippines and the Republic of Korea, with Singapore ranking highest in the region and third globally. This places Asia and the Pacific as the region with the second-largest number of Leading countries, following Europe – which has eight. But the region also includes the country with the world's lowest readiness – a SIDS – underscoring significant disparities, particularly among LDCs and SIDS compared to other countries.</w:t>
      </w:r>
    </w:p>
    <w:p w14:paraId="0804C40A" w14:textId="77777777" w:rsidR="00412294" w:rsidRPr="00BE3DAF" w:rsidRDefault="00412294" w:rsidP="00412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Despite notable policy advancements since 2021, digital governance frameworks across the region continue to lag the global average. Two-thirds of countries remain at either the Limited or Transitioning level, falling short of establishing a solid foundation for inclusive, accelerated and sustainable digital transformation.</w:t>
      </w:r>
    </w:p>
    <w:p w14:paraId="6903A1C9" w14:textId="0E6D7047" w:rsidR="00735B40" w:rsidRPr="00BE3DAF" w:rsidRDefault="00735B40" w:rsidP="00735B4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 xml:space="preserve">Readiness of national frameworks reveals gaps within the region </w:t>
      </w:r>
    </w:p>
    <w:p w14:paraId="4B628E49" w14:textId="6E62FA20" w:rsidR="00735B40" w:rsidRPr="00BE3DAF" w:rsidRDefault="006A07F7" w:rsidP="00735B4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Advanced digital readiness of national and regional policy, legal and governance frameworks – underpinned by robust ICT regulation and adaptive digital governance – is essential for achieving meaningful digital inclusion and a successful transition to digital economies. To enable digital transformation across all sectors, countries must establish consistent and balanced national frameworks and implement them effectively. These are also key for regional harmonization and economic integration, positioning both ICT and digital policies as top priorities for national and regional development agendas.</w:t>
      </w:r>
    </w:p>
    <w:p w14:paraId="5191141D" w14:textId="27FC920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Legal, policy and governance frameworks for digital transformation, 2023</w:t>
      </w:r>
    </w:p>
    <w:p w14:paraId="53BFDBB3" w14:textId="251B14F4" w:rsidR="00B9343F" w:rsidRPr="00BE3DAF" w:rsidRDefault="00B64561" w:rsidP="00EB15E6">
      <w:pPr>
        <w:pStyle w:val="notetext"/>
      </w:pPr>
      <w:r w:rsidRPr="00BE3DAF">
        <w:rPr>
          <w:noProof/>
        </w:rPr>
        <w:drawing>
          <wp:inline distT="0" distB="0" distL="0" distR="0" wp14:anchorId="4D1D13C8" wp14:editId="7E32D498">
            <wp:extent cx="6120765" cy="2931160"/>
            <wp:effectExtent l="0" t="0" r="0" b="2540"/>
            <wp:docPr id="458909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998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2931160"/>
                    </a:xfrm>
                    <a:prstGeom prst="rect">
                      <a:avLst/>
                    </a:prstGeom>
                  </pic:spPr>
                </pic:pic>
              </a:graphicData>
            </a:graphic>
          </wp:inline>
        </w:drawing>
      </w:r>
      <w:r w:rsidR="00B9343F" w:rsidRPr="00BE3DAF">
        <w:t xml:space="preserve">Note: The nine thematic benchmarks (as in the chart above) each comprise a subset of indicators, as part of the </w:t>
      </w:r>
      <w:hyperlink r:id="rId18" w:history="1">
        <w:r w:rsidR="00B9343F" w:rsidRPr="00BE3DAF">
          <w:rPr>
            <w:color w:val="467886"/>
            <w:szCs w:val="16"/>
            <w:u w:val="single"/>
          </w:rPr>
          <w:t>ITU Unified Framework for the readiness of national policy, legal and governance frameworks for digital transformation</w:t>
        </w:r>
      </w:hyperlink>
      <w:r w:rsidR="00B9343F" w:rsidRPr="00BE3DAF">
        <w:t xml:space="preserve">. </w:t>
      </w:r>
    </w:p>
    <w:p w14:paraId="332E9746" w14:textId="77777777" w:rsidR="0077203B" w:rsidRPr="00BE3DAF" w:rsidRDefault="0077203B" w:rsidP="0077203B">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rFonts w:ascii="Aptos" w:eastAsia="Aptos" w:hAnsi="Aptos"/>
          <w:kern w:val="2"/>
          <w:sz w:val="16"/>
          <w14:ligatures w14:val="standardContextual"/>
        </w:rPr>
        <w:lastRenderedPageBreak/>
        <w:t>The chart shows progress on the nine benchmarks for the Asia-Pacific region (average for the group) compared to the world average and the average for LDCs and SIDS in the region (21 countries, including four countries which are both SIDS and LDCs).</w:t>
      </w:r>
      <w:r w:rsidRPr="00BE3DAF">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28FB539B" w14:textId="77777777" w:rsidR="00B9343F" w:rsidRPr="00BE3DAF" w:rsidRDefault="00B9343F" w:rsidP="00EB15E6">
      <w:pPr>
        <w:pStyle w:val="Sourcetext"/>
      </w:pPr>
      <w:r w:rsidRPr="00BE3DAF">
        <w:t>Source: ITU</w:t>
      </w:r>
    </w:p>
    <w:p w14:paraId="13A952A9" w14:textId="642E4738"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overall readiness of Asia and the Pacific frameworks for digital transformation stands at 45 per cent, six percentage points below the world average, reflecting significant gaps across all nine thematic benchmarks. Regional disparities are also prominent, with LDCs and SIDS in the region underperforming by 6 to 18 percentage points on six benchmarks, in 2023. </w:t>
      </w:r>
      <w:r w:rsidR="008F12D3" w:rsidRPr="00BE3DAF">
        <w:rPr>
          <w:rFonts w:ascii="Aptos" w:eastAsia="Aptos" w:hAnsi="Aptos" w:cs="Arial"/>
          <w:kern w:val="2"/>
          <w:sz w:val="22"/>
          <w:szCs w:val="22"/>
          <w14:ligatures w14:val="standardContextual"/>
        </w:rPr>
        <w:t xml:space="preserve">Compared to the regional average, </w:t>
      </w:r>
      <w:r w:rsidR="00D575D7" w:rsidRPr="00BE3DAF">
        <w:rPr>
          <w:rFonts w:ascii="Aptos" w:eastAsia="Aptos" w:hAnsi="Aptos" w:cs="Arial"/>
          <w:kern w:val="2"/>
          <w:sz w:val="22"/>
          <w:szCs w:val="22"/>
          <w14:ligatures w14:val="standardContextual"/>
        </w:rPr>
        <w:t>landlocked developing countries (</w:t>
      </w:r>
      <w:r w:rsidR="008F12D3" w:rsidRPr="00BE3DAF">
        <w:rPr>
          <w:rFonts w:ascii="Aptos" w:eastAsia="Aptos" w:hAnsi="Aptos" w:cs="Arial"/>
          <w:kern w:val="2"/>
          <w:sz w:val="22"/>
          <w:szCs w:val="22"/>
          <w14:ligatures w14:val="standardContextual"/>
        </w:rPr>
        <w:t>LLDCs</w:t>
      </w:r>
      <w:r w:rsidR="00D575D7" w:rsidRPr="00BE3DAF">
        <w:rPr>
          <w:rFonts w:ascii="Aptos" w:eastAsia="Aptos" w:hAnsi="Aptos" w:cs="Arial"/>
          <w:kern w:val="2"/>
          <w:sz w:val="22"/>
          <w:szCs w:val="22"/>
          <w14:ligatures w14:val="standardContextual"/>
        </w:rPr>
        <w:t>)</w:t>
      </w:r>
      <w:r w:rsidR="008F12D3" w:rsidRPr="00BE3DAF">
        <w:rPr>
          <w:rFonts w:ascii="Aptos" w:eastAsia="Aptos" w:hAnsi="Aptos" w:cs="Arial"/>
          <w:kern w:val="2"/>
          <w:sz w:val="22"/>
          <w:szCs w:val="22"/>
          <w14:ligatures w14:val="standardContextual"/>
        </w:rPr>
        <w:t xml:space="preserve"> perform at a similar level or better on six of the nine thematic benchmarks, notably exceeding the regional performance on the Regulatory Capacity benchmark by 21 percentage points.</w:t>
      </w:r>
    </w:p>
    <w:p w14:paraId="61D4DE35" w14:textId="77777777"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region performs best in Regulatory Capacity, achieving 55 per cent, though still below the world average. Notably, LDCs and SIDS outperform the regional average in this area, reaching 68 per cent and exceeding the global benchmark of 63 per cent. This strength can be attributed to substantial international development aid and capacity building over the past decade, providing a solid institutional foundation to foster digital technologies and services. However, to fully harness their potential, these countries must now focus on actively developing digital economies while mitigating risks for governments, businesses and consumers.</w:t>
      </w:r>
    </w:p>
    <w:p w14:paraId="3E5D75AA" w14:textId="18402E06"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Good Governance, LDCs and SIDS lag significantly behind, scoring 43 per cent compared to the regional and world averages of 52 and 58 per cent. Yet, their performance aligns with the regional average in Collaborative </w:t>
      </w:r>
      <w:r w:rsidR="007F67E6" w:rsidRPr="00BE3DAF">
        <w:rPr>
          <w:rFonts w:ascii="Aptos" w:eastAsia="Aptos" w:hAnsi="Aptos" w:cs="Arial"/>
          <w:kern w:val="2"/>
          <w:sz w:val="22"/>
          <w:szCs w:val="22"/>
          <w14:ligatures w14:val="standardContextual"/>
        </w:rPr>
        <w:t>Governance,</w:t>
      </w:r>
      <w:r w:rsidRPr="00BE3DAF">
        <w:rPr>
          <w:rFonts w:ascii="Aptos" w:eastAsia="Aptos" w:hAnsi="Aptos" w:cs="Arial"/>
          <w:kern w:val="2"/>
          <w:sz w:val="22"/>
          <w:szCs w:val="22"/>
          <w14:ligatures w14:val="standardContextual"/>
        </w:rPr>
        <w:t xml:space="preserve"> and they are only 5 percentage points below the global benchmark of 42 per cent. This relative strength presents an opportunity to drive essential reforms in ICT and digital markets and leverage regional frameworks for digital transformation of public and private sectors.</w:t>
      </w:r>
    </w:p>
    <w:p w14:paraId="2277CF81" w14:textId="0B313677"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Traditional areas of regulatory oversight in the region remain underdeveloped relative to global standards. For Legal Instruments for ICT Markets, the regional average is 53 per cent</w:t>
      </w:r>
      <w:r w:rsidR="00E40A14" w:rsidRPr="00BE3DAF">
        <w:rPr>
          <w:rFonts w:ascii="Aptos" w:eastAsia="Aptos" w:hAnsi="Aptos" w:cs="Arial"/>
          <w:kern w:val="2"/>
          <w:sz w:val="22"/>
          <w:szCs w:val="22"/>
          <w14:ligatures w14:val="standardContextual"/>
        </w:rPr>
        <w:t>,</w:t>
      </w:r>
      <w:r w:rsidRPr="00BE3DAF">
        <w:rPr>
          <w:rFonts w:ascii="Aptos" w:eastAsia="Aptos" w:hAnsi="Aptos" w:cs="Arial"/>
          <w:kern w:val="2"/>
          <w:sz w:val="22"/>
          <w:szCs w:val="22"/>
          <w14:ligatures w14:val="standardContextual"/>
        </w:rPr>
        <w:t xml:space="preserve"> trailing the world average of 59 per cent, with LDCs and SIDS falling further behind at 39 per cent. Similarly, on Market Rules, the averages for the region </w:t>
      </w:r>
      <w:r w:rsidR="00E81F32" w:rsidRPr="00BE3DAF">
        <w:rPr>
          <w:rFonts w:ascii="Aptos" w:eastAsia="Aptos" w:hAnsi="Aptos" w:cs="Arial"/>
          <w:kern w:val="2"/>
          <w:sz w:val="22"/>
          <w:szCs w:val="22"/>
          <w14:ligatures w14:val="standardContextual"/>
        </w:rPr>
        <w:t>as well as</w:t>
      </w:r>
      <w:r w:rsidRPr="00BE3DAF">
        <w:rPr>
          <w:rFonts w:ascii="Aptos" w:eastAsia="Aptos" w:hAnsi="Aptos" w:cs="Arial"/>
          <w:kern w:val="2"/>
          <w:sz w:val="22"/>
          <w:szCs w:val="22"/>
          <w14:ligatures w14:val="standardContextual"/>
        </w:rPr>
        <w:t xml:space="preserve"> for LDCs and SIDS stand at 50 per cent, 9 percentage points below the global benchmark. These shortcomings also hinder the development of efficient and inclusive digital markets, underscoring the urgent need for further reforms.</w:t>
      </w:r>
    </w:p>
    <w:p w14:paraId="69604C0C" w14:textId="77777777"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region also faces major challenges in Legal Instruments for Digital Markets, scoring 39 per cent – or 14 percentage points lower than on the Legal Instruments for ICT Markets. LDCs and SIDS are particularly disadvantaged, with only 20 per cent of this benchmark achieved. This regulatory deficit undermines their readiness for digital transformation, threatening to stall broader development prospects.</w:t>
      </w:r>
    </w:p>
    <w:p w14:paraId="2E524D70" w14:textId="24395317"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Another critical gap lies in Regional and International Cooperation, where Asia and the Pacific scores 29 per cent, below the already low world average of 38 per cent. This shortfall limits the region’s ability to scale digital innovation and adopt transformative technologies to advance development across the board. Nonetheless, notable regional initiatives demonstrate strong potential for progress across the region such as the ASEAN Digital Integration Framework Action Plan (DIFAP), </w:t>
      </w:r>
      <w:r w:rsidR="00770299" w:rsidRPr="00BE3DAF">
        <w:rPr>
          <w:rFonts w:ascii="Aptos" w:eastAsia="Aptos" w:hAnsi="Aptos" w:cs="Arial"/>
          <w:kern w:val="2"/>
          <w:sz w:val="22"/>
          <w:szCs w:val="22"/>
          <w14:ligatures w14:val="standardContextual"/>
        </w:rPr>
        <w:t>I</w:t>
      </w:r>
      <w:r w:rsidR="00770299" w:rsidRPr="00BE3DAF">
        <w:rPr>
          <w:rFonts w:ascii="Aptos" w:eastAsia="Aptos" w:hAnsi="Aptos" w:cs="Arial"/>
          <w:sz w:val="22"/>
          <w:szCs w:val="22"/>
          <w:u w:val="single"/>
        </w:rPr>
        <w:t>TU-ASEAN Digital Government Technical Framework</w:t>
      </w:r>
      <w:r w:rsidR="00770299" w:rsidRPr="00BE3DAF">
        <w:rPr>
          <w:rFonts w:ascii="Aptos" w:eastAsia="Aptos" w:hAnsi="Aptos" w:cs="Arial"/>
          <w:sz w:val="22"/>
          <w:szCs w:val="22"/>
        </w:rPr>
        <w:t xml:space="preserve">, </w:t>
      </w:r>
      <w:r w:rsidRPr="00BE3DAF">
        <w:rPr>
          <w:rFonts w:ascii="Aptos" w:eastAsia="Aptos" w:hAnsi="Aptos" w:cs="Arial"/>
          <w:kern w:val="2"/>
          <w:sz w:val="22"/>
          <w:szCs w:val="22"/>
          <w14:ligatures w14:val="standardContextual"/>
        </w:rPr>
        <w:t>the APEC Digital Economy Work Program, the Belt and Road Initiative (BRI) Digital Silk Road, the Pacific Islands Forum (PIF) Digital Transformation Agenda, and ICT and digital initiatives of the Asia-Pacific Telecommunity (APT) and SAARC.</w:t>
      </w:r>
    </w:p>
    <w:p w14:paraId="33278177" w14:textId="77777777" w:rsidR="00543890" w:rsidRPr="00BE3DAF"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These initiatives offer concrete mechanisms to strengthen national policy, legal, and governance frameworks for digital transformation while supporting LDCs and SIDS in overcoming structural </w:t>
      </w:r>
      <w:r w:rsidRPr="00BE3DAF">
        <w:rPr>
          <w:rFonts w:ascii="Aptos" w:eastAsia="Aptos" w:hAnsi="Aptos" w:cs="Arial"/>
          <w:kern w:val="2"/>
          <w:sz w:val="22"/>
          <w:szCs w:val="22"/>
          <w14:ligatures w14:val="standardContextual"/>
        </w:rPr>
        <w:lastRenderedPageBreak/>
        <w:t xml:space="preserve">barriers. By prioritizing regional harmonization and targeted interventions, the region can drive inclusive and sustainable growth through digital transformation. </w:t>
      </w:r>
    </w:p>
    <w:p w14:paraId="2B0F0891" w14:textId="5A219F1B" w:rsidR="006C41B5" w:rsidRPr="00BE3DAF" w:rsidRDefault="005D1A67" w:rsidP="00155D3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Policies driving digital inclusion advance rapidly though unevenly</w:t>
      </w:r>
    </w:p>
    <w:p w14:paraId="26449E18" w14:textId="77777777" w:rsidR="0053322F" w:rsidRPr="00BE3DAF" w:rsidRDefault="0053322F" w:rsidP="0053322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Rapid advancements in technology and business models have outpaced governance frameworks in most countries across the region, leaving critical gaps in public policies aimed at fostering digital inclusion.</w:t>
      </w:r>
    </w:p>
    <w:p w14:paraId="6E10EA0D" w14:textId="3E4430A6" w:rsidR="005D1A67" w:rsidRPr="00BE3DAF" w:rsidRDefault="0053322F" w:rsidP="0053322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Broad, multi-sector policy instruments are key to aligning market and government stakeholders with digital inclusion goals, such as leaving no one behind. While Asia and the Pacific show a high level of adoption of national digital strategies, with 71 per</w:t>
      </w:r>
      <w:r w:rsidR="008A6567"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countries exceeding the world average, this figure drops to just 48 per</w:t>
      </w:r>
      <w:r w:rsidR="008A6567"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for LDCs and SIDS in the region. Over half of the countries in the region, and 80 per</w:t>
      </w:r>
      <w:r w:rsidR="00E850E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LLDCs, have introduced universal access and service policies including broadband as an essential service, well above the global average of 38 per</w:t>
      </w:r>
      <w:r w:rsidR="00E850E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However, LDCs and SIDS must expedite the implementation of these frameworks by developing clear roadmaps and identifying funding mechanisms for universal access initiatives. Additionally, to ensure inclusivity, it is crucial for the region to advance digital inclusion strategies targeting specific groups, such as persons with disabilities, which are currently only found in 16 percent of countries in the region and are virtually absent in LDCs, LLDCs, and SIDS.</w:t>
      </w:r>
      <w:r w:rsidR="00C02605" w:rsidRPr="00BE3DAF">
        <w:rPr>
          <w:rFonts w:ascii="Aptos" w:eastAsia="Aptos" w:hAnsi="Aptos" w:cs="Arial"/>
          <w:kern w:val="2"/>
          <w:sz w:val="22"/>
          <w:szCs w:val="22"/>
          <w14:ligatures w14:val="standardContextual"/>
        </w:rPr>
        <w:t xml:space="preserve"> Encouragingly, </w:t>
      </w:r>
      <w:r w:rsidR="00C02605" w:rsidRPr="007F67E6">
        <w:rPr>
          <w:rFonts w:ascii="Aptos" w:eastAsia="Aptos" w:hAnsi="Aptos" w:cs="Arial"/>
          <w:kern w:val="2"/>
          <w:sz w:val="22"/>
          <w:szCs w:val="22"/>
          <w14:ligatures w14:val="standardContextual"/>
        </w:rPr>
        <w:t>some SIDS are taking steps to address these policy gaps.</w:t>
      </w:r>
    </w:p>
    <w:p w14:paraId="21CE254D" w14:textId="7A97CBD0" w:rsidR="005D1A67" w:rsidRPr="00BE3DAF" w:rsidRDefault="00DC0BB5" w:rsidP="00DC0B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Digital inclusion policy instruments, Asia and the Pacific, 2023</w:t>
      </w:r>
    </w:p>
    <w:p w14:paraId="4B5E5579" w14:textId="1B0E4CAC" w:rsidR="00CB16E7" w:rsidRPr="00BE3DAF" w:rsidRDefault="00170030" w:rsidP="00CB16E7">
      <w:pPr>
        <w:pStyle w:val="notetext"/>
        <w:rPr>
          <w:rFonts w:eastAsia="Aptos"/>
        </w:rPr>
      </w:pPr>
      <w:r w:rsidRPr="00BE3DAF">
        <w:rPr>
          <w:noProof/>
        </w:rPr>
        <w:drawing>
          <wp:inline distT="0" distB="0" distL="0" distR="0" wp14:anchorId="0EA017FD" wp14:editId="35DD33E1">
            <wp:extent cx="6120765" cy="3729355"/>
            <wp:effectExtent l="0" t="0" r="0" b="4445"/>
            <wp:docPr id="519857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791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729355"/>
                    </a:xfrm>
                    <a:prstGeom prst="rect">
                      <a:avLst/>
                    </a:prstGeom>
                  </pic:spPr>
                </pic:pic>
              </a:graphicData>
            </a:graphic>
          </wp:inline>
        </w:drawing>
      </w:r>
      <w:r w:rsidR="00CB16E7" w:rsidRPr="00BE3DAF">
        <w:rPr>
          <w:rFonts w:eastAsia="Aptos"/>
        </w:rPr>
        <w:t>* Based on SDG Target 8.b Develop and operationalize global strategy for youth employment and to implement the Global Jobs Pact of the ILO</w:t>
      </w:r>
    </w:p>
    <w:p w14:paraId="7D01CD22" w14:textId="77777777" w:rsidR="00CB16E7" w:rsidRPr="00BE3DAF" w:rsidRDefault="00CB16E7" w:rsidP="00CB16E7">
      <w:pPr>
        <w:pStyle w:val="notetext"/>
        <w:rPr>
          <w:rFonts w:eastAsia="Aptos"/>
        </w:rPr>
      </w:pPr>
      <w:r w:rsidRPr="00BE3DAF">
        <w:rPr>
          <w:rFonts w:eastAsia="Aptos"/>
        </w:rPr>
        <w:t>** Persons with disabilities</w:t>
      </w:r>
    </w:p>
    <w:p w14:paraId="49278ACF" w14:textId="77777777" w:rsidR="00CB16E7" w:rsidRPr="00BE3DAF" w:rsidRDefault="00CB16E7" w:rsidP="00CB16E7">
      <w:pPr>
        <w:pStyle w:val="notetext"/>
        <w:rPr>
          <w:rFonts w:eastAsia="Aptos"/>
        </w:rPr>
      </w:pPr>
      <w:r w:rsidRPr="00BE3DAF">
        <w:rPr>
          <w:rFonts w:eastAsia="Aptos"/>
        </w:rPr>
        <w:t>*** Based on the UNDESA E-Government Development Index</w:t>
      </w:r>
    </w:p>
    <w:p w14:paraId="6EAF7D60" w14:textId="763C2E93" w:rsidR="002173A6" w:rsidRPr="00BE3DAF" w:rsidRDefault="002173A6" w:rsidP="00CB16E7">
      <w:pPr>
        <w:pStyle w:val="Sourcetext"/>
        <w:rPr>
          <w:rFonts w:eastAsia="Aptos"/>
        </w:rPr>
      </w:pPr>
      <w:r w:rsidRPr="00BE3DAF">
        <w:rPr>
          <w:rFonts w:eastAsia="Aptos"/>
        </w:rPr>
        <w:t xml:space="preserve">Note: </w:t>
      </w:r>
      <w:r w:rsidRPr="00BE3DAF">
        <w:rPr>
          <w:rFonts w:eastAsia="Aptos" w:cs="Aptos"/>
          <w:szCs w:val="16"/>
        </w:rPr>
        <w:t>The region’s average scores for key indicators in the National Digital Agenda and Legal Instruments for Digital Markets under the ITU Unified Framework are compared to the averages for LDCs and SIDS (combined) and LLDCs in the region, and the world average</w:t>
      </w:r>
      <w:r w:rsidRPr="00BE3DAF">
        <w:rPr>
          <w:rFonts w:eastAsia="Aptos"/>
        </w:rPr>
        <w:t>.</w:t>
      </w:r>
    </w:p>
    <w:p w14:paraId="0D0511FA" w14:textId="77777777" w:rsidR="00CB16E7" w:rsidRPr="00BE3DAF" w:rsidRDefault="00CB16E7" w:rsidP="00CB16E7">
      <w:pPr>
        <w:pStyle w:val="Sourcetext"/>
      </w:pPr>
      <w:r w:rsidRPr="00BE3DAF">
        <w:lastRenderedPageBreak/>
        <w:t>Source: ITU, based on data from ITU, SDG Indicators and the E-Government Development Index</w:t>
      </w:r>
    </w:p>
    <w:p w14:paraId="34C7FABA" w14:textId="53A117EE" w:rsidR="00363525" w:rsidRPr="00BE3DAF" w:rsidRDefault="00363525" w:rsidP="003635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Digital identity frameworks play a pivotal role in promoting digital inclusion too, providing citizens with secure, reliable and universally accessible means to access essential public services and participate in the digital economy. While 47 per</w:t>
      </w:r>
      <w:r w:rsidR="00107C82"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countries in the region have established these systems – above the global average – LDCs and SIDS are significantly behind. This gap is partly due to low e-government capacity in 80 per</w:t>
      </w:r>
      <w:r w:rsidR="00107C82"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the region’s countries, with LDCs, LLDCs and SIDS particularly disadvantaged.</w:t>
      </w:r>
    </w:p>
    <w:p w14:paraId="76EA78D3" w14:textId="5D97775B" w:rsidR="00363525" w:rsidRPr="00BE3DAF" w:rsidRDefault="00363525" w:rsidP="003635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Digital inclusion for youth is especially important for unlocking learning, economic opportunities and civic engagement. LLDCs are leading in the adoption of digital strategies for transforming education, with 60 per</w:t>
      </w:r>
      <w:r w:rsidR="00CB7DD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cent of countries implementing such policies. In contrast, the region </w:t>
      </w:r>
      <w:r w:rsidR="003652FE" w:rsidRPr="00BE3DAF">
        <w:rPr>
          <w:rFonts w:ascii="Aptos" w:eastAsia="Aptos" w:hAnsi="Aptos" w:cs="Arial"/>
          <w:kern w:val="2"/>
          <w:sz w:val="22"/>
          <w:szCs w:val="22"/>
          <w14:ligatures w14:val="standardContextual"/>
        </w:rPr>
        <w:t>falls</w:t>
      </w:r>
      <w:r w:rsidRPr="00BE3DAF">
        <w:rPr>
          <w:rFonts w:ascii="Aptos" w:eastAsia="Aptos" w:hAnsi="Aptos" w:cs="Arial"/>
          <w:kern w:val="2"/>
          <w:sz w:val="22"/>
          <w:szCs w:val="22"/>
          <w14:ligatures w14:val="standardContextual"/>
        </w:rPr>
        <w:t xml:space="preserve"> below the world average of 42 per</w:t>
      </w:r>
      <w:r w:rsidR="00CB7DD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and only one-third of LDCs and SIDS have policies mainstreaming digital tools in education. Efforts to prepare youth for future employment in the digital economy remain limited, with only 10 per</w:t>
      </w:r>
      <w:r w:rsidR="00CB7DD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countries in the region adopting strategies for youth employment – and none among the 26 LDCs, LLDCs and SIDS. Similarly, child online protection measures are insufficient, present in just 40 per</w:t>
      </w:r>
      <w:r w:rsidR="00CB7DD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countries and a mere 20 per</w:t>
      </w:r>
      <w:r w:rsidR="00CB7DDE"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cent of LDCs, LLDCs, and SIDS. </w:t>
      </w:r>
    </w:p>
    <w:p w14:paraId="3EE1A717" w14:textId="1C2A2CE4" w:rsidR="005D1A67" w:rsidRPr="00BE3DAF" w:rsidRDefault="00363525" w:rsidP="003635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Broader policy initiatives are needed to ensure digital inclusion for all and build a digitally competent workforce for the future across the region and in particular in the most vulnerable and least developed countries. Focused investments in digital skills, workforce readiness for digital economies and inclusive governance can transform the region’s population dividend into a robust digital dividend.</w:t>
      </w:r>
    </w:p>
    <w:p w14:paraId="429AFFB9" w14:textId="758106BD" w:rsidR="00E6152C" w:rsidRPr="00BE3DAF" w:rsidRDefault="00E6152C" w:rsidP="00E6152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LDCs, LLDCs and SIDS lag in leveraging emerging technologies</w:t>
      </w:r>
    </w:p>
    <w:p w14:paraId="3B7929BB" w14:textId="77777777" w:rsidR="00C5400B" w:rsidRPr="00BE3DAF" w:rsidRDefault="00C5400B" w:rsidP="00C5400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Digital economy policy agendas in Asia and the Pacific are less advanced than the global average, highlighting the limited progress across much of the region in building comprehensive, agile frameworks to support digital transformation across economic sectors.</w:t>
      </w:r>
    </w:p>
    <w:p w14:paraId="46727261" w14:textId="5BC1CCD4" w:rsidR="00C5400B" w:rsidRPr="00BE3DAF" w:rsidRDefault="00C5400B" w:rsidP="00C5400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Several key instruments are required in the policy toolbox of every country</w:t>
      </w:r>
      <w:r w:rsidR="00AE0F20" w:rsidRPr="00BE3DAF">
        <w:rPr>
          <w:rFonts w:ascii="Aptos" w:eastAsia="Aptos" w:hAnsi="Aptos" w:cs="Arial"/>
          <w:kern w:val="2"/>
          <w:sz w:val="22"/>
          <w:szCs w:val="22"/>
          <w14:ligatures w14:val="standardContextual"/>
        </w:rPr>
        <w:t xml:space="preserve"> to ensure governance keeps pace with rapid emerging technologies shifts in the region</w:t>
      </w:r>
      <w:r w:rsidRPr="00BE3DAF">
        <w:rPr>
          <w:rFonts w:ascii="Aptos" w:eastAsia="Aptos" w:hAnsi="Aptos" w:cs="Arial"/>
          <w:kern w:val="2"/>
          <w:sz w:val="22"/>
          <w:szCs w:val="22"/>
          <w14:ligatures w14:val="standardContextual"/>
        </w:rPr>
        <w:t xml:space="preserve">. </w:t>
      </w:r>
    </w:p>
    <w:p w14:paraId="2F9ABEFE" w14:textId="77777777" w:rsidR="00C5400B" w:rsidRPr="00BE3DAF" w:rsidRDefault="00C5400B" w:rsidP="00AE0F2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Innovation policies play a critical role in leveraging emerging technologies to drive economic prosperity by creating an environment that fosters digital innovation, technology development and digital value creation. While Asia and the Pacific and LLDC averages are lower but close to the world average of 48 per cent, only 14 per cent of SIDS and LDCs in the region have an innovation policy.</w:t>
      </w:r>
    </w:p>
    <w:p w14:paraId="5E9DE240" w14:textId="49B62C57" w:rsidR="00C5400B" w:rsidRPr="00BE3DAF" w:rsidRDefault="00C5400B" w:rsidP="00E55CC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Targeted emerging technology policies can enable developing countries to transform their economies, create new entrepreneurship opportunities and enhance the efficiency of the public sector. In Asia and the Pacific, 42 per cent of countries have adopted regulations or standards for the Internet of Things (IoT), well above the world average of 30 per cent. The region also leads in cloud computing strategies, with 24 per cent adoption compared to the world average of 21 per </w:t>
      </w:r>
      <w:r w:rsidR="007F67E6" w:rsidRPr="00BE3DAF">
        <w:rPr>
          <w:rFonts w:ascii="Aptos" w:eastAsia="Aptos" w:hAnsi="Aptos" w:cs="Arial"/>
          <w:kern w:val="2"/>
          <w:sz w:val="22"/>
          <w:szCs w:val="22"/>
          <w14:ligatures w14:val="standardContextual"/>
        </w:rPr>
        <w:t>cent and</w:t>
      </w:r>
      <w:r w:rsidRPr="00BE3DAF">
        <w:rPr>
          <w:rFonts w:ascii="Aptos" w:eastAsia="Aptos" w:hAnsi="Aptos" w:cs="Arial"/>
          <w:kern w:val="2"/>
          <w:sz w:val="22"/>
          <w:szCs w:val="22"/>
          <w14:ligatures w14:val="standardContextual"/>
        </w:rPr>
        <w:t xml:space="preserve"> matches the global average for Artificial Intelligence policies of 16 per cent. However, LDCs and SIDS in the region lag significantly, with only 10 per cent having any policy related to emerging technologies, signalling systemic gaps in responding to the fast-evolving challenges and opportunities in digital markets. </w:t>
      </w:r>
    </w:p>
    <w:p w14:paraId="43098F24" w14:textId="430600B5" w:rsidR="005204C0" w:rsidRPr="00BE3DAF" w:rsidRDefault="00C5400B" w:rsidP="001A06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Pro-active government policies promoting digital innovation in commercial services and digital public goods can lower barriers to market entry, encourage investment in emerging sectors and accelerate the growth of local innovation ecosystems. Regulatory experimentation mechanisms such as sandboxes have been adopted in 39 per cent of countries in Asia and the Pacific, closely aligning with the world average of 40 per cent. LDCs, LLDCs and SIDS in the region, however, are half as likely to enable regulatory experimentation compared to the regional average. The proportion of countries </w:t>
      </w:r>
      <w:r w:rsidRPr="00BE3DAF">
        <w:rPr>
          <w:rFonts w:ascii="Aptos" w:eastAsia="Aptos" w:hAnsi="Aptos" w:cs="Arial"/>
          <w:kern w:val="2"/>
          <w:sz w:val="22"/>
          <w:szCs w:val="22"/>
          <w14:ligatures w14:val="standardContextual"/>
        </w:rPr>
        <w:lastRenderedPageBreak/>
        <w:t>exempt from sector-specific taxes on ICT and digital services in the region is relatively high at 47 per cent, though it remains below the world average of 56 per cent. In comparison, targeted incentives for ICT and digital market players are present in only 18 per cent of countries in the region and are entirely absent in LDCs, LLDCs and SIDS in the region, underscoring the lack of agile strategies to accelerate the digital economy agendas in these countries.</w:t>
      </w:r>
    </w:p>
    <w:p w14:paraId="1D4BFB53" w14:textId="26AF5FD1" w:rsidR="006C41B5" w:rsidRPr="00BE3DAF" w:rsidRDefault="00AC076A"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Enabling environment for emerging technologies, Asia and the Pacific, 2023</w:t>
      </w:r>
    </w:p>
    <w:p w14:paraId="19EDF3FF" w14:textId="35B780D7" w:rsidR="004F58E2" w:rsidRPr="00BE3DAF" w:rsidRDefault="00E65E15" w:rsidP="00EB15E6">
      <w:pPr>
        <w:pStyle w:val="notetext"/>
        <w:rPr>
          <w:rFonts w:eastAsia="Aptos"/>
        </w:rPr>
      </w:pPr>
      <w:r w:rsidRPr="00BE3DAF">
        <w:rPr>
          <w:noProof/>
        </w:rPr>
        <w:drawing>
          <wp:inline distT="0" distB="0" distL="0" distR="0" wp14:anchorId="14E0C671" wp14:editId="3B24338B">
            <wp:extent cx="6120765" cy="4001770"/>
            <wp:effectExtent l="0" t="0" r="0" b="0"/>
            <wp:docPr id="826561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4001770"/>
                    </a:xfrm>
                    <a:prstGeom prst="rect">
                      <a:avLst/>
                    </a:prstGeom>
                  </pic:spPr>
                </pic:pic>
              </a:graphicData>
            </a:graphic>
          </wp:inline>
        </w:drawing>
      </w:r>
      <w:r w:rsidR="004F58E2" w:rsidRPr="00BE3DAF">
        <w:rPr>
          <w:rFonts w:eastAsia="Aptos"/>
        </w:rPr>
        <w:t xml:space="preserve">Note: </w:t>
      </w:r>
      <w:r w:rsidR="00CE6541" w:rsidRPr="00BE3DAF">
        <w:rPr>
          <w:rStyle w:val="normaltextrun"/>
          <w:rFonts w:eastAsiaTheme="majorEastAsia" w:cs="Segoe UI"/>
        </w:rPr>
        <w:t>The regions’ average scores for key indicators in the National Digital Agenda, Legal Instruments for Digital Markets, Stakeholder Engagement and Good Governance under the ITU Unified Framework are compared to the averages for LDCs and SIDS (combined) and LLDCs in the region, and the world average</w:t>
      </w:r>
      <w:r w:rsidR="004F58E2" w:rsidRPr="00BE3DAF">
        <w:rPr>
          <w:rFonts w:eastAsia="Aptos"/>
        </w:rPr>
        <w:t>.</w:t>
      </w:r>
    </w:p>
    <w:p w14:paraId="157071C5" w14:textId="77777777" w:rsidR="006C41B5" w:rsidRPr="00BE3DAF" w:rsidRDefault="006C41B5" w:rsidP="00EB15E6">
      <w:pPr>
        <w:pStyle w:val="Sourcetext"/>
      </w:pPr>
      <w:r w:rsidRPr="00BE3DAF">
        <w:t>Source: ITU</w:t>
      </w:r>
    </w:p>
    <w:p w14:paraId="2982A6B2" w14:textId="77777777" w:rsidR="002B195E" w:rsidRPr="00BE3DAF" w:rsidRDefault="0082419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Incentivizing digital innovation and advancing emerging technology development stand as key priorities for strengthening digital governance in Asia and the Pacific. Targeted and regionalized reforms are essential to attract investment in digital ecosystems, drive economic development and accelerate regional integration.</w:t>
      </w:r>
    </w:p>
    <w:p w14:paraId="15C94479" w14:textId="50034BE0" w:rsidR="006C41B5" w:rsidRPr="00BE3DAF" w:rsidRDefault="006C41B5"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65548862" w14:textId="77777777" w:rsidR="006C41B5" w:rsidRPr="00BE3DAF" w:rsidRDefault="006C41B5" w:rsidP="00302CE1">
      <w:pPr>
        <w:pStyle w:val="Section"/>
      </w:pPr>
      <w:bookmarkStart w:id="9" w:name="_Toc189658574"/>
      <w:r w:rsidRPr="00BE3DAF">
        <w:lastRenderedPageBreak/>
        <w:t>Internet use</w:t>
      </w:r>
      <w:bookmarkEnd w:id="9"/>
    </w:p>
    <w:p w14:paraId="7700FACE" w14:textId="3A461F94"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 xml:space="preserve">Internet use in </w:t>
      </w:r>
      <w:r w:rsidR="00091171" w:rsidRPr="00BE3DAF">
        <w:rPr>
          <w:rFonts w:ascii="Aptos" w:eastAsia="Aptos" w:hAnsi="Aptos" w:cs="Arial"/>
          <w:b/>
          <w:bCs/>
          <w:i/>
          <w:iCs/>
          <w:kern w:val="2"/>
          <w:sz w:val="22"/>
          <w:szCs w:val="22"/>
          <w14:ligatures w14:val="standardContextual"/>
        </w:rPr>
        <w:t>Asia and the Pacific</w:t>
      </w:r>
      <w:r w:rsidRPr="00BE3DAF">
        <w:rPr>
          <w:rFonts w:ascii="Aptos" w:eastAsia="Aptos" w:hAnsi="Aptos" w:cs="Arial"/>
          <w:b/>
          <w:bCs/>
          <w:i/>
          <w:iCs/>
          <w:kern w:val="2"/>
          <w:sz w:val="22"/>
          <w:szCs w:val="22"/>
          <w14:ligatures w14:val="standardContextual"/>
        </w:rPr>
        <w:t xml:space="preserve"> </w:t>
      </w:r>
      <w:r w:rsidR="00C30F80" w:rsidRPr="00BE3DAF">
        <w:rPr>
          <w:rFonts w:ascii="Aptos" w:eastAsia="Aptos" w:hAnsi="Aptos" w:cs="Arial"/>
          <w:b/>
          <w:bCs/>
          <w:i/>
          <w:iCs/>
          <w:kern w:val="2"/>
          <w:sz w:val="22"/>
          <w:szCs w:val="22"/>
          <w14:ligatures w14:val="standardContextual"/>
        </w:rPr>
        <w:t>on par with</w:t>
      </w:r>
      <w:r w:rsidR="00C6108F" w:rsidRPr="00BE3DAF">
        <w:rPr>
          <w:rFonts w:ascii="Aptos" w:eastAsia="Aptos" w:hAnsi="Aptos" w:cs="Arial"/>
          <w:b/>
          <w:bCs/>
          <w:i/>
          <w:iCs/>
          <w:kern w:val="2"/>
          <w:sz w:val="22"/>
          <w:szCs w:val="22"/>
          <w14:ligatures w14:val="standardContextual"/>
        </w:rPr>
        <w:t xml:space="preserve"> </w:t>
      </w:r>
      <w:r w:rsidR="002F5F34" w:rsidRPr="00BE3DAF">
        <w:rPr>
          <w:rFonts w:ascii="Aptos" w:eastAsia="Aptos" w:hAnsi="Aptos" w:cs="Arial"/>
          <w:b/>
          <w:bCs/>
          <w:i/>
          <w:iCs/>
          <w:kern w:val="2"/>
          <w:sz w:val="22"/>
          <w:szCs w:val="22"/>
          <w14:ligatures w14:val="standardContextual"/>
        </w:rPr>
        <w:t>global average</w:t>
      </w:r>
    </w:p>
    <w:p w14:paraId="7BA29D8E"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using the Internet</w:t>
      </w:r>
    </w:p>
    <w:p w14:paraId="4E3B4419" w14:textId="511061B7" w:rsidR="006C41B5" w:rsidRPr="00BE3DAF" w:rsidRDefault="00E430F2" w:rsidP="00EB15E6">
      <w:pPr>
        <w:pStyle w:val="Sourcetext"/>
      </w:pPr>
      <w:r w:rsidRPr="00BE3DAF">
        <w:rPr>
          <w:noProof/>
        </w:rPr>
        <w:drawing>
          <wp:inline distT="0" distB="0" distL="0" distR="0" wp14:anchorId="7C818AF5" wp14:editId="25AD3053">
            <wp:extent cx="6120765" cy="2480310"/>
            <wp:effectExtent l="0" t="0" r="0" b="0"/>
            <wp:docPr id="5298427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42724"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2480310"/>
                    </a:xfrm>
                    <a:prstGeom prst="rect">
                      <a:avLst/>
                    </a:prstGeom>
                  </pic:spPr>
                </pic:pic>
              </a:graphicData>
            </a:graphic>
          </wp:inline>
        </w:drawing>
      </w:r>
      <w:r w:rsidR="006C41B5" w:rsidRPr="00BE3DAF">
        <w:t>Source: ITU</w:t>
      </w:r>
    </w:p>
    <w:p w14:paraId="7FEABE23" w14:textId="2DA44478" w:rsidR="008A6843" w:rsidRPr="00BE3DAF" w:rsidRDefault="002F5F34" w:rsidP="008A684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proportion </w:t>
      </w:r>
      <w:r w:rsidR="00012710" w:rsidRPr="00BE3DAF">
        <w:rPr>
          <w:rFonts w:ascii="Aptos" w:eastAsia="Aptos" w:hAnsi="Aptos" w:cs="Arial"/>
          <w:kern w:val="2"/>
          <w:sz w:val="22"/>
          <w:szCs w:val="22"/>
          <w14:ligatures w14:val="standardContextual"/>
        </w:rPr>
        <w:t>of people online in Asia and the P</w:t>
      </w:r>
      <w:r w:rsidR="00213103" w:rsidRPr="00BE3DAF">
        <w:rPr>
          <w:rFonts w:ascii="Aptos" w:eastAsia="Aptos" w:hAnsi="Aptos" w:cs="Arial"/>
          <w:kern w:val="2"/>
          <w:sz w:val="22"/>
          <w:szCs w:val="22"/>
          <w14:ligatures w14:val="standardContextual"/>
        </w:rPr>
        <w:t>a</w:t>
      </w:r>
      <w:r w:rsidR="00012710" w:rsidRPr="00BE3DAF">
        <w:rPr>
          <w:rFonts w:ascii="Aptos" w:eastAsia="Aptos" w:hAnsi="Aptos" w:cs="Arial"/>
          <w:kern w:val="2"/>
          <w:sz w:val="22"/>
          <w:szCs w:val="22"/>
          <w14:ligatures w14:val="standardContextual"/>
        </w:rPr>
        <w:t>cif</w:t>
      </w:r>
      <w:r w:rsidR="00213103" w:rsidRPr="00BE3DAF">
        <w:rPr>
          <w:rFonts w:ascii="Aptos" w:eastAsia="Aptos" w:hAnsi="Aptos" w:cs="Arial"/>
          <w:kern w:val="2"/>
          <w:sz w:val="22"/>
          <w:szCs w:val="22"/>
          <w14:ligatures w14:val="standardContextual"/>
        </w:rPr>
        <w:t>i</w:t>
      </w:r>
      <w:r w:rsidR="00012710" w:rsidRPr="00BE3DAF">
        <w:rPr>
          <w:rFonts w:ascii="Aptos" w:eastAsia="Aptos" w:hAnsi="Aptos" w:cs="Arial"/>
          <w:kern w:val="2"/>
          <w:sz w:val="22"/>
          <w:szCs w:val="22"/>
          <w14:ligatures w14:val="standardContextual"/>
        </w:rPr>
        <w:t xml:space="preserve">c stood at </w:t>
      </w:r>
      <w:r w:rsidR="00CD0829" w:rsidRPr="00BE3DAF">
        <w:rPr>
          <w:rFonts w:ascii="Aptos" w:eastAsia="Aptos" w:hAnsi="Aptos" w:cs="Arial"/>
          <w:kern w:val="2"/>
          <w:sz w:val="22"/>
          <w:szCs w:val="22"/>
          <w14:ligatures w14:val="standardContextual"/>
        </w:rPr>
        <w:t xml:space="preserve">66 per cent in 2024, just two percentage points below </w:t>
      </w:r>
      <w:r w:rsidR="00213103" w:rsidRPr="00BE3DAF">
        <w:rPr>
          <w:rFonts w:ascii="Aptos" w:eastAsia="Aptos" w:hAnsi="Aptos" w:cs="Arial"/>
          <w:kern w:val="2"/>
          <w:sz w:val="22"/>
          <w:szCs w:val="22"/>
          <w14:ligatures w14:val="standardContextual"/>
        </w:rPr>
        <w:t xml:space="preserve">the global average. </w:t>
      </w:r>
      <w:r w:rsidR="008A6843" w:rsidRPr="00BE3DAF">
        <w:rPr>
          <w:rFonts w:ascii="Aptos" w:eastAsia="Aptos" w:hAnsi="Aptos" w:cs="Arial"/>
          <w:kern w:val="2"/>
          <w:sz w:val="22"/>
          <w:szCs w:val="22"/>
          <w14:ligatures w14:val="standardContextual"/>
        </w:rPr>
        <w:t xml:space="preserve">Since 2005, the average annual growth rate of Internet penetration has been 10.7 per cent in the </w:t>
      </w:r>
      <w:r w:rsidR="004A766C" w:rsidRPr="00BE3DAF">
        <w:rPr>
          <w:rFonts w:ascii="Aptos" w:eastAsia="Aptos" w:hAnsi="Aptos" w:cs="Arial"/>
          <w:kern w:val="2"/>
          <w:sz w:val="22"/>
          <w:szCs w:val="22"/>
          <w14:ligatures w14:val="standardContextual"/>
        </w:rPr>
        <w:t>region</w:t>
      </w:r>
      <w:r w:rsidR="008A6843" w:rsidRPr="00BE3DAF">
        <w:rPr>
          <w:rFonts w:ascii="Aptos" w:eastAsia="Aptos" w:hAnsi="Aptos" w:cs="Arial"/>
          <w:kern w:val="2"/>
          <w:sz w:val="22"/>
          <w:szCs w:val="22"/>
          <w14:ligatures w14:val="standardContextual"/>
        </w:rPr>
        <w:t>, against 8 per cent globally. Over the last ten years, these percentages were more modest, at 7.</w:t>
      </w:r>
      <w:r w:rsidR="000628C0" w:rsidRPr="00BE3DAF">
        <w:rPr>
          <w:rFonts w:ascii="Aptos" w:eastAsia="Aptos" w:hAnsi="Aptos" w:cs="Arial"/>
          <w:kern w:val="2"/>
          <w:sz w:val="22"/>
          <w:szCs w:val="22"/>
          <w14:ligatures w14:val="standardContextual"/>
        </w:rPr>
        <w:t>8</w:t>
      </w:r>
      <w:r w:rsidR="008A6843" w:rsidRPr="00BE3DAF">
        <w:rPr>
          <w:rFonts w:ascii="Aptos" w:eastAsia="Aptos" w:hAnsi="Aptos" w:cs="Arial"/>
          <w:kern w:val="2"/>
          <w:sz w:val="22"/>
          <w:szCs w:val="22"/>
          <w14:ligatures w14:val="standardContextual"/>
        </w:rPr>
        <w:t xml:space="preserve"> and 6.1 per cent respectively.</w:t>
      </w:r>
    </w:p>
    <w:p w14:paraId="0108EAB9" w14:textId="288B6719" w:rsidR="00850EDE" w:rsidRPr="00BE3DAF" w:rsidRDefault="009E27EA"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Asia and the Pacific is a very heterogeneous region, from tiny Pacific islands to the biggest and most populo</w:t>
      </w:r>
      <w:r w:rsidR="00A072FE" w:rsidRPr="00BE3DAF">
        <w:rPr>
          <w:rFonts w:ascii="Aptos" w:eastAsia="Aptos" w:hAnsi="Aptos" w:cs="Arial"/>
          <w:kern w:val="2"/>
          <w:sz w:val="22"/>
          <w:szCs w:val="22"/>
          <w14:ligatures w14:val="standardContextual"/>
        </w:rPr>
        <w:t>u</w:t>
      </w:r>
      <w:r w:rsidRPr="00BE3DAF">
        <w:rPr>
          <w:rFonts w:ascii="Aptos" w:eastAsia="Aptos" w:hAnsi="Aptos" w:cs="Arial"/>
          <w:kern w:val="2"/>
          <w:sz w:val="22"/>
          <w:szCs w:val="22"/>
          <w14:ligatures w14:val="standardContextual"/>
        </w:rPr>
        <w:t>s countries in the world</w:t>
      </w:r>
      <w:r w:rsidR="00A072FE" w:rsidRPr="00BE3DAF">
        <w:rPr>
          <w:rFonts w:ascii="Aptos" w:eastAsia="Aptos" w:hAnsi="Aptos" w:cs="Arial"/>
          <w:kern w:val="2"/>
          <w:sz w:val="22"/>
          <w:szCs w:val="22"/>
          <w14:ligatures w14:val="standardContextual"/>
        </w:rPr>
        <w:t xml:space="preserve">. The region also </w:t>
      </w:r>
      <w:r w:rsidR="00E41548" w:rsidRPr="00BE3DAF">
        <w:rPr>
          <w:rFonts w:ascii="Aptos" w:eastAsia="Aptos" w:hAnsi="Aptos" w:cs="Arial"/>
          <w:kern w:val="2"/>
          <w:sz w:val="22"/>
          <w:szCs w:val="22"/>
          <w14:ligatures w14:val="standardContextual"/>
        </w:rPr>
        <w:t xml:space="preserve">contains </w:t>
      </w:r>
      <w:r w:rsidR="00F63DA0" w:rsidRPr="00BE3DAF">
        <w:rPr>
          <w:rFonts w:ascii="Aptos" w:eastAsia="Aptos" w:hAnsi="Aptos" w:cs="Arial"/>
          <w:kern w:val="2"/>
          <w:sz w:val="22"/>
          <w:szCs w:val="22"/>
          <w14:ligatures w14:val="standardContextual"/>
        </w:rPr>
        <w:t xml:space="preserve">economies on all </w:t>
      </w:r>
      <w:r w:rsidR="004D4CAA" w:rsidRPr="00BE3DAF">
        <w:rPr>
          <w:rFonts w:ascii="Aptos" w:eastAsia="Aptos" w:hAnsi="Aptos" w:cs="Arial"/>
          <w:kern w:val="2"/>
          <w:sz w:val="22"/>
          <w:szCs w:val="22"/>
          <w14:ligatures w14:val="standardContextual"/>
        </w:rPr>
        <w:t>positions</w:t>
      </w:r>
      <w:r w:rsidR="00F63DA0" w:rsidRPr="00BE3DAF">
        <w:rPr>
          <w:rFonts w:ascii="Aptos" w:eastAsia="Aptos" w:hAnsi="Aptos" w:cs="Arial"/>
          <w:kern w:val="2"/>
          <w:sz w:val="22"/>
          <w:szCs w:val="22"/>
          <w14:ligatures w14:val="standardContextual"/>
        </w:rPr>
        <w:t xml:space="preserve"> in the development spectrum, from </w:t>
      </w:r>
      <w:r w:rsidR="004D4CAA" w:rsidRPr="00BE3DAF">
        <w:rPr>
          <w:rFonts w:ascii="Aptos" w:eastAsia="Aptos" w:hAnsi="Aptos" w:cs="Arial"/>
          <w:kern w:val="2"/>
          <w:sz w:val="22"/>
          <w:szCs w:val="22"/>
          <w14:ligatures w14:val="standardContextual"/>
        </w:rPr>
        <w:t>least developed countries to high-income economies.</w:t>
      </w:r>
      <w:r w:rsidR="00052025" w:rsidRPr="00BE3DAF">
        <w:rPr>
          <w:rFonts w:ascii="Aptos" w:eastAsia="Aptos" w:hAnsi="Aptos" w:cs="Arial"/>
          <w:kern w:val="2"/>
          <w:sz w:val="22"/>
          <w:szCs w:val="22"/>
          <w14:ligatures w14:val="standardContextual"/>
        </w:rPr>
        <w:t xml:space="preserve"> </w:t>
      </w:r>
      <w:r w:rsidR="003D42D9" w:rsidRPr="00BE3DAF">
        <w:rPr>
          <w:rFonts w:ascii="Aptos" w:eastAsia="Aptos" w:hAnsi="Aptos" w:cs="Arial"/>
          <w:kern w:val="2"/>
          <w:sz w:val="22"/>
          <w:szCs w:val="22"/>
          <w14:ligatures w14:val="standardContextual"/>
        </w:rPr>
        <w:t>This heterogeneity is reflected in the country level data on Internet use</w:t>
      </w:r>
      <w:r w:rsidR="002A346A" w:rsidRPr="00BE3DAF">
        <w:rPr>
          <w:rFonts w:ascii="Aptos" w:eastAsia="Aptos" w:hAnsi="Aptos" w:cs="Arial"/>
          <w:kern w:val="2"/>
          <w:sz w:val="22"/>
          <w:szCs w:val="22"/>
          <w14:ligatures w14:val="standardContextual"/>
        </w:rPr>
        <w:t xml:space="preserve">, with </w:t>
      </w:r>
      <w:r w:rsidR="005C7B17" w:rsidRPr="00BE3DAF">
        <w:rPr>
          <w:rFonts w:ascii="Aptos" w:eastAsia="Aptos" w:hAnsi="Aptos" w:cs="Arial"/>
          <w:kern w:val="2"/>
          <w:sz w:val="22"/>
          <w:szCs w:val="22"/>
          <w14:ligatures w14:val="standardContextual"/>
        </w:rPr>
        <w:t>penetration levels from 18 to 99 per cent.</w:t>
      </w:r>
      <w:r w:rsidR="003D42D9" w:rsidRPr="00BE3DAF">
        <w:rPr>
          <w:rFonts w:ascii="Aptos" w:eastAsia="Aptos" w:hAnsi="Aptos" w:cs="Arial"/>
          <w:kern w:val="2"/>
          <w:sz w:val="22"/>
          <w:szCs w:val="22"/>
          <w14:ligatures w14:val="standardContextual"/>
        </w:rPr>
        <w:t xml:space="preserve"> </w:t>
      </w:r>
      <w:r w:rsidR="00F31572" w:rsidRPr="00BE3DAF">
        <w:rPr>
          <w:rFonts w:ascii="Aptos" w:eastAsia="Aptos" w:hAnsi="Aptos" w:cs="Arial"/>
          <w:kern w:val="2"/>
          <w:sz w:val="22"/>
          <w:szCs w:val="22"/>
          <w14:ligatures w14:val="standardContextual"/>
        </w:rPr>
        <w:t xml:space="preserve">Indeed, in six of the economies, </w:t>
      </w:r>
      <w:r w:rsidR="008B6ACD" w:rsidRPr="00BE3DAF">
        <w:rPr>
          <w:rFonts w:ascii="Aptos" w:eastAsia="Aptos" w:hAnsi="Aptos" w:cs="Arial"/>
          <w:kern w:val="2"/>
          <w:sz w:val="22"/>
          <w:szCs w:val="22"/>
          <w14:ligatures w14:val="standardContextual"/>
        </w:rPr>
        <w:t>universal use</w:t>
      </w:r>
      <w:r w:rsidR="00F31572" w:rsidRPr="00BE3DAF">
        <w:rPr>
          <w:rFonts w:ascii="Aptos" w:eastAsia="Aptos" w:hAnsi="Aptos" w:cs="Arial"/>
          <w:kern w:val="2"/>
          <w:sz w:val="22"/>
          <w:szCs w:val="22"/>
          <w14:ligatures w14:val="standardContextual"/>
        </w:rPr>
        <w:t xml:space="preserve"> has been reached</w:t>
      </w:r>
      <w:r w:rsidR="008B6ACD" w:rsidRPr="00BE3DAF">
        <w:rPr>
          <w:rFonts w:ascii="Aptos" w:eastAsia="Aptos" w:hAnsi="Aptos" w:cs="Arial"/>
          <w:kern w:val="2"/>
          <w:sz w:val="22"/>
          <w:szCs w:val="22"/>
          <w14:ligatures w14:val="standardContextual"/>
        </w:rPr>
        <w:t>.</w:t>
      </w:r>
      <w:r w:rsidR="008B6ACD" w:rsidRPr="00BE3DAF">
        <w:rPr>
          <w:rStyle w:val="FootnoteReference"/>
          <w:rFonts w:eastAsia="Aptos" w:cs="Arial"/>
          <w:kern w:val="2"/>
          <w14:ligatures w14:val="standardContextual"/>
        </w:rPr>
        <w:footnoteReference w:id="3"/>
      </w:r>
    </w:p>
    <w:p w14:paraId="2DDA6729" w14:textId="7C2B298C"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 xml:space="preserve">Percentage of individuals using the Internet in </w:t>
      </w:r>
      <w:r w:rsidR="00091171" w:rsidRPr="00BE3DAF">
        <w:rPr>
          <w:rFonts w:ascii="AvenirNext LT Pro Light" w:eastAsia="Yu Gothic Light" w:hAnsi="AvenirNext LT Pro Light" w:cs="Calibri"/>
          <w:color w:val="0070C0"/>
          <w:spacing w:val="-10"/>
          <w:kern w:val="28"/>
        </w:rPr>
        <w:t>Asia and the Pacific</w:t>
      </w:r>
      <w:r w:rsidRPr="00BE3DAF">
        <w:rPr>
          <w:rFonts w:ascii="AvenirNext LT Pro Light" w:eastAsia="Yu Gothic Light" w:hAnsi="AvenirNext LT Pro Light" w:cs="Calibri"/>
          <w:color w:val="0070C0"/>
          <w:spacing w:val="-10"/>
          <w:kern w:val="28"/>
        </w:rPr>
        <w:t xml:space="preserve">, </w:t>
      </w:r>
      <w:r w:rsidR="00851F73"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r w:rsidRPr="00BE3DAF">
        <w:rPr>
          <w:rFonts w:ascii="AvenirNext LT Pro Light" w:eastAsia="Yu Gothic Light" w:hAnsi="AvenirNext LT Pro Light" w:cs="Calibri"/>
          <w:color w:val="0070C0"/>
          <w:spacing w:val="-10"/>
          <w:kern w:val="28"/>
          <w:vertAlign w:val="superscript"/>
        </w:rPr>
        <w:footnoteReference w:id="4"/>
      </w:r>
    </w:p>
    <w:p w14:paraId="592763FC" w14:textId="77777777" w:rsidR="00063010" w:rsidRPr="00BE3DAF" w:rsidRDefault="0087247D"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0BCF21DB" wp14:editId="0B406C04">
            <wp:extent cx="5688000" cy="2984738"/>
            <wp:effectExtent l="0" t="0" r="8255" b="6350"/>
            <wp:docPr id="8478758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7583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688000" cy="2984738"/>
                    </a:xfrm>
                    <a:prstGeom prst="rect">
                      <a:avLst/>
                    </a:prstGeom>
                  </pic:spPr>
                </pic:pic>
              </a:graphicData>
            </a:graphic>
          </wp:inline>
        </w:drawing>
      </w:r>
    </w:p>
    <w:p w14:paraId="597A2C47" w14:textId="7359DAAF" w:rsidR="006C41B5" w:rsidRPr="00BE3DAF"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 xml:space="preserve">Note: </w:t>
      </w:r>
      <w:r w:rsidR="00757777" w:rsidRPr="00BE3DAF">
        <w:rPr>
          <w:rFonts w:ascii="Aptos" w:eastAsia="Aptos" w:hAnsi="Aptos" w:cs="Arial"/>
          <w:kern w:val="2"/>
          <w:sz w:val="16"/>
          <w:szCs w:val="28"/>
          <w14:ligatures w14:val="standardContextual"/>
        </w:rPr>
        <w:t>Country submitted are in a darker shade, non-official data in a lighter shade</w:t>
      </w:r>
      <w:r w:rsidRPr="00BE3DAF">
        <w:rPr>
          <w:rFonts w:ascii="Aptos" w:eastAsia="Aptos" w:hAnsi="Aptos" w:cs="Arial"/>
          <w:kern w:val="2"/>
          <w:sz w:val="16"/>
          <w:szCs w:val="28"/>
          <w14:ligatures w14:val="standardContextual"/>
        </w:rPr>
        <w:t>.</w:t>
      </w:r>
    </w:p>
    <w:p w14:paraId="3F01955B" w14:textId="77777777" w:rsidR="006C41B5" w:rsidRPr="00BE3DAF"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3ACB9DAC" w14:textId="4A715F88"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i/>
          <w:kern w:val="2"/>
          <w:sz w:val="22"/>
          <w:szCs w:val="22"/>
          <w14:ligatures w14:val="standardContextual"/>
        </w:rPr>
        <w:t xml:space="preserve">Gender parity in Internet use </w:t>
      </w:r>
      <w:r w:rsidR="00835CE2" w:rsidRPr="00BE3DAF">
        <w:rPr>
          <w:rFonts w:ascii="Aptos" w:eastAsia="Aptos" w:hAnsi="Aptos" w:cs="Arial"/>
          <w:b/>
          <w:bCs/>
          <w:i/>
          <w:iCs/>
          <w:kern w:val="2"/>
          <w:sz w:val="22"/>
          <w:szCs w:val="22"/>
          <w14:ligatures w14:val="standardContextual"/>
        </w:rPr>
        <w:t>is improving</w:t>
      </w:r>
      <w:r w:rsidRPr="00BE3DAF">
        <w:rPr>
          <w:rFonts w:ascii="Aptos" w:eastAsia="Aptos" w:hAnsi="Aptos" w:cs="Arial"/>
          <w:b/>
          <w:bCs/>
          <w:i/>
          <w:iCs/>
          <w:kern w:val="2"/>
          <w:sz w:val="22"/>
          <w:szCs w:val="22"/>
          <w14:ligatures w14:val="standardContextual"/>
        </w:rPr>
        <w:t xml:space="preserve"> </w:t>
      </w:r>
    </w:p>
    <w:p w14:paraId="306CB29E"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using the Internet, by gender, 2024</w:t>
      </w:r>
    </w:p>
    <w:p w14:paraId="550D16C9" w14:textId="5167DC0C" w:rsidR="006C41B5" w:rsidRPr="00BE3DAF" w:rsidRDefault="00B57F7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noProof/>
        </w:rPr>
        <w:drawing>
          <wp:inline distT="0" distB="0" distL="0" distR="0" wp14:anchorId="2351F093" wp14:editId="1BFA6295">
            <wp:extent cx="5688000" cy="2450107"/>
            <wp:effectExtent l="0" t="0" r="8255" b="7620"/>
            <wp:docPr id="16318519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1906"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688000" cy="2450107"/>
                    </a:xfrm>
                    <a:prstGeom prst="rect">
                      <a:avLst/>
                    </a:prstGeom>
                  </pic:spPr>
                </pic:pic>
              </a:graphicData>
            </a:graphic>
          </wp:inline>
        </w:drawing>
      </w:r>
    </w:p>
    <w:p w14:paraId="7230107B" w14:textId="77777777" w:rsidR="006C41B5" w:rsidRPr="00BE3DAF" w:rsidRDefault="006C41B5" w:rsidP="00EB15E6">
      <w:pPr>
        <w:pStyle w:val="Sourcetext"/>
      </w:pPr>
      <w:r w:rsidRPr="00BE3DAF">
        <w:t>Source: ITU</w:t>
      </w:r>
    </w:p>
    <w:p w14:paraId="7453D23E" w14:textId="2ED4ABC7" w:rsidR="001F300F" w:rsidRPr="00BE3DAF" w:rsidRDefault="00AC2C25" w:rsidP="00E04E9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In 2024, 6</w:t>
      </w:r>
      <w:r w:rsidR="000F6F7D" w:rsidRPr="00BE3DAF">
        <w:rPr>
          <w:rFonts w:ascii="Aptos" w:eastAsia="Aptos" w:hAnsi="Aptos" w:cs="Arial"/>
          <w:kern w:val="2"/>
          <w:sz w:val="22"/>
          <w:szCs w:val="22"/>
          <w14:ligatures w14:val="standardContextual"/>
        </w:rPr>
        <w:t>8</w:t>
      </w:r>
      <w:r w:rsidRPr="00BE3DAF">
        <w:rPr>
          <w:rFonts w:ascii="Aptos" w:eastAsia="Aptos" w:hAnsi="Aptos" w:cs="Arial"/>
          <w:kern w:val="2"/>
          <w:sz w:val="22"/>
          <w:szCs w:val="22"/>
          <w14:ligatures w14:val="standardContextual"/>
        </w:rPr>
        <w:t xml:space="preserve"> per cent of men were online in </w:t>
      </w:r>
      <w:r w:rsidR="000F6F7D" w:rsidRPr="00BE3DAF">
        <w:rPr>
          <w:rFonts w:ascii="Aptos" w:eastAsia="Aptos" w:hAnsi="Aptos" w:cs="Arial"/>
          <w:kern w:val="2"/>
          <w:sz w:val="22"/>
          <w:szCs w:val="22"/>
          <w14:ligatures w14:val="standardContextual"/>
        </w:rPr>
        <w:t>Asia and the Pacific</w:t>
      </w:r>
      <w:r w:rsidRPr="00BE3DAF">
        <w:rPr>
          <w:rFonts w:ascii="Aptos" w:eastAsia="Aptos" w:hAnsi="Aptos" w:cs="Arial"/>
          <w:kern w:val="2"/>
          <w:sz w:val="22"/>
          <w:szCs w:val="22"/>
          <w14:ligatures w14:val="standardContextual"/>
        </w:rPr>
        <w:t>, against 64 per cent of women. This converts into a gender parity score (GPS)</w:t>
      </w:r>
      <w:r w:rsidRPr="00BE3DAF">
        <w:rPr>
          <w:rFonts w:ascii="Aptos" w:eastAsia="Aptos" w:hAnsi="Aptos" w:cs="Arial"/>
          <w:kern w:val="2"/>
          <w:sz w:val="22"/>
          <w:szCs w:val="22"/>
          <w:vertAlign w:val="superscript"/>
          <w14:ligatures w14:val="standardContextual"/>
        </w:rPr>
        <w:footnoteReference w:id="5"/>
      </w:r>
      <w:r w:rsidRPr="00BE3DAF">
        <w:rPr>
          <w:rFonts w:ascii="Aptos" w:eastAsia="Aptos" w:hAnsi="Aptos" w:cs="Arial"/>
          <w:kern w:val="2"/>
          <w:sz w:val="22"/>
          <w:szCs w:val="22"/>
          <w14:ligatures w14:val="standardContextual"/>
        </w:rPr>
        <w:t xml:space="preserve"> of 0.</w:t>
      </w:r>
      <w:r w:rsidR="000F6F7D" w:rsidRPr="00BE3DAF">
        <w:rPr>
          <w:rFonts w:ascii="Aptos" w:eastAsia="Aptos" w:hAnsi="Aptos" w:cs="Arial"/>
          <w:kern w:val="2"/>
          <w:sz w:val="22"/>
          <w:szCs w:val="22"/>
          <w14:ligatures w14:val="standardContextual"/>
        </w:rPr>
        <w:t>95</w:t>
      </w:r>
      <w:r w:rsidRPr="00BE3DAF">
        <w:rPr>
          <w:rFonts w:ascii="Aptos" w:eastAsia="Aptos" w:hAnsi="Aptos" w:cs="Arial"/>
          <w:kern w:val="2"/>
          <w:sz w:val="22"/>
          <w:szCs w:val="22"/>
          <w14:ligatures w14:val="standardContextual"/>
        </w:rPr>
        <w:t xml:space="preserve">, </w:t>
      </w:r>
      <w:r w:rsidR="000F6F7D" w:rsidRPr="00BE3DAF">
        <w:rPr>
          <w:rFonts w:ascii="Aptos" w:eastAsia="Aptos" w:hAnsi="Aptos" w:cs="Arial"/>
          <w:kern w:val="2"/>
          <w:sz w:val="22"/>
          <w:szCs w:val="22"/>
          <w14:ligatures w14:val="standardContextual"/>
        </w:rPr>
        <w:t xml:space="preserve">just ahead of </w:t>
      </w:r>
      <w:r w:rsidRPr="00BE3DAF">
        <w:rPr>
          <w:rFonts w:ascii="Aptos" w:eastAsia="Aptos" w:hAnsi="Aptos" w:cs="Arial"/>
          <w:kern w:val="2"/>
          <w:sz w:val="22"/>
          <w:szCs w:val="22"/>
          <w14:ligatures w14:val="standardContextual"/>
        </w:rPr>
        <w:t>the global GPS of 0.94. Furthermore, in the last five years, the GPS has improved</w:t>
      </w:r>
      <w:r w:rsidR="00146DCB" w:rsidRPr="00BE3DAF">
        <w:rPr>
          <w:rFonts w:ascii="Aptos" w:eastAsia="Aptos" w:hAnsi="Aptos" w:cs="Arial"/>
          <w:kern w:val="2"/>
          <w:sz w:val="22"/>
          <w:szCs w:val="22"/>
          <w14:ligatures w14:val="standardContextual"/>
        </w:rPr>
        <w:t xml:space="preserve"> significantly from 0.89 to 0.95.</w:t>
      </w:r>
    </w:p>
    <w:p w14:paraId="6E575EA1" w14:textId="7E16F505" w:rsidR="0099432F" w:rsidRPr="00BE3DAF" w:rsidRDefault="000108B8"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Gender parity </w:t>
      </w:r>
      <w:r w:rsidR="00413789" w:rsidRPr="00BE3DAF">
        <w:rPr>
          <w:rFonts w:ascii="Aptos" w:eastAsia="Aptos" w:hAnsi="Aptos" w:cs="Arial"/>
          <w:kern w:val="2"/>
          <w:sz w:val="22"/>
          <w:szCs w:val="22"/>
          <w14:ligatures w14:val="standardContextual"/>
        </w:rPr>
        <w:t xml:space="preserve">is closely linked to overall development level and Internet penetration </w:t>
      </w:r>
      <w:r w:rsidR="004F2642" w:rsidRPr="00BE3DAF">
        <w:rPr>
          <w:rFonts w:ascii="Aptos" w:eastAsia="Aptos" w:hAnsi="Aptos" w:cs="Arial"/>
          <w:kern w:val="2"/>
          <w:sz w:val="22"/>
          <w:szCs w:val="22"/>
          <w14:ligatures w14:val="standardContextual"/>
        </w:rPr>
        <w:t xml:space="preserve">of a country. </w:t>
      </w:r>
      <w:r w:rsidR="00CF2BEC" w:rsidRPr="00BE3DAF">
        <w:rPr>
          <w:rFonts w:ascii="Aptos" w:eastAsia="Aptos" w:hAnsi="Aptos" w:cs="Arial"/>
          <w:kern w:val="2"/>
          <w:sz w:val="22"/>
          <w:szCs w:val="22"/>
          <w14:ligatures w14:val="standardContextual"/>
        </w:rPr>
        <w:t xml:space="preserve">The three countries with the lowest </w:t>
      </w:r>
      <w:r w:rsidR="005F1701" w:rsidRPr="00BE3DAF">
        <w:rPr>
          <w:rFonts w:ascii="Aptos" w:eastAsia="Aptos" w:hAnsi="Aptos" w:cs="Arial"/>
          <w:kern w:val="2"/>
          <w:sz w:val="22"/>
          <w:szCs w:val="22"/>
          <w14:ligatures w14:val="standardContextual"/>
        </w:rPr>
        <w:t xml:space="preserve">Internet penetration levels also have the lowest GPS. All other countries are close to, or have achieved </w:t>
      </w:r>
      <w:r w:rsidR="00B81985" w:rsidRPr="00BE3DAF">
        <w:rPr>
          <w:rFonts w:ascii="Aptos" w:eastAsia="Aptos" w:hAnsi="Aptos" w:cs="Arial"/>
          <w:kern w:val="2"/>
          <w:sz w:val="22"/>
          <w:szCs w:val="22"/>
          <w14:ligatures w14:val="standardContextual"/>
        </w:rPr>
        <w:t xml:space="preserve">gender parity, </w:t>
      </w:r>
      <w:r w:rsidR="003652FE" w:rsidRPr="00BE3DAF">
        <w:rPr>
          <w:rFonts w:ascii="Aptos" w:eastAsia="Aptos" w:hAnsi="Aptos" w:cs="Arial"/>
          <w:kern w:val="2"/>
          <w:sz w:val="22"/>
          <w:szCs w:val="22"/>
          <w14:ligatures w14:val="standardContextual"/>
        </w:rPr>
        <w:t>except for</w:t>
      </w:r>
      <w:r w:rsidR="00B81985" w:rsidRPr="00BE3DAF">
        <w:rPr>
          <w:rFonts w:ascii="Aptos" w:eastAsia="Aptos" w:hAnsi="Aptos" w:cs="Arial"/>
          <w:kern w:val="2"/>
          <w:sz w:val="22"/>
          <w:szCs w:val="22"/>
          <w14:ligatures w14:val="standardContextual"/>
        </w:rPr>
        <w:t xml:space="preserve"> the Maldives, where Internet use is heavily biased in favour of women.</w:t>
      </w:r>
    </w:p>
    <w:p w14:paraId="32F34237" w14:textId="18401AF8" w:rsidR="006C41B5" w:rsidRPr="00BE3DAF"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Percentage of individuals using the Internet, by gender, </w:t>
      </w:r>
      <w:r w:rsidR="00BC2EFF"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3940133E" w14:textId="758DD390" w:rsidR="006C41B5" w:rsidRPr="00BE3DAF" w:rsidRDefault="00B07EE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5CFA3764" wp14:editId="184BD71C">
            <wp:extent cx="6120000" cy="2840637"/>
            <wp:effectExtent l="0" t="0" r="0" b="0"/>
            <wp:docPr id="1930637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7438"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000" cy="2840637"/>
                    </a:xfrm>
                    <a:prstGeom prst="rect">
                      <a:avLst/>
                    </a:prstGeom>
                  </pic:spPr>
                </pic:pic>
              </a:graphicData>
            </a:graphic>
          </wp:inline>
        </w:drawing>
      </w:r>
    </w:p>
    <w:p w14:paraId="2B3270AE" w14:textId="77777777" w:rsidR="006C41B5" w:rsidRPr="00BE3DAF" w:rsidRDefault="006C41B5" w:rsidP="00EB15E6">
      <w:pPr>
        <w:pStyle w:val="Sourcetext"/>
      </w:pPr>
      <w:r w:rsidRPr="00BE3DAF">
        <w:t>Source: ITU</w:t>
      </w:r>
    </w:p>
    <w:p w14:paraId="5B9FDB98" w14:textId="58BC3C43" w:rsidR="00E2682D" w:rsidRPr="00BE3DAF" w:rsidRDefault="00E2682D">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p>
    <w:p w14:paraId="6374ECBA" w14:textId="77777777" w:rsidR="002607E0" w:rsidRPr="00BE3DAF" w:rsidRDefault="002607E0">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br w:type="page"/>
      </w:r>
    </w:p>
    <w:p w14:paraId="75FE5527" w14:textId="5BD3B288" w:rsidR="006C41B5" w:rsidRPr="00BE3DAF" w:rsidRDefault="00083E9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lastRenderedPageBreak/>
        <w:t xml:space="preserve">The generational gap is larger in Asia and the Pacific than globally </w:t>
      </w:r>
    </w:p>
    <w:p w14:paraId="3915A3A4"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aged between 15 and 24 years using the Internet, 2024</w:t>
      </w:r>
    </w:p>
    <w:p w14:paraId="5A76D399" w14:textId="3396BD93" w:rsidR="000018FC" w:rsidRPr="00BE3DAF" w:rsidRDefault="003D33D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noProof/>
        </w:rPr>
        <w:drawing>
          <wp:inline distT="0" distB="0" distL="0" distR="0" wp14:anchorId="0D473816" wp14:editId="47FED664">
            <wp:extent cx="6120765" cy="2665095"/>
            <wp:effectExtent l="0" t="0" r="0" b="1905"/>
            <wp:docPr id="18482225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2254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2665095"/>
                    </a:xfrm>
                    <a:prstGeom prst="rect">
                      <a:avLst/>
                    </a:prstGeom>
                  </pic:spPr>
                </pic:pic>
              </a:graphicData>
            </a:graphic>
          </wp:inline>
        </w:drawing>
      </w:r>
    </w:p>
    <w:p w14:paraId="0E33A8C4" w14:textId="731A7E93" w:rsidR="006C41B5" w:rsidRPr="00BE3DAF" w:rsidRDefault="006C41B5" w:rsidP="00EB15E6">
      <w:pPr>
        <w:pStyle w:val="Sourcetext"/>
        <w:rPr>
          <w:rFonts w:eastAsia="Aptos" w:cs="Arial"/>
        </w:rPr>
      </w:pPr>
      <w:r w:rsidRPr="00BE3DAF">
        <w:t>Source: ITU</w:t>
      </w:r>
    </w:p>
    <w:p w14:paraId="6B1C6668" w14:textId="71B113E1" w:rsidR="0079270A" w:rsidRPr="00BE3DAF" w:rsidRDefault="0079270A" w:rsidP="007927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w:t>
      </w:r>
      <w:r w:rsidR="000E07E1" w:rsidRPr="00BE3DAF">
        <w:rPr>
          <w:rFonts w:ascii="Aptos" w:eastAsia="Aptos" w:hAnsi="Aptos" w:cs="Arial"/>
          <w:kern w:val="2"/>
          <w:sz w:val="22"/>
          <w:szCs w:val="22"/>
          <w14:ligatures w14:val="standardContextual"/>
        </w:rPr>
        <w:t>Asia and the Pacific</w:t>
      </w:r>
      <w:r w:rsidRPr="00BE3DAF">
        <w:rPr>
          <w:rFonts w:ascii="Aptos" w:eastAsia="Aptos" w:hAnsi="Aptos" w:cs="Arial"/>
          <w:kern w:val="2"/>
          <w:sz w:val="22"/>
          <w:szCs w:val="22"/>
          <w14:ligatures w14:val="standardContextual"/>
        </w:rPr>
        <w:t>, 8</w:t>
      </w:r>
      <w:r w:rsidR="000E07E1" w:rsidRPr="00BE3DAF">
        <w:rPr>
          <w:rFonts w:ascii="Aptos" w:eastAsia="Aptos" w:hAnsi="Aptos" w:cs="Arial"/>
          <w:kern w:val="2"/>
          <w:sz w:val="22"/>
          <w:szCs w:val="22"/>
          <w14:ligatures w14:val="standardContextual"/>
        </w:rPr>
        <w:t>1</w:t>
      </w:r>
      <w:r w:rsidRPr="00BE3DAF">
        <w:rPr>
          <w:rFonts w:ascii="Aptos" w:eastAsia="Aptos" w:hAnsi="Aptos" w:cs="Arial"/>
          <w:kern w:val="2"/>
          <w:sz w:val="22"/>
          <w:szCs w:val="22"/>
          <w14:ligatures w14:val="standardContextual"/>
        </w:rPr>
        <w:t xml:space="preserve"> per cent of young people aged 15 to 24 used the Internet in 2024, compared to 6</w:t>
      </w:r>
      <w:r w:rsidR="000E07E1" w:rsidRPr="00BE3DAF">
        <w:rPr>
          <w:rFonts w:ascii="Aptos" w:eastAsia="Aptos" w:hAnsi="Aptos" w:cs="Arial"/>
          <w:kern w:val="2"/>
          <w:sz w:val="22"/>
          <w:szCs w:val="22"/>
          <w14:ligatures w14:val="standardContextual"/>
        </w:rPr>
        <w:t>6</w:t>
      </w:r>
      <w:r w:rsidRPr="00BE3DAF">
        <w:rPr>
          <w:rFonts w:ascii="Aptos" w:eastAsia="Aptos" w:hAnsi="Aptos" w:cs="Arial"/>
          <w:kern w:val="2"/>
          <w:sz w:val="22"/>
          <w:szCs w:val="22"/>
          <w14:ligatures w14:val="standardContextual"/>
        </w:rPr>
        <w:t xml:space="preserve"> per cent of the rest of the population. The generational gap in this region—measured as the ratio of Internet users between these two groups—</w:t>
      </w:r>
      <w:r w:rsidR="000C43EC" w:rsidRPr="00BE3DAF">
        <w:rPr>
          <w:rFonts w:ascii="Aptos" w:eastAsia="Aptos" w:hAnsi="Aptos" w:cs="Arial"/>
          <w:kern w:val="2"/>
          <w:sz w:val="22"/>
          <w:szCs w:val="22"/>
          <w14:ligatures w14:val="standardContextual"/>
        </w:rPr>
        <w:t xml:space="preserve">is higher </w:t>
      </w:r>
      <w:r w:rsidRPr="00BE3DAF">
        <w:rPr>
          <w:rFonts w:ascii="Aptos" w:eastAsia="Aptos" w:hAnsi="Aptos" w:cs="Arial"/>
          <w:kern w:val="2"/>
          <w:sz w:val="22"/>
          <w:szCs w:val="22"/>
          <w14:ligatures w14:val="standardContextual"/>
        </w:rPr>
        <w:t>than the global average</w:t>
      </w:r>
      <w:r w:rsidR="00DA45C7" w:rsidRPr="00BE3DAF">
        <w:rPr>
          <w:rFonts w:ascii="Aptos" w:eastAsia="Aptos" w:hAnsi="Aptos" w:cs="Arial"/>
          <w:kern w:val="2"/>
          <w:sz w:val="22"/>
          <w:szCs w:val="22"/>
          <w14:ligatures w14:val="standardContextual"/>
        </w:rPr>
        <w:t>. Both in the region and globally, the ration has been shrinking over the last four years.</w:t>
      </w:r>
      <w:r w:rsidRPr="00BE3DAF">
        <w:rPr>
          <w:rFonts w:ascii="Aptos" w:eastAsia="Aptos" w:hAnsi="Aptos" w:cs="Arial"/>
          <w:kern w:val="2"/>
          <w:sz w:val="22"/>
          <w:szCs w:val="22"/>
          <w14:ligatures w14:val="standardContextual"/>
        </w:rPr>
        <w:t xml:space="preserve"> </w:t>
      </w:r>
    </w:p>
    <w:p w14:paraId="1F2833F7" w14:textId="71B17C8F" w:rsidR="00726E7F" w:rsidRPr="00BE3DAF" w:rsidRDefault="002C452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In most countries for which there are data, the percentage of young people online is very high</w:t>
      </w:r>
      <w:r w:rsidR="00113461" w:rsidRPr="00BE3DAF">
        <w:rPr>
          <w:rFonts w:ascii="Aptos" w:eastAsia="Aptos" w:hAnsi="Aptos" w:cs="Arial"/>
          <w:kern w:val="2"/>
          <w:sz w:val="22"/>
          <w:szCs w:val="22"/>
          <w14:ligatures w14:val="standardContextual"/>
        </w:rPr>
        <w:t>. This stands in sharp contrast with the proportion of the elderly (thos</w:t>
      </w:r>
      <w:r w:rsidR="00B24DC9" w:rsidRPr="00BE3DAF">
        <w:rPr>
          <w:rFonts w:ascii="Aptos" w:eastAsia="Aptos" w:hAnsi="Aptos" w:cs="Arial"/>
          <w:kern w:val="2"/>
          <w:sz w:val="22"/>
          <w:szCs w:val="22"/>
          <w14:ligatures w14:val="standardContextual"/>
        </w:rPr>
        <w:t>e</w:t>
      </w:r>
      <w:r w:rsidR="00113461" w:rsidRPr="00BE3DAF">
        <w:rPr>
          <w:rFonts w:ascii="Aptos" w:eastAsia="Aptos" w:hAnsi="Aptos" w:cs="Arial"/>
          <w:kern w:val="2"/>
          <w:sz w:val="22"/>
          <w:szCs w:val="22"/>
          <w14:ligatures w14:val="standardContextual"/>
        </w:rPr>
        <w:t xml:space="preserve"> </w:t>
      </w:r>
      <w:r w:rsidR="00B24DC9" w:rsidRPr="00BE3DAF">
        <w:rPr>
          <w:rFonts w:ascii="Aptos" w:eastAsia="Aptos" w:hAnsi="Aptos" w:cs="Arial"/>
          <w:kern w:val="2"/>
          <w:sz w:val="22"/>
          <w:szCs w:val="22"/>
          <w14:ligatures w14:val="standardContextual"/>
        </w:rPr>
        <w:t xml:space="preserve">75 years and older) using the Internet, which </w:t>
      </w:r>
      <w:r w:rsidR="006B3478" w:rsidRPr="00BE3DAF">
        <w:rPr>
          <w:rFonts w:ascii="Aptos" w:eastAsia="Aptos" w:hAnsi="Aptos" w:cs="Arial"/>
          <w:kern w:val="2"/>
          <w:sz w:val="22"/>
          <w:szCs w:val="22"/>
          <w14:ligatures w14:val="standardContextual"/>
        </w:rPr>
        <w:t>is low or very low in all countries bar one.</w:t>
      </w:r>
    </w:p>
    <w:p w14:paraId="5B8CA18B" w14:textId="5D2098E9"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using the Internet by age group,</w:t>
      </w:r>
      <w:r w:rsidR="00402773" w:rsidRPr="00BE3DAF">
        <w:rPr>
          <w:rFonts w:ascii="AvenirNext LT Pro Light" w:eastAsia="Yu Gothic Light" w:hAnsi="AvenirNext LT Pro Light" w:cs="Calibri"/>
          <w:color w:val="0070C0"/>
          <w:spacing w:val="-10"/>
          <w:kern w:val="28"/>
        </w:rPr>
        <w:t xml:space="preserve"> 2023 or </w:t>
      </w:r>
      <w:r w:rsidRPr="00BE3DAF">
        <w:rPr>
          <w:rFonts w:ascii="AvenirNext LT Pro Light" w:eastAsia="Yu Gothic Light" w:hAnsi="AvenirNext LT Pro Light" w:cs="Calibri"/>
          <w:color w:val="0070C0"/>
          <w:spacing w:val="-10"/>
          <w:kern w:val="28"/>
        </w:rPr>
        <w:t>latest year available</w:t>
      </w:r>
    </w:p>
    <w:p w14:paraId="3D1E3587" w14:textId="105A1BE1" w:rsidR="006C41B5" w:rsidRPr="00BE3DAF" w:rsidRDefault="0048530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6BEC3258" wp14:editId="402A3CCB">
            <wp:extent cx="6120765" cy="3041650"/>
            <wp:effectExtent l="0" t="0" r="0" b="6350"/>
            <wp:docPr id="3680334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33459"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3041650"/>
                    </a:xfrm>
                    <a:prstGeom prst="rect">
                      <a:avLst/>
                    </a:prstGeom>
                  </pic:spPr>
                </pic:pic>
              </a:graphicData>
            </a:graphic>
          </wp:inline>
        </w:drawing>
      </w:r>
    </w:p>
    <w:p w14:paraId="31155287" w14:textId="77777777" w:rsidR="006C41B5" w:rsidRPr="00BE3DAF" w:rsidRDefault="006C41B5" w:rsidP="00EB15E6">
      <w:pPr>
        <w:pStyle w:val="Sourcetext"/>
        <w:rPr>
          <w:rFonts w:eastAsia="Aptos" w:cs="Arial"/>
        </w:rPr>
      </w:pPr>
      <w:r w:rsidRPr="00BE3DAF">
        <w:t>Source: ITU</w:t>
      </w:r>
    </w:p>
    <w:p w14:paraId="51D99826" w14:textId="77777777" w:rsidR="00A43CB7" w:rsidRPr="00BE3DAF"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br w:type="page"/>
      </w:r>
    </w:p>
    <w:p w14:paraId="5497B417" w14:textId="55BB64F5"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i/>
          <w:kern w:val="2"/>
          <w:sz w:val="22"/>
          <w:szCs w:val="22"/>
          <w14:ligatures w14:val="standardContextual"/>
        </w:rPr>
        <w:lastRenderedPageBreak/>
        <w:t xml:space="preserve">Internet use in rural areas trails behind </w:t>
      </w:r>
      <w:r w:rsidR="002728A7" w:rsidRPr="00BE3DAF">
        <w:rPr>
          <w:rFonts w:ascii="Aptos" w:eastAsia="Aptos" w:hAnsi="Aptos" w:cs="Arial"/>
          <w:b/>
          <w:i/>
          <w:kern w:val="2"/>
          <w:sz w:val="22"/>
          <w:szCs w:val="22"/>
          <w14:ligatures w14:val="standardContextual"/>
        </w:rPr>
        <w:t xml:space="preserve">that in </w:t>
      </w:r>
      <w:r w:rsidRPr="00BE3DAF">
        <w:rPr>
          <w:rFonts w:ascii="Aptos" w:eastAsia="Aptos" w:hAnsi="Aptos" w:cs="Arial"/>
          <w:b/>
          <w:i/>
          <w:kern w:val="2"/>
          <w:sz w:val="22"/>
          <w:szCs w:val="22"/>
          <w14:ligatures w14:val="standardContextual"/>
        </w:rPr>
        <w:t>urban areas</w:t>
      </w:r>
    </w:p>
    <w:p w14:paraId="5AE4C6E5"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using the Internet, by location, 2024</w:t>
      </w:r>
    </w:p>
    <w:p w14:paraId="702FC160" w14:textId="7242380D" w:rsidR="000018FC" w:rsidRPr="00BE3DAF" w:rsidRDefault="00511FD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noProof/>
        </w:rPr>
        <w:drawing>
          <wp:inline distT="0" distB="0" distL="0" distR="0" wp14:anchorId="716D509E" wp14:editId="14A3E561">
            <wp:extent cx="6120765" cy="2636520"/>
            <wp:effectExtent l="0" t="0" r="0" b="0"/>
            <wp:docPr id="14963599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5990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2636520"/>
                    </a:xfrm>
                    <a:prstGeom prst="rect">
                      <a:avLst/>
                    </a:prstGeom>
                  </pic:spPr>
                </pic:pic>
              </a:graphicData>
            </a:graphic>
          </wp:inline>
        </w:drawing>
      </w:r>
    </w:p>
    <w:p w14:paraId="15AF38A7" w14:textId="70FE8B37" w:rsidR="006C41B5" w:rsidRPr="00BE3DAF" w:rsidRDefault="006C41B5" w:rsidP="00EB15E6">
      <w:pPr>
        <w:pStyle w:val="Sourcetext"/>
        <w:rPr>
          <w:rFonts w:eastAsia="Aptos" w:cs="Arial"/>
        </w:rPr>
      </w:pPr>
      <w:r w:rsidRPr="00BE3DAF">
        <w:t>Source: ITU</w:t>
      </w:r>
    </w:p>
    <w:p w14:paraId="0195D192" w14:textId="4877D101" w:rsidR="00495D95" w:rsidRPr="00BE3DAF" w:rsidRDefault="00E71A6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Asia and the Pacific, 83 per cent of the population living in urban areas used the Internet </w:t>
      </w:r>
      <w:r w:rsidRPr="00BE3DAF" w:rsidDel="00C25ACA">
        <w:rPr>
          <w:rFonts w:ascii="Aptos" w:eastAsia="Aptos" w:hAnsi="Aptos" w:cs="Arial"/>
          <w:kern w:val="2"/>
          <w:sz w:val="22"/>
          <w:szCs w:val="22"/>
          <w14:ligatures w14:val="standardContextual"/>
        </w:rPr>
        <w:t xml:space="preserve">in </w:t>
      </w:r>
      <w:r w:rsidRPr="00BE3DAF">
        <w:rPr>
          <w:rFonts w:ascii="Aptos" w:eastAsia="Aptos" w:hAnsi="Aptos" w:cs="Arial"/>
          <w:kern w:val="2"/>
          <w:sz w:val="22"/>
          <w:szCs w:val="22"/>
          <w14:ligatures w14:val="standardContextual"/>
        </w:rPr>
        <w:t xml:space="preserve">2024, </w:t>
      </w:r>
      <w:r w:rsidR="0093111C" w:rsidRPr="00BE3DAF">
        <w:rPr>
          <w:rFonts w:ascii="Aptos" w:eastAsia="Aptos" w:hAnsi="Aptos" w:cs="Arial"/>
          <w:kern w:val="2"/>
          <w:sz w:val="22"/>
          <w:szCs w:val="22"/>
          <w14:ligatures w14:val="standardContextual"/>
        </w:rPr>
        <w:t xml:space="preserve">same as </w:t>
      </w:r>
      <w:r w:rsidRPr="00BE3DAF">
        <w:rPr>
          <w:rFonts w:ascii="Aptos" w:eastAsia="Aptos" w:hAnsi="Aptos" w:cs="Arial"/>
          <w:kern w:val="2"/>
          <w:sz w:val="22"/>
          <w:szCs w:val="22"/>
          <w14:ligatures w14:val="standardContextual"/>
        </w:rPr>
        <w:t xml:space="preserve">the global average. This starkly contrasts with the region’s rural areas, where only </w:t>
      </w:r>
      <w:r w:rsidR="008F4175" w:rsidRPr="00BE3DAF">
        <w:rPr>
          <w:rFonts w:ascii="Aptos" w:eastAsia="Aptos" w:hAnsi="Aptos" w:cs="Arial"/>
          <w:kern w:val="2"/>
          <w:sz w:val="22"/>
          <w:szCs w:val="22"/>
          <w14:ligatures w14:val="standardContextual"/>
        </w:rPr>
        <w:t xml:space="preserve">49 per cent </w:t>
      </w:r>
      <w:r w:rsidRPr="00BE3DAF">
        <w:rPr>
          <w:rFonts w:ascii="Aptos" w:eastAsia="Aptos" w:hAnsi="Aptos" w:cs="Arial"/>
          <w:kern w:val="2"/>
          <w:sz w:val="22"/>
          <w:szCs w:val="22"/>
          <w14:ligatures w14:val="standardContextual"/>
        </w:rPr>
        <w:t>of the population used the Internet; though, again, this is in line with the global average.</w:t>
      </w:r>
    </w:p>
    <w:p w14:paraId="2B29A655" w14:textId="24F24E04" w:rsidR="00AE3955" w:rsidRPr="00BE3DAF" w:rsidRDefault="00AE395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Generally, in countries with high overall Internet penetration, the urban-rural gap was much smaller than in countries with a lower Internet use percentage</w:t>
      </w:r>
    </w:p>
    <w:p w14:paraId="33D51D0A" w14:textId="0D9C510D" w:rsidR="00495D95" w:rsidRPr="00BE3DAF"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using the Internet by location, 2023 or latest year available</w:t>
      </w:r>
    </w:p>
    <w:p w14:paraId="3557F1C1" w14:textId="7466EC23" w:rsidR="00495D95" w:rsidRPr="00BE3DAF" w:rsidRDefault="00C668DB" w:rsidP="00EB15E6">
      <w:pPr>
        <w:pStyle w:val="Sourcetext"/>
      </w:pPr>
      <w:r w:rsidRPr="00BE3DAF">
        <w:rPr>
          <w:noProof/>
        </w:rPr>
        <w:drawing>
          <wp:inline distT="0" distB="0" distL="0" distR="0" wp14:anchorId="6BFADAA4" wp14:editId="2FB08DA2">
            <wp:extent cx="6120765" cy="2848610"/>
            <wp:effectExtent l="0" t="0" r="0" b="8890"/>
            <wp:docPr id="147104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853"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848610"/>
                    </a:xfrm>
                    <a:prstGeom prst="rect">
                      <a:avLst/>
                    </a:prstGeom>
                  </pic:spPr>
                </pic:pic>
              </a:graphicData>
            </a:graphic>
          </wp:inline>
        </w:drawing>
      </w:r>
      <w:r w:rsidR="00495D95" w:rsidRPr="00BE3DAF">
        <w:t>Source: ITU</w:t>
      </w:r>
    </w:p>
    <w:p w14:paraId="5B76EF6A" w14:textId="77777777" w:rsidR="00965D6C" w:rsidRPr="00BE3DAF"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E3DAF">
        <w:rPr>
          <w:rFonts w:ascii="Aptos Display" w:eastAsia="Yu Gothic Light" w:hAnsi="Aptos Display"/>
          <w:color w:val="0F4761"/>
          <w:kern w:val="2"/>
          <w:sz w:val="32"/>
          <w:szCs w:val="32"/>
          <w14:ligatures w14:val="standardContextual"/>
        </w:rPr>
        <w:br w:type="page"/>
      </w:r>
    </w:p>
    <w:p w14:paraId="3ED4AA04" w14:textId="12EE4FC5" w:rsidR="006C41B5" w:rsidRPr="00BE3DAF" w:rsidRDefault="006C41B5" w:rsidP="00172FE0">
      <w:pPr>
        <w:pStyle w:val="Section"/>
      </w:pPr>
      <w:bookmarkStart w:id="10" w:name="_Toc189658575"/>
      <w:r w:rsidRPr="00BE3DAF">
        <w:lastRenderedPageBreak/>
        <w:t>Broadband subscriptions</w:t>
      </w:r>
      <w:bookmarkEnd w:id="10"/>
    </w:p>
    <w:p w14:paraId="7F8B2E65" w14:textId="5CACCDE3" w:rsidR="006C41B5" w:rsidRPr="00BE3DAF" w:rsidRDefault="001E5B0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 xml:space="preserve">Mobile </w:t>
      </w:r>
      <w:r w:rsidR="006C41B5" w:rsidRPr="00BE3DAF">
        <w:rPr>
          <w:rFonts w:ascii="Aptos" w:eastAsia="Aptos" w:hAnsi="Aptos" w:cs="Arial"/>
          <w:b/>
          <w:i/>
          <w:kern w:val="2"/>
          <w:sz w:val="22"/>
          <w:szCs w:val="22"/>
          <w14:ligatures w14:val="standardContextual"/>
        </w:rPr>
        <w:t xml:space="preserve">broadband </w:t>
      </w:r>
      <w:r w:rsidR="00CF1D3E" w:rsidRPr="00BE3DAF">
        <w:rPr>
          <w:rFonts w:ascii="Aptos" w:eastAsia="Aptos" w:hAnsi="Aptos" w:cs="Arial"/>
          <w:b/>
          <w:i/>
          <w:kern w:val="2"/>
          <w:sz w:val="22"/>
          <w:szCs w:val="22"/>
          <w14:ligatures w14:val="standardContextual"/>
        </w:rPr>
        <w:t>important for access to the Internet in lower income countries</w:t>
      </w:r>
    </w:p>
    <w:p w14:paraId="197FDBD2" w14:textId="77777777" w:rsidR="006C41B5" w:rsidRPr="00BE3DAF"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BE3DAF" w14:paraId="017BCD1A" w14:textId="77777777" w:rsidTr="00DD6497">
        <w:tc>
          <w:tcPr>
            <w:tcW w:w="4440" w:type="dxa"/>
            <w:tcBorders>
              <w:top w:val="nil"/>
              <w:left w:val="nil"/>
              <w:bottom w:val="nil"/>
              <w:right w:val="nil"/>
            </w:tcBorders>
          </w:tcPr>
          <w:p w14:paraId="5920B5F8" w14:textId="77777777" w:rsidR="006C41B5" w:rsidRPr="00BE3DAF"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E3DAF">
              <w:rPr>
                <w:rFonts w:ascii="Aptos" w:hAnsi="Aptos"/>
                <w:b/>
                <w:sz w:val="22"/>
              </w:rPr>
              <w:t>Mobile</w:t>
            </w:r>
          </w:p>
          <w:p w14:paraId="56F1CB27" w14:textId="6BA0B5F6" w:rsidR="006C41B5" w:rsidRPr="00BE3DAF" w:rsidRDefault="009133C2"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BE3DAF">
              <w:rPr>
                <w:noProof/>
              </w:rPr>
              <w:drawing>
                <wp:inline distT="0" distB="0" distL="0" distR="0" wp14:anchorId="0F719236" wp14:editId="1302CE34">
                  <wp:extent cx="2667000" cy="2667000"/>
                  <wp:effectExtent l="0" t="0" r="0" b="0"/>
                  <wp:docPr id="4729134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13447"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7231F473" w14:textId="0B311777" w:rsidR="006C41B5" w:rsidRPr="00BE3DAF" w:rsidRDefault="006C41B5" w:rsidP="004368A8">
            <w:pPr>
              <w:tabs>
                <w:tab w:val="clear" w:pos="794"/>
                <w:tab w:val="clear" w:pos="1191"/>
                <w:tab w:val="clear" w:pos="1588"/>
                <w:tab w:val="clear" w:pos="1985"/>
              </w:tabs>
              <w:overflowPunct/>
              <w:autoSpaceDE/>
              <w:autoSpaceDN/>
              <w:adjustRightInd/>
              <w:spacing w:before="0"/>
              <w:jc w:val="center"/>
              <w:textAlignment w:val="auto"/>
              <w:rPr>
                <w:rFonts w:ascii="Aptos" w:hAnsi="Aptos"/>
                <w:sz w:val="16"/>
                <w:szCs w:val="28"/>
              </w:rPr>
            </w:pPr>
            <w:r w:rsidRPr="00BE3DAF">
              <w:rPr>
                <w:rFonts w:ascii="Aptos" w:hAnsi="Aptos"/>
                <w:b/>
                <w:sz w:val="22"/>
              </w:rPr>
              <w:t>Fixed</w:t>
            </w:r>
            <w:r w:rsidR="00DD6497" w:rsidRPr="00BE3DAF">
              <w:rPr>
                <w:noProof/>
              </w:rPr>
              <w:drawing>
                <wp:inline distT="0" distB="0" distL="0" distR="0" wp14:anchorId="1B44F4D9" wp14:editId="3F71E560">
                  <wp:extent cx="2676525" cy="2667000"/>
                  <wp:effectExtent l="0" t="0" r="9525" b="0"/>
                  <wp:docPr id="755836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694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76525" cy="2667000"/>
                          </a:xfrm>
                          <a:prstGeom prst="rect">
                            <a:avLst/>
                          </a:prstGeom>
                        </pic:spPr>
                      </pic:pic>
                    </a:graphicData>
                  </a:graphic>
                </wp:inline>
              </w:drawing>
            </w:r>
          </w:p>
        </w:tc>
      </w:tr>
    </w:tbl>
    <w:p w14:paraId="05781286" w14:textId="77777777" w:rsidR="006C41B5" w:rsidRPr="00BE3DAF" w:rsidRDefault="006C41B5" w:rsidP="00B1004A">
      <w:pPr>
        <w:pStyle w:val="Sourcetext"/>
      </w:pPr>
      <w:r w:rsidRPr="00BE3DAF">
        <w:t>Source: ITU</w:t>
      </w:r>
    </w:p>
    <w:p w14:paraId="339D35CB" w14:textId="1B09C1AC" w:rsidR="006C41B5" w:rsidRPr="00BE3DAF" w:rsidRDefault="00222AF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2024, there were </w:t>
      </w:r>
      <w:r w:rsidR="0064107C" w:rsidRPr="00BE3DAF">
        <w:rPr>
          <w:rFonts w:ascii="Aptos" w:eastAsia="Aptos" w:hAnsi="Aptos" w:cs="Arial"/>
          <w:kern w:val="2"/>
          <w:sz w:val="22"/>
          <w:szCs w:val="22"/>
          <w14:ligatures w14:val="standardContextual"/>
        </w:rPr>
        <w:t xml:space="preserve">97 mobile broadband subscriptions per 100 inhabitants in Asia and the Pacific. </w:t>
      </w:r>
      <w:r w:rsidR="002A275A" w:rsidRPr="00BE3DAF">
        <w:rPr>
          <w:rFonts w:ascii="Aptos" w:eastAsia="Aptos" w:hAnsi="Aptos" w:cs="Arial"/>
          <w:kern w:val="2"/>
          <w:sz w:val="22"/>
          <w:szCs w:val="22"/>
          <w14:ligatures w14:val="standardContextual"/>
        </w:rPr>
        <w:t xml:space="preserve">After trailing </w:t>
      </w:r>
      <w:r w:rsidR="00F43044" w:rsidRPr="00BE3DAF">
        <w:rPr>
          <w:rFonts w:ascii="Aptos" w:eastAsia="Aptos" w:hAnsi="Aptos" w:cs="Arial"/>
          <w:kern w:val="2"/>
          <w:sz w:val="22"/>
          <w:szCs w:val="22"/>
          <w14:ligatures w14:val="standardContextual"/>
        </w:rPr>
        <w:t xml:space="preserve">until 2017, the region overtook </w:t>
      </w:r>
      <w:r w:rsidR="002A275A" w:rsidRPr="00BE3DAF">
        <w:rPr>
          <w:rFonts w:ascii="Aptos" w:eastAsia="Aptos" w:hAnsi="Aptos" w:cs="Arial"/>
          <w:kern w:val="2"/>
          <w:sz w:val="22"/>
          <w:szCs w:val="22"/>
          <w14:ligatures w14:val="standardContextual"/>
        </w:rPr>
        <w:t>the global average</w:t>
      </w:r>
      <w:r w:rsidR="00033DF6" w:rsidRPr="00BE3DAF">
        <w:rPr>
          <w:rFonts w:ascii="Aptos" w:eastAsia="Aptos" w:hAnsi="Aptos" w:cs="Arial"/>
          <w:kern w:val="2"/>
          <w:sz w:val="22"/>
          <w:szCs w:val="22"/>
          <w14:ligatures w14:val="standardContextual"/>
        </w:rPr>
        <w:t xml:space="preserve"> in 2018 and is now two subscriptions per 100 inhabitants ahead. </w:t>
      </w:r>
      <w:r w:rsidR="003A73AE" w:rsidRPr="00BE3DAF">
        <w:rPr>
          <w:rFonts w:ascii="Aptos" w:eastAsia="Aptos" w:hAnsi="Aptos" w:cs="Arial"/>
          <w:kern w:val="2"/>
          <w:sz w:val="22"/>
          <w:szCs w:val="22"/>
          <w14:ligatures w14:val="standardContextual"/>
        </w:rPr>
        <w:t xml:space="preserve">Similarly </w:t>
      </w:r>
      <w:r w:rsidR="00A25D94" w:rsidRPr="00BE3DAF">
        <w:rPr>
          <w:rFonts w:ascii="Aptos" w:eastAsia="Aptos" w:hAnsi="Aptos" w:cs="Arial"/>
          <w:kern w:val="2"/>
          <w:sz w:val="22"/>
          <w:szCs w:val="22"/>
          <w14:ligatures w14:val="standardContextual"/>
        </w:rPr>
        <w:t>for</w:t>
      </w:r>
      <w:r w:rsidR="003A73AE" w:rsidRPr="00BE3DAF">
        <w:rPr>
          <w:rFonts w:ascii="Aptos" w:eastAsia="Aptos" w:hAnsi="Aptos" w:cs="Arial"/>
          <w:kern w:val="2"/>
          <w:sz w:val="22"/>
          <w:szCs w:val="22"/>
          <w14:ligatures w14:val="standardContextual"/>
        </w:rPr>
        <w:t xml:space="preserve"> fixed-broadband subscriptions, where the region overtook the world in 202</w:t>
      </w:r>
      <w:r w:rsidR="00A25D94" w:rsidRPr="00BE3DAF">
        <w:rPr>
          <w:rFonts w:ascii="Aptos" w:eastAsia="Aptos" w:hAnsi="Aptos" w:cs="Arial"/>
          <w:kern w:val="2"/>
          <w:sz w:val="22"/>
          <w:szCs w:val="22"/>
          <w14:ligatures w14:val="standardContextual"/>
        </w:rPr>
        <w:t>2 and recorded 21</w:t>
      </w:r>
      <w:r w:rsidR="005E3DE0" w:rsidRPr="00BE3DAF">
        <w:rPr>
          <w:rFonts w:ascii="Aptos" w:eastAsia="Aptos" w:hAnsi="Aptos" w:cs="Arial"/>
          <w:kern w:val="2"/>
          <w:sz w:val="22"/>
          <w:szCs w:val="22"/>
          <w14:ligatures w14:val="standardContextual"/>
        </w:rPr>
        <w:t xml:space="preserve"> subscriptions per 100 inhabitants in 2024, one more than the global average. </w:t>
      </w:r>
    </w:p>
    <w:p w14:paraId="31258503" w14:textId="3A27A2B7" w:rsidR="006C41B5" w:rsidRPr="00BE3DAF"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Active mobile-broadband subscriptions per 100 inhabitants, </w:t>
      </w:r>
      <w:r w:rsidR="00AB18FB"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4234BE10" w14:textId="29D29376" w:rsidR="002A3F35" w:rsidRPr="00BE3DAF" w:rsidRDefault="002A3F35" w:rsidP="002A3F35">
      <w:pPr>
        <w:rPr>
          <w:rFonts w:ascii="Aptos" w:eastAsiaTheme="minorHAnsi" w:hAnsi="Aptos" w:cstheme="minorBidi"/>
          <w:kern w:val="2"/>
          <w:sz w:val="16"/>
          <w:szCs w:val="28"/>
          <w14:ligatures w14:val="standardContextual"/>
        </w:rPr>
      </w:pPr>
      <w:r w:rsidRPr="00BE3DAF">
        <w:rPr>
          <w:noProof/>
        </w:rPr>
        <w:drawing>
          <wp:inline distT="0" distB="0" distL="0" distR="0" wp14:anchorId="39771D6C" wp14:editId="16E0F9D7">
            <wp:extent cx="6086475" cy="3208360"/>
            <wp:effectExtent l="0" t="0" r="0" b="0"/>
            <wp:docPr id="14411146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14646"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092171" cy="3211362"/>
                    </a:xfrm>
                    <a:prstGeom prst="rect">
                      <a:avLst/>
                    </a:prstGeom>
                  </pic:spPr>
                </pic:pic>
              </a:graphicData>
            </a:graphic>
          </wp:inline>
        </w:drawing>
      </w:r>
      <w:r w:rsidRPr="00BE3DAF">
        <w:rPr>
          <w:rFonts w:ascii="Aptos" w:eastAsiaTheme="minorHAnsi" w:hAnsi="Aptos" w:cstheme="minorBidi"/>
          <w:kern w:val="2"/>
          <w:sz w:val="16"/>
          <w:szCs w:val="28"/>
          <w14:ligatures w14:val="standardContextual"/>
        </w:rPr>
        <w:t>* Data are ITU estimates.</w:t>
      </w:r>
    </w:p>
    <w:p w14:paraId="6CCB46F1" w14:textId="7C6C3BAF" w:rsidR="006C41B5" w:rsidRPr="00BE3DAF" w:rsidRDefault="006C41B5" w:rsidP="00B1004A">
      <w:pPr>
        <w:pStyle w:val="Sourcetext"/>
      </w:pPr>
      <w:r w:rsidRPr="00BE3DAF">
        <w:t>Source: ITU</w:t>
      </w:r>
    </w:p>
    <w:p w14:paraId="01587A03" w14:textId="408FD20D" w:rsidR="00BE115F" w:rsidRPr="00BE3DAF" w:rsidRDefault="00BE115F" w:rsidP="00BE115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In most economies of the region, there is a substantial and growing level of mobile broadband subscriptions, underscoring the importance of mobile broadband as a gateway to the Internet. However, there is a significant disparity between the lowest (</w:t>
      </w:r>
      <w:r w:rsidR="00D43E60" w:rsidRPr="00BE3DAF">
        <w:rPr>
          <w:rFonts w:ascii="Aptos" w:eastAsia="Aptos" w:hAnsi="Aptos" w:cs="Arial"/>
          <w:kern w:val="2"/>
          <w:sz w:val="22"/>
          <w:szCs w:val="22"/>
          <w14:ligatures w14:val="standardContextual"/>
        </w:rPr>
        <w:t>11</w:t>
      </w:r>
      <w:r w:rsidRPr="00BE3DAF">
        <w:rPr>
          <w:rFonts w:ascii="Aptos" w:eastAsia="Aptos" w:hAnsi="Aptos" w:cs="Arial"/>
          <w:kern w:val="2"/>
          <w:sz w:val="22"/>
          <w:szCs w:val="22"/>
          <w14:ligatures w14:val="standardContextual"/>
        </w:rPr>
        <w:t xml:space="preserve"> subscriptions per 100 inhabitants) and the highest (</w:t>
      </w:r>
      <w:r w:rsidR="00D43E60" w:rsidRPr="00BE3DAF">
        <w:rPr>
          <w:rFonts w:ascii="Aptos" w:eastAsia="Aptos" w:hAnsi="Aptos" w:cs="Arial"/>
          <w:kern w:val="2"/>
          <w:sz w:val="22"/>
          <w:szCs w:val="22"/>
          <w14:ligatures w14:val="standardContextual"/>
        </w:rPr>
        <w:t>421</w:t>
      </w:r>
      <w:r w:rsidRPr="00BE3DAF">
        <w:rPr>
          <w:rFonts w:ascii="Aptos" w:eastAsia="Aptos" w:hAnsi="Aptos" w:cs="Arial"/>
          <w:kern w:val="2"/>
          <w:sz w:val="22"/>
          <w:szCs w:val="22"/>
          <w14:ligatures w14:val="standardContextual"/>
        </w:rPr>
        <w:t xml:space="preserve"> subscriptions per 100 inhabitants).</w:t>
      </w:r>
    </w:p>
    <w:p w14:paraId="26EDA848" w14:textId="4B5FB287" w:rsidR="003D3634" w:rsidRPr="00BE3DAF" w:rsidRDefault="00F66BFF"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w:t>
      </w:r>
      <w:r w:rsidR="001765D7" w:rsidRPr="00BE3DAF">
        <w:rPr>
          <w:rFonts w:ascii="Aptos" w:eastAsia="Aptos" w:hAnsi="Aptos" w:cs="Arial"/>
          <w:kern w:val="2"/>
          <w:sz w:val="22"/>
          <w:szCs w:val="22"/>
          <w14:ligatures w14:val="standardContextual"/>
        </w:rPr>
        <w:t>heterogeneity</w:t>
      </w:r>
      <w:r w:rsidRPr="00BE3DAF">
        <w:rPr>
          <w:rFonts w:ascii="Aptos" w:eastAsia="Aptos" w:hAnsi="Aptos" w:cs="Arial"/>
          <w:kern w:val="2"/>
          <w:sz w:val="22"/>
          <w:szCs w:val="22"/>
          <w14:ligatures w14:val="standardContextual"/>
        </w:rPr>
        <w:t xml:space="preserve"> of the region is </w:t>
      </w:r>
      <w:r w:rsidR="001765D7" w:rsidRPr="00BE3DAF">
        <w:rPr>
          <w:rFonts w:ascii="Aptos" w:eastAsia="Aptos" w:hAnsi="Aptos" w:cs="Arial"/>
          <w:kern w:val="2"/>
          <w:sz w:val="22"/>
          <w:szCs w:val="22"/>
          <w14:ligatures w14:val="standardContextual"/>
        </w:rPr>
        <w:t xml:space="preserve">expressed </w:t>
      </w:r>
      <w:r w:rsidR="00942051" w:rsidRPr="00BE3DAF">
        <w:rPr>
          <w:rFonts w:ascii="Aptos" w:eastAsia="Aptos" w:hAnsi="Aptos" w:cs="Arial"/>
          <w:kern w:val="2"/>
          <w:sz w:val="22"/>
          <w:szCs w:val="22"/>
          <w14:ligatures w14:val="standardContextual"/>
        </w:rPr>
        <w:t xml:space="preserve">well </w:t>
      </w:r>
      <w:r w:rsidR="001765D7" w:rsidRPr="00BE3DAF">
        <w:rPr>
          <w:rFonts w:ascii="Aptos" w:eastAsia="Aptos" w:hAnsi="Aptos" w:cs="Arial"/>
          <w:kern w:val="2"/>
          <w:sz w:val="22"/>
          <w:szCs w:val="22"/>
          <w14:ligatures w14:val="standardContextual"/>
        </w:rPr>
        <w:t xml:space="preserve">in the country-level numbers of fixed broadband subscriptions. </w:t>
      </w:r>
      <w:r w:rsidR="00942051" w:rsidRPr="00BE3DAF">
        <w:rPr>
          <w:rFonts w:ascii="Aptos" w:eastAsia="Aptos" w:hAnsi="Aptos" w:cs="Arial"/>
          <w:kern w:val="2"/>
          <w:sz w:val="22"/>
          <w:szCs w:val="22"/>
          <w14:ligatures w14:val="standardContextual"/>
        </w:rPr>
        <w:t xml:space="preserve">High income </w:t>
      </w:r>
      <w:r w:rsidR="00CC7609" w:rsidRPr="00BE3DAF">
        <w:rPr>
          <w:rFonts w:ascii="Aptos" w:eastAsia="Aptos" w:hAnsi="Aptos" w:cs="Arial"/>
          <w:kern w:val="2"/>
          <w:sz w:val="22"/>
          <w:szCs w:val="22"/>
          <w14:ligatures w14:val="standardContextual"/>
        </w:rPr>
        <w:t xml:space="preserve">economies </w:t>
      </w:r>
      <w:r w:rsidR="00942051" w:rsidRPr="00BE3DAF">
        <w:rPr>
          <w:rFonts w:ascii="Aptos" w:eastAsia="Aptos" w:hAnsi="Aptos" w:cs="Arial"/>
          <w:kern w:val="2"/>
          <w:sz w:val="22"/>
          <w:szCs w:val="22"/>
          <w14:ligatures w14:val="standardContextual"/>
        </w:rPr>
        <w:t>have high levels of fixed broadband subscriptions per 100 inhabitants</w:t>
      </w:r>
      <w:r w:rsidR="00CC7609" w:rsidRPr="00BE3DAF">
        <w:rPr>
          <w:rFonts w:ascii="Aptos" w:eastAsia="Aptos" w:hAnsi="Aptos" w:cs="Arial"/>
          <w:kern w:val="2"/>
          <w:sz w:val="22"/>
          <w:szCs w:val="22"/>
          <w14:ligatures w14:val="standardContextual"/>
        </w:rPr>
        <w:t xml:space="preserve">, while in the lower income economies these </w:t>
      </w:r>
      <w:r w:rsidR="000A5DB3" w:rsidRPr="00BE3DAF">
        <w:rPr>
          <w:rFonts w:ascii="Aptos" w:eastAsia="Aptos" w:hAnsi="Aptos" w:cs="Arial"/>
          <w:kern w:val="2"/>
          <w:sz w:val="22"/>
          <w:szCs w:val="22"/>
          <w14:ligatures w14:val="standardContextual"/>
        </w:rPr>
        <w:t>are often very low.</w:t>
      </w:r>
      <w:r w:rsidR="00A15ED4" w:rsidRPr="00BE3DAF">
        <w:rPr>
          <w:rFonts w:ascii="Aptos" w:eastAsia="Aptos" w:hAnsi="Aptos" w:cs="Arial"/>
          <w:kern w:val="2"/>
          <w:sz w:val="22"/>
          <w:szCs w:val="22"/>
          <w14:ligatures w14:val="standardContextual"/>
        </w:rPr>
        <w:t xml:space="preserve"> Furthermore, in </w:t>
      </w:r>
      <w:r w:rsidR="000B7169" w:rsidRPr="00BE3DAF">
        <w:rPr>
          <w:rFonts w:ascii="Aptos" w:eastAsia="Aptos" w:hAnsi="Aptos" w:cs="Arial"/>
          <w:kern w:val="2"/>
          <w:sz w:val="22"/>
          <w:szCs w:val="22"/>
          <w14:ligatures w14:val="standardContextual"/>
        </w:rPr>
        <w:t xml:space="preserve">the economies with high levels of fixed broadband subscriptions, almost all of these are with speeds of more than 10 Mbit per second, </w:t>
      </w:r>
      <w:r w:rsidR="00E23CC3" w:rsidRPr="00BE3DAF">
        <w:rPr>
          <w:rFonts w:ascii="Aptos" w:eastAsia="Aptos" w:hAnsi="Aptos" w:cs="Arial"/>
          <w:kern w:val="2"/>
          <w:sz w:val="22"/>
          <w:szCs w:val="22"/>
          <w14:ligatures w14:val="standardContextual"/>
        </w:rPr>
        <w:t>while this</w:t>
      </w:r>
      <w:r w:rsidR="000A381C" w:rsidRPr="00BE3DAF">
        <w:rPr>
          <w:rFonts w:ascii="Aptos" w:eastAsia="Aptos" w:hAnsi="Aptos" w:cs="Arial"/>
          <w:kern w:val="2"/>
          <w:sz w:val="22"/>
          <w:szCs w:val="22"/>
          <w14:ligatures w14:val="standardContextual"/>
        </w:rPr>
        <w:t xml:space="preserve"> </w:t>
      </w:r>
      <w:r w:rsidR="00E23CC3" w:rsidRPr="00BE3DAF">
        <w:rPr>
          <w:rFonts w:ascii="Aptos" w:eastAsia="Aptos" w:hAnsi="Aptos" w:cs="Arial"/>
          <w:kern w:val="2"/>
          <w:sz w:val="22"/>
          <w:szCs w:val="22"/>
          <w14:ligatures w14:val="standardContextual"/>
        </w:rPr>
        <w:t>is not true for the economies with low subscription levels.</w:t>
      </w:r>
    </w:p>
    <w:p w14:paraId="7BABDE7B" w14:textId="39115641"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Fixed-broadband subscriptions per 100 inhabitants, </w:t>
      </w:r>
      <w:r w:rsidR="00CB6B39"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22188AE2" w14:textId="12A6014F" w:rsidR="00E57D10" w:rsidRPr="00BE3DAF" w:rsidRDefault="002B762C" w:rsidP="00E57D10">
      <w:pPr>
        <w:rPr>
          <w:rFonts w:ascii="Aptos" w:eastAsiaTheme="minorHAnsi" w:hAnsi="Aptos" w:cstheme="minorBidi"/>
          <w:kern w:val="2"/>
          <w:sz w:val="16"/>
          <w:szCs w:val="28"/>
          <w14:ligatures w14:val="standardContextual"/>
        </w:rPr>
      </w:pPr>
      <w:r w:rsidRPr="00BE3DAF">
        <w:rPr>
          <w:noProof/>
        </w:rPr>
        <w:drawing>
          <wp:inline distT="0" distB="0" distL="0" distR="0" wp14:anchorId="561C4873" wp14:editId="4F3F68E8">
            <wp:extent cx="6120765" cy="3201670"/>
            <wp:effectExtent l="0" t="0" r="0" b="0"/>
            <wp:docPr id="15971563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6356"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120765" cy="3201670"/>
                    </a:xfrm>
                    <a:prstGeom prst="rect">
                      <a:avLst/>
                    </a:prstGeom>
                  </pic:spPr>
                </pic:pic>
              </a:graphicData>
            </a:graphic>
          </wp:inline>
        </w:drawing>
      </w:r>
      <w:r w:rsidR="00E57D10" w:rsidRPr="00BE3DAF">
        <w:rPr>
          <w:rFonts w:ascii="Aptos" w:eastAsiaTheme="minorHAnsi" w:hAnsi="Aptos" w:cstheme="minorBidi"/>
          <w:kern w:val="2"/>
          <w:sz w:val="16"/>
          <w:szCs w:val="28"/>
          <w14:ligatures w14:val="standardContextual"/>
        </w:rPr>
        <w:t>* Data are ITU estimates.</w:t>
      </w:r>
    </w:p>
    <w:p w14:paraId="3F57B3B1" w14:textId="2294CDA8" w:rsidR="006C41B5" w:rsidRPr="00BE3DAF" w:rsidRDefault="006C41B5" w:rsidP="00B1004A">
      <w:pPr>
        <w:pStyle w:val="Sourcetext"/>
      </w:pPr>
      <w:r w:rsidRPr="00BE3DAF">
        <w:t>Source: ITU</w:t>
      </w:r>
    </w:p>
    <w:p w14:paraId="57E7CA28"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7243393E" w14:textId="77777777" w:rsidR="006C41B5" w:rsidRPr="00BE3DAF" w:rsidRDefault="006C41B5" w:rsidP="00172FE0">
      <w:pPr>
        <w:pStyle w:val="Section"/>
      </w:pPr>
      <w:bookmarkStart w:id="11" w:name="_Toc189658576"/>
      <w:r w:rsidRPr="00BE3DAF">
        <w:lastRenderedPageBreak/>
        <w:t>Mobile network coverage</w:t>
      </w:r>
      <w:bookmarkEnd w:id="11"/>
    </w:p>
    <w:p w14:paraId="17F80220" w14:textId="7C54A785"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i/>
          <w:kern w:val="2"/>
          <w:sz w:val="22"/>
          <w:szCs w:val="22"/>
          <w14:ligatures w14:val="standardContextual"/>
        </w:rPr>
        <w:t xml:space="preserve">5G network roll-out is progressing </w:t>
      </w:r>
      <w:r w:rsidR="007C4E1E" w:rsidRPr="00BE3DAF">
        <w:rPr>
          <w:rFonts w:ascii="Aptos" w:eastAsia="Aptos" w:hAnsi="Aptos" w:cs="Arial"/>
          <w:b/>
          <w:bCs/>
          <w:i/>
          <w:iCs/>
          <w:kern w:val="2"/>
          <w:sz w:val="22"/>
          <w:szCs w:val="22"/>
          <w14:ligatures w14:val="standardContextual"/>
        </w:rPr>
        <w:t>well</w:t>
      </w:r>
    </w:p>
    <w:p w14:paraId="2076502E"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6C41B5" w:rsidRPr="00BE3DAF" w14:paraId="2FB8D327" w14:textId="77777777" w:rsidTr="00F36E79">
        <w:tc>
          <w:tcPr>
            <w:tcW w:w="4656" w:type="dxa"/>
          </w:tcPr>
          <w:p w14:paraId="63ECFA9C" w14:textId="490A08C2" w:rsidR="006C41B5" w:rsidRPr="00BE3DAF" w:rsidRDefault="00091171" w:rsidP="005D7CD3">
            <w:pPr>
              <w:jc w:val="center"/>
              <w:rPr>
                <w:rFonts w:ascii="Aptos" w:hAnsi="Aptos"/>
                <w:sz w:val="22"/>
              </w:rPr>
            </w:pPr>
            <w:r w:rsidRPr="00BE3DAF">
              <w:rPr>
                <w:rFonts w:ascii="Aptos" w:hAnsi="Aptos"/>
                <w:b/>
                <w:sz w:val="22"/>
              </w:rPr>
              <w:t>Asia and the Pacific</w:t>
            </w:r>
            <w:r w:rsidR="00CA436F" w:rsidRPr="00BE3DAF">
              <w:rPr>
                <w:noProof/>
              </w:rPr>
              <w:drawing>
                <wp:inline distT="0" distB="0" distL="0" distR="0" wp14:anchorId="20FEE0FB" wp14:editId="6D09C33D">
                  <wp:extent cx="2819400" cy="2743200"/>
                  <wp:effectExtent l="0" t="0" r="0" b="0"/>
                  <wp:docPr id="18372773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77395"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19400" cy="2743200"/>
                          </a:xfrm>
                          <a:prstGeom prst="rect">
                            <a:avLst/>
                          </a:prstGeom>
                        </pic:spPr>
                      </pic:pic>
                    </a:graphicData>
                  </a:graphic>
                </wp:inline>
              </w:drawing>
            </w:r>
          </w:p>
        </w:tc>
        <w:tc>
          <w:tcPr>
            <w:tcW w:w="4566" w:type="dxa"/>
          </w:tcPr>
          <w:p w14:paraId="4B986072" w14:textId="0A454F87" w:rsidR="006C41B5" w:rsidRPr="00BE3DAF" w:rsidRDefault="006C41B5" w:rsidP="005D7CD3">
            <w:pPr>
              <w:jc w:val="center"/>
              <w:rPr>
                <w:rFonts w:ascii="Aptos" w:hAnsi="Aptos"/>
                <w:sz w:val="22"/>
              </w:rPr>
            </w:pPr>
            <w:r w:rsidRPr="00BE3DAF">
              <w:rPr>
                <w:rFonts w:ascii="Aptos" w:hAnsi="Aptos"/>
                <w:b/>
                <w:sz w:val="22"/>
              </w:rPr>
              <w:t>World</w:t>
            </w:r>
            <w:r w:rsidR="00F36E79" w:rsidRPr="00BE3DAF">
              <w:rPr>
                <w:noProof/>
              </w:rPr>
              <w:drawing>
                <wp:inline distT="0" distB="0" distL="0" distR="0" wp14:anchorId="20089FCC" wp14:editId="05E71FF7">
                  <wp:extent cx="2752725" cy="2743200"/>
                  <wp:effectExtent l="0" t="0" r="9525" b="0"/>
                  <wp:docPr id="8413971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9713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52725" cy="2743200"/>
                          </a:xfrm>
                          <a:prstGeom prst="rect">
                            <a:avLst/>
                          </a:prstGeom>
                        </pic:spPr>
                      </pic:pic>
                    </a:graphicData>
                  </a:graphic>
                </wp:inline>
              </w:drawing>
            </w:r>
          </w:p>
        </w:tc>
      </w:tr>
    </w:tbl>
    <w:p w14:paraId="60893B8F" w14:textId="77777777" w:rsidR="006C41B5" w:rsidRPr="00BE3DAF" w:rsidRDefault="006C41B5" w:rsidP="00B1004A">
      <w:pPr>
        <w:pStyle w:val="notetext"/>
      </w:pPr>
      <w:r w:rsidRPr="00BE3DAF">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BE3DAF" w:rsidRDefault="006C41B5" w:rsidP="00B1004A">
      <w:pPr>
        <w:pStyle w:val="Sourcetext"/>
      </w:pPr>
      <w:r w:rsidRPr="00BE3DAF">
        <w:t>Source: ITU</w:t>
      </w:r>
    </w:p>
    <w:p w14:paraId="2CFDB4FF" w14:textId="076D1D94" w:rsidR="0019539B" w:rsidRPr="00BE3DAF" w:rsidRDefault="0019539B" w:rsidP="0019539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Between 2020 and 2024, 5G mobile network coverage in the region increased from </w:t>
      </w:r>
      <w:r w:rsidR="006971B5" w:rsidRPr="00BE3DAF">
        <w:rPr>
          <w:rFonts w:ascii="Aptos" w:eastAsia="Aptos" w:hAnsi="Aptos" w:cs="Arial"/>
          <w:kern w:val="2"/>
          <w:sz w:val="22"/>
          <w:szCs w:val="22"/>
          <w14:ligatures w14:val="standardContextual"/>
        </w:rPr>
        <w:t>3</w:t>
      </w:r>
      <w:r w:rsidRPr="00BE3DAF">
        <w:rPr>
          <w:rFonts w:ascii="Aptos" w:eastAsia="Aptos" w:hAnsi="Aptos" w:cs="Arial"/>
          <w:kern w:val="2"/>
          <w:sz w:val="22"/>
          <w:szCs w:val="22"/>
          <w14:ligatures w14:val="standardContextual"/>
        </w:rPr>
        <w:t xml:space="preserve"> to </w:t>
      </w:r>
      <w:r w:rsidR="006971B5" w:rsidRPr="00BE3DAF">
        <w:rPr>
          <w:rFonts w:ascii="Aptos" w:eastAsia="Aptos" w:hAnsi="Aptos" w:cs="Arial"/>
          <w:kern w:val="2"/>
          <w:sz w:val="22"/>
          <w:szCs w:val="22"/>
          <w14:ligatures w14:val="standardContextual"/>
        </w:rPr>
        <w:t>62</w:t>
      </w:r>
      <w:r w:rsidRPr="00BE3DAF">
        <w:rPr>
          <w:rFonts w:ascii="Aptos" w:eastAsia="Aptos" w:hAnsi="Aptos" w:cs="Arial"/>
          <w:kern w:val="2"/>
          <w:sz w:val="22"/>
          <w:szCs w:val="22"/>
          <w14:ligatures w14:val="standardContextual"/>
        </w:rPr>
        <w:t xml:space="preserve"> per cent of the population. </w:t>
      </w:r>
      <w:r w:rsidR="003E47C6" w:rsidRPr="00BE3DAF">
        <w:rPr>
          <w:rFonts w:ascii="Aptos" w:eastAsia="Aptos" w:hAnsi="Aptos" w:cs="Arial"/>
          <w:kern w:val="2"/>
          <w:sz w:val="22"/>
          <w:szCs w:val="22"/>
          <w14:ligatures w14:val="standardContextual"/>
        </w:rPr>
        <w:t xml:space="preserve">This was much faster </w:t>
      </w:r>
      <w:r w:rsidR="007A22C6" w:rsidRPr="00BE3DAF">
        <w:rPr>
          <w:rFonts w:ascii="Aptos" w:eastAsia="Aptos" w:hAnsi="Aptos" w:cs="Arial"/>
          <w:kern w:val="2"/>
          <w:sz w:val="22"/>
          <w:szCs w:val="22"/>
          <w14:ligatures w14:val="standardContextual"/>
        </w:rPr>
        <w:t>growth than</w:t>
      </w:r>
      <w:r w:rsidR="003E47C6" w:rsidRPr="00BE3DAF">
        <w:rPr>
          <w:rFonts w:ascii="Aptos" w:eastAsia="Aptos" w:hAnsi="Aptos" w:cs="Arial"/>
          <w:kern w:val="2"/>
          <w:sz w:val="22"/>
          <w:szCs w:val="22"/>
          <w14:ligatures w14:val="standardContextual"/>
        </w:rPr>
        <w:t xml:space="preserve"> </w:t>
      </w:r>
      <w:r w:rsidR="009D3174" w:rsidRPr="00BE3DAF">
        <w:rPr>
          <w:rFonts w:ascii="Aptos" w:eastAsia="Aptos" w:hAnsi="Aptos" w:cs="Arial"/>
          <w:kern w:val="2"/>
          <w:sz w:val="22"/>
          <w:szCs w:val="22"/>
          <w14:ligatures w14:val="standardContextual"/>
        </w:rPr>
        <w:t xml:space="preserve">the global </w:t>
      </w:r>
      <w:r w:rsidRPr="00BE3DAF">
        <w:rPr>
          <w:rFonts w:ascii="Aptos" w:eastAsia="Aptos" w:hAnsi="Aptos" w:cs="Arial"/>
          <w:kern w:val="2"/>
          <w:sz w:val="22"/>
          <w:szCs w:val="22"/>
          <w14:ligatures w14:val="standardContextual"/>
        </w:rPr>
        <w:t>coverage</w:t>
      </w:r>
      <w:r w:rsidR="009D3174" w:rsidRPr="00BE3DAF">
        <w:rPr>
          <w:rFonts w:ascii="Aptos" w:eastAsia="Aptos" w:hAnsi="Aptos" w:cs="Arial"/>
          <w:kern w:val="2"/>
          <w:sz w:val="22"/>
          <w:szCs w:val="22"/>
          <w14:ligatures w14:val="standardContextual"/>
        </w:rPr>
        <w:t>, which increased</w:t>
      </w:r>
      <w:r w:rsidRPr="00BE3DAF">
        <w:rPr>
          <w:rFonts w:ascii="Aptos" w:eastAsia="Aptos" w:hAnsi="Aptos" w:cs="Arial"/>
          <w:kern w:val="2"/>
          <w:sz w:val="22"/>
          <w:szCs w:val="22"/>
          <w14:ligatures w14:val="standardContextual"/>
        </w:rPr>
        <w:t xml:space="preserve"> from 9 to 51 per cent</w:t>
      </w:r>
      <w:r w:rsidR="009D3174" w:rsidRPr="00BE3DAF">
        <w:rPr>
          <w:rFonts w:ascii="Aptos" w:eastAsia="Aptos" w:hAnsi="Aptos" w:cs="Arial"/>
          <w:kern w:val="2"/>
          <w:sz w:val="22"/>
          <w:szCs w:val="22"/>
          <w14:ligatures w14:val="standardContextual"/>
        </w:rPr>
        <w:t xml:space="preserve"> over the same period</w:t>
      </w:r>
      <w:r w:rsidRPr="00BE3DAF">
        <w:rPr>
          <w:rFonts w:ascii="Aptos" w:eastAsia="Aptos" w:hAnsi="Aptos" w:cs="Arial"/>
          <w:kern w:val="2"/>
          <w:sz w:val="22"/>
          <w:szCs w:val="22"/>
          <w14:ligatures w14:val="standardContextual"/>
        </w:rPr>
        <w:t xml:space="preserve">. In the region, 4G mobile networks covered </w:t>
      </w:r>
      <w:r w:rsidR="00DC67B0" w:rsidRPr="00BE3DAF">
        <w:rPr>
          <w:rFonts w:ascii="Aptos" w:eastAsia="Aptos" w:hAnsi="Aptos" w:cs="Arial"/>
          <w:kern w:val="2"/>
          <w:sz w:val="22"/>
          <w:szCs w:val="22"/>
          <w14:ligatures w14:val="standardContextual"/>
        </w:rPr>
        <w:t>96</w:t>
      </w:r>
      <w:r w:rsidRPr="00BE3DAF">
        <w:rPr>
          <w:rFonts w:ascii="Aptos" w:eastAsia="Aptos" w:hAnsi="Aptos" w:cs="Arial"/>
          <w:kern w:val="2"/>
          <w:sz w:val="22"/>
          <w:szCs w:val="22"/>
          <w14:ligatures w14:val="standardContextual"/>
        </w:rPr>
        <w:t xml:space="preserve"> per cent of the population in 2024, </w:t>
      </w:r>
      <w:r w:rsidR="00DC67B0" w:rsidRPr="00BE3DAF">
        <w:rPr>
          <w:rFonts w:ascii="Aptos" w:eastAsia="Aptos" w:hAnsi="Aptos" w:cs="Arial"/>
          <w:kern w:val="2"/>
          <w:sz w:val="22"/>
          <w:szCs w:val="22"/>
          <w14:ligatures w14:val="standardContextual"/>
        </w:rPr>
        <w:t>also above</w:t>
      </w:r>
      <w:r w:rsidRPr="00BE3DAF">
        <w:rPr>
          <w:rFonts w:ascii="Aptos" w:eastAsia="Aptos" w:hAnsi="Aptos" w:cs="Arial"/>
          <w:kern w:val="2"/>
          <w:sz w:val="22"/>
          <w:szCs w:val="22"/>
          <w14:ligatures w14:val="standardContextual"/>
        </w:rPr>
        <w:t xml:space="preserve"> the global average of 92 per cent. Furthermore, 9</w:t>
      </w:r>
      <w:r w:rsidR="00667089" w:rsidRPr="00BE3DAF">
        <w:rPr>
          <w:rFonts w:ascii="Aptos" w:eastAsia="Aptos" w:hAnsi="Aptos" w:cs="Arial"/>
          <w:kern w:val="2"/>
          <w:sz w:val="22"/>
          <w:szCs w:val="22"/>
          <w14:ligatures w14:val="standardContextual"/>
        </w:rPr>
        <w:t>8</w:t>
      </w:r>
      <w:r w:rsidRPr="00BE3DAF">
        <w:rPr>
          <w:rFonts w:ascii="Aptos" w:eastAsia="Aptos" w:hAnsi="Aptos" w:cs="Arial"/>
          <w:kern w:val="2"/>
          <w:sz w:val="22"/>
          <w:szCs w:val="22"/>
          <w14:ligatures w14:val="standardContextual"/>
        </w:rPr>
        <w:t xml:space="preserve"> per cent of the population in </w:t>
      </w:r>
      <w:r w:rsidR="006478BC" w:rsidRPr="00BE3DAF">
        <w:rPr>
          <w:rFonts w:ascii="Aptos" w:eastAsia="Aptos" w:hAnsi="Aptos" w:cs="Arial"/>
          <w:kern w:val="2"/>
          <w:sz w:val="22"/>
          <w:szCs w:val="22"/>
          <w14:ligatures w14:val="standardContextual"/>
        </w:rPr>
        <w:t xml:space="preserve">Asia and </w:t>
      </w:r>
      <w:r w:rsidRPr="00BE3DAF">
        <w:rPr>
          <w:rFonts w:ascii="Aptos" w:eastAsia="Aptos" w:hAnsi="Aptos" w:cs="Arial"/>
          <w:kern w:val="2"/>
          <w:sz w:val="22"/>
          <w:szCs w:val="22"/>
          <w14:ligatures w14:val="standardContextual"/>
        </w:rPr>
        <w:t xml:space="preserve">the </w:t>
      </w:r>
      <w:r w:rsidR="006478BC" w:rsidRPr="00BE3DAF">
        <w:rPr>
          <w:rFonts w:ascii="Aptos" w:eastAsia="Aptos" w:hAnsi="Aptos" w:cs="Arial"/>
          <w:kern w:val="2"/>
          <w:sz w:val="22"/>
          <w:szCs w:val="22"/>
          <w14:ligatures w14:val="standardContextual"/>
        </w:rPr>
        <w:t>Pacific</w:t>
      </w:r>
      <w:r w:rsidRPr="00BE3DAF">
        <w:rPr>
          <w:rFonts w:ascii="Aptos" w:eastAsia="Aptos" w:hAnsi="Aptos" w:cs="Arial"/>
          <w:kern w:val="2"/>
          <w:sz w:val="22"/>
          <w:szCs w:val="22"/>
          <w14:ligatures w14:val="standardContextual"/>
        </w:rPr>
        <w:t xml:space="preserve"> had access to at least a 3G mobile broadband network, leaving </w:t>
      </w:r>
      <w:r w:rsidR="003214C1" w:rsidRPr="00BE3DAF">
        <w:rPr>
          <w:rFonts w:ascii="Aptos" w:eastAsia="Aptos" w:hAnsi="Aptos" w:cs="Arial"/>
          <w:kern w:val="2"/>
          <w:sz w:val="22"/>
          <w:szCs w:val="22"/>
          <w14:ligatures w14:val="standardContextual"/>
        </w:rPr>
        <w:t>only 2</w:t>
      </w:r>
      <w:r w:rsidRPr="00BE3DAF">
        <w:rPr>
          <w:rFonts w:ascii="Aptos" w:eastAsia="Aptos" w:hAnsi="Aptos" w:cs="Arial"/>
          <w:kern w:val="2"/>
          <w:sz w:val="22"/>
          <w:szCs w:val="22"/>
          <w14:ligatures w14:val="standardContextual"/>
        </w:rPr>
        <w:t xml:space="preserve"> per cent without access to a mobile broadband network and therefore without any possibility of accessing the Internet. This coverage gap was </w:t>
      </w:r>
      <w:r w:rsidR="00472AE2" w:rsidRPr="00BE3DAF">
        <w:rPr>
          <w:rFonts w:ascii="Aptos" w:eastAsia="Aptos" w:hAnsi="Aptos" w:cs="Arial"/>
          <w:kern w:val="2"/>
          <w:sz w:val="22"/>
          <w:szCs w:val="22"/>
          <w14:ligatures w14:val="standardContextual"/>
        </w:rPr>
        <w:t>two</w:t>
      </w:r>
      <w:r w:rsidRPr="00BE3DAF">
        <w:rPr>
          <w:rFonts w:ascii="Aptos" w:eastAsia="Aptos" w:hAnsi="Aptos" w:cs="Arial"/>
          <w:kern w:val="2"/>
          <w:sz w:val="22"/>
          <w:szCs w:val="22"/>
          <w14:ligatures w14:val="standardContextual"/>
        </w:rPr>
        <w:t xml:space="preserve"> percentage point</w:t>
      </w:r>
      <w:r w:rsidR="00472AE2" w:rsidRPr="00BE3DAF">
        <w:rPr>
          <w:rFonts w:ascii="Aptos" w:eastAsia="Aptos" w:hAnsi="Aptos" w:cs="Arial"/>
          <w:kern w:val="2"/>
          <w:sz w:val="22"/>
          <w:szCs w:val="22"/>
          <w14:ligatures w14:val="standardContextual"/>
        </w:rPr>
        <w:t>s</w:t>
      </w:r>
      <w:r w:rsidRPr="00BE3DAF">
        <w:rPr>
          <w:rFonts w:ascii="Aptos" w:eastAsia="Aptos" w:hAnsi="Aptos" w:cs="Arial"/>
          <w:kern w:val="2"/>
          <w:sz w:val="22"/>
          <w:szCs w:val="22"/>
          <w14:ligatures w14:val="standardContextual"/>
        </w:rPr>
        <w:t xml:space="preserve"> </w:t>
      </w:r>
      <w:r w:rsidR="00472AE2" w:rsidRPr="00BE3DAF">
        <w:rPr>
          <w:rFonts w:ascii="Aptos" w:eastAsia="Aptos" w:hAnsi="Aptos" w:cs="Arial"/>
          <w:kern w:val="2"/>
          <w:sz w:val="22"/>
          <w:szCs w:val="22"/>
          <w14:ligatures w14:val="standardContextual"/>
        </w:rPr>
        <w:t>smaller</w:t>
      </w:r>
      <w:r w:rsidRPr="00BE3DAF">
        <w:rPr>
          <w:rFonts w:ascii="Aptos" w:eastAsia="Aptos" w:hAnsi="Aptos" w:cs="Arial"/>
          <w:kern w:val="2"/>
          <w:sz w:val="22"/>
          <w:szCs w:val="22"/>
          <w14:ligatures w14:val="standardContextual"/>
        </w:rPr>
        <w:t xml:space="preserve"> than the global average.</w:t>
      </w:r>
    </w:p>
    <w:p w14:paraId="6AE468F3" w14:textId="03B0611D"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 xml:space="preserve">Percentage of population covered by type of mobile network, </w:t>
      </w:r>
      <w:r w:rsidR="008D4391"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37EE62D7" w14:textId="01DAA2FF" w:rsidR="005F5EFE" w:rsidRPr="00BE3DAF" w:rsidRDefault="004635C3" w:rsidP="00D16562">
      <w:r w:rsidRPr="00BE3DAF">
        <w:rPr>
          <w:noProof/>
        </w:rPr>
        <w:drawing>
          <wp:inline distT="0" distB="0" distL="0" distR="0" wp14:anchorId="361A9DE5" wp14:editId="3BABB607">
            <wp:extent cx="6105525" cy="3486150"/>
            <wp:effectExtent l="0" t="0" r="9525" b="0"/>
            <wp:docPr id="1278983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83105"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05525" cy="3486150"/>
                    </a:xfrm>
                    <a:prstGeom prst="rect">
                      <a:avLst/>
                    </a:prstGeom>
                  </pic:spPr>
                </pic:pic>
              </a:graphicData>
            </a:graphic>
          </wp:inline>
        </w:drawing>
      </w:r>
      <w:r w:rsidR="005F5EFE" w:rsidRPr="00BE3DAF">
        <w:rPr>
          <w:rFonts w:ascii="Aptos" w:eastAsiaTheme="minorHAnsi" w:hAnsi="Aptos" w:cstheme="minorBidi"/>
          <w:kern w:val="2"/>
          <w:sz w:val="16"/>
          <w:szCs w:val="28"/>
          <w14:ligatures w14:val="standardContextual"/>
        </w:rPr>
        <w:t>* Data are ITU estimates.</w:t>
      </w:r>
    </w:p>
    <w:p w14:paraId="2C4560B4" w14:textId="101406E6" w:rsidR="005F5EFE" w:rsidRPr="00BE3DAF" w:rsidRDefault="005F5EFE" w:rsidP="00B1004A">
      <w:pPr>
        <w:pStyle w:val="notetext"/>
      </w:pPr>
      <w:r w:rsidRPr="00BE3DAF">
        <w:t>** Data for 5G coverage are ITU estimates</w:t>
      </w:r>
      <w:r w:rsidR="00293BA9" w:rsidRPr="00BE3DAF">
        <w:t>.</w:t>
      </w:r>
    </w:p>
    <w:p w14:paraId="14C31C7C" w14:textId="740CDB48" w:rsidR="006C41B5" w:rsidRPr="00BE3DAF" w:rsidRDefault="006C41B5" w:rsidP="00B1004A">
      <w:pPr>
        <w:pStyle w:val="notetext"/>
      </w:pPr>
      <w:r w:rsidRPr="00BE3DAF">
        <w:t xml:space="preserve">Note: The values for 2G, 3G and 4G networks show the incremental percentage of the population that is not covered by a more advanced technology network (e.g. in 2023, </w:t>
      </w:r>
      <w:r w:rsidR="00CE4665" w:rsidRPr="00BE3DAF">
        <w:t>99</w:t>
      </w:r>
      <w:r w:rsidRPr="00BE3DAF">
        <w:t xml:space="preserve"> per cent of the population in </w:t>
      </w:r>
      <w:r w:rsidR="003437BC" w:rsidRPr="00BE3DAF">
        <w:t>Thailand</w:t>
      </w:r>
      <w:r w:rsidR="00AF357D" w:rsidRPr="00BE3DAF">
        <w:t xml:space="preserve"> </w:t>
      </w:r>
      <w:r w:rsidRPr="00BE3DAF">
        <w:t xml:space="preserve">is covered by at least a </w:t>
      </w:r>
      <w:r w:rsidR="00AF357D" w:rsidRPr="00BE3DAF">
        <w:t>4</w:t>
      </w:r>
      <w:r w:rsidRPr="00BE3DAF">
        <w:t xml:space="preserve">G or above network, that is </w:t>
      </w:r>
      <w:r w:rsidR="003437BC" w:rsidRPr="00BE3DAF">
        <w:t>89</w:t>
      </w:r>
      <w:r w:rsidRPr="00BE3DAF">
        <w:t xml:space="preserve"> per cent + </w:t>
      </w:r>
      <w:r w:rsidR="003437BC" w:rsidRPr="00BE3DAF">
        <w:t>10</w:t>
      </w:r>
      <w:r w:rsidRPr="00BE3DAF">
        <w:t xml:space="preserve"> per cent). </w:t>
      </w:r>
    </w:p>
    <w:p w14:paraId="1C2875B9" w14:textId="77777777" w:rsidR="006C41B5" w:rsidRPr="00BE3DAF" w:rsidRDefault="006C41B5" w:rsidP="00B1004A">
      <w:pPr>
        <w:pStyle w:val="Sourcetext"/>
      </w:pPr>
      <w:r w:rsidRPr="00BE3DAF">
        <w:t>Source: ITU</w:t>
      </w:r>
    </w:p>
    <w:p w14:paraId="6CEE4F1D" w14:textId="77777777" w:rsidR="001B49B4" w:rsidRPr="00BE3DAF" w:rsidRDefault="001B49B4" w:rsidP="001B49B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region’s diversity is evident again in the roll-out of mobile networks. In thirteen countries, more than half the population had access to a 5G network. In stark contrast 5G was not available at all in 23 out of 41 economies, where 4G remained the most advanced technology as of 2024.</w:t>
      </w:r>
    </w:p>
    <w:p w14:paraId="46F58B94" w14:textId="77777777" w:rsidR="004C2D88" w:rsidRPr="00BE3DAF" w:rsidRDefault="004C2D88">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br w:type="page"/>
      </w:r>
    </w:p>
    <w:p w14:paraId="41FF9656" w14:textId="3699D7B8"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Population coverage by type of mobile network and location, 2024</w:t>
      </w:r>
    </w:p>
    <w:p w14:paraId="4CFB12EA" w14:textId="3567C6FE" w:rsidR="00EF6D10" w:rsidRPr="00BE3DAF" w:rsidRDefault="002B65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6949D62A" wp14:editId="50A9E592">
            <wp:extent cx="5762625" cy="2743200"/>
            <wp:effectExtent l="0" t="0" r="9525" b="0"/>
            <wp:docPr id="817392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92379"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62625" cy="2743200"/>
                    </a:xfrm>
                    <a:prstGeom prst="rect">
                      <a:avLst/>
                    </a:prstGeom>
                  </pic:spPr>
                </pic:pic>
              </a:graphicData>
            </a:graphic>
          </wp:inline>
        </w:drawing>
      </w:r>
    </w:p>
    <w:p w14:paraId="05373577" w14:textId="49A4A92E" w:rsidR="006C41B5" w:rsidRPr="00BE3DAF" w:rsidRDefault="006C41B5" w:rsidP="00B1004A">
      <w:pPr>
        <w:pStyle w:val="notetext"/>
      </w:pPr>
      <w:r w:rsidRPr="00BE3DAF">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7E6F77B9" w14:textId="77777777" w:rsidR="001B49B4" w:rsidRPr="00BE3DAF" w:rsidRDefault="006C41B5" w:rsidP="009D2EAD">
      <w:pPr>
        <w:pStyle w:val="Sourcetext"/>
      </w:pPr>
      <w:r w:rsidRPr="00BE3DAF">
        <w:t>Source: ITU</w:t>
      </w:r>
    </w:p>
    <w:p w14:paraId="39C7B802" w14:textId="552DD3C3" w:rsidR="00FF784F" w:rsidRPr="00BE3DAF" w:rsidRDefault="001B49B4" w:rsidP="00166F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As with Internet use, there is a significant gap in network availability between rural and urban areas. In 2024, 5G covered 82 per cent of the </w:t>
      </w:r>
      <w:r w:rsidR="0092013F" w:rsidRPr="00BE3DAF">
        <w:rPr>
          <w:rFonts w:ascii="Aptos" w:eastAsia="Aptos" w:hAnsi="Aptos" w:cs="Arial"/>
          <w:kern w:val="2"/>
          <w:sz w:val="22"/>
          <w:szCs w:val="22"/>
          <w14:ligatures w14:val="standardContextual"/>
        </w:rPr>
        <w:t xml:space="preserve">urban </w:t>
      </w:r>
      <w:r w:rsidRPr="00BE3DAF">
        <w:rPr>
          <w:rFonts w:ascii="Aptos" w:eastAsia="Aptos" w:hAnsi="Aptos" w:cs="Arial"/>
          <w:kern w:val="2"/>
          <w:sz w:val="22"/>
          <w:szCs w:val="22"/>
          <w14:ligatures w14:val="standardContextual"/>
        </w:rPr>
        <w:t xml:space="preserve">population in Asia and the Pacific, but only 41 per cent in rural areas. The disparity also existed for 4G networks, but to a much smaller extent, with 99 per cent of the urban population covered compared with 94 per cent in rural areas. When including 3G networks, coverage reached 100 per cent in urban areas but only 95 per cent in rural regions. This means that while every urban resident had access to a mobile broadband network, 5 per cent of the rural population in </w:t>
      </w:r>
      <w:r w:rsidR="00746CB2" w:rsidRPr="00BE3DAF">
        <w:rPr>
          <w:rFonts w:ascii="Aptos" w:eastAsia="Aptos" w:hAnsi="Aptos" w:cs="Arial"/>
          <w:kern w:val="2"/>
          <w:sz w:val="22"/>
          <w:szCs w:val="22"/>
          <w14:ligatures w14:val="standardContextual"/>
        </w:rPr>
        <w:t xml:space="preserve">Asia and the Pacific </w:t>
      </w:r>
      <w:r w:rsidRPr="00BE3DAF">
        <w:rPr>
          <w:rFonts w:ascii="Aptos" w:eastAsia="Aptos" w:hAnsi="Aptos" w:cs="Arial"/>
          <w:kern w:val="2"/>
          <w:sz w:val="22"/>
          <w:szCs w:val="22"/>
          <w14:ligatures w14:val="standardContextual"/>
        </w:rPr>
        <w:t>remained off the grid, less than the global average (10 per cent).</w:t>
      </w:r>
    </w:p>
    <w:p w14:paraId="4D5D4BCD" w14:textId="64F74DC5" w:rsidR="006C41B5" w:rsidRPr="00BE3DAF" w:rsidRDefault="006C41B5" w:rsidP="00D16562">
      <w:pPr>
        <w:rPr>
          <w:rFonts w:eastAsia="Aptos" w:cs="Arial"/>
          <w:sz w:val="22"/>
          <w:szCs w:val="22"/>
        </w:rPr>
      </w:pPr>
      <w:r w:rsidRPr="00BE3DAF">
        <w:rPr>
          <w:rFonts w:eastAsia="Aptos" w:cs="Arial"/>
          <w:sz w:val="22"/>
          <w:szCs w:val="22"/>
        </w:rPr>
        <w:br w:type="page"/>
      </w:r>
    </w:p>
    <w:p w14:paraId="0F31E52C" w14:textId="77777777" w:rsidR="006C41B5" w:rsidRPr="00BE3DAF" w:rsidRDefault="006C41B5" w:rsidP="000C3666">
      <w:pPr>
        <w:pStyle w:val="Section"/>
      </w:pPr>
      <w:bookmarkStart w:id="12" w:name="_Toc189658577"/>
      <w:r w:rsidRPr="00BE3DAF">
        <w:lastRenderedPageBreak/>
        <w:t>Availability of fixed-broadband infrastructure</w:t>
      </w:r>
      <w:bookmarkEnd w:id="12"/>
    </w:p>
    <w:p w14:paraId="08317977" w14:textId="757FF6FE" w:rsidR="006C41B5" w:rsidRPr="00BE3DAF" w:rsidRDefault="00446B4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i/>
          <w:kern w:val="2"/>
          <w:sz w:val="22"/>
          <w:szCs w:val="22"/>
          <w14:ligatures w14:val="standardContextual"/>
        </w:rPr>
        <w:t xml:space="preserve">Only one quarter of the population </w:t>
      </w:r>
      <w:r w:rsidR="00E20227" w:rsidRPr="00BE3DAF">
        <w:rPr>
          <w:rFonts w:ascii="Aptos" w:eastAsia="Aptos" w:hAnsi="Aptos" w:cs="Arial"/>
          <w:b/>
          <w:i/>
          <w:kern w:val="2"/>
          <w:sz w:val="22"/>
          <w:szCs w:val="22"/>
          <w14:ligatures w14:val="standardContextual"/>
        </w:rPr>
        <w:t>live</w:t>
      </w:r>
      <w:r w:rsidRPr="00BE3DAF">
        <w:rPr>
          <w:rFonts w:ascii="Aptos" w:eastAsia="Aptos" w:hAnsi="Aptos" w:cs="Arial"/>
          <w:b/>
          <w:i/>
          <w:kern w:val="2"/>
          <w:sz w:val="22"/>
          <w:szCs w:val="22"/>
          <w14:ligatures w14:val="standardContextual"/>
        </w:rPr>
        <w:t>s</w:t>
      </w:r>
      <w:r w:rsidR="00E20227" w:rsidRPr="00BE3DAF">
        <w:rPr>
          <w:rFonts w:ascii="Aptos" w:eastAsia="Aptos" w:hAnsi="Aptos" w:cs="Arial"/>
          <w:b/>
          <w:i/>
          <w:kern w:val="2"/>
          <w:sz w:val="22"/>
          <w:szCs w:val="22"/>
          <w14:ligatures w14:val="standardContextual"/>
        </w:rPr>
        <w:t xml:space="preserve"> within 10 km of a fibre node</w:t>
      </w:r>
    </w:p>
    <w:p w14:paraId="2E0846A9" w14:textId="77777777" w:rsidR="0055455D" w:rsidRPr="00BE3DAF" w:rsidRDefault="0055455D" w:rsidP="0055455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Fixed-broadband infrastructure forms the backbone of the Internet and is a cornerstone of digital transformation efforts. As part of ongoing research at ITU, the broadband map initiative provides an overview of fixed-broadband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2ABDCEAD"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Map of transmission networks and submarine cables for </w:t>
      </w:r>
      <w:r w:rsidR="00DB473E" w:rsidRPr="00BE3DAF">
        <w:rPr>
          <w:rFonts w:ascii="AvenirNext LT Pro Light" w:eastAsia="Yu Gothic Light" w:hAnsi="AvenirNext LT Pro Light" w:cs="Calibri"/>
          <w:color w:val="0070C0"/>
          <w:spacing w:val="-10"/>
          <w:kern w:val="28"/>
        </w:rPr>
        <w:t>the</w:t>
      </w:r>
      <w:r w:rsidRPr="00BE3DAF">
        <w:rPr>
          <w:rFonts w:ascii="AvenirNext LT Pro Light" w:eastAsia="Yu Gothic Light" w:hAnsi="AvenirNext LT Pro Light" w:cs="Calibri"/>
          <w:color w:val="0070C0"/>
          <w:spacing w:val="-10"/>
          <w:kern w:val="28"/>
        </w:rPr>
        <w:t xml:space="preserve"> </w:t>
      </w:r>
      <w:r w:rsidR="00091171" w:rsidRPr="00BE3DAF">
        <w:rPr>
          <w:rFonts w:ascii="AvenirNext LT Pro Light" w:eastAsia="Yu Gothic Light" w:hAnsi="AvenirNext LT Pro Light" w:cs="Calibri"/>
          <w:color w:val="0070C0"/>
          <w:spacing w:val="-10"/>
          <w:kern w:val="28"/>
        </w:rPr>
        <w:t>Asia and the Pacific</w:t>
      </w:r>
      <w:r w:rsidRPr="00BE3DAF">
        <w:rPr>
          <w:rFonts w:ascii="AvenirNext LT Pro Light" w:eastAsia="Yu Gothic Light" w:hAnsi="AvenirNext LT Pro Light" w:cs="Calibri"/>
          <w:color w:val="0070C0"/>
          <w:spacing w:val="-10"/>
          <w:kern w:val="28"/>
        </w:rPr>
        <w:t xml:space="preserve"> region</w:t>
      </w:r>
    </w:p>
    <w:p w14:paraId="18BC9E57" w14:textId="17EBD5EA" w:rsidR="001B282C" w:rsidRPr="00BE3DAF" w:rsidRDefault="008510F8" w:rsidP="000414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noProof/>
          <w:kern w:val="2"/>
          <w:sz w:val="22"/>
          <w:szCs w:val="22"/>
          <w14:ligatures w14:val="standardContextual"/>
        </w:rPr>
        <w:drawing>
          <wp:inline distT="0" distB="0" distL="0" distR="0" wp14:anchorId="4D7A3897" wp14:editId="4B784B33">
            <wp:extent cx="6120765" cy="4585970"/>
            <wp:effectExtent l="19050" t="19050" r="13335" b="24130"/>
            <wp:docPr id="3" name="Picture 2" descr="A map of most of the Asia-Pacific region showing transmission network and submarine cables">
              <a:extLst xmlns:a="http://schemas.openxmlformats.org/drawingml/2006/main">
                <a:ext uri="{FF2B5EF4-FFF2-40B4-BE49-F238E27FC236}">
                  <a16:creationId xmlns:a16="http://schemas.microsoft.com/office/drawing/2014/main" id="{1D3B3715-8FE9-3DE6-485E-ECB29CB0D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most of the Asia-Pacific region showing transmission network and submarine cables">
                      <a:extLst>
                        <a:ext uri="{FF2B5EF4-FFF2-40B4-BE49-F238E27FC236}">
                          <a16:creationId xmlns:a16="http://schemas.microsoft.com/office/drawing/2014/main" id="{1D3B3715-8FE9-3DE6-485E-ECB29CB0DB48}"/>
                        </a:ext>
                      </a:extLst>
                    </pic:cNvPr>
                    <pic:cNvPicPr>
                      <a:picLocks noChangeAspect="1"/>
                    </pic:cNvPicPr>
                  </pic:nvPicPr>
                  <pic:blipFill>
                    <a:blip r:embed="rId55"/>
                    <a:stretch>
                      <a:fillRect/>
                    </a:stretch>
                  </pic:blipFill>
                  <pic:spPr>
                    <a:xfrm>
                      <a:off x="0" y="0"/>
                      <a:ext cx="6120765" cy="4585970"/>
                    </a:xfrm>
                    <a:prstGeom prst="rect">
                      <a:avLst/>
                    </a:prstGeom>
                    <a:ln w="12700">
                      <a:solidFill>
                        <a:srgbClr val="00B0F0"/>
                      </a:solidFill>
                    </a:ln>
                  </pic:spPr>
                </pic:pic>
              </a:graphicData>
            </a:graphic>
          </wp:inline>
        </w:drawing>
      </w:r>
    </w:p>
    <w:p w14:paraId="79B25A78" w14:textId="1398E84C" w:rsidR="00217F9C" w:rsidRPr="00BE3DAF" w:rsidRDefault="00217F9C" w:rsidP="00B1004A">
      <w:pPr>
        <w:pStyle w:val="notetext"/>
      </w:pPr>
      <w:r w:rsidRPr="00BE3DAF">
        <w:t xml:space="preserve">Note: The image reports active and planned submarine cables, and operational, planned and under-construction transmission networks (fibre-optic cable and microwave). </w:t>
      </w:r>
    </w:p>
    <w:p w14:paraId="4A459512" w14:textId="77777777" w:rsidR="00217F9C" w:rsidRPr="00BE3DAF" w:rsidRDefault="00217F9C" w:rsidP="00B1004A">
      <w:pPr>
        <w:pStyle w:val="notetext"/>
      </w:pPr>
      <w:r w:rsidRPr="00BE3DAF">
        <w:t>The designations employed and the presentation of material on the map do not imply the expression of any opinion whatsoever on the part of ITU or its secretariat concerning the legal status of the country, territory, city or area or its authorities, or concerning the delimitation of its frontiers or boundaries.</w:t>
      </w:r>
    </w:p>
    <w:p w14:paraId="6A74A788" w14:textId="3F528410" w:rsidR="00217F9C" w:rsidRPr="00D537E1" w:rsidRDefault="00217F9C" w:rsidP="00B1004A">
      <w:pPr>
        <w:pStyle w:val="Sourcetext"/>
      </w:pPr>
      <w:r w:rsidRPr="00D537E1">
        <w:t xml:space="preserve">Source: ITU, </w:t>
      </w:r>
      <w:hyperlink r:id="rId56" w:history="1">
        <w:r w:rsidRPr="00D537E1">
          <w:rPr>
            <w:color w:val="467886"/>
            <w:u w:val="single"/>
          </w:rPr>
          <w:t>https://bbmaps.itu.int/app</w:t>
        </w:r>
      </w:hyperlink>
    </w:p>
    <w:p w14:paraId="013FD559" w14:textId="2CBCDCFB" w:rsidR="00005DA8" w:rsidRPr="00BE3DAF" w:rsidRDefault="00005DA8" w:rsidP="00005DA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Proximity to an optical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future-</w:t>
      </w:r>
      <w:r w:rsidR="007F67E6">
        <w:rPr>
          <w:rFonts w:ascii="Aptos" w:eastAsia="Aptos" w:hAnsi="Aptos" w:cs="Arial"/>
          <w:kern w:val="2"/>
          <w:sz w:val="22"/>
          <w:szCs w:val="22"/>
          <w14:ligatures w14:val="standardContextual"/>
        </w:rPr>
        <w:t>ready</w:t>
      </w:r>
      <w:r w:rsidRPr="00BE3DAF">
        <w:rPr>
          <w:rFonts w:ascii="Aptos" w:eastAsia="Aptos" w:hAnsi="Aptos" w:cs="Arial"/>
          <w:kern w:val="2"/>
          <w:sz w:val="22"/>
          <w:szCs w:val="22"/>
          <w14:ligatures w14:val="standardContextual"/>
        </w:rPr>
        <w:t xml:space="preserve">. </w:t>
      </w:r>
    </w:p>
    <w:p w14:paraId="08E8693D" w14:textId="6E378F69" w:rsidR="00005DA8" w:rsidRPr="00BE3DAF" w:rsidRDefault="00005DA8" w:rsidP="00005DA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 xml:space="preserve">As of 2023, </w:t>
      </w:r>
      <w:r w:rsidR="005C2501" w:rsidRPr="00BE3DAF">
        <w:rPr>
          <w:rFonts w:ascii="Aptos" w:eastAsia="Aptos" w:hAnsi="Aptos" w:cs="Arial"/>
          <w:kern w:val="2"/>
          <w:sz w:val="22"/>
          <w:szCs w:val="22"/>
          <w14:ligatures w14:val="standardContextual"/>
        </w:rPr>
        <w:t xml:space="preserve">25 </w:t>
      </w:r>
      <w:r w:rsidRPr="00BE3DAF">
        <w:rPr>
          <w:rFonts w:ascii="Aptos" w:eastAsia="Aptos" w:hAnsi="Aptos" w:cs="Arial"/>
          <w:kern w:val="2"/>
          <w:sz w:val="22"/>
          <w:szCs w:val="22"/>
          <w14:ligatures w14:val="standardContextual"/>
        </w:rPr>
        <w:t xml:space="preserve">per cent of the population of the </w:t>
      </w:r>
      <w:r w:rsidR="00F83622" w:rsidRPr="00BE3DAF">
        <w:rPr>
          <w:rFonts w:ascii="Aptos" w:eastAsia="Aptos" w:hAnsi="Aptos" w:cs="Arial"/>
          <w:kern w:val="2"/>
          <w:sz w:val="22"/>
          <w:szCs w:val="22"/>
          <w14:ligatures w14:val="standardContextual"/>
        </w:rPr>
        <w:t>Asia and the Pacific</w:t>
      </w:r>
      <w:r w:rsidRPr="00BE3DAF">
        <w:rPr>
          <w:rFonts w:ascii="Aptos" w:eastAsia="Aptos" w:hAnsi="Aptos" w:cs="Arial"/>
          <w:kern w:val="2"/>
          <w:sz w:val="22"/>
          <w:szCs w:val="22"/>
          <w14:ligatures w14:val="standardContextual"/>
        </w:rPr>
        <w:t xml:space="preserve"> region lived within 10 km of an optical fibre node. </w:t>
      </w:r>
      <w:r w:rsidR="00340A23" w:rsidRPr="00BE3DAF">
        <w:rPr>
          <w:rFonts w:ascii="Aptos" w:eastAsia="Aptos" w:hAnsi="Aptos" w:cs="Arial"/>
          <w:kern w:val="2"/>
          <w:sz w:val="22"/>
          <w:szCs w:val="22"/>
          <w14:ligatures w14:val="standardContextual"/>
        </w:rPr>
        <w:t xml:space="preserve">More than half </w:t>
      </w:r>
      <w:r w:rsidR="00D738DA" w:rsidRPr="00BE3DAF">
        <w:rPr>
          <w:rFonts w:ascii="Aptos" w:eastAsia="Aptos" w:hAnsi="Aptos" w:cs="Arial"/>
          <w:kern w:val="2"/>
          <w:sz w:val="22"/>
          <w:szCs w:val="22"/>
          <w14:ligatures w14:val="standardContextual"/>
        </w:rPr>
        <w:t xml:space="preserve">of the population </w:t>
      </w:r>
      <w:r w:rsidRPr="00BE3DAF">
        <w:rPr>
          <w:rFonts w:ascii="Aptos" w:eastAsia="Aptos" w:hAnsi="Aptos" w:cs="Arial"/>
          <w:kern w:val="2"/>
          <w:sz w:val="22"/>
          <w:szCs w:val="22"/>
          <w14:ligatures w14:val="standardContextual"/>
        </w:rPr>
        <w:t>(</w:t>
      </w:r>
      <w:r w:rsidR="00D738DA" w:rsidRPr="00BE3DAF">
        <w:rPr>
          <w:rFonts w:ascii="Aptos" w:eastAsia="Aptos" w:hAnsi="Aptos" w:cs="Arial"/>
          <w:kern w:val="2"/>
          <w:sz w:val="22"/>
          <w:szCs w:val="22"/>
          <w14:ligatures w14:val="standardContextual"/>
        </w:rPr>
        <w:t>56</w:t>
      </w:r>
      <w:r w:rsidRPr="00BE3DAF">
        <w:rPr>
          <w:rFonts w:ascii="Aptos" w:eastAsia="Aptos" w:hAnsi="Aptos" w:cs="Arial"/>
          <w:kern w:val="2"/>
          <w:sz w:val="22"/>
          <w:szCs w:val="22"/>
          <w14:ligatures w14:val="standardContextual"/>
        </w:rPr>
        <w:t xml:space="preserve"> per cent) lived within </w:t>
      </w:r>
      <w:r w:rsidR="002C003E" w:rsidRPr="00BE3DAF">
        <w:rPr>
          <w:rFonts w:ascii="Aptos" w:eastAsia="Aptos" w:hAnsi="Aptos" w:cs="Arial"/>
          <w:kern w:val="2"/>
          <w:sz w:val="22"/>
          <w:szCs w:val="22"/>
          <w14:ligatures w14:val="standardContextual"/>
        </w:rPr>
        <w:t>2</w:t>
      </w:r>
      <w:r w:rsidRPr="00BE3DAF">
        <w:rPr>
          <w:rFonts w:ascii="Aptos" w:eastAsia="Aptos" w:hAnsi="Aptos" w:cs="Arial"/>
          <w:kern w:val="2"/>
          <w:sz w:val="22"/>
          <w:szCs w:val="22"/>
          <w14:ligatures w14:val="standardContextual"/>
        </w:rPr>
        <w:t xml:space="preserve">5 km, </w:t>
      </w:r>
      <w:r w:rsidR="00926323" w:rsidRPr="00BE3DAF" w:rsidDel="0016730C">
        <w:rPr>
          <w:rFonts w:ascii="Aptos" w:eastAsia="Aptos" w:hAnsi="Aptos" w:cs="Arial"/>
          <w:kern w:val="2"/>
          <w:sz w:val="22"/>
          <w:szCs w:val="22"/>
          <w14:ligatures w14:val="standardContextual"/>
        </w:rPr>
        <w:t>74</w:t>
      </w:r>
      <w:r w:rsidRPr="00BE3DAF" w:rsidDel="0016730C">
        <w:rPr>
          <w:rFonts w:ascii="Aptos" w:eastAsia="Aptos" w:hAnsi="Aptos" w:cs="Arial"/>
          <w:kern w:val="2"/>
          <w:sz w:val="22"/>
          <w:szCs w:val="22"/>
          <w14:ligatures w14:val="standardContextual"/>
        </w:rPr>
        <w:t xml:space="preserve"> per cent within 50 km </w:t>
      </w:r>
      <w:r w:rsidRPr="00BE3DAF">
        <w:rPr>
          <w:rFonts w:ascii="Aptos" w:eastAsia="Aptos" w:hAnsi="Aptos" w:cs="Arial"/>
          <w:kern w:val="2"/>
          <w:sz w:val="22"/>
          <w:szCs w:val="22"/>
          <w14:ligatures w14:val="standardContextual"/>
        </w:rPr>
        <w:t xml:space="preserve">and </w:t>
      </w:r>
      <w:r w:rsidR="00926323" w:rsidRPr="00BE3DAF">
        <w:rPr>
          <w:rFonts w:ascii="Aptos" w:eastAsia="Aptos" w:hAnsi="Aptos" w:cs="Arial"/>
          <w:kern w:val="2"/>
          <w:sz w:val="22"/>
          <w:szCs w:val="22"/>
          <w14:ligatures w14:val="standardContextual"/>
        </w:rPr>
        <w:t xml:space="preserve">88 per cent </w:t>
      </w:r>
      <w:r w:rsidRPr="00BE3DAF">
        <w:rPr>
          <w:rFonts w:ascii="Aptos" w:eastAsia="Aptos" w:hAnsi="Aptos" w:cs="Arial"/>
          <w:kern w:val="2"/>
          <w:sz w:val="22"/>
          <w:szCs w:val="22"/>
          <w14:ligatures w14:val="standardContextual"/>
        </w:rPr>
        <w:t>within 100 km of a node.</w:t>
      </w:r>
    </w:p>
    <w:p w14:paraId="4509CB36" w14:textId="77777777" w:rsidR="006C41B5" w:rsidRPr="00BE3DAF"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population within reach of a fibre node, 2023</w:t>
      </w:r>
    </w:p>
    <w:p w14:paraId="007FFF84" w14:textId="23C8F4E3" w:rsidR="006C41B5" w:rsidRPr="00BE3DAF" w:rsidRDefault="00562AAF" w:rsidP="00B1004A">
      <w:pPr>
        <w:pStyle w:val="notetext"/>
      </w:pPr>
      <w:r w:rsidRPr="00BE3DAF">
        <w:rPr>
          <w:noProof/>
        </w:rPr>
        <w:drawing>
          <wp:inline distT="0" distB="0" distL="0" distR="0" wp14:anchorId="6F676FF2" wp14:editId="57B27F83">
            <wp:extent cx="6120765" cy="3484245"/>
            <wp:effectExtent l="0" t="0" r="0" b="1905"/>
            <wp:docPr id="8039695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9519"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6120765" cy="3484245"/>
                    </a:xfrm>
                    <a:prstGeom prst="rect">
                      <a:avLst/>
                    </a:prstGeom>
                  </pic:spPr>
                </pic:pic>
              </a:graphicData>
            </a:graphic>
          </wp:inline>
        </w:drawing>
      </w:r>
      <w:r w:rsidR="006C41B5" w:rsidRPr="00BE3DAF">
        <w:t xml:space="preserve">Note: The percentage of population within reach of transmission networks refers to the percentage of people that are within physical reach of nodes on core terrestrial transmission networks for a given distance (see </w:t>
      </w:r>
      <w:hyperlink r:id="rId59" w:history="1">
        <w:r w:rsidR="006C41B5" w:rsidRPr="00BE3DAF">
          <w:rPr>
            <w:color w:val="467886"/>
            <w:u w:val="single"/>
          </w:rPr>
          <w:t>https://bbmaps.itu.int/indicators-bbmaps</w:t>
        </w:r>
      </w:hyperlink>
      <w:r w:rsidR="006C41B5" w:rsidRPr="00BE3DAF">
        <w:t>).</w:t>
      </w:r>
    </w:p>
    <w:p w14:paraId="497A0B8C" w14:textId="77777777" w:rsidR="006C41B5" w:rsidRPr="00BE3DAF" w:rsidRDefault="006C41B5" w:rsidP="00B1004A">
      <w:pPr>
        <w:pStyle w:val="Sourcetext"/>
      </w:pPr>
      <w:r w:rsidRPr="00BE3DAF">
        <w:t>Source: ITU</w:t>
      </w:r>
    </w:p>
    <w:p w14:paraId="6A19D439"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7BEF7641" w14:textId="25555F80" w:rsidR="006C41B5" w:rsidRPr="00BE3DAF" w:rsidRDefault="006C41B5" w:rsidP="000C3666">
      <w:pPr>
        <w:pStyle w:val="Section"/>
      </w:pPr>
      <w:bookmarkStart w:id="13" w:name="_Toc189658578"/>
      <w:r w:rsidRPr="00BE3DAF">
        <w:lastRenderedPageBreak/>
        <w:t>Internet traffic</w:t>
      </w:r>
      <w:r w:rsidR="004575FD" w:rsidRPr="00BE3DAF">
        <w:t xml:space="preserve"> and international bandwidth</w:t>
      </w:r>
      <w:bookmarkEnd w:id="13"/>
    </w:p>
    <w:p w14:paraId="2C989CDE" w14:textId="526C614C" w:rsidR="006C41B5" w:rsidRPr="00BE3DAF" w:rsidRDefault="00817C3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i/>
          <w:kern w:val="2"/>
          <w:sz w:val="22"/>
          <w:szCs w:val="22"/>
          <w14:ligatures w14:val="standardContextual"/>
        </w:rPr>
        <w:t>Mobil</w:t>
      </w:r>
      <w:r w:rsidR="00606820" w:rsidRPr="00BE3DAF">
        <w:rPr>
          <w:rFonts w:ascii="Aptos" w:eastAsia="Aptos" w:hAnsi="Aptos" w:cs="Arial"/>
          <w:b/>
          <w:i/>
          <w:kern w:val="2"/>
          <w:sz w:val="22"/>
          <w:szCs w:val="22"/>
          <w14:ligatures w14:val="standardContextual"/>
        </w:rPr>
        <w:t>e</w:t>
      </w:r>
      <w:r w:rsidR="000A6F78" w:rsidRPr="00BE3DAF">
        <w:rPr>
          <w:rFonts w:ascii="Aptos" w:eastAsia="Aptos" w:hAnsi="Aptos" w:cs="Arial"/>
          <w:b/>
          <w:i/>
          <w:kern w:val="2"/>
          <w:sz w:val="22"/>
          <w:szCs w:val="22"/>
          <w14:ligatures w14:val="standardContextual"/>
        </w:rPr>
        <w:t xml:space="preserve"> </w:t>
      </w:r>
      <w:r w:rsidR="006C41B5" w:rsidRPr="00BE3DAF">
        <w:rPr>
          <w:rFonts w:ascii="Aptos" w:eastAsia="Aptos" w:hAnsi="Aptos" w:cs="Arial"/>
          <w:b/>
          <w:i/>
          <w:kern w:val="2"/>
          <w:sz w:val="22"/>
          <w:szCs w:val="22"/>
          <w14:ligatures w14:val="standardContextual"/>
        </w:rPr>
        <w:t xml:space="preserve">Internet traffic in </w:t>
      </w:r>
      <w:r w:rsidR="00091171" w:rsidRPr="00BE3DAF">
        <w:rPr>
          <w:rFonts w:ascii="Aptos" w:eastAsia="Aptos" w:hAnsi="Aptos" w:cs="Arial"/>
          <w:b/>
          <w:i/>
          <w:kern w:val="2"/>
          <w:sz w:val="22"/>
          <w:szCs w:val="22"/>
          <w14:ligatures w14:val="standardContextual"/>
        </w:rPr>
        <w:t>Asia and the Pacific</w:t>
      </w:r>
      <w:r w:rsidR="006C41B5" w:rsidRPr="00BE3DAF">
        <w:rPr>
          <w:rFonts w:ascii="Aptos" w:eastAsia="Aptos" w:hAnsi="Aptos" w:cs="Arial"/>
          <w:b/>
          <w:i/>
          <w:kern w:val="2"/>
          <w:sz w:val="22"/>
          <w:szCs w:val="22"/>
          <w14:ligatures w14:val="standardContextual"/>
        </w:rPr>
        <w:t xml:space="preserve"> </w:t>
      </w:r>
      <w:r w:rsidR="000A6F78" w:rsidRPr="00BE3DAF">
        <w:rPr>
          <w:rFonts w:ascii="Aptos" w:eastAsia="Aptos" w:hAnsi="Aptos" w:cs="Arial"/>
          <w:b/>
          <w:i/>
          <w:kern w:val="2"/>
          <w:sz w:val="22"/>
          <w:szCs w:val="22"/>
          <w14:ligatures w14:val="standardContextual"/>
        </w:rPr>
        <w:t xml:space="preserve">above </w:t>
      </w:r>
      <w:r w:rsidR="00346C24" w:rsidRPr="00BE3DAF">
        <w:rPr>
          <w:rFonts w:ascii="Aptos" w:eastAsia="Aptos" w:hAnsi="Aptos" w:cs="Arial"/>
          <w:b/>
          <w:i/>
          <w:kern w:val="2"/>
          <w:sz w:val="22"/>
          <w:szCs w:val="22"/>
          <w14:ligatures w14:val="standardContextual"/>
        </w:rPr>
        <w:t>the global averag</w:t>
      </w:r>
      <w:r w:rsidR="00606820" w:rsidRPr="00BE3DAF">
        <w:rPr>
          <w:rFonts w:ascii="Aptos" w:eastAsia="Aptos" w:hAnsi="Aptos" w:cs="Arial"/>
          <w:b/>
          <w:i/>
          <w:kern w:val="2"/>
          <w:sz w:val="22"/>
          <w:szCs w:val="22"/>
          <w14:ligatures w14:val="standardContextual"/>
        </w:rPr>
        <w:t>e, fixed traffic below</w:t>
      </w:r>
    </w:p>
    <w:p w14:paraId="75C6B0DC"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BE3DAF" w14:paraId="0871D4BA" w14:textId="77777777" w:rsidTr="001355D7">
        <w:tc>
          <w:tcPr>
            <w:tcW w:w="4566" w:type="dxa"/>
          </w:tcPr>
          <w:p w14:paraId="44995B69" w14:textId="589AEF69" w:rsidR="006C41B5" w:rsidRPr="00BE3DAF" w:rsidRDefault="006C41B5" w:rsidP="006A0D3F">
            <w:pPr>
              <w:jc w:val="center"/>
              <w:rPr>
                <w:rFonts w:ascii="Aptos" w:hAnsi="Aptos"/>
                <w:sz w:val="22"/>
              </w:rPr>
            </w:pPr>
            <w:r w:rsidRPr="00BE3DAF">
              <w:rPr>
                <w:rFonts w:ascii="Aptos" w:hAnsi="Aptos"/>
                <w:b/>
                <w:sz w:val="22"/>
              </w:rPr>
              <w:t>Mobile</w:t>
            </w:r>
            <w:r w:rsidR="00FA0C9F" w:rsidRPr="00BE3DAF">
              <w:rPr>
                <w:noProof/>
              </w:rPr>
              <w:drawing>
                <wp:inline distT="0" distB="0" distL="0" distR="0" wp14:anchorId="4ADF6FBA" wp14:editId="78CE1194">
                  <wp:extent cx="2667000" cy="2533650"/>
                  <wp:effectExtent l="0" t="0" r="0" b="0"/>
                  <wp:docPr id="3320943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94394"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667000" cy="2533650"/>
                          </a:xfrm>
                          <a:prstGeom prst="rect">
                            <a:avLst/>
                          </a:prstGeom>
                        </pic:spPr>
                      </pic:pic>
                    </a:graphicData>
                  </a:graphic>
                </wp:inline>
              </w:drawing>
            </w:r>
          </w:p>
        </w:tc>
        <w:tc>
          <w:tcPr>
            <w:tcW w:w="4450" w:type="dxa"/>
          </w:tcPr>
          <w:p w14:paraId="2E58318E" w14:textId="00C210A7" w:rsidR="006C41B5" w:rsidRPr="00BE3DAF" w:rsidRDefault="006C41B5" w:rsidP="006A0D3F">
            <w:pPr>
              <w:jc w:val="center"/>
              <w:rPr>
                <w:rFonts w:ascii="Aptos" w:hAnsi="Aptos"/>
                <w:sz w:val="22"/>
              </w:rPr>
            </w:pPr>
            <w:r w:rsidRPr="00BE3DAF">
              <w:rPr>
                <w:rFonts w:ascii="Aptos" w:hAnsi="Aptos"/>
                <w:b/>
                <w:sz w:val="22"/>
              </w:rPr>
              <w:t>Fixed</w:t>
            </w:r>
            <w:r w:rsidR="001355D7" w:rsidRPr="00BE3DAF">
              <w:rPr>
                <w:noProof/>
              </w:rPr>
              <w:drawing>
                <wp:inline distT="0" distB="0" distL="0" distR="0" wp14:anchorId="30057730" wp14:editId="5CBA3FD5">
                  <wp:extent cx="2667000" cy="2533650"/>
                  <wp:effectExtent l="0" t="0" r="0" b="0"/>
                  <wp:docPr id="196302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2986"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667000" cy="2533650"/>
                          </a:xfrm>
                          <a:prstGeom prst="rect">
                            <a:avLst/>
                          </a:prstGeom>
                        </pic:spPr>
                      </pic:pic>
                    </a:graphicData>
                  </a:graphic>
                </wp:inline>
              </w:drawing>
            </w:r>
          </w:p>
        </w:tc>
      </w:tr>
    </w:tbl>
    <w:p w14:paraId="11FAA9A2" w14:textId="77777777" w:rsidR="006C41B5" w:rsidRPr="00BE3DAF" w:rsidRDefault="006C41B5" w:rsidP="00B1004A">
      <w:pPr>
        <w:pStyle w:val="Sourcetext"/>
      </w:pPr>
      <w:r w:rsidRPr="00BE3DAF">
        <w:t>Source: ITU</w:t>
      </w:r>
    </w:p>
    <w:p w14:paraId="720F8DAF" w14:textId="77777777" w:rsidR="002F0C0A" w:rsidRPr="00BE3DAF" w:rsidRDefault="002F0C0A" w:rsidP="002F0C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Internet traffic measures the total volume of data downloaded or uploaded by end users 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 device traffic routed over Wi-Fi when available.</w:t>
      </w:r>
    </w:p>
    <w:p w14:paraId="4C14A200" w14:textId="0B508EE6" w:rsidR="006C6AC3" w:rsidRPr="00BE3DAF" w:rsidRDefault="00AC604D" w:rsidP="00C028C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Between 2019 and 2024 monthly mobile broadband traffic in the region increased from </w:t>
      </w:r>
      <w:r w:rsidR="00A41FA4" w:rsidRPr="00BE3DAF">
        <w:rPr>
          <w:rFonts w:ascii="Aptos" w:eastAsia="Aptos" w:hAnsi="Aptos" w:cs="Arial"/>
          <w:kern w:val="2"/>
          <w:sz w:val="22"/>
          <w:szCs w:val="22"/>
          <w14:ligatures w14:val="standardContextual"/>
        </w:rPr>
        <w:t>7</w:t>
      </w:r>
      <w:r w:rsidRPr="00BE3DAF">
        <w:rPr>
          <w:rFonts w:ascii="Aptos" w:eastAsia="Aptos" w:hAnsi="Aptos" w:cs="Arial"/>
          <w:kern w:val="2"/>
          <w:sz w:val="22"/>
          <w:szCs w:val="22"/>
          <w14:ligatures w14:val="standardContextual"/>
        </w:rPr>
        <w:t xml:space="preserve"> to 1</w:t>
      </w:r>
      <w:r w:rsidR="00A41FA4" w:rsidRPr="00BE3DAF">
        <w:rPr>
          <w:rFonts w:ascii="Aptos" w:eastAsia="Aptos" w:hAnsi="Aptos" w:cs="Arial"/>
          <w:kern w:val="2"/>
          <w:sz w:val="22"/>
          <w:szCs w:val="22"/>
          <w14:ligatures w14:val="standardContextual"/>
        </w:rPr>
        <w:t>5</w:t>
      </w:r>
      <w:r w:rsidRPr="00BE3DAF">
        <w:rPr>
          <w:rFonts w:ascii="Aptos" w:eastAsia="Aptos" w:hAnsi="Aptos" w:cs="Arial"/>
          <w:kern w:val="2"/>
          <w:sz w:val="22"/>
          <w:szCs w:val="22"/>
          <w14:ligatures w14:val="standardContextual"/>
        </w:rPr>
        <w:t xml:space="preserve"> gigabytes (GB) per mobile broadband subscription</w:t>
      </w:r>
      <w:r w:rsidR="0058634D" w:rsidRPr="00BE3DAF">
        <w:rPr>
          <w:rFonts w:ascii="Aptos" w:eastAsia="Aptos" w:hAnsi="Aptos" w:cs="Arial"/>
          <w:kern w:val="2"/>
          <w:sz w:val="22"/>
          <w:szCs w:val="22"/>
          <w14:ligatures w14:val="standardContextual"/>
        </w:rPr>
        <w:t xml:space="preserve">, during which time global traffic increased from </w:t>
      </w:r>
      <w:r w:rsidR="00745827" w:rsidRPr="00BE3DAF">
        <w:rPr>
          <w:rFonts w:ascii="Aptos" w:eastAsia="Aptos" w:hAnsi="Aptos" w:cs="Arial"/>
          <w:kern w:val="2"/>
          <w:sz w:val="22"/>
          <w:szCs w:val="22"/>
          <w14:ligatures w14:val="standardContextual"/>
        </w:rPr>
        <w:t>6 to 14 GB</w:t>
      </w:r>
      <w:r w:rsidR="00DE0AA9" w:rsidRPr="00BE3DAF">
        <w:rPr>
          <w:rFonts w:ascii="Aptos" w:eastAsia="Aptos" w:hAnsi="Aptos" w:cs="Arial"/>
          <w:kern w:val="2"/>
          <w:sz w:val="22"/>
          <w:szCs w:val="22"/>
          <w14:ligatures w14:val="standardContextual"/>
        </w:rPr>
        <w:t xml:space="preserve"> per mobile broadband subscription</w:t>
      </w:r>
      <w:r w:rsidR="002553CD" w:rsidRPr="00BE3DAF">
        <w:rPr>
          <w:rFonts w:ascii="Aptos" w:eastAsia="Aptos" w:hAnsi="Aptos" w:cs="Arial"/>
          <w:kern w:val="2"/>
          <w:sz w:val="22"/>
          <w:szCs w:val="22"/>
          <w14:ligatures w14:val="standardContextual"/>
        </w:rPr>
        <w:t>.</w:t>
      </w:r>
      <w:r w:rsidR="001967C1" w:rsidRPr="00BE3DAF">
        <w:rPr>
          <w:rFonts w:ascii="Aptos" w:eastAsia="Aptos" w:hAnsi="Aptos" w:cs="Arial"/>
          <w:kern w:val="2"/>
          <w:sz w:val="22"/>
          <w:szCs w:val="22"/>
          <w14:ligatures w14:val="standardContextual"/>
        </w:rPr>
        <w:t xml:space="preserve"> </w:t>
      </w:r>
      <w:r w:rsidR="008D67D8" w:rsidRPr="00BE3DAF">
        <w:rPr>
          <w:rFonts w:ascii="Aptos" w:eastAsia="Aptos" w:hAnsi="Aptos" w:cs="Arial"/>
          <w:kern w:val="2"/>
          <w:sz w:val="22"/>
          <w:szCs w:val="22"/>
          <w14:ligatures w14:val="standardContextual"/>
        </w:rPr>
        <w:t>The situation was reversed for f</w:t>
      </w:r>
      <w:r w:rsidR="001967C1" w:rsidRPr="00BE3DAF">
        <w:rPr>
          <w:rFonts w:ascii="Aptos" w:eastAsia="Aptos" w:hAnsi="Aptos" w:cs="Arial"/>
          <w:kern w:val="2"/>
          <w:sz w:val="22"/>
          <w:szCs w:val="22"/>
          <w14:ligatures w14:val="standardContextual"/>
        </w:rPr>
        <w:t>ixed broadband traffic</w:t>
      </w:r>
      <w:r w:rsidR="008D67D8" w:rsidRPr="00BE3DAF">
        <w:rPr>
          <w:rFonts w:ascii="Aptos" w:eastAsia="Aptos" w:hAnsi="Aptos" w:cs="Arial"/>
          <w:kern w:val="2"/>
          <w:sz w:val="22"/>
          <w:szCs w:val="22"/>
          <w14:ligatures w14:val="standardContextual"/>
        </w:rPr>
        <w:t xml:space="preserve">, which </w:t>
      </w:r>
      <w:r w:rsidR="00F63EB1" w:rsidRPr="00BE3DAF">
        <w:rPr>
          <w:rFonts w:ascii="Aptos" w:eastAsia="Aptos" w:hAnsi="Aptos" w:cs="Arial"/>
          <w:kern w:val="2"/>
          <w:sz w:val="22"/>
          <w:szCs w:val="22"/>
          <w14:ligatures w14:val="standardContextual"/>
        </w:rPr>
        <w:t>in Asia and the Pacific</w:t>
      </w:r>
      <w:r w:rsidR="00BE15EC" w:rsidRPr="00BE3DAF">
        <w:rPr>
          <w:rFonts w:ascii="Aptos" w:eastAsia="Aptos" w:hAnsi="Aptos" w:cs="Arial"/>
          <w:kern w:val="2"/>
          <w:sz w:val="22"/>
          <w:szCs w:val="22"/>
          <w14:ligatures w14:val="standardContextual"/>
        </w:rPr>
        <w:t xml:space="preserve"> </w:t>
      </w:r>
      <w:r w:rsidR="006C6AC3" w:rsidRPr="00BE3DAF">
        <w:rPr>
          <w:rFonts w:ascii="Aptos" w:eastAsia="Aptos" w:hAnsi="Aptos" w:cs="Arial"/>
          <w:kern w:val="2"/>
          <w:sz w:val="22"/>
          <w:szCs w:val="22"/>
          <w14:ligatures w14:val="standardContextual"/>
        </w:rPr>
        <w:t>increased from a monthly</w:t>
      </w:r>
      <w:r w:rsidR="00BE15EC" w:rsidRPr="00BE3DAF">
        <w:rPr>
          <w:rFonts w:ascii="Aptos" w:eastAsia="Aptos" w:hAnsi="Aptos" w:cs="Arial"/>
          <w:kern w:val="2"/>
          <w:sz w:val="22"/>
          <w:szCs w:val="22"/>
          <w14:ligatures w14:val="standardContextual"/>
        </w:rPr>
        <w:t xml:space="preserve"> </w:t>
      </w:r>
      <w:r w:rsidR="00251972" w:rsidRPr="00BE3DAF">
        <w:rPr>
          <w:rFonts w:ascii="Aptos" w:eastAsia="Aptos" w:hAnsi="Aptos" w:cs="Arial"/>
          <w:kern w:val="2"/>
          <w:sz w:val="22"/>
          <w:szCs w:val="22"/>
          <w14:ligatures w14:val="standardContextual"/>
        </w:rPr>
        <w:t>1</w:t>
      </w:r>
      <w:r w:rsidR="0019257A" w:rsidRPr="00BE3DAF">
        <w:rPr>
          <w:rFonts w:ascii="Aptos" w:eastAsia="Aptos" w:hAnsi="Aptos" w:cs="Arial"/>
          <w:kern w:val="2"/>
          <w:sz w:val="22"/>
          <w:szCs w:val="22"/>
          <w14:ligatures w14:val="standardContextual"/>
        </w:rPr>
        <w:t>1</w:t>
      </w:r>
      <w:r w:rsidR="00251972" w:rsidRPr="00BE3DAF">
        <w:rPr>
          <w:rFonts w:ascii="Aptos" w:eastAsia="Aptos" w:hAnsi="Aptos" w:cs="Arial"/>
          <w:kern w:val="2"/>
          <w:sz w:val="22"/>
          <w:szCs w:val="22"/>
          <w14:ligatures w14:val="standardContextual"/>
        </w:rPr>
        <w:t xml:space="preserve">7 </w:t>
      </w:r>
      <w:r w:rsidR="005A2E36" w:rsidRPr="00BE3DAF">
        <w:rPr>
          <w:rFonts w:ascii="Aptos" w:eastAsia="Aptos" w:hAnsi="Aptos" w:cs="Arial"/>
          <w:kern w:val="2"/>
          <w:sz w:val="22"/>
          <w:szCs w:val="22"/>
          <w14:ligatures w14:val="standardContextual"/>
        </w:rPr>
        <w:t xml:space="preserve">GB </w:t>
      </w:r>
      <w:r w:rsidR="00251972" w:rsidRPr="00BE3DAF">
        <w:rPr>
          <w:rFonts w:ascii="Aptos" w:eastAsia="Aptos" w:hAnsi="Aptos" w:cs="Arial"/>
          <w:kern w:val="2"/>
          <w:sz w:val="22"/>
          <w:szCs w:val="22"/>
          <w14:ligatures w14:val="standardContextual"/>
        </w:rPr>
        <w:t>to 27</w:t>
      </w:r>
      <w:r w:rsidR="0019257A" w:rsidRPr="00BE3DAF">
        <w:rPr>
          <w:rFonts w:ascii="Aptos" w:eastAsia="Aptos" w:hAnsi="Aptos" w:cs="Arial"/>
          <w:kern w:val="2"/>
          <w:sz w:val="22"/>
          <w:szCs w:val="22"/>
          <w14:ligatures w14:val="standardContextual"/>
        </w:rPr>
        <w:t>1</w:t>
      </w:r>
      <w:r w:rsidR="004B3E0A" w:rsidRPr="00BE3DAF">
        <w:rPr>
          <w:rFonts w:ascii="Aptos" w:eastAsia="Aptos" w:hAnsi="Aptos" w:cs="Arial"/>
          <w:kern w:val="2"/>
          <w:sz w:val="22"/>
          <w:szCs w:val="22"/>
          <w14:ligatures w14:val="standardContextual"/>
        </w:rPr>
        <w:t xml:space="preserve"> </w:t>
      </w:r>
      <w:r w:rsidR="006C6AC3" w:rsidRPr="00BE3DAF">
        <w:rPr>
          <w:rFonts w:ascii="Aptos" w:eastAsia="Aptos" w:hAnsi="Aptos" w:cs="Arial"/>
          <w:kern w:val="2"/>
          <w:sz w:val="22"/>
          <w:szCs w:val="22"/>
          <w14:ligatures w14:val="standardContextual"/>
        </w:rPr>
        <w:t>GB per subscription, while globally it increased from 141 to 311 GB.</w:t>
      </w:r>
    </w:p>
    <w:p w14:paraId="14001702" w14:textId="7BCD029A"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 xml:space="preserve">Mobile-broadband Internet traffic (GB) per subscription per month, </w:t>
      </w:r>
      <w:r w:rsidR="008D4391"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4D5BAEB9" w14:textId="573FEF64" w:rsidR="006C41B5" w:rsidRPr="00BE3DAF" w:rsidRDefault="009D36FC" w:rsidP="00B1004A">
      <w:pPr>
        <w:pStyle w:val="notetext"/>
      </w:pPr>
      <w:r w:rsidRPr="00BE3DAF">
        <w:rPr>
          <w:noProof/>
        </w:rPr>
        <w:drawing>
          <wp:inline distT="0" distB="0" distL="0" distR="0" wp14:anchorId="4ACFAFD6" wp14:editId="0A2925B2">
            <wp:extent cx="6120765" cy="2729865"/>
            <wp:effectExtent l="0" t="0" r="0" b="0"/>
            <wp:docPr id="3928761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6100"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6120765" cy="2729865"/>
                    </a:xfrm>
                    <a:prstGeom prst="rect">
                      <a:avLst/>
                    </a:prstGeom>
                  </pic:spPr>
                </pic:pic>
              </a:graphicData>
            </a:graphic>
          </wp:inline>
        </w:drawing>
      </w:r>
      <w:r w:rsidR="006C41B5" w:rsidRPr="00BE3DAF">
        <w:t xml:space="preserve">Note: Internet traffic originating within country. </w:t>
      </w:r>
    </w:p>
    <w:p w14:paraId="514ACA52" w14:textId="77777777" w:rsidR="006C41B5" w:rsidRPr="00BE3DAF" w:rsidRDefault="006C41B5" w:rsidP="00B1004A">
      <w:pPr>
        <w:pStyle w:val="Sourcetext"/>
      </w:pPr>
      <w:r w:rsidRPr="00BE3DAF">
        <w:t>Source: ITU</w:t>
      </w:r>
    </w:p>
    <w:p w14:paraId="3129AB88" w14:textId="7C77E784" w:rsidR="007D510C" w:rsidRPr="00BE3DAF" w:rsidRDefault="009170C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region also </w:t>
      </w:r>
      <w:r w:rsidR="00985F8C" w:rsidRPr="00BE3DAF">
        <w:rPr>
          <w:rFonts w:ascii="Aptos" w:eastAsia="Aptos" w:hAnsi="Aptos" w:cs="Arial"/>
          <w:kern w:val="2"/>
          <w:sz w:val="22"/>
          <w:szCs w:val="22"/>
          <w14:ligatures w14:val="standardContextual"/>
        </w:rPr>
        <w:t xml:space="preserve">exhibits a large variety when it comes to traffic indicators. Mobile broadband traffic ranged from </w:t>
      </w:r>
      <w:r w:rsidR="008A5C4C" w:rsidRPr="00BE3DAF">
        <w:rPr>
          <w:rFonts w:ascii="Aptos" w:eastAsia="Aptos" w:hAnsi="Aptos" w:cs="Arial"/>
          <w:kern w:val="2"/>
          <w:sz w:val="22"/>
          <w:szCs w:val="22"/>
          <w14:ligatures w14:val="standardContextual"/>
        </w:rPr>
        <w:t>less t</w:t>
      </w:r>
      <w:r w:rsidR="00442A21" w:rsidRPr="00BE3DAF">
        <w:rPr>
          <w:rFonts w:ascii="Aptos" w:eastAsia="Aptos" w:hAnsi="Aptos" w:cs="Arial"/>
          <w:kern w:val="2"/>
          <w:sz w:val="22"/>
          <w:szCs w:val="22"/>
          <w14:ligatures w14:val="standardContextual"/>
        </w:rPr>
        <w:t>h</w:t>
      </w:r>
      <w:r w:rsidR="008A5C4C" w:rsidRPr="00BE3DAF">
        <w:rPr>
          <w:rFonts w:ascii="Aptos" w:eastAsia="Aptos" w:hAnsi="Aptos" w:cs="Arial"/>
          <w:kern w:val="2"/>
          <w:sz w:val="22"/>
          <w:szCs w:val="22"/>
          <w14:ligatures w14:val="standardContextual"/>
        </w:rPr>
        <w:t xml:space="preserve">an 1 </w:t>
      </w:r>
      <w:r w:rsidR="00442A21" w:rsidRPr="00BE3DAF">
        <w:rPr>
          <w:rFonts w:ascii="Aptos" w:eastAsia="Aptos" w:hAnsi="Aptos" w:cs="Arial"/>
          <w:kern w:val="2"/>
          <w:sz w:val="22"/>
          <w:szCs w:val="22"/>
          <w14:ligatures w14:val="standardContextual"/>
        </w:rPr>
        <w:t>GB per subscription per month to 25</w:t>
      </w:r>
      <w:r w:rsidR="0032065E" w:rsidRPr="00BE3DAF">
        <w:rPr>
          <w:rFonts w:ascii="Aptos" w:eastAsia="Aptos" w:hAnsi="Aptos" w:cs="Arial"/>
          <w:kern w:val="2"/>
          <w:sz w:val="22"/>
          <w:szCs w:val="22"/>
          <w14:ligatures w14:val="standardContextual"/>
        </w:rPr>
        <w:t>.</w:t>
      </w:r>
      <w:r w:rsidR="00CD7449" w:rsidRPr="00BE3DAF">
        <w:rPr>
          <w:rFonts w:ascii="Aptos" w:eastAsia="Aptos" w:hAnsi="Aptos" w:cs="Arial"/>
          <w:kern w:val="2"/>
          <w:sz w:val="22"/>
          <w:szCs w:val="22"/>
          <w14:ligatures w14:val="standardContextual"/>
        </w:rPr>
        <w:t xml:space="preserve"> For fixed broadband traffic, the spread was from only 3 to </w:t>
      </w:r>
      <w:r w:rsidR="00CA17B6" w:rsidRPr="00BE3DAF">
        <w:rPr>
          <w:rFonts w:ascii="Aptos" w:eastAsia="Aptos" w:hAnsi="Aptos" w:cs="Arial"/>
          <w:kern w:val="2"/>
          <w:sz w:val="22"/>
          <w:szCs w:val="22"/>
          <w14:ligatures w14:val="standardContextual"/>
        </w:rPr>
        <w:t>482</w:t>
      </w:r>
      <w:r w:rsidR="00CD7449" w:rsidRPr="00BE3DAF">
        <w:rPr>
          <w:rFonts w:ascii="Aptos" w:eastAsia="Aptos" w:hAnsi="Aptos" w:cs="Arial"/>
          <w:kern w:val="2"/>
          <w:sz w:val="22"/>
          <w:szCs w:val="22"/>
          <w14:ligatures w14:val="standardContextual"/>
        </w:rPr>
        <w:t xml:space="preserve"> GB per subscription per month.</w:t>
      </w:r>
      <w:r w:rsidR="00CA17B6" w:rsidRPr="00BE3DAF">
        <w:rPr>
          <w:rFonts w:ascii="Aptos" w:eastAsia="Aptos" w:hAnsi="Aptos" w:cs="Arial"/>
          <w:kern w:val="2"/>
          <w:sz w:val="22"/>
          <w:szCs w:val="22"/>
          <w14:ligatures w14:val="standardContextual"/>
        </w:rPr>
        <w:t xml:space="preserve"> Of note is that </w:t>
      </w:r>
      <w:r w:rsidR="00D50480" w:rsidRPr="00BE3DAF">
        <w:rPr>
          <w:rFonts w:ascii="Aptos" w:eastAsia="Aptos" w:hAnsi="Aptos" w:cs="Arial"/>
          <w:kern w:val="2"/>
          <w:sz w:val="22"/>
          <w:szCs w:val="22"/>
          <w14:ligatures w14:val="standardContextual"/>
        </w:rPr>
        <w:t xml:space="preserve">some countries with high mobile broadband traffic have only </w:t>
      </w:r>
      <w:r w:rsidR="001E4FAB" w:rsidRPr="00BE3DAF">
        <w:rPr>
          <w:rFonts w:ascii="Aptos" w:eastAsia="Aptos" w:hAnsi="Aptos" w:cs="Arial"/>
          <w:kern w:val="2"/>
          <w:sz w:val="22"/>
          <w:szCs w:val="22"/>
          <w14:ligatures w14:val="standardContextual"/>
        </w:rPr>
        <w:t xml:space="preserve">average fixed broadband traffic and vice-versa. </w:t>
      </w:r>
    </w:p>
    <w:p w14:paraId="6E9B4B6F" w14:textId="4BE6A543"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Fixed-broadband Internet traffic per subscription per month (GB), </w:t>
      </w:r>
      <w:r w:rsidR="008D4391"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4D7492D8" w14:textId="6EB4595D" w:rsidR="006C41B5" w:rsidRPr="00BE3DAF" w:rsidRDefault="007A58DA" w:rsidP="00B1004A">
      <w:pPr>
        <w:pStyle w:val="Sourcetext"/>
      </w:pPr>
      <w:r w:rsidRPr="00BE3DAF">
        <w:rPr>
          <w:noProof/>
        </w:rPr>
        <w:drawing>
          <wp:inline distT="0" distB="0" distL="0" distR="0" wp14:anchorId="17D52B4A" wp14:editId="0C66F84D">
            <wp:extent cx="6120765" cy="2731770"/>
            <wp:effectExtent l="0" t="0" r="0" b="0"/>
            <wp:docPr id="72426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6167"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120765" cy="2731770"/>
                    </a:xfrm>
                    <a:prstGeom prst="rect">
                      <a:avLst/>
                    </a:prstGeom>
                  </pic:spPr>
                </pic:pic>
              </a:graphicData>
            </a:graphic>
          </wp:inline>
        </w:drawing>
      </w:r>
      <w:r w:rsidR="006C41B5" w:rsidRPr="00BE3DAF">
        <w:t>Source: ITU</w:t>
      </w:r>
    </w:p>
    <w:p w14:paraId="51143C60" w14:textId="77777777" w:rsidR="00070B5C" w:rsidRPr="00BE3DAF" w:rsidRDefault="00070B5C">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4C26140B" w14:textId="392EBCF8" w:rsidR="00BD4E56" w:rsidRPr="00BE3DAF" w:rsidRDefault="00BD4E56"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 xml:space="preserve">Unlike the end-user Internet traffic measured above, international bandwidth usage is a throughput measure that refers to the annual average used capacity of international connections, typically carried over submarine or terrestrial fibre-optic cables or microwave links. It does not sum up all traffic, incoming and outgoing, but captures the larger of the two. For comparability, the figure for bandwidth is divided by the number of Internet users in the country. </w:t>
      </w:r>
    </w:p>
    <w:p w14:paraId="6BDBBF30" w14:textId="77777777" w:rsidR="00BD4E56" w:rsidRPr="00BE3DAF"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International bandwidth per Internet user (kbit/s)</w:t>
      </w:r>
    </w:p>
    <w:p w14:paraId="6842826E" w14:textId="3042D1FD" w:rsidR="00BD4E56" w:rsidRPr="00BE3DAF" w:rsidRDefault="008038BB"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noProof/>
        </w:rPr>
        <w:drawing>
          <wp:inline distT="0" distB="0" distL="0" distR="0" wp14:anchorId="0E7EAC55" wp14:editId="029C5891">
            <wp:extent cx="6120765" cy="2372995"/>
            <wp:effectExtent l="0" t="0" r="0" b="8255"/>
            <wp:docPr id="19459175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7524"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6120765" cy="2372995"/>
                    </a:xfrm>
                    <a:prstGeom prst="rect">
                      <a:avLst/>
                    </a:prstGeom>
                  </pic:spPr>
                </pic:pic>
              </a:graphicData>
            </a:graphic>
          </wp:inline>
        </w:drawing>
      </w:r>
    </w:p>
    <w:p w14:paraId="5A92A8AD" w14:textId="77777777" w:rsidR="00BD4E56" w:rsidRPr="00BE3DAF"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148739DA" w14:textId="1AEA5A5F" w:rsidR="005E1B10" w:rsidRPr="00BE3DAF" w:rsidRDefault="005E1B10" w:rsidP="005E1B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International bandwidth usage in Asia and the Pacific </w:t>
      </w:r>
      <w:r w:rsidR="00E15759" w:rsidRPr="00BE3DAF">
        <w:rPr>
          <w:rFonts w:ascii="Aptos" w:eastAsia="Aptos" w:hAnsi="Aptos" w:cs="Arial"/>
          <w:kern w:val="2"/>
          <w:sz w:val="22"/>
          <w:szCs w:val="22"/>
          <w14:ligatures w14:val="standardContextual"/>
        </w:rPr>
        <w:t xml:space="preserve">stood at </w:t>
      </w:r>
      <w:r w:rsidR="0058783E" w:rsidRPr="00BE3DAF">
        <w:rPr>
          <w:rFonts w:ascii="Aptos" w:eastAsia="Aptos" w:hAnsi="Aptos" w:cs="Arial"/>
          <w:kern w:val="2"/>
          <w:sz w:val="22"/>
          <w:szCs w:val="22"/>
          <w14:ligatures w14:val="standardContextual"/>
        </w:rPr>
        <w:t>265 kbit/s in 2024</w:t>
      </w:r>
      <w:r w:rsidR="00217F67" w:rsidRPr="00BE3DAF">
        <w:rPr>
          <w:rFonts w:ascii="Aptos" w:eastAsia="Aptos" w:hAnsi="Aptos" w:cs="Arial"/>
          <w:kern w:val="2"/>
          <w:sz w:val="22"/>
          <w:szCs w:val="22"/>
          <w14:ligatures w14:val="standardContextual"/>
        </w:rPr>
        <w:t>,</w:t>
      </w:r>
      <w:r w:rsidR="00765827" w:rsidRPr="00BE3DAF">
        <w:rPr>
          <w:rFonts w:ascii="Aptos" w:eastAsia="Aptos" w:hAnsi="Aptos" w:cs="Arial"/>
          <w:kern w:val="2"/>
          <w:sz w:val="22"/>
          <w:szCs w:val="22"/>
          <w14:ligatures w14:val="standardContextual"/>
        </w:rPr>
        <w:t xml:space="preserve"> 17 per cent below the global average of 323 kbit/s. However, </w:t>
      </w:r>
      <w:r w:rsidR="002867ED" w:rsidRPr="00BE3DAF">
        <w:rPr>
          <w:rFonts w:ascii="Aptos" w:eastAsia="Aptos" w:hAnsi="Aptos" w:cs="Arial"/>
          <w:kern w:val="2"/>
          <w:sz w:val="22"/>
          <w:szCs w:val="22"/>
          <w14:ligatures w14:val="standardContextual"/>
        </w:rPr>
        <w:t>this regional average includes data for Hong Kong, China and Singapore, which are bot</w:t>
      </w:r>
      <w:r w:rsidR="00ED5C55" w:rsidRPr="00BE3DAF">
        <w:rPr>
          <w:rFonts w:ascii="Aptos" w:eastAsia="Aptos" w:hAnsi="Aptos" w:cs="Arial"/>
          <w:kern w:val="2"/>
          <w:sz w:val="22"/>
          <w:szCs w:val="22"/>
          <w14:ligatures w14:val="standardContextual"/>
        </w:rPr>
        <w:t>h transit hubs</w:t>
      </w:r>
      <w:r w:rsidR="000B4196" w:rsidRPr="00BE3DAF">
        <w:rPr>
          <w:rFonts w:ascii="Aptos" w:eastAsia="Aptos" w:hAnsi="Aptos" w:cs="Arial"/>
          <w:kern w:val="2"/>
          <w:sz w:val="22"/>
          <w:szCs w:val="22"/>
          <w14:ligatures w14:val="standardContextual"/>
        </w:rPr>
        <w:t>.</w:t>
      </w:r>
      <w:r w:rsidR="00ED5C55" w:rsidRPr="00BE3DAF">
        <w:rPr>
          <w:rFonts w:ascii="Aptos" w:eastAsia="Aptos" w:hAnsi="Aptos" w:cs="Arial"/>
          <w:kern w:val="2"/>
          <w:sz w:val="22"/>
          <w:szCs w:val="22"/>
          <w14:ligatures w14:val="standardContextual"/>
        </w:rPr>
        <w:t xml:space="preserve"> </w:t>
      </w:r>
      <w:r w:rsidR="0047509F" w:rsidRPr="00BE3DAF">
        <w:rPr>
          <w:rFonts w:ascii="Aptos" w:eastAsia="Aptos" w:hAnsi="Aptos" w:cs="Arial"/>
          <w:kern w:val="2"/>
          <w:sz w:val="22"/>
          <w:szCs w:val="22"/>
          <w14:ligatures w14:val="standardContextual"/>
        </w:rPr>
        <w:t>Taking the median instead, which dampe</w:t>
      </w:r>
      <w:r w:rsidR="000B4196" w:rsidRPr="00BE3DAF">
        <w:rPr>
          <w:rFonts w:ascii="Aptos" w:eastAsia="Aptos" w:hAnsi="Aptos" w:cs="Arial"/>
          <w:kern w:val="2"/>
          <w:sz w:val="22"/>
          <w:szCs w:val="22"/>
          <w14:ligatures w14:val="standardContextual"/>
        </w:rPr>
        <w:t>n</w:t>
      </w:r>
      <w:r w:rsidR="0047509F" w:rsidRPr="00BE3DAF">
        <w:rPr>
          <w:rFonts w:ascii="Aptos" w:eastAsia="Aptos" w:hAnsi="Aptos" w:cs="Arial"/>
          <w:kern w:val="2"/>
          <w:sz w:val="22"/>
          <w:szCs w:val="22"/>
          <w14:ligatures w14:val="standardContextual"/>
        </w:rPr>
        <w:t xml:space="preserve">s the impact of outliers, the </w:t>
      </w:r>
      <w:r w:rsidR="009A45CF" w:rsidRPr="00BE3DAF">
        <w:rPr>
          <w:rFonts w:ascii="Aptos" w:eastAsia="Aptos" w:hAnsi="Aptos" w:cs="Arial"/>
          <w:kern w:val="2"/>
          <w:sz w:val="22"/>
          <w:szCs w:val="22"/>
          <w14:ligatures w14:val="standardContextual"/>
        </w:rPr>
        <w:t xml:space="preserve">typical bandwidth in the region </w:t>
      </w:r>
      <w:r w:rsidR="0062192F" w:rsidRPr="00BE3DAF">
        <w:rPr>
          <w:rFonts w:ascii="Aptos" w:eastAsia="Aptos" w:hAnsi="Aptos" w:cs="Arial"/>
          <w:kern w:val="2"/>
          <w:sz w:val="22"/>
          <w:szCs w:val="22"/>
          <w14:ligatures w14:val="standardContextual"/>
        </w:rPr>
        <w:t>i</w:t>
      </w:r>
      <w:r w:rsidR="009A45CF" w:rsidRPr="00BE3DAF">
        <w:rPr>
          <w:rFonts w:ascii="Aptos" w:eastAsia="Aptos" w:hAnsi="Aptos" w:cs="Arial"/>
          <w:kern w:val="2"/>
          <w:sz w:val="22"/>
          <w:szCs w:val="22"/>
          <w14:ligatures w14:val="standardContextual"/>
        </w:rPr>
        <w:t>s only 99 k</w:t>
      </w:r>
      <w:r w:rsidR="000B4196" w:rsidRPr="00BE3DAF">
        <w:rPr>
          <w:rFonts w:ascii="Aptos" w:eastAsia="Aptos" w:hAnsi="Aptos" w:cs="Arial"/>
          <w:kern w:val="2"/>
          <w:sz w:val="22"/>
          <w:szCs w:val="22"/>
          <w14:ligatures w14:val="standardContextual"/>
        </w:rPr>
        <w:t>b</w:t>
      </w:r>
      <w:r w:rsidR="009A45CF" w:rsidRPr="00BE3DAF">
        <w:rPr>
          <w:rFonts w:ascii="Aptos" w:eastAsia="Aptos" w:hAnsi="Aptos" w:cs="Arial"/>
          <w:kern w:val="2"/>
          <w:sz w:val="22"/>
          <w:szCs w:val="22"/>
          <w14:ligatures w14:val="standardContextual"/>
        </w:rPr>
        <w:t>it/s</w:t>
      </w:r>
      <w:r w:rsidR="00790C09" w:rsidRPr="00BE3DAF">
        <w:rPr>
          <w:rFonts w:ascii="Aptos" w:eastAsia="Aptos" w:hAnsi="Aptos" w:cs="Arial"/>
          <w:kern w:val="2"/>
          <w:sz w:val="22"/>
          <w:szCs w:val="22"/>
          <w14:ligatures w14:val="standardContextual"/>
        </w:rPr>
        <w:t xml:space="preserve"> in 202</w:t>
      </w:r>
      <w:r w:rsidR="007C3260" w:rsidRPr="00BE3DAF">
        <w:rPr>
          <w:rFonts w:ascii="Aptos" w:eastAsia="Aptos" w:hAnsi="Aptos" w:cs="Arial"/>
          <w:kern w:val="2"/>
          <w:sz w:val="22"/>
          <w:szCs w:val="22"/>
          <w14:ligatures w14:val="standardContextual"/>
        </w:rPr>
        <w:t>3</w:t>
      </w:r>
      <w:r w:rsidR="009A45CF" w:rsidRPr="00BE3DAF">
        <w:rPr>
          <w:rFonts w:ascii="Aptos" w:eastAsia="Aptos" w:hAnsi="Aptos" w:cs="Arial"/>
          <w:kern w:val="2"/>
          <w:sz w:val="22"/>
          <w:szCs w:val="22"/>
          <w14:ligatures w14:val="standardContextual"/>
        </w:rPr>
        <w:t xml:space="preserve">. </w:t>
      </w:r>
    </w:p>
    <w:p w14:paraId="5E51CD10" w14:textId="77777777" w:rsidR="00070B5C" w:rsidRPr="00BE3DAF" w:rsidRDefault="00070B5C">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br w:type="page"/>
      </w:r>
    </w:p>
    <w:p w14:paraId="6CB24F47" w14:textId="105D1741" w:rsidR="00070B5C" w:rsidRPr="00BE3DAF" w:rsidRDefault="00070B5C" w:rsidP="00070B5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International bandwidth per Internet user (kbit/s), 2023 or latest year available</w:t>
      </w:r>
    </w:p>
    <w:p w14:paraId="7AE157D4" w14:textId="77777777" w:rsidR="00070B5C" w:rsidRPr="00BE3DAF" w:rsidRDefault="00070B5C" w:rsidP="00070B5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noProof/>
        </w:rPr>
        <w:drawing>
          <wp:inline distT="0" distB="0" distL="0" distR="0" wp14:anchorId="60A7B951" wp14:editId="1D7D502A">
            <wp:extent cx="6120765" cy="3235960"/>
            <wp:effectExtent l="0" t="0" r="0" b="2540"/>
            <wp:docPr id="10319834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46426"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6120765" cy="3235960"/>
                    </a:xfrm>
                    <a:prstGeom prst="rect">
                      <a:avLst/>
                    </a:prstGeom>
                  </pic:spPr>
                </pic:pic>
              </a:graphicData>
            </a:graphic>
          </wp:inline>
        </w:drawing>
      </w:r>
      <w:r w:rsidRPr="00BE3DAF">
        <w:rPr>
          <w:rFonts w:ascii="Aptos" w:eastAsia="Aptos" w:hAnsi="Aptos" w:cs="Arial"/>
          <w:kern w:val="2"/>
          <w:sz w:val="16"/>
          <w:szCs w:val="28"/>
          <w14:ligatures w14:val="standardContextual"/>
        </w:rPr>
        <w:t xml:space="preserve"> Source: ITU</w:t>
      </w:r>
      <w:r w:rsidRPr="00BE3DAF">
        <w:rPr>
          <w:rFonts w:ascii="Aptos" w:eastAsia="Aptos" w:hAnsi="Aptos" w:cs="Arial"/>
          <w:kern w:val="2"/>
          <w:sz w:val="22"/>
          <w:szCs w:val="22"/>
          <w14:ligatures w14:val="standardContextual"/>
        </w:rPr>
        <w:t xml:space="preserve"> </w:t>
      </w:r>
    </w:p>
    <w:p w14:paraId="099BCDB1" w14:textId="77777777" w:rsidR="00B468FA" w:rsidRPr="00BE3DAF" w:rsidRDefault="001804A7" w:rsidP="00515A0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International bandwidth usage </w:t>
      </w:r>
      <w:r w:rsidR="00D32881" w:rsidRPr="00BE3DAF">
        <w:rPr>
          <w:rFonts w:ascii="Aptos" w:eastAsia="Aptos" w:hAnsi="Aptos" w:cs="Arial"/>
          <w:kern w:val="2"/>
          <w:sz w:val="22"/>
          <w:szCs w:val="22"/>
          <w14:ligatures w14:val="standardContextual"/>
        </w:rPr>
        <w:t xml:space="preserve">reflects the </w:t>
      </w:r>
      <w:r w:rsidR="00E01639" w:rsidRPr="00BE3DAF">
        <w:rPr>
          <w:rFonts w:ascii="Aptos" w:eastAsia="Aptos" w:hAnsi="Aptos" w:cs="Arial"/>
          <w:kern w:val="2"/>
          <w:sz w:val="22"/>
          <w:szCs w:val="22"/>
          <w14:ligatures w14:val="standardContextual"/>
        </w:rPr>
        <w:t xml:space="preserve">state of </w:t>
      </w:r>
      <w:r w:rsidR="00454744" w:rsidRPr="00BE3DAF">
        <w:rPr>
          <w:rFonts w:ascii="Aptos" w:eastAsia="Aptos" w:hAnsi="Aptos" w:cs="Arial"/>
          <w:kern w:val="2"/>
          <w:sz w:val="22"/>
          <w:szCs w:val="22"/>
          <w14:ligatures w14:val="standardContextual"/>
        </w:rPr>
        <w:t>international connectivity infrastructure</w:t>
      </w:r>
      <w:r w:rsidR="00E01639" w:rsidRPr="00BE3DAF">
        <w:rPr>
          <w:rFonts w:ascii="Aptos" w:eastAsia="Aptos" w:hAnsi="Aptos" w:cs="Arial"/>
          <w:kern w:val="2"/>
          <w:sz w:val="22"/>
          <w:szCs w:val="22"/>
          <w14:ligatures w14:val="standardContextual"/>
        </w:rPr>
        <w:t xml:space="preserve"> </w:t>
      </w:r>
      <w:r w:rsidR="00F75957" w:rsidRPr="00BE3DAF">
        <w:rPr>
          <w:rFonts w:ascii="Aptos" w:eastAsia="Aptos" w:hAnsi="Aptos" w:cs="Arial"/>
          <w:kern w:val="2"/>
          <w:sz w:val="22"/>
          <w:szCs w:val="22"/>
          <w14:ligatures w14:val="standardContextual"/>
        </w:rPr>
        <w:t>(</w:t>
      </w:r>
      <w:r w:rsidR="000501E2" w:rsidRPr="00BE3DAF">
        <w:rPr>
          <w:rFonts w:ascii="Aptos" w:eastAsia="Aptos" w:hAnsi="Aptos" w:cs="Arial"/>
          <w:kern w:val="2"/>
          <w:sz w:val="22"/>
          <w:szCs w:val="22"/>
          <w14:ligatures w14:val="standardContextual"/>
        </w:rPr>
        <w:t xml:space="preserve">presence of </w:t>
      </w:r>
      <w:r w:rsidR="00515E31" w:rsidRPr="00BE3DAF">
        <w:rPr>
          <w:rFonts w:ascii="Aptos" w:eastAsia="Aptos" w:hAnsi="Aptos" w:cs="Arial"/>
          <w:kern w:val="2"/>
          <w:sz w:val="22"/>
          <w:szCs w:val="22"/>
          <w14:ligatures w14:val="standardContextual"/>
        </w:rPr>
        <w:t>submarine and overland cables</w:t>
      </w:r>
      <w:r w:rsidR="004A6CE1" w:rsidRPr="00BE3DAF">
        <w:rPr>
          <w:rFonts w:ascii="Aptos" w:eastAsia="Aptos" w:hAnsi="Aptos" w:cs="Arial"/>
          <w:kern w:val="2"/>
          <w:sz w:val="22"/>
          <w:szCs w:val="22"/>
          <w14:ligatures w14:val="standardContextual"/>
        </w:rPr>
        <w:t>, including redundancies</w:t>
      </w:r>
      <w:r w:rsidR="00F75957" w:rsidRPr="00BE3DAF">
        <w:rPr>
          <w:rFonts w:ascii="Aptos" w:eastAsia="Aptos" w:hAnsi="Aptos" w:cs="Arial"/>
          <w:kern w:val="2"/>
          <w:sz w:val="22"/>
          <w:szCs w:val="22"/>
          <w14:ligatures w14:val="standardContextual"/>
        </w:rPr>
        <w:t xml:space="preserve">) </w:t>
      </w:r>
      <w:r w:rsidR="00E01639" w:rsidRPr="00BE3DAF">
        <w:rPr>
          <w:rFonts w:ascii="Aptos" w:eastAsia="Aptos" w:hAnsi="Aptos" w:cs="Arial"/>
          <w:kern w:val="2"/>
          <w:sz w:val="22"/>
          <w:szCs w:val="22"/>
          <w14:ligatures w14:val="standardContextual"/>
        </w:rPr>
        <w:t>and the</w:t>
      </w:r>
      <w:r w:rsidR="00454744" w:rsidRPr="00BE3DAF">
        <w:rPr>
          <w:rFonts w:ascii="Aptos" w:eastAsia="Aptos" w:hAnsi="Aptos" w:cs="Arial"/>
          <w:kern w:val="2"/>
          <w:sz w:val="22"/>
          <w:szCs w:val="22"/>
          <w14:ligatures w14:val="standardContextual"/>
        </w:rPr>
        <w:t xml:space="preserve"> </w:t>
      </w:r>
      <w:r w:rsidR="00D32881" w:rsidRPr="00BE3DAF">
        <w:rPr>
          <w:rFonts w:ascii="Aptos" w:eastAsia="Aptos" w:hAnsi="Aptos" w:cs="Arial"/>
          <w:kern w:val="2"/>
          <w:sz w:val="22"/>
          <w:szCs w:val="22"/>
          <w14:ligatures w14:val="standardContextual"/>
        </w:rPr>
        <w:t xml:space="preserve">degree to which </w:t>
      </w:r>
      <w:r w:rsidR="00585EE1" w:rsidRPr="00BE3DAF">
        <w:rPr>
          <w:rFonts w:ascii="Aptos" w:eastAsia="Aptos" w:hAnsi="Aptos" w:cs="Arial"/>
          <w:kern w:val="2"/>
          <w:sz w:val="22"/>
          <w:szCs w:val="22"/>
          <w14:ligatures w14:val="standardContextual"/>
        </w:rPr>
        <w:t xml:space="preserve">a country is connected to international </w:t>
      </w:r>
      <w:r w:rsidR="00F50D0C" w:rsidRPr="00BE3DAF">
        <w:rPr>
          <w:rFonts w:ascii="Aptos" w:eastAsia="Aptos" w:hAnsi="Aptos" w:cs="Arial"/>
          <w:kern w:val="2"/>
          <w:sz w:val="22"/>
          <w:szCs w:val="22"/>
          <w14:ligatures w14:val="standardContextual"/>
        </w:rPr>
        <w:t>data flows</w:t>
      </w:r>
      <w:r w:rsidR="00515A0C" w:rsidRPr="00BE3DAF">
        <w:rPr>
          <w:rFonts w:ascii="Aptos" w:eastAsia="Aptos" w:hAnsi="Aptos" w:cs="Arial"/>
          <w:kern w:val="2"/>
          <w:sz w:val="22"/>
          <w:szCs w:val="22"/>
          <w14:ligatures w14:val="standardContextual"/>
        </w:rPr>
        <w:t>.</w:t>
      </w:r>
      <w:r w:rsidR="00D21C2F" w:rsidRPr="00BE3DAF">
        <w:rPr>
          <w:rFonts w:ascii="Aptos" w:eastAsia="Aptos" w:hAnsi="Aptos" w:cs="Arial"/>
          <w:kern w:val="2"/>
          <w:sz w:val="22"/>
          <w:szCs w:val="22"/>
          <w14:ligatures w14:val="standardContextual"/>
        </w:rPr>
        <w:t xml:space="preserve"> </w:t>
      </w:r>
      <w:r w:rsidR="00216539" w:rsidRPr="00BE3DAF">
        <w:rPr>
          <w:rFonts w:ascii="Aptos" w:eastAsia="Aptos" w:hAnsi="Aptos" w:cs="Arial"/>
          <w:kern w:val="2"/>
          <w:sz w:val="22"/>
          <w:szCs w:val="22"/>
          <w14:ligatures w14:val="standardContextual"/>
        </w:rPr>
        <w:t>D</w:t>
      </w:r>
      <w:r w:rsidR="00312856" w:rsidRPr="00BE3DAF">
        <w:rPr>
          <w:rFonts w:ascii="Aptos" w:eastAsia="Aptos" w:hAnsi="Aptos" w:cs="Arial"/>
          <w:kern w:val="2"/>
          <w:sz w:val="22"/>
          <w:szCs w:val="22"/>
          <w14:ligatures w14:val="standardContextual"/>
        </w:rPr>
        <w:t xml:space="preserve">emand for </w:t>
      </w:r>
      <w:r w:rsidR="00F62114" w:rsidRPr="00BE3DAF">
        <w:rPr>
          <w:rFonts w:ascii="Aptos" w:eastAsia="Aptos" w:hAnsi="Aptos" w:cs="Arial"/>
          <w:kern w:val="2"/>
          <w:sz w:val="22"/>
          <w:szCs w:val="22"/>
          <w14:ligatures w14:val="standardContextual"/>
        </w:rPr>
        <w:t xml:space="preserve">international </w:t>
      </w:r>
      <w:r w:rsidR="00895123" w:rsidRPr="00BE3DAF">
        <w:rPr>
          <w:rFonts w:ascii="Aptos" w:eastAsia="Aptos" w:hAnsi="Aptos" w:cs="Arial"/>
          <w:kern w:val="2"/>
          <w:sz w:val="22"/>
          <w:szCs w:val="22"/>
          <w14:ligatures w14:val="standardContextual"/>
        </w:rPr>
        <w:t xml:space="preserve">bandwidth </w:t>
      </w:r>
      <w:r w:rsidR="00F62114" w:rsidRPr="00BE3DAF">
        <w:rPr>
          <w:rFonts w:ascii="Aptos" w:eastAsia="Aptos" w:hAnsi="Aptos" w:cs="Arial"/>
          <w:kern w:val="2"/>
          <w:sz w:val="22"/>
          <w:szCs w:val="22"/>
          <w14:ligatures w14:val="standardContextual"/>
        </w:rPr>
        <w:t xml:space="preserve">depends on </w:t>
      </w:r>
      <w:r w:rsidR="00216539" w:rsidRPr="00BE3DAF">
        <w:rPr>
          <w:rFonts w:ascii="Aptos" w:eastAsia="Aptos" w:hAnsi="Aptos" w:cs="Arial"/>
          <w:kern w:val="2"/>
          <w:sz w:val="22"/>
          <w:szCs w:val="22"/>
          <w14:ligatures w14:val="standardContextual"/>
        </w:rPr>
        <w:t xml:space="preserve">many country-specific factors, such as </w:t>
      </w:r>
      <w:r w:rsidR="00B37891" w:rsidRPr="00BE3DAF">
        <w:rPr>
          <w:rFonts w:ascii="Aptos" w:eastAsia="Aptos" w:hAnsi="Aptos" w:cs="Arial"/>
          <w:kern w:val="2"/>
          <w:sz w:val="22"/>
          <w:szCs w:val="22"/>
          <w14:ligatures w14:val="standardContextual"/>
        </w:rPr>
        <w:t xml:space="preserve">geographical location </w:t>
      </w:r>
      <w:r w:rsidR="000152EE" w:rsidRPr="00BE3DAF">
        <w:rPr>
          <w:rFonts w:ascii="Aptos" w:eastAsia="Aptos" w:hAnsi="Aptos" w:cs="Arial"/>
          <w:kern w:val="2"/>
          <w:sz w:val="22"/>
          <w:szCs w:val="22"/>
          <w14:ligatures w14:val="standardContextual"/>
        </w:rPr>
        <w:t xml:space="preserve">or the </w:t>
      </w:r>
      <w:r w:rsidR="003E5B06" w:rsidRPr="00BE3DAF">
        <w:rPr>
          <w:rFonts w:ascii="Aptos" w:eastAsia="Aptos" w:hAnsi="Aptos" w:cs="Arial"/>
          <w:kern w:val="2"/>
          <w:sz w:val="22"/>
          <w:szCs w:val="22"/>
          <w14:ligatures w14:val="standardContextual"/>
        </w:rPr>
        <w:t xml:space="preserve">size </w:t>
      </w:r>
      <w:r w:rsidR="009305F7" w:rsidRPr="00BE3DAF">
        <w:rPr>
          <w:rFonts w:ascii="Aptos" w:eastAsia="Aptos" w:hAnsi="Aptos" w:cs="Arial"/>
          <w:kern w:val="2"/>
          <w:sz w:val="22"/>
          <w:szCs w:val="22"/>
          <w14:ligatures w14:val="standardContextual"/>
        </w:rPr>
        <w:t xml:space="preserve">and development of </w:t>
      </w:r>
      <w:r w:rsidR="000152EE" w:rsidRPr="00BE3DAF">
        <w:rPr>
          <w:rFonts w:ascii="Aptos" w:eastAsia="Aptos" w:hAnsi="Aptos" w:cs="Arial"/>
          <w:kern w:val="2"/>
          <w:sz w:val="22"/>
          <w:szCs w:val="22"/>
          <w14:ligatures w14:val="standardContextual"/>
        </w:rPr>
        <w:t xml:space="preserve">domestic middle-mile connectivity infrastructure </w:t>
      </w:r>
      <w:r w:rsidR="00B37891" w:rsidRPr="00BE3DAF">
        <w:rPr>
          <w:rFonts w:ascii="Aptos" w:eastAsia="Aptos" w:hAnsi="Aptos" w:cs="Arial"/>
          <w:kern w:val="2"/>
          <w:sz w:val="22"/>
          <w:szCs w:val="22"/>
          <w14:ligatures w14:val="standardContextual"/>
        </w:rPr>
        <w:t>(</w:t>
      </w:r>
      <w:r w:rsidR="000152EE" w:rsidRPr="00BE3DAF">
        <w:rPr>
          <w:rFonts w:ascii="Aptos" w:eastAsia="Aptos" w:hAnsi="Aptos" w:cs="Arial"/>
          <w:kern w:val="2"/>
          <w:sz w:val="22"/>
          <w:szCs w:val="22"/>
          <w14:ligatures w14:val="standardContextual"/>
        </w:rPr>
        <w:t xml:space="preserve">e.g., </w:t>
      </w:r>
      <w:r w:rsidR="00B37891" w:rsidRPr="00BE3DAF">
        <w:rPr>
          <w:rFonts w:ascii="Aptos" w:eastAsia="Aptos" w:hAnsi="Aptos" w:cs="Arial"/>
          <w:kern w:val="2"/>
          <w:sz w:val="22"/>
          <w:szCs w:val="22"/>
          <w14:ligatures w14:val="standardContextual"/>
        </w:rPr>
        <w:t>small islands</w:t>
      </w:r>
      <w:r w:rsidR="00FF1C79" w:rsidRPr="00BE3DAF">
        <w:rPr>
          <w:rFonts w:ascii="Aptos" w:eastAsia="Aptos" w:hAnsi="Aptos" w:cs="Arial"/>
          <w:kern w:val="2"/>
          <w:sz w:val="22"/>
          <w:szCs w:val="22"/>
          <w14:ligatures w14:val="standardContextual"/>
        </w:rPr>
        <w:t xml:space="preserve"> </w:t>
      </w:r>
      <w:r w:rsidR="0077185C" w:rsidRPr="00BE3DAF">
        <w:rPr>
          <w:rFonts w:ascii="Aptos" w:eastAsia="Aptos" w:hAnsi="Aptos" w:cs="Arial"/>
          <w:kern w:val="2"/>
          <w:sz w:val="22"/>
          <w:szCs w:val="22"/>
          <w14:ligatures w14:val="standardContextual"/>
        </w:rPr>
        <w:t xml:space="preserve">are dependent on </w:t>
      </w:r>
      <w:r w:rsidR="000A52F9" w:rsidRPr="00BE3DAF">
        <w:rPr>
          <w:rFonts w:ascii="Aptos" w:eastAsia="Aptos" w:hAnsi="Aptos" w:cs="Arial"/>
          <w:kern w:val="2"/>
          <w:sz w:val="22"/>
          <w:szCs w:val="22"/>
          <w14:ligatures w14:val="standardContextual"/>
        </w:rPr>
        <w:t>international linkages</w:t>
      </w:r>
      <w:r w:rsidR="00A66C55" w:rsidRPr="00BE3DAF">
        <w:rPr>
          <w:rFonts w:ascii="Aptos" w:eastAsia="Aptos" w:hAnsi="Aptos" w:cs="Arial"/>
          <w:kern w:val="2"/>
          <w:sz w:val="22"/>
          <w:szCs w:val="22"/>
          <w14:ligatures w14:val="standardContextual"/>
        </w:rPr>
        <w:t xml:space="preserve">, while </w:t>
      </w:r>
      <w:r w:rsidR="006E5831" w:rsidRPr="00BE3DAF">
        <w:rPr>
          <w:rFonts w:ascii="Aptos" w:eastAsia="Aptos" w:hAnsi="Aptos" w:cs="Arial"/>
          <w:kern w:val="2"/>
          <w:sz w:val="22"/>
          <w:szCs w:val="22"/>
          <w14:ligatures w14:val="standardContextual"/>
        </w:rPr>
        <w:t xml:space="preserve">a high density of </w:t>
      </w:r>
      <w:r w:rsidR="00684EA9" w:rsidRPr="00BE3DAF">
        <w:rPr>
          <w:rFonts w:ascii="Aptos" w:eastAsia="Aptos" w:hAnsi="Aptos" w:cs="Arial"/>
          <w:kern w:val="2"/>
          <w:sz w:val="22"/>
          <w:szCs w:val="22"/>
          <w14:ligatures w14:val="standardContextual"/>
        </w:rPr>
        <w:t>data cent</w:t>
      </w:r>
      <w:r w:rsidR="001C3BE6" w:rsidRPr="00BE3DAF">
        <w:rPr>
          <w:rFonts w:ascii="Aptos" w:eastAsia="Aptos" w:hAnsi="Aptos" w:cs="Arial"/>
          <w:kern w:val="2"/>
          <w:sz w:val="22"/>
          <w:szCs w:val="22"/>
          <w14:ligatures w14:val="standardContextual"/>
        </w:rPr>
        <w:t>r</w:t>
      </w:r>
      <w:r w:rsidR="00684EA9" w:rsidRPr="00BE3DAF">
        <w:rPr>
          <w:rFonts w:ascii="Aptos" w:eastAsia="Aptos" w:hAnsi="Aptos" w:cs="Arial"/>
          <w:kern w:val="2"/>
          <w:sz w:val="22"/>
          <w:szCs w:val="22"/>
          <w14:ligatures w14:val="standardContextual"/>
        </w:rPr>
        <w:t>es and</w:t>
      </w:r>
      <w:r w:rsidR="00E82FA8" w:rsidRPr="00BE3DAF">
        <w:rPr>
          <w:rFonts w:ascii="Aptos" w:eastAsia="Aptos" w:hAnsi="Aptos" w:cs="Arial"/>
          <w:kern w:val="2"/>
          <w:sz w:val="22"/>
          <w:szCs w:val="22"/>
          <w14:ligatures w14:val="standardContextual"/>
        </w:rPr>
        <w:t xml:space="preserve"> Internet exchange points </w:t>
      </w:r>
      <w:r w:rsidR="00F07B1E" w:rsidRPr="00BE3DAF">
        <w:rPr>
          <w:rFonts w:ascii="Aptos" w:eastAsia="Aptos" w:hAnsi="Aptos" w:cs="Arial"/>
          <w:kern w:val="2"/>
          <w:sz w:val="22"/>
          <w:szCs w:val="22"/>
          <w14:ligatures w14:val="standardContextual"/>
        </w:rPr>
        <w:t xml:space="preserve">can somewhat </w:t>
      </w:r>
      <w:r w:rsidR="00D721BA" w:rsidRPr="00BE3DAF">
        <w:rPr>
          <w:rFonts w:ascii="Aptos" w:eastAsia="Aptos" w:hAnsi="Aptos" w:cs="Arial"/>
          <w:kern w:val="2"/>
          <w:sz w:val="22"/>
          <w:szCs w:val="22"/>
          <w14:ligatures w14:val="standardContextual"/>
        </w:rPr>
        <w:t xml:space="preserve">reduce the </w:t>
      </w:r>
      <w:r w:rsidR="00F07B1E" w:rsidRPr="00BE3DAF">
        <w:rPr>
          <w:rFonts w:ascii="Aptos" w:eastAsia="Aptos" w:hAnsi="Aptos" w:cs="Arial"/>
          <w:kern w:val="2"/>
          <w:sz w:val="22"/>
          <w:szCs w:val="22"/>
          <w14:ligatures w14:val="standardContextual"/>
        </w:rPr>
        <w:t xml:space="preserve">demand </w:t>
      </w:r>
      <w:r w:rsidR="00D721BA" w:rsidRPr="00BE3DAF">
        <w:rPr>
          <w:rFonts w:ascii="Aptos" w:eastAsia="Aptos" w:hAnsi="Aptos" w:cs="Arial"/>
          <w:kern w:val="2"/>
          <w:sz w:val="22"/>
          <w:szCs w:val="22"/>
          <w14:ligatures w14:val="standardContextual"/>
        </w:rPr>
        <w:t>for international data exchange for large</w:t>
      </w:r>
      <w:r w:rsidR="00F07B1E" w:rsidRPr="00BE3DAF">
        <w:rPr>
          <w:rFonts w:ascii="Aptos" w:eastAsia="Aptos" w:hAnsi="Aptos" w:cs="Arial"/>
          <w:kern w:val="2"/>
          <w:sz w:val="22"/>
          <w:szCs w:val="22"/>
          <w14:ligatures w14:val="standardContextual"/>
        </w:rPr>
        <w:t>r</w:t>
      </w:r>
      <w:r w:rsidR="00D721BA" w:rsidRPr="00BE3DAF">
        <w:rPr>
          <w:rFonts w:ascii="Aptos" w:eastAsia="Aptos" w:hAnsi="Aptos" w:cs="Arial"/>
          <w:kern w:val="2"/>
          <w:sz w:val="22"/>
          <w:szCs w:val="22"/>
          <w14:ligatures w14:val="standardContextual"/>
        </w:rPr>
        <w:t xml:space="preserve"> countries</w:t>
      </w:r>
      <w:r w:rsidR="00B37891" w:rsidRPr="00BE3DAF">
        <w:rPr>
          <w:rFonts w:ascii="Aptos" w:eastAsia="Aptos" w:hAnsi="Aptos" w:cs="Arial"/>
          <w:kern w:val="2"/>
          <w:sz w:val="22"/>
          <w:szCs w:val="22"/>
          <w14:ligatures w14:val="standardContextual"/>
        </w:rPr>
        <w:t>)</w:t>
      </w:r>
      <w:r w:rsidR="00965B71" w:rsidRPr="00BE3DAF">
        <w:rPr>
          <w:rFonts w:ascii="Aptos" w:eastAsia="Aptos" w:hAnsi="Aptos" w:cs="Arial"/>
          <w:kern w:val="2"/>
          <w:sz w:val="22"/>
          <w:szCs w:val="22"/>
          <w14:ligatures w14:val="standardContextual"/>
        </w:rPr>
        <w:t xml:space="preserve">. </w:t>
      </w:r>
      <w:r w:rsidR="00A3087E" w:rsidRPr="00BE3DAF">
        <w:rPr>
          <w:rFonts w:ascii="Aptos" w:eastAsia="Aptos" w:hAnsi="Aptos" w:cs="Arial"/>
          <w:kern w:val="2"/>
          <w:sz w:val="22"/>
          <w:szCs w:val="22"/>
          <w14:ligatures w14:val="standardContextual"/>
        </w:rPr>
        <w:t xml:space="preserve">While data </w:t>
      </w:r>
      <w:r w:rsidR="00187EAD" w:rsidRPr="00BE3DAF">
        <w:rPr>
          <w:rFonts w:ascii="Aptos" w:eastAsia="Aptos" w:hAnsi="Aptos" w:cs="Arial"/>
          <w:kern w:val="2"/>
          <w:sz w:val="22"/>
          <w:szCs w:val="22"/>
          <w14:ligatures w14:val="standardContextual"/>
        </w:rPr>
        <w:t xml:space="preserve">are </w:t>
      </w:r>
      <w:r w:rsidR="00EA0DC8" w:rsidRPr="00BE3DAF">
        <w:rPr>
          <w:rFonts w:ascii="Aptos" w:eastAsia="Aptos" w:hAnsi="Aptos" w:cs="Arial"/>
          <w:kern w:val="2"/>
          <w:sz w:val="22"/>
          <w:szCs w:val="22"/>
          <w14:ligatures w14:val="standardContextual"/>
        </w:rPr>
        <w:t xml:space="preserve">only available for around half of the countries in the </w:t>
      </w:r>
      <w:r w:rsidR="003C750F" w:rsidRPr="00BE3DAF">
        <w:rPr>
          <w:rFonts w:ascii="Aptos" w:eastAsia="Aptos" w:hAnsi="Aptos" w:cs="Arial"/>
          <w:kern w:val="2"/>
          <w:sz w:val="22"/>
          <w:szCs w:val="22"/>
          <w14:ligatures w14:val="standardContextual"/>
        </w:rPr>
        <w:t>region</w:t>
      </w:r>
      <w:r w:rsidR="00EA0DC8" w:rsidRPr="00BE3DAF">
        <w:rPr>
          <w:rFonts w:ascii="Aptos" w:eastAsia="Aptos" w:hAnsi="Aptos" w:cs="Arial"/>
          <w:kern w:val="2"/>
          <w:sz w:val="22"/>
          <w:szCs w:val="22"/>
          <w14:ligatures w14:val="standardContextual"/>
        </w:rPr>
        <w:t xml:space="preserve">, </w:t>
      </w:r>
      <w:r w:rsidR="003A4023" w:rsidRPr="00BE3DAF">
        <w:rPr>
          <w:rFonts w:ascii="Aptos" w:eastAsia="Aptos" w:hAnsi="Aptos" w:cs="Arial"/>
          <w:kern w:val="2"/>
          <w:sz w:val="22"/>
          <w:szCs w:val="22"/>
          <w14:ligatures w14:val="standardContextual"/>
        </w:rPr>
        <w:t xml:space="preserve">there </w:t>
      </w:r>
      <w:r w:rsidR="009B0C9D" w:rsidRPr="00BE3DAF">
        <w:rPr>
          <w:rFonts w:ascii="Aptos" w:eastAsia="Aptos" w:hAnsi="Aptos" w:cs="Arial"/>
          <w:kern w:val="2"/>
          <w:sz w:val="22"/>
          <w:szCs w:val="22"/>
          <w14:ligatures w14:val="standardContextual"/>
        </w:rPr>
        <w:t>are large variations.</w:t>
      </w:r>
      <w:r w:rsidR="00077E53" w:rsidRPr="00BE3DAF">
        <w:rPr>
          <w:rFonts w:ascii="Aptos" w:eastAsia="Aptos" w:hAnsi="Aptos" w:cs="Arial"/>
          <w:kern w:val="2"/>
          <w:sz w:val="22"/>
          <w:szCs w:val="22"/>
          <w14:ligatures w14:val="standardContextual"/>
        </w:rPr>
        <w:t xml:space="preserve"> Five economies reported bandwidth usage </w:t>
      </w:r>
      <w:r w:rsidR="00E02A3F" w:rsidRPr="00BE3DAF">
        <w:rPr>
          <w:rFonts w:ascii="Aptos" w:eastAsia="Aptos" w:hAnsi="Aptos" w:cs="Arial"/>
          <w:kern w:val="2"/>
          <w:sz w:val="22"/>
          <w:szCs w:val="22"/>
          <w14:ligatures w14:val="standardContextual"/>
        </w:rPr>
        <w:t xml:space="preserve">exceeding </w:t>
      </w:r>
      <w:r w:rsidR="002B2168" w:rsidRPr="00BE3DAF">
        <w:rPr>
          <w:rFonts w:ascii="Aptos" w:eastAsia="Aptos" w:hAnsi="Aptos" w:cs="Arial"/>
          <w:kern w:val="2"/>
          <w:sz w:val="22"/>
          <w:szCs w:val="22"/>
          <w14:ligatures w14:val="standardContextual"/>
        </w:rPr>
        <w:t>400 kbit/s</w:t>
      </w:r>
      <w:r w:rsidR="0084673C" w:rsidRPr="00BE3DAF">
        <w:rPr>
          <w:rFonts w:ascii="Aptos" w:eastAsia="Aptos" w:hAnsi="Aptos" w:cs="Arial"/>
          <w:kern w:val="2"/>
          <w:sz w:val="22"/>
          <w:szCs w:val="22"/>
          <w14:ligatures w14:val="standardContextual"/>
        </w:rPr>
        <w:t xml:space="preserve">, which </w:t>
      </w:r>
      <w:r w:rsidR="00AC5786" w:rsidRPr="00BE3DAF">
        <w:rPr>
          <w:rFonts w:ascii="Aptos" w:eastAsia="Aptos" w:hAnsi="Aptos" w:cs="Arial"/>
          <w:kern w:val="2"/>
          <w:sz w:val="22"/>
          <w:szCs w:val="22"/>
          <w14:ligatures w14:val="standardContextual"/>
        </w:rPr>
        <w:t xml:space="preserve">is already above </w:t>
      </w:r>
      <w:r w:rsidR="00077E53" w:rsidRPr="00BE3DAF">
        <w:rPr>
          <w:rFonts w:ascii="Aptos" w:eastAsia="Aptos" w:hAnsi="Aptos" w:cs="Arial"/>
          <w:kern w:val="2"/>
          <w:sz w:val="22"/>
          <w:szCs w:val="22"/>
          <w14:ligatures w14:val="standardContextual"/>
        </w:rPr>
        <w:t xml:space="preserve">the world average, </w:t>
      </w:r>
      <w:r w:rsidR="00E02A3F" w:rsidRPr="00BE3DAF">
        <w:rPr>
          <w:rFonts w:ascii="Aptos" w:eastAsia="Aptos" w:hAnsi="Aptos" w:cs="Arial"/>
          <w:kern w:val="2"/>
          <w:sz w:val="22"/>
          <w:szCs w:val="22"/>
          <w14:ligatures w14:val="standardContextual"/>
        </w:rPr>
        <w:t>while 13 countries</w:t>
      </w:r>
      <w:r w:rsidR="000D2F72" w:rsidRPr="00BE3DAF">
        <w:rPr>
          <w:rFonts w:ascii="Aptos" w:eastAsia="Aptos" w:hAnsi="Aptos" w:cs="Arial"/>
          <w:kern w:val="2"/>
          <w:sz w:val="22"/>
          <w:szCs w:val="22"/>
          <w14:ligatures w14:val="standardContextual"/>
        </w:rPr>
        <w:t xml:space="preserve"> reported bandwidth usage </w:t>
      </w:r>
      <w:r w:rsidR="006555F2" w:rsidRPr="00BE3DAF">
        <w:rPr>
          <w:rFonts w:ascii="Aptos" w:eastAsia="Aptos" w:hAnsi="Aptos" w:cs="Arial"/>
          <w:kern w:val="2"/>
          <w:sz w:val="22"/>
          <w:szCs w:val="22"/>
          <w14:ligatures w14:val="standardContextual"/>
        </w:rPr>
        <w:t xml:space="preserve">levels below 100 kbit/s, </w:t>
      </w:r>
      <w:r w:rsidR="00B23BCE" w:rsidRPr="00BE3DAF">
        <w:rPr>
          <w:rFonts w:ascii="Aptos" w:eastAsia="Aptos" w:hAnsi="Aptos" w:cs="Arial"/>
          <w:kern w:val="2"/>
          <w:sz w:val="22"/>
          <w:szCs w:val="22"/>
          <w14:ligatures w14:val="standardContextual"/>
        </w:rPr>
        <w:t xml:space="preserve">suggesting that international linkages </w:t>
      </w:r>
      <w:r w:rsidR="00132DB8" w:rsidRPr="00BE3DAF">
        <w:rPr>
          <w:rFonts w:ascii="Aptos" w:eastAsia="Aptos" w:hAnsi="Aptos" w:cs="Arial"/>
          <w:kern w:val="2"/>
          <w:sz w:val="22"/>
          <w:szCs w:val="22"/>
          <w14:ligatures w14:val="standardContextual"/>
        </w:rPr>
        <w:t xml:space="preserve">may </w:t>
      </w:r>
      <w:r w:rsidR="00793B46" w:rsidRPr="00BE3DAF">
        <w:rPr>
          <w:rFonts w:ascii="Aptos" w:eastAsia="Aptos" w:hAnsi="Aptos" w:cs="Arial"/>
          <w:kern w:val="2"/>
          <w:sz w:val="22"/>
          <w:szCs w:val="22"/>
          <w14:ligatures w14:val="standardContextual"/>
        </w:rPr>
        <w:t xml:space="preserve">hamper </w:t>
      </w:r>
      <w:r w:rsidR="00B468FA" w:rsidRPr="00BE3DAF">
        <w:rPr>
          <w:rFonts w:ascii="Aptos" w:eastAsia="Aptos" w:hAnsi="Aptos" w:cs="Arial"/>
          <w:kern w:val="2"/>
          <w:sz w:val="22"/>
          <w:szCs w:val="22"/>
          <w14:ligatures w14:val="standardContextual"/>
        </w:rPr>
        <w:t>universal and meaningful connectivity</w:t>
      </w:r>
      <w:r w:rsidR="00793B46" w:rsidRPr="00BE3DAF">
        <w:rPr>
          <w:rFonts w:ascii="Aptos" w:eastAsia="Aptos" w:hAnsi="Aptos" w:cs="Arial"/>
          <w:kern w:val="2"/>
          <w:sz w:val="22"/>
          <w:szCs w:val="22"/>
          <w14:ligatures w14:val="standardContextual"/>
        </w:rPr>
        <w:t>.</w:t>
      </w:r>
    </w:p>
    <w:p w14:paraId="718FDFEA" w14:textId="0B2E4864" w:rsidR="006C41B5" w:rsidRPr="00BE3DAF" w:rsidRDefault="006C41B5"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378E1ABB" w14:textId="77777777" w:rsidR="006C41B5" w:rsidRPr="00BE3DAF" w:rsidRDefault="006C41B5" w:rsidP="000C3666">
      <w:pPr>
        <w:pStyle w:val="Section"/>
      </w:pPr>
      <w:bookmarkStart w:id="14" w:name="_Toc189658579"/>
      <w:r w:rsidRPr="00BE3DAF">
        <w:lastRenderedPageBreak/>
        <w:t>Affordability of ICT services</w:t>
      </w:r>
      <w:bookmarkEnd w:id="14"/>
      <w:r w:rsidRPr="00BE3DAF">
        <w:tab/>
      </w:r>
    </w:p>
    <w:p w14:paraId="61A44230" w14:textId="1598225C"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 xml:space="preserve">Mobile </w:t>
      </w:r>
      <w:r w:rsidR="004C0402" w:rsidRPr="00BE3DAF">
        <w:rPr>
          <w:rFonts w:ascii="Aptos" w:eastAsia="Aptos" w:hAnsi="Aptos" w:cs="Arial"/>
          <w:b/>
          <w:bCs/>
          <w:i/>
          <w:iCs/>
          <w:kern w:val="2"/>
          <w:sz w:val="22"/>
          <w:szCs w:val="22"/>
          <w14:ligatures w14:val="standardContextual"/>
        </w:rPr>
        <w:t xml:space="preserve">and fixed </w:t>
      </w:r>
      <w:r w:rsidRPr="00BE3DAF">
        <w:rPr>
          <w:rFonts w:ascii="Aptos" w:eastAsia="Aptos" w:hAnsi="Aptos" w:cs="Arial"/>
          <w:b/>
          <w:bCs/>
          <w:i/>
          <w:iCs/>
          <w:kern w:val="2"/>
          <w:sz w:val="22"/>
          <w:szCs w:val="22"/>
          <w14:ligatures w14:val="standardContextual"/>
        </w:rPr>
        <w:t xml:space="preserve">broadband generally affordable in </w:t>
      </w:r>
      <w:r w:rsidR="00091171" w:rsidRPr="00BE3DAF">
        <w:rPr>
          <w:rFonts w:ascii="Aptos" w:eastAsia="Aptos" w:hAnsi="Aptos" w:cs="Arial"/>
          <w:b/>
          <w:bCs/>
          <w:i/>
          <w:iCs/>
          <w:kern w:val="2"/>
          <w:sz w:val="22"/>
          <w:szCs w:val="22"/>
          <w14:ligatures w14:val="standardContextual"/>
        </w:rPr>
        <w:t>Asia</w:t>
      </w:r>
      <w:r w:rsidR="00757755" w:rsidRPr="00BE3DAF">
        <w:rPr>
          <w:rFonts w:ascii="Aptos" w:eastAsia="Aptos" w:hAnsi="Aptos" w:cs="Arial"/>
          <w:b/>
          <w:bCs/>
          <w:i/>
          <w:iCs/>
          <w:kern w:val="2"/>
          <w:sz w:val="22"/>
          <w:szCs w:val="22"/>
          <w14:ligatures w14:val="standardContextual"/>
        </w:rPr>
        <w:t>, but expensive in many parts of the Pacific</w:t>
      </w:r>
    </w:p>
    <w:p w14:paraId="758C0580" w14:textId="420B3BDC"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Broadband basket prices as % of gross national income per capita, </w:t>
      </w:r>
      <w:r w:rsidR="00BB28A8" w:rsidRPr="00BE3DAF">
        <w:rPr>
          <w:rFonts w:ascii="AvenirNext LT Pro Light" w:eastAsia="Yu Gothic Light" w:hAnsi="AvenirNext LT Pro Light" w:cs="Calibri"/>
          <w:color w:val="0070C0"/>
          <w:spacing w:val="-10"/>
          <w:kern w:val="28"/>
        </w:rPr>
        <w:t>2018-</w:t>
      </w:r>
      <w:r w:rsidRPr="00BE3DAF">
        <w:rPr>
          <w:rFonts w:ascii="AvenirNext LT Pro Light" w:eastAsia="Yu Gothic Light" w:hAnsi="AvenirNext LT Pro Light" w:cs="Calibri"/>
          <w:color w:val="0070C0"/>
          <w:spacing w:val="-10"/>
          <w:kern w:val="28"/>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BE3DAF" w14:paraId="7D9E14A7" w14:textId="77777777" w:rsidTr="005775D3">
        <w:tc>
          <w:tcPr>
            <w:tcW w:w="4508" w:type="dxa"/>
          </w:tcPr>
          <w:p w14:paraId="1E765A5F" w14:textId="532949B1" w:rsidR="006C41B5" w:rsidRPr="00BE3DAF"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BE3DAF">
              <w:rPr>
                <w:rFonts w:ascii="Aptos" w:hAnsi="Aptos"/>
                <w:b/>
                <w:bCs/>
                <w:sz w:val="22"/>
              </w:rPr>
              <w:t>Mobile</w:t>
            </w:r>
            <w:r w:rsidRPr="00BE3DAF">
              <w:rPr>
                <w:rFonts w:ascii="Aptos" w:hAnsi="Aptos"/>
                <w:b/>
                <w:bCs/>
                <w:noProof/>
                <w:sz w:val="22"/>
              </w:rPr>
              <w:t xml:space="preserve"> (2GB)</w:t>
            </w:r>
            <w:r w:rsidR="005775D3" w:rsidRPr="00BE3DAF">
              <w:rPr>
                <w:noProof/>
              </w:rPr>
              <w:t xml:space="preserve"> </w:t>
            </w:r>
            <w:r w:rsidR="005775D3" w:rsidRPr="00BE3DAF">
              <w:rPr>
                <w:noProof/>
              </w:rPr>
              <w:drawing>
                <wp:inline distT="0" distB="0" distL="0" distR="0" wp14:anchorId="7990E899" wp14:editId="47383A81">
                  <wp:extent cx="2590800" cy="2524125"/>
                  <wp:effectExtent l="0" t="0" r="0" b="9525"/>
                  <wp:docPr id="2676043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4332"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590800" cy="2524125"/>
                          </a:xfrm>
                          <a:prstGeom prst="rect">
                            <a:avLst/>
                          </a:prstGeom>
                        </pic:spPr>
                      </pic:pic>
                    </a:graphicData>
                  </a:graphic>
                </wp:inline>
              </w:drawing>
            </w:r>
          </w:p>
        </w:tc>
        <w:tc>
          <w:tcPr>
            <w:tcW w:w="4508" w:type="dxa"/>
          </w:tcPr>
          <w:p w14:paraId="644D1EA9" w14:textId="18BEABBA" w:rsidR="006C41B5" w:rsidRPr="00BE3DAF"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BE3DAF">
              <w:rPr>
                <w:rFonts w:ascii="Aptos" w:hAnsi="Aptos"/>
                <w:b/>
                <w:bCs/>
                <w:sz w:val="22"/>
              </w:rPr>
              <w:t>Fixed (5GB)</w:t>
            </w:r>
            <w:r w:rsidR="005775D3" w:rsidRPr="00BE3DAF">
              <w:rPr>
                <w:noProof/>
              </w:rPr>
              <w:t xml:space="preserve"> </w:t>
            </w:r>
            <w:r w:rsidR="005775D3" w:rsidRPr="00BE3DAF">
              <w:rPr>
                <w:noProof/>
              </w:rPr>
              <w:drawing>
                <wp:inline distT="0" distB="0" distL="0" distR="0" wp14:anchorId="0A1411C2" wp14:editId="3EFA05D6">
                  <wp:extent cx="2590800" cy="2524125"/>
                  <wp:effectExtent l="0" t="0" r="0" b="9525"/>
                  <wp:docPr id="15797862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86282"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590800" cy="2524125"/>
                          </a:xfrm>
                          <a:prstGeom prst="rect">
                            <a:avLst/>
                          </a:prstGeom>
                        </pic:spPr>
                      </pic:pic>
                    </a:graphicData>
                  </a:graphic>
                </wp:inline>
              </w:drawing>
            </w:r>
          </w:p>
        </w:tc>
      </w:tr>
    </w:tbl>
    <w:p w14:paraId="348B5403" w14:textId="6EF2B28C" w:rsidR="006C41B5" w:rsidRPr="00BE3DAF" w:rsidRDefault="006C41B5" w:rsidP="00B1004A">
      <w:pPr>
        <w:pStyle w:val="notetext"/>
      </w:pPr>
      <w:r w:rsidRPr="00BE3DAF">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BE3DAF" w:rsidRDefault="006C41B5" w:rsidP="00B1004A">
      <w:pPr>
        <w:pStyle w:val="Sourcetext"/>
      </w:pPr>
      <w:r w:rsidRPr="00BE3DAF">
        <w:t>Source: ITU</w:t>
      </w:r>
    </w:p>
    <w:p w14:paraId="6C929D15" w14:textId="01D9BA22" w:rsidR="00BB28A8"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Internet cost is a barrier to Internet use and to meaningful connectivity. The United Nations</w:t>
      </w:r>
      <w:r w:rsidR="00A94082" w:rsidRPr="00BE3DAF">
        <w:rPr>
          <w:rFonts w:ascii="Aptos" w:eastAsia="Aptos" w:hAnsi="Aptos" w:cs="Arial"/>
          <w:kern w:val="2"/>
          <w:sz w:val="22"/>
          <w:szCs w:val="22"/>
          <w14:ligatures w14:val="standardContextual"/>
        </w:rPr>
        <w:t xml:space="preserve"> </w:t>
      </w:r>
      <w:hyperlink r:id="rId76" w:tgtFrame="_blank" w:history="1">
        <w:r w:rsidRPr="00BE3DAF">
          <w:rPr>
            <w:rFonts w:ascii="Aptos" w:eastAsia="Aptos" w:hAnsi="Aptos" w:cs="Arial"/>
            <w:color w:val="467886"/>
            <w:kern w:val="2"/>
            <w:sz w:val="22"/>
            <w:szCs w:val="22"/>
            <w:u w:val="single"/>
            <w14:ligatures w14:val="standardContextual"/>
          </w:rPr>
          <w:t>Broadband Commission for Sustainable Development</w:t>
        </w:r>
      </w:hyperlink>
      <w:r w:rsidR="00A94082"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set itself the goal of making broadband in developing countries affordable by 2025, affordability being defined as the availability of broadband access at a price that is less than 2 per cent of monthly GNI per capita.</w:t>
      </w:r>
    </w:p>
    <w:p w14:paraId="26B65015" w14:textId="0B437FB6" w:rsidR="003407FA" w:rsidRPr="00BE3DAF" w:rsidRDefault="0014226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Entry-level data-only m</w:t>
      </w:r>
      <w:r w:rsidR="009A7C8E" w:rsidRPr="00BE3DAF">
        <w:rPr>
          <w:rFonts w:ascii="Aptos" w:eastAsia="Aptos" w:hAnsi="Aptos" w:cs="Arial"/>
          <w:kern w:val="2"/>
          <w:sz w:val="22"/>
          <w:szCs w:val="22"/>
          <w14:ligatures w14:val="standardContextual"/>
        </w:rPr>
        <w:t xml:space="preserve">obile broadband prices have gone done </w:t>
      </w:r>
      <w:r w:rsidR="00DA23ED" w:rsidRPr="00BE3DAF">
        <w:rPr>
          <w:rFonts w:ascii="Aptos" w:eastAsia="Aptos" w:hAnsi="Aptos" w:cs="Arial"/>
          <w:kern w:val="2"/>
          <w:sz w:val="22"/>
          <w:szCs w:val="22"/>
          <w14:ligatures w14:val="standardContextual"/>
        </w:rPr>
        <w:t>sig</w:t>
      </w:r>
      <w:r w:rsidR="00042F56" w:rsidRPr="00BE3DAF">
        <w:rPr>
          <w:rFonts w:ascii="Aptos" w:eastAsia="Aptos" w:hAnsi="Aptos" w:cs="Arial"/>
          <w:kern w:val="2"/>
          <w:sz w:val="22"/>
          <w:szCs w:val="22"/>
          <w14:ligatures w14:val="standardContextual"/>
        </w:rPr>
        <w:t>nificantly in the region, from 1.7 per cent of GNI p</w:t>
      </w:r>
      <w:r w:rsidR="00E76B7A" w:rsidRPr="00BE3DAF">
        <w:rPr>
          <w:rFonts w:ascii="Aptos" w:eastAsia="Aptos" w:hAnsi="Aptos" w:cs="Arial"/>
          <w:kern w:val="2"/>
          <w:sz w:val="22"/>
          <w:szCs w:val="22"/>
          <w14:ligatures w14:val="standardContextual"/>
        </w:rPr>
        <w:t>er capita in 2018 to 0.9 in 2024</w:t>
      </w:r>
      <w:r w:rsidR="00F65E3E" w:rsidRPr="00BE3DAF">
        <w:rPr>
          <w:rFonts w:ascii="Aptos" w:eastAsia="Aptos" w:hAnsi="Aptos" w:cs="Arial"/>
          <w:kern w:val="2"/>
          <w:sz w:val="22"/>
          <w:szCs w:val="22"/>
          <w14:ligatures w14:val="standardContextual"/>
        </w:rPr>
        <w:t xml:space="preserve">, well below the </w:t>
      </w:r>
      <w:r w:rsidR="00C96677" w:rsidRPr="00BE3DAF">
        <w:rPr>
          <w:rFonts w:ascii="Aptos" w:eastAsia="Aptos" w:hAnsi="Aptos" w:cs="Arial"/>
          <w:kern w:val="2"/>
          <w:sz w:val="22"/>
          <w:szCs w:val="22"/>
          <w14:ligatures w14:val="standardContextual"/>
        </w:rPr>
        <w:t>2 per cent target of the Broadband Commission.</w:t>
      </w:r>
      <w:r w:rsidR="00E9428B" w:rsidRPr="00BE3DAF">
        <w:rPr>
          <w:rStyle w:val="FootnoteReference"/>
          <w:rFonts w:eastAsia="Aptos" w:cs="Arial"/>
          <w:kern w:val="2"/>
          <w:szCs w:val="22"/>
          <w14:ligatures w14:val="standardContextual"/>
        </w:rPr>
        <w:footnoteReference w:id="6"/>
      </w:r>
      <w:r w:rsidR="00776B71" w:rsidRPr="00BE3DAF">
        <w:rPr>
          <w:rFonts w:ascii="Aptos" w:eastAsia="Aptos" w:hAnsi="Aptos" w:cs="Arial"/>
          <w:kern w:val="2"/>
          <w:sz w:val="22"/>
          <w:szCs w:val="22"/>
          <w14:ligatures w14:val="standardContextual"/>
        </w:rPr>
        <w:t xml:space="preserve"> For an entry-level fixed broadband </w:t>
      </w:r>
      <w:r w:rsidR="00FC3726" w:rsidRPr="00BE3DAF">
        <w:rPr>
          <w:rFonts w:ascii="Aptos" w:eastAsia="Aptos" w:hAnsi="Aptos" w:cs="Arial"/>
          <w:kern w:val="2"/>
          <w:sz w:val="22"/>
          <w:szCs w:val="22"/>
          <w14:ligatures w14:val="standardContextual"/>
        </w:rPr>
        <w:t>service, the median price in 2024 was 2.2 per cent of GNI per capita</w:t>
      </w:r>
      <w:r w:rsidR="00C4593F" w:rsidRPr="00BE3DAF">
        <w:rPr>
          <w:rFonts w:ascii="Aptos" w:eastAsia="Aptos" w:hAnsi="Aptos" w:cs="Arial"/>
          <w:kern w:val="2"/>
          <w:sz w:val="22"/>
          <w:szCs w:val="22"/>
          <w14:ligatures w14:val="standardContextual"/>
        </w:rPr>
        <w:t xml:space="preserve">. This was still above the Broadband Commission target, but if the </w:t>
      </w:r>
      <w:r w:rsidR="0009059A" w:rsidRPr="00BE3DAF">
        <w:rPr>
          <w:rFonts w:ascii="Aptos" w:eastAsia="Aptos" w:hAnsi="Aptos" w:cs="Arial"/>
          <w:kern w:val="2"/>
          <w:sz w:val="22"/>
          <w:szCs w:val="22"/>
          <w14:ligatures w14:val="standardContextual"/>
        </w:rPr>
        <w:t xml:space="preserve">current </w:t>
      </w:r>
      <w:r w:rsidR="000C090B" w:rsidRPr="00BE3DAF">
        <w:rPr>
          <w:rFonts w:ascii="Aptos" w:eastAsia="Aptos" w:hAnsi="Aptos" w:cs="Arial"/>
          <w:kern w:val="2"/>
          <w:sz w:val="22"/>
          <w:szCs w:val="22"/>
          <w14:ligatures w14:val="standardContextual"/>
        </w:rPr>
        <w:t xml:space="preserve">trend continues, the region will drop below the target in the next years. </w:t>
      </w:r>
    </w:p>
    <w:p w14:paraId="5EF39CD1" w14:textId="0E938EAE" w:rsidR="006C41B5" w:rsidRPr="00BE3DAF" w:rsidRDefault="00E95A40"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Mobile b</w:t>
      </w:r>
      <w:r w:rsidR="006C41B5" w:rsidRPr="00BE3DAF">
        <w:rPr>
          <w:rFonts w:ascii="AvenirNext LT Pro Light" w:eastAsia="Yu Gothic Light" w:hAnsi="AvenirNext LT Pro Light" w:cs="Calibri"/>
          <w:color w:val="0070C0"/>
          <w:spacing w:val="-10"/>
          <w:kern w:val="28"/>
        </w:rPr>
        <w:t>roadband basket prices as % of gross national income per capita, 2024</w:t>
      </w:r>
    </w:p>
    <w:p w14:paraId="5833BBE5" w14:textId="667C8055" w:rsidR="006C41B5" w:rsidRPr="00BE3DAF" w:rsidRDefault="008B5F43" w:rsidP="00B1004A">
      <w:pPr>
        <w:pStyle w:val="Sourcetext"/>
      </w:pPr>
      <w:r w:rsidRPr="00BE3DAF">
        <w:rPr>
          <w:noProof/>
        </w:rPr>
        <w:drawing>
          <wp:inline distT="0" distB="0" distL="0" distR="0" wp14:anchorId="6A0268CB" wp14:editId="51542BB2">
            <wp:extent cx="6120765" cy="3159125"/>
            <wp:effectExtent l="0" t="0" r="0" b="3175"/>
            <wp:docPr id="304973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3666"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6120765" cy="3159125"/>
                    </a:xfrm>
                    <a:prstGeom prst="rect">
                      <a:avLst/>
                    </a:prstGeom>
                  </pic:spPr>
                </pic:pic>
              </a:graphicData>
            </a:graphic>
          </wp:inline>
        </w:drawing>
      </w:r>
      <w:r w:rsidR="006C41B5" w:rsidRPr="00BE3DAF">
        <w:t>Source: ITU</w:t>
      </w:r>
    </w:p>
    <w:p w14:paraId="6EB9F2FE" w14:textId="77777777" w:rsidR="007D70EE" w:rsidRPr="00BE3DAF" w:rsidRDefault="007D70EE" w:rsidP="007D70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BE3DAF">
        <w:rPr>
          <w:rFonts w:ascii="Aptos" w:eastAsia="Aptos" w:hAnsi="Aptos" w:cs="Arial"/>
          <w:kern w:val="2"/>
          <w:sz w:val="22"/>
          <w:szCs w:val="22"/>
          <w14:ligatures w14:val="standardContextual"/>
        </w:rPr>
        <w:t xml:space="preserve">In 14 of 40 countries, the mobile broadband price was above the 2 per cent Broadband Commission target. Ten of these countries are small Pacific islands. For fixed broadband, prices in 23 out 38 countries were above the 2 per cent target. This included seven Pacific islands, which all had prices above 5 per cent of GNI per capita. </w:t>
      </w:r>
    </w:p>
    <w:p w14:paraId="20BA4870" w14:textId="4376A066" w:rsidR="00E95A40" w:rsidRPr="00BE3DAF" w:rsidRDefault="00E95A40" w:rsidP="00E95A4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Fixed broadband basket prices as % of gross national income per capita, 2024</w:t>
      </w:r>
      <w:r w:rsidR="00CB1196" w:rsidRPr="00BE3DAF">
        <w:rPr>
          <w:rFonts w:ascii="AvenirNext LT Pro Light" w:eastAsia="Yu Gothic Light" w:hAnsi="AvenirNext LT Pro Light" w:cs="Calibri"/>
          <w:color w:val="0070C0"/>
          <w:spacing w:val="-10"/>
          <w:kern w:val="28"/>
        </w:rPr>
        <w:t xml:space="preserve"> or latest year available</w:t>
      </w:r>
    </w:p>
    <w:p w14:paraId="2579A4FD" w14:textId="648597E4" w:rsidR="00E95A40" w:rsidRPr="00BE3DAF" w:rsidRDefault="00D12B71" w:rsidP="00E95A40">
      <w:pPr>
        <w:pStyle w:val="Sourcetext"/>
      </w:pPr>
      <w:r w:rsidRPr="00BE3DAF">
        <w:rPr>
          <w:noProof/>
        </w:rPr>
        <w:drawing>
          <wp:inline distT="0" distB="0" distL="0" distR="0" wp14:anchorId="4FFF4226" wp14:editId="10C590D4">
            <wp:extent cx="6120765" cy="3046095"/>
            <wp:effectExtent l="0" t="0" r="0" b="1905"/>
            <wp:docPr id="4006256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25689"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6120765" cy="3046095"/>
                    </a:xfrm>
                    <a:prstGeom prst="rect">
                      <a:avLst/>
                    </a:prstGeom>
                  </pic:spPr>
                </pic:pic>
              </a:graphicData>
            </a:graphic>
          </wp:inline>
        </w:drawing>
      </w:r>
      <w:r w:rsidR="00E95A40" w:rsidRPr="00BE3DAF">
        <w:t>Source: ITU</w:t>
      </w:r>
    </w:p>
    <w:p w14:paraId="7305CDA7" w14:textId="17444C4C"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40AF6F9C" w14:textId="77777777" w:rsidR="006C41B5" w:rsidRPr="00BE3DAF" w:rsidRDefault="006C41B5" w:rsidP="000C3666">
      <w:pPr>
        <w:pStyle w:val="Section"/>
      </w:pPr>
      <w:bookmarkStart w:id="15" w:name="_Toc189658580"/>
      <w:r w:rsidRPr="00BE3DAF">
        <w:lastRenderedPageBreak/>
        <w:t>Mobile phone ownership and subscriptions</w:t>
      </w:r>
      <w:bookmarkEnd w:id="15"/>
    </w:p>
    <w:p w14:paraId="25599BE6" w14:textId="1C36FE16"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 xml:space="preserve">Mobile phone ownership </w:t>
      </w:r>
      <w:r w:rsidR="005D4573" w:rsidRPr="00BE3DAF">
        <w:rPr>
          <w:rFonts w:ascii="Aptos" w:eastAsia="Aptos" w:hAnsi="Aptos" w:cs="Arial"/>
          <w:b/>
          <w:bCs/>
          <w:i/>
          <w:iCs/>
          <w:kern w:val="2"/>
          <w:sz w:val="22"/>
          <w:szCs w:val="22"/>
          <w14:ligatures w14:val="standardContextual"/>
        </w:rPr>
        <w:t>is</w:t>
      </w:r>
      <w:r w:rsidRPr="00BE3DAF">
        <w:rPr>
          <w:rFonts w:ascii="Aptos" w:eastAsia="Aptos" w:hAnsi="Aptos" w:cs="Arial"/>
          <w:b/>
          <w:bCs/>
          <w:i/>
          <w:iCs/>
          <w:kern w:val="2"/>
          <w:sz w:val="22"/>
          <w:szCs w:val="22"/>
          <w14:ligatures w14:val="standardContextual"/>
        </w:rPr>
        <w:t xml:space="preserve"> </w:t>
      </w:r>
      <w:r w:rsidR="005302B0" w:rsidRPr="00BE3DAF">
        <w:rPr>
          <w:rFonts w:ascii="Aptos" w:eastAsia="Aptos" w:hAnsi="Aptos" w:cs="Arial"/>
          <w:b/>
          <w:bCs/>
          <w:i/>
          <w:iCs/>
          <w:kern w:val="2"/>
          <w:sz w:val="22"/>
          <w:szCs w:val="22"/>
          <w14:ligatures w14:val="standardContextual"/>
        </w:rPr>
        <w:t>very high in the region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BE3DAF" w14:paraId="6232C335" w14:textId="77777777" w:rsidTr="00D670B7">
        <w:tc>
          <w:tcPr>
            <w:tcW w:w="4490" w:type="dxa"/>
          </w:tcPr>
          <w:p w14:paraId="1F2ACABD" w14:textId="1F53768A" w:rsidR="006C41B5" w:rsidRPr="00BE3DAF" w:rsidRDefault="006C41B5" w:rsidP="004F051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0"/>
                <w14:ligatures w14:val="none"/>
              </w:rPr>
            </w:pPr>
            <w:r w:rsidRPr="00BE3DAF">
              <w:rPr>
                <w:rFonts w:ascii="AvenirNext LT Pro Light" w:eastAsia="Yu Gothic Light" w:hAnsi="AvenirNext LT Pro Light" w:cs="Calibri"/>
                <w:color w:val="0070C0"/>
                <w:spacing w:val="-10"/>
                <w:kern w:val="28"/>
                <w:szCs w:val="20"/>
                <w14:ligatures w14:val="none"/>
              </w:rPr>
              <w:t>Percentage of individuals owning a mobile phone</w:t>
            </w:r>
            <w:r w:rsidR="00E472FF" w:rsidRPr="00BE3DAF">
              <w:rPr>
                <w:noProof/>
              </w:rPr>
              <w:t xml:space="preserve"> </w:t>
            </w:r>
            <w:r w:rsidR="00E472FF" w:rsidRPr="00BE3DAF">
              <w:rPr>
                <w:noProof/>
              </w:rPr>
              <w:drawing>
                <wp:inline distT="0" distB="0" distL="0" distR="0" wp14:anchorId="6797B2DF" wp14:editId="50F1F109">
                  <wp:extent cx="2667000" cy="2333625"/>
                  <wp:effectExtent l="0" t="0" r="0" b="0"/>
                  <wp:docPr id="19925026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02680"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667000" cy="2333625"/>
                          </a:xfrm>
                          <a:prstGeom prst="rect">
                            <a:avLst/>
                          </a:prstGeom>
                        </pic:spPr>
                      </pic:pic>
                    </a:graphicData>
                  </a:graphic>
                </wp:inline>
              </w:drawing>
            </w:r>
          </w:p>
        </w:tc>
        <w:tc>
          <w:tcPr>
            <w:tcW w:w="4566" w:type="dxa"/>
          </w:tcPr>
          <w:p w14:paraId="58E4F25D" w14:textId="5EC2A165" w:rsidR="006C41B5" w:rsidRPr="00BE3DAF"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0"/>
                <w14:ligatures w14:val="none"/>
              </w:rPr>
            </w:pPr>
            <w:r w:rsidRPr="00BE3DAF">
              <w:rPr>
                <w:rFonts w:ascii="AvenirNext LT Pro Light" w:eastAsia="Yu Gothic Light" w:hAnsi="AvenirNext LT Pro Light" w:cs="Calibri"/>
                <w:color w:val="0070C0"/>
                <w:spacing w:val="-10"/>
                <w:kern w:val="28"/>
                <w:szCs w:val="20"/>
                <w14:ligatures w14:val="none"/>
              </w:rPr>
              <w:t>Percentage of individuals owning a mobile phone by gender, 2024</w:t>
            </w:r>
            <w:r w:rsidR="008859C7" w:rsidRPr="00BE3DAF">
              <w:rPr>
                <w:noProof/>
              </w:rPr>
              <w:t xml:space="preserve"> </w:t>
            </w:r>
            <w:r w:rsidR="00D670B7" w:rsidRPr="00BE3DAF">
              <w:rPr>
                <w:noProof/>
              </w:rPr>
              <w:drawing>
                <wp:inline distT="0" distB="0" distL="0" distR="0" wp14:anchorId="6BB69481" wp14:editId="566BF985">
                  <wp:extent cx="2752725" cy="2333625"/>
                  <wp:effectExtent l="0" t="0" r="9525" b="9525"/>
                  <wp:docPr id="1981215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15812"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2752725" cy="2333625"/>
                          </a:xfrm>
                          <a:prstGeom prst="rect">
                            <a:avLst/>
                          </a:prstGeom>
                        </pic:spPr>
                      </pic:pic>
                    </a:graphicData>
                  </a:graphic>
                </wp:inline>
              </w:drawing>
            </w:r>
          </w:p>
        </w:tc>
      </w:tr>
    </w:tbl>
    <w:p w14:paraId="5077B7E5" w14:textId="77777777" w:rsidR="006C41B5" w:rsidRPr="00BE3DAF" w:rsidRDefault="006C41B5" w:rsidP="00B1004A">
      <w:pPr>
        <w:pStyle w:val="notetext"/>
      </w:pPr>
      <w:r w:rsidRPr="00BE3DAF">
        <w:t>Note: Individuals aged 10 and older.</w:t>
      </w:r>
    </w:p>
    <w:p w14:paraId="1BD6BEC2" w14:textId="77777777" w:rsidR="006C41B5" w:rsidRPr="00BE3DAF" w:rsidRDefault="006C41B5" w:rsidP="00B1004A">
      <w:pPr>
        <w:pStyle w:val="Sourcetext"/>
      </w:pPr>
      <w:r w:rsidRPr="00BE3DAF">
        <w:t>Source: ITU</w:t>
      </w:r>
    </w:p>
    <w:p w14:paraId="2CD847BE" w14:textId="65F470A1" w:rsidR="009D34A0" w:rsidRPr="00BE3DAF" w:rsidRDefault="009D34A0" w:rsidP="009D34A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2024, </w:t>
      </w:r>
      <w:r w:rsidR="0034386C" w:rsidRPr="00BE3DAF">
        <w:rPr>
          <w:rFonts w:ascii="Aptos" w:eastAsia="Aptos" w:hAnsi="Aptos" w:cs="Arial"/>
          <w:kern w:val="2"/>
          <w:sz w:val="22"/>
          <w:szCs w:val="22"/>
          <w14:ligatures w14:val="standardContextual"/>
        </w:rPr>
        <w:t>77</w:t>
      </w:r>
      <w:r w:rsidRPr="00BE3DAF">
        <w:rPr>
          <w:rFonts w:ascii="Aptos" w:eastAsia="Aptos" w:hAnsi="Aptos" w:cs="Arial"/>
          <w:kern w:val="2"/>
          <w:sz w:val="22"/>
          <w:szCs w:val="22"/>
          <w14:ligatures w14:val="standardContextual"/>
        </w:rPr>
        <w:t xml:space="preserve"> per cent of individuals in </w:t>
      </w:r>
      <w:r w:rsidR="0034386C" w:rsidRPr="00BE3DAF">
        <w:rPr>
          <w:rFonts w:ascii="Aptos" w:eastAsia="Aptos" w:hAnsi="Aptos" w:cs="Arial"/>
          <w:kern w:val="2"/>
          <w:sz w:val="22"/>
          <w:szCs w:val="22"/>
          <w14:ligatures w14:val="standardContextual"/>
        </w:rPr>
        <w:t>Asia and the Pacific</w:t>
      </w:r>
      <w:r w:rsidRPr="00BE3DAF">
        <w:rPr>
          <w:rFonts w:ascii="Aptos" w:eastAsia="Aptos" w:hAnsi="Aptos" w:cs="Arial"/>
          <w:kern w:val="2"/>
          <w:sz w:val="22"/>
          <w:szCs w:val="22"/>
          <w14:ligatures w14:val="standardContextual"/>
        </w:rPr>
        <w:t xml:space="preserve"> aged 10 and older owned a mobile phone, three percentage points </w:t>
      </w:r>
      <w:r w:rsidR="0034386C" w:rsidRPr="00BE3DAF">
        <w:rPr>
          <w:rFonts w:ascii="Aptos" w:eastAsia="Aptos" w:hAnsi="Aptos" w:cs="Arial"/>
          <w:kern w:val="2"/>
          <w:sz w:val="22"/>
          <w:szCs w:val="22"/>
          <w14:ligatures w14:val="standardContextual"/>
        </w:rPr>
        <w:t xml:space="preserve">less </w:t>
      </w:r>
      <w:r w:rsidRPr="00BE3DAF">
        <w:rPr>
          <w:rFonts w:ascii="Aptos" w:eastAsia="Aptos" w:hAnsi="Aptos" w:cs="Arial"/>
          <w:kern w:val="2"/>
          <w:sz w:val="22"/>
          <w:szCs w:val="22"/>
          <w14:ligatures w14:val="standardContextual"/>
        </w:rPr>
        <w:t>than the global average. Growth over the last five years has been modest, which is not surprising considering the level is already high. The gender parity score for ownership stood at 0.9</w:t>
      </w:r>
      <w:r w:rsidR="000B6EBD" w:rsidRPr="00BE3DAF">
        <w:rPr>
          <w:rFonts w:ascii="Aptos" w:eastAsia="Aptos" w:hAnsi="Aptos" w:cs="Arial"/>
          <w:kern w:val="2"/>
          <w:sz w:val="22"/>
          <w:szCs w:val="22"/>
          <w14:ligatures w14:val="standardContextual"/>
        </w:rPr>
        <w:t>2</w:t>
      </w:r>
      <w:r w:rsidRPr="00BE3DAF">
        <w:rPr>
          <w:rFonts w:ascii="Aptos" w:eastAsia="Aptos" w:hAnsi="Aptos" w:cs="Arial"/>
          <w:kern w:val="2"/>
          <w:sz w:val="22"/>
          <w:szCs w:val="22"/>
          <w14:ligatures w14:val="standardContextual"/>
        </w:rPr>
        <w:t xml:space="preserve">, </w:t>
      </w:r>
      <w:r w:rsidR="00C078CB" w:rsidRPr="00BE3DAF">
        <w:rPr>
          <w:rFonts w:ascii="Aptos" w:eastAsia="Aptos" w:hAnsi="Aptos" w:cs="Arial"/>
          <w:kern w:val="2"/>
          <w:sz w:val="22"/>
          <w:szCs w:val="22"/>
          <w14:ligatures w14:val="standardContextual"/>
        </w:rPr>
        <w:t xml:space="preserve">improving from 0.89 in </w:t>
      </w:r>
      <w:r w:rsidRPr="00BE3DAF">
        <w:rPr>
          <w:rFonts w:ascii="Aptos" w:eastAsia="Aptos" w:hAnsi="Aptos" w:cs="Arial"/>
          <w:kern w:val="2"/>
          <w:sz w:val="22"/>
          <w:szCs w:val="22"/>
          <w14:ligatures w14:val="standardContextual"/>
        </w:rPr>
        <w:t xml:space="preserve">2021. During the same period, the global GPS </w:t>
      </w:r>
      <w:r w:rsidR="00C078CB" w:rsidRPr="00BE3DAF">
        <w:rPr>
          <w:rFonts w:ascii="Aptos" w:eastAsia="Aptos" w:hAnsi="Aptos" w:cs="Arial"/>
          <w:kern w:val="2"/>
          <w:sz w:val="22"/>
          <w:szCs w:val="22"/>
          <w14:ligatures w14:val="standardContextual"/>
        </w:rPr>
        <w:t xml:space="preserve">also </w:t>
      </w:r>
      <w:r w:rsidRPr="00BE3DAF">
        <w:rPr>
          <w:rFonts w:ascii="Aptos" w:eastAsia="Aptos" w:hAnsi="Aptos" w:cs="Arial"/>
          <w:kern w:val="2"/>
          <w:sz w:val="22"/>
          <w:szCs w:val="22"/>
          <w14:ligatures w14:val="standardContextual"/>
        </w:rPr>
        <w:t>improved slightly, from 0.91 to 0.93.</w:t>
      </w:r>
    </w:p>
    <w:p w14:paraId="3D5F46D2" w14:textId="77777777" w:rsidR="00CE0AF4" w:rsidRPr="00BE3DAF" w:rsidRDefault="00CE0AF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br w:type="page"/>
      </w:r>
    </w:p>
    <w:p w14:paraId="58AD5113" w14:textId="46DD930D"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 xml:space="preserve">Percentage of individuals owning a mobile phone, </w:t>
      </w:r>
      <w:r w:rsidR="00CD1E50" w:rsidRPr="00BE3DAF">
        <w:rPr>
          <w:rFonts w:ascii="AvenirNext LT Pro Light" w:eastAsia="Yu Gothic Light" w:hAnsi="AvenirNext LT Pro Light" w:cs="Calibri"/>
          <w:color w:val="0070C0"/>
          <w:spacing w:val="-10"/>
          <w:kern w:val="28"/>
        </w:rPr>
        <w:t>2023</w:t>
      </w:r>
    </w:p>
    <w:p w14:paraId="7A43C988" w14:textId="233ECB5A" w:rsidR="006C41B5" w:rsidRPr="00BE3DAF" w:rsidRDefault="000D0FD5" w:rsidP="00B1004A">
      <w:pPr>
        <w:pStyle w:val="notetext"/>
      </w:pPr>
      <w:r w:rsidRPr="00BE3DAF">
        <w:rPr>
          <w:noProof/>
        </w:rPr>
        <w:drawing>
          <wp:inline distT="0" distB="0" distL="0" distR="0" wp14:anchorId="4B8D8EFB" wp14:editId="2FC38D11">
            <wp:extent cx="6120765" cy="3201670"/>
            <wp:effectExtent l="0" t="0" r="0" b="0"/>
            <wp:docPr id="19871295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9572"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6120765" cy="3201670"/>
                    </a:xfrm>
                    <a:prstGeom prst="rect">
                      <a:avLst/>
                    </a:prstGeom>
                  </pic:spPr>
                </pic:pic>
              </a:graphicData>
            </a:graphic>
          </wp:inline>
        </w:drawing>
      </w:r>
      <w:r w:rsidR="006C41B5" w:rsidRPr="00BE3DAF">
        <w:t xml:space="preserve">Notes: Individuals aged 10 and older. </w:t>
      </w:r>
      <w:r w:rsidR="00757777" w:rsidRPr="00BE3DAF">
        <w:rPr>
          <w:rFonts w:eastAsia="Aptos" w:cs="Arial"/>
        </w:rPr>
        <w:t>Country submitted are in a darker shade, non-official data in a lighter shade</w:t>
      </w:r>
      <w:r w:rsidR="006C41B5" w:rsidRPr="00BE3DAF">
        <w:t>.</w:t>
      </w:r>
    </w:p>
    <w:p w14:paraId="15977200" w14:textId="77777777" w:rsidR="006C41B5" w:rsidRPr="00BE3DAF" w:rsidRDefault="006C41B5" w:rsidP="00B1004A">
      <w:pPr>
        <w:pStyle w:val="Sourcetext"/>
      </w:pPr>
      <w:r w:rsidRPr="00BE3DAF">
        <w:t>Source: ITU</w:t>
      </w:r>
    </w:p>
    <w:p w14:paraId="4D57C845" w14:textId="769867A7" w:rsidR="006C41B5" w:rsidRPr="00BE3DAF" w:rsidRDefault="00065D2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sixteen </w:t>
      </w:r>
      <w:r w:rsidR="00765FC9" w:rsidRPr="00BE3DAF">
        <w:rPr>
          <w:rFonts w:ascii="Aptos" w:eastAsia="Aptos" w:hAnsi="Aptos" w:cs="Arial"/>
          <w:kern w:val="2"/>
          <w:sz w:val="22"/>
          <w:szCs w:val="22"/>
          <w14:ligatures w14:val="standardContextual"/>
        </w:rPr>
        <w:t xml:space="preserve">(out of 36) countries, mobile phone ownership was below </w:t>
      </w:r>
      <w:r w:rsidR="00051072" w:rsidRPr="00BE3DAF">
        <w:rPr>
          <w:rFonts w:ascii="Aptos" w:eastAsia="Aptos" w:hAnsi="Aptos" w:cs="Arial"/>
          <w:kern w:val="2"/>
          <w:sz w:val="22"/>
          <w:szCs w:val="22"/>
          <w14:ligatures w14:val="standardContextual"/>
        </w:rPr>
        <w:t>80 per cent of the population</w:t>
      </w:r>
      <w:r w:rsidR="00EE752E" w:rsidRPr="00BE3DAF">
        <w:rPr>
          <w:rFonts w:ascii="Aptos" w:eastAsia="Aptos" w:hAnsi="Aptos" w:cs="Arial"/>
          <w:kern w:val="2"/>
          <w:sz w:val="22"/>
          <w:szCs w:val="22"/>
          <w14:ligatures w14:val="standardContextual"/>
        </w:rPr>
        <w:t xml:space="preserve">, including </w:t>
      </w:r>
      <w:r w:rsidR="00CE0AF4" w:rsidRPr="00BE3DAF">
        <w:rPr>
          <w:rFonts w:ascii="Aptos" w:eastAsia="Aptos" w:hAnsi="Aptos" w:cs="Arial"/>
          <w:kern w:val="2"/>
          <w:sz w:val="22"/>
          <w:szCs w:val="22"/>
          <w14:ligatures w14:val="standardContextual"/>
        </w:rPr>
        <w:t>five Pacific islands.</w:t>
      </w:r>
      <w:r w:rsidR="00051072" w:rsidRPr="00BE3DAF">
        <w:rPr>
          <w:rFonts w:ascii="Aptos" w:eastAsia="Aptos" w:hAnsi="Aptos" w:cs="Arial"/>
          <w:kern w:val="2"/>
          <w:sz w:val="22"/>
          <w:szCs w:val="22"/>
          <w14:ligatures w14:val="standardContextual"/>
        </w:rPr>
        <w:t xml:space="preserve"> </w:t>
      </w:r>
      <w:r w:rsidR="006124FA" w:rsidRPr="00BE3DAF">
        <w:rPr>
          <w:rFonts w:ascii="Aptos" w:eastAsia="Aptos" w:hAnsi="Aptos" w:cs="Arial"/>
          <w:kern w:val="2"/>
          <w:sz w:val="22"/>
          <w:szCs w:val="22"/>
          <w14:ligatures w14:val="standardContextual"/>
        </w:rPr>
        <w:t>In the 12 countries for which data are available</w:t>
      </w:r>
      <w:r w:rsidR="003610EF" w:rsidRPr="00BE3DAF">
        <w:rPr>
          <w:rFonts w:ascii="Aptos" w:eastAsia="Aptos" w:hAnsi="Aptos" w:cs="Arial"/>
          <w:kern w:val="2"/>
          <w:sz w:val="22"/>
          <w:szCs w:val="22"/>
          <w14:ligatures w14:val="standardContextual"/>
        </w:rPr>
        <w:t xml:space="preserve"> for a recent year</w:t>
      </w:r>
      <w:r w:rsidR="006124FA" w:rsidRPr="00BE3DAF">
        <w:rPr>
          <w:rFonts w:ascii="Aptos" w:eastAsia="Aptos" w:hAnsi="Aptos" w:cs="Arial"/>
          <w:kern w:val="2"/>
          <w:sz w:val="22"/>
          <w:szCs w:val="22"/>
          <w14:ligatures w14:val="standardContextual"/>
        </w:rPr>
        <w:t xml:space="preserve">, gender parity was reached in </w:t>
      </w:r>
      <w:r w:rsidR="00D17D1E" w:rsidRPr="00BE3DAF">
        <w:rPr>
          <w:rFonts w:ascii="Aptos" w:eastAsia="Aptos" w:hAnsi="Aptos" w:cs="Arial"/>
          <w:kern w:val="2"/>
          <w:sz w:val="22"/>
          <w:szCs w:val="22"/>
          <w14:ligatures w14:val="standardContextual"/>
        </w:rPr>
        <w:t xml:space="preserve">seven of them. </w:t>
      </w:r>
    </w:p>
    <w:p w14:paraId="42A982A8" w14:textId="4B8754ED" w:rsidR="000533BC" w:rsidRPr="00BE3DAF" w:rsidRDefault="000533BC" w:rsidP="000533B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of individuals owning a mobile phone, by gender, 2023</w:t>
      </w:r>
      <w:r w:rsidR="00D96A42" w:rsidRPr="00BE3DAF">
        <w:rPr>
          <w:rFonts w:ascii="AvenirNext LT Pro Light" w:eastAsia="Yu Gothic Light" w:hAnsi="AvenirNext LT Pro Light" w:cs="Calibri"/>
          <w:color w:val="0070C0"/>
          <w:spacing w:val="-10"/>
          <w:kern w:val="28"/>
        </w:rPr>
        <w:t xml:space="preserve"> or latest year available</w:t>
      </w:r>
    </w:p>
    <w:p w14:paraId="7C06437D" w14:textId="68CB9B51" w:rsidR="000533BC" w:rsidRPr="00BE3DAF" w:rsidRDefault="00556538" w:rsidP="000533BC">
      <w:pPr>
        <w:pStyle w:val="notetext"/>
      </w:pPr>
      <w:r w:rsidRPr="00BE3DAF">
        <w:rPr>
          <w:noProof/>
        </w:rPr>
        <w:drawing>
          <wp:inline distT="0" distB="0" distL="0" distR="0" wp14:anchorId="66126537" wp14:editId="06610C4B">
            <wp:extent cx="6120765" cy="2835910"/>
            <wp:effectExtent l="0" t="0" r="0" b="2540"/>
            <wp:docPr id="481437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7503"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6120765" cy="2835910"/>
                    </a:xfrm>
                    <a:prstGeom prst="rect">
                      <a:avLst/>
                    </a:prstGeom>
                  </pic:spPr>
                </pic:pic>
              </a:graphicData>
            </a:graphic>
          </wp:inline>
        </w:drawing>
      </w:r>
      <w:r w:rsidR="000533BC" w:rsidRPr="00BE3DAF">
        <w:t>Notes: Individuals aged 10 and older.</w:t>
      </w:r>
    </w:p>
    <w:p w14:paraId="17581829" w14:textId="77777777" w:rsidR="000533BC" w:rsidRPr="00C55F28" w:rsidRDefault="000533BC" w:rsidP="000533BC">
      <w:pPr>
        <w:pStyle w:val="Sourcetext"/>
        <w:rPr>
          <w:lang w:val="fr-CH"/>
        </w:rPr>
      </w:pPr>
      <w:r w:rsidRPr="00C55F28">
        <w:rPr>
          <w:lang w:val="fr-CH"/>
        </w:rPr>
        <w:t>Source: ITU</w:t>
      </w:r>
    </w:p>
    <w:p w14:paraId="003E2AC1" w14:textId="77777777" w:rsidR="000533BC" w:rsidRPr="00C55F28" w:rsidRDefault="000533BC"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CH"/>
          <w14:ligatures w14:val="standardContextual"/>
        </w:rPr>
      </w:pPr>
    </w:p>
    <w:p w14:paraId="3BAAD768" w14:textId="77777777" w:rsidR="006C41B5" w:rsidRPr="00C55F28"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lang w:val="fr-CH"/>
        </w:rPr>
      </w:pPr>
      <w:r w:rsidRPr="00C55F28">
        <w:rPr>
          <w:rFonts w:ascii="AvenirNext LT Pro Light" w:eastAsia="Yu Gothic Light" w:hAnsi="AvenirNext LT Pro Light" w:cs="Calibri"/>
          <w:color w:val="0070C0"/>
          <w:spacing w:val="-10"/>
          <w:kern w:val="28"/>
          <w:lang w:val="fr-CH"/>
        </w:rPr>
        <w:lastRenderedPageBreak/>
        <w:t>Mobile-cellular subscriptions per 100 inhabitants</w:t>
      </w:r>
    </w:p>
    <w:p w14:paraId="73CB7473" w14:textId="4CCEB3C1" w:rsidR="000018FC" w:rsidRPr="00BE3DAF" w:rsidRDefault="000F02A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noProof/>
        </w:rPr>
        <w:drawing>
          <wp:inline distT="0" distB="0" distL="0" distR="0" wp14:anchorId="30D2C84F" wp14:editId="43AEA6EF">
            <wp:extent cx="6120765" cy="2702560"/>
            <wp:effectExtent l="0" t="0" r="0" b="2540"/>
            <wp:docPr id="7858658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65802"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6120765" cy="2702560"/>
                    </a:xfrm>
                    <a:prstGeom prst="rect">
                      <a:avLst/>
                    </a:prstGeom>
                  </pic:spPr>
                </pic:pic>
              </a:graphicData>
            </a:graphic>
          </wp:inline>
        </w:drawing>
      </w:r>
    </w:p>
    <w:p w14:paraId="2416908B" w14:textId="23C32D28" w:rsidR="006C41B5" w:rsidRPr="00BE3DAF" w:rsidRDefault="006C41B5" w:rsidP="00B1004A">
      <w:pPr>
        <w:pStyle w:val="Sourcetext"/>
      </w:pPr>
      <w:r w:rsidRPr="00BE3DAF">
        <w:t>Source: ITU</w:t>
      </w:r>
    </w:p>
    <w:p w14:paraId="6811A7F6" w14:textId="67081CD4" w:rsidR="00596B4C" w:rsidRPr="00BE3DAF" w:rsidRDefault="00535629" w:rsidP="00D1656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To use a mobile phone, a mobile-cellular or mobile broadband subscription is needed. In </w:t>
      </w:r>
      <w:r w:rsidR="007F570D" w:rsidRPr="00BE3DAF">
        <w:rPr>
          <w:rFonts w:ascii="Aptos" w:eastAsia="Aptos" w:hAnsi="Aptos" w:cs="Arial"/>
          <w:kern w:val="2"/>
          <w:sz w:val="22"/>
          <w:szCs w:val="22"/>
          <w14:ligatures w14:val="standardContextual"/>
        </w:rPr>
        <w:t>Asia and the Pacific</w:t>
      </w:r>
      <w:r w:rsidRPr="00BE3DAF">
        <w:rPr>
          <w:rFonts w:ascii="Aptos" w:eastAsia="Aptos" w:hAnsi="Aptos" w:cs="Arial"/>
          <w:kern w:val="2"/>
          <w:sz w:val="22"/>
          <w:szCs w:val="22"/>
          <w14:ligatures w14:val="standardContextual"/>
        </w:rPr>
        <w:t>, there were 1</w:t>
      </w:r>
      <w:r w:rsidR="007F570D" w:rsidRPr="00BE3DAF">
        <w:rPr>
          <w:rFonts w:ascii="Aptos" w:eastAsia="Aptos" w:hAnsi="Aptos" w:cs="Arial"/>
          <w:kern w:val="2"/>
          <w:sz w:val="22"/>
          <w:szCs w:val="22"/>
          <w14:ligatures w14:val="standardContextual"/>
        </w:rPr>
        <w:t>12</w:t>
      </w:r>
      <w:r w:rsidRPr="00BE3DAF">
        <w:rPr>
          <w:rFonts w:ascii="Aptos" w:eastAsia="Aptos" w:hAnsi="Aptos" w:cs="Arial"/>
          <w:kern w:val="2"/>
          <w:sz w:val="22"/>
          <w:szCs w:val="22"/>
          <w14:ligatures w14:val="standardContextual"/>
        </w:rPr>
        <w:t xml:space="preserve"> subscriptions per 100 inhabitants in 2024, </w:t>
      </w:r>
      <w:r w:rsidR="00AF348B" w:rsidRPr="00BE3DAF">
        <w:rPr>
          <w:rFonts w:ascii="Aptos" w:eastAsia="Aptos" w:hAnsi="Aptos" w:cs="Arial"/>
          <w:kern w:val="2"/>
          <w:sz w:val="22"/>
          <w:szCs w:val="22"/>
          <w14:ligatures w14:val="standardContextual"/>
        </w:rPr>
        <w:t xml:space="preserve">identical to the </w:t>
      </w:r>
      <w:r w:rsidRPr="00BE3DAF">
        <w:rPr>
          <w:rFonts w:ascii="Aptos" w:eastAsia="Aptos" w:hAnsi="Aptos" w:cs="Arial"/>
          <w:kern w:val="2"/>
          <w:sz w:val="22"/>
          <w:szCs w:val="22"/>
          <w14:ligatures w14:val="standardContextual"/>
        </w:rPr>
        <w:t>global average. This indicator is</w:t>
      </w:r>
      <w:r w:rsidR="00A55310" w:rsidRPr="00BE3DAF">
        <w:rPr>
          <w:rFonts w:ascii="Aptos" w:eastAsia="Aptos" w:hAnsi="Aptos" w:cs="Arial"/>
          <w:kern w:val="2"/>
          <w:sz w:val="22"/>
          <w:szCs w:val="22"/>
          <w14:ligatures w14:val="standardContextual"/>
        </w:rPr>
        <w:t xml:space="preserve"> starting to</w:t>
      </w:r>
      <w:r w:rsidRPr="00BE3DAF">
        <w:rPr>
          <w:rFonts w:ascii="Aptos" w:eastAsia="Aptos" w:hAnsi="Aptos" w:cs="Arial"/>
          <w:kern w:val="2"/>
          <w:sz w:val="22"/>
          <w:szCs w:val="22"/>
          <w14:ligatures w14:val="standardContextual"/>
        </w:rPr>
        <w:t xml:space="preserve"> plateau, as it has </w:t>
      </w:r>
      <w:r w:rsidR="001F7677" w:rsidRPr="00BE3DAF">
        <w:rPr>
          <w:rFonts w:ascii="Aptos" w:eastAsia="Aptos" w:hAnsi="Aptos" w:cs="Arial"/>
          <w:kern w:val="2"/>
          <w:sz w:val="22"/>
          <w:szCs w:val="22"/>
          <w14:ligatures w14:val="standardContextual"/>
        </w:rPr>
        <w:t>increased only very modestly in the last five years</w:t>
      </w:r>
      <w:r w:rsidRPr="00BE3DAF">
        <w:rPr>
          <w:rFonts w:ascii="Aptos" w:eastAsia="Aptos" w:hAnsi="Aptos" w:cs="Arial"/>
          <w:kern w:val="2"/>
          <w:sz w:val="22"/>
          <w:szCs w:val="22"/>
          <w14:ligatures w14:val="standardContextual"/>
        </w:rPr>
        <w:t>.</w:t>
      </w:r>
    </w:p>
    <w:p w14:paraId="42E91D9F" w14:textId="0028A851" w:rsidR="007F570D" w:rsidRPr="00BE3DAF" w:rsidRDefault="00596B4C" w:rsidP="00D1656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At the country level</w:t>
      </w:r>
      <w:r w:rsidR="001D7B4A" w:rsidRPr="00BE3DAF">
        <w:rPr>
          <w:rFonts w:ascii="Aptos" w:eastAsia="Aptos" w:hAnsi="Aptos" w:cs="Arial"/>
          <w:kern w:val="2"/>
          <w:sz w:val="22"/>
          <w:szCs w:val="22"/>
          <w14:ligatures w14:val="standardContextual"/>
        </w:rPr>
        <w:t xml:space="preserve"> though, there was still a significant gap between the economies with least and most subscriptions per 100 inhabitants, </w:t>
      </w:r>
      <w:r w:rsidR="002041D2" w:rsidRPr="00BE3DAF">
        <w:rPr>
          <w:rFonts w:ascii="Aptos" w:eastAsia="Aptos" w:hAnsi="Aptos" w:cs="Arial"/>
          <w:kern w:val="2"/>
          <w:sz w:val="22"/>
          <w:szCs w:val="22"/>
          <w14:ligatures w14:val="standardContextual"/>
        </w:rPr>
        <w:t xml:space="preserve">at 20 and 319 respectively. </w:t>
      </w:r>
      <w:r w:rsidR="006F4547" w:rsidRPr="00BE3DAF">
        <w:rPr>
          <w:rFonts w:ascii="Aptos" w:eastAsia="Aptos" w:hAnsi="Aptos" w:cs="Arial"/>
          <w:kern w:val="2"/>
          <w:sz w:val="22"/>
          <w:szCs w:val="22"/>
          <w14:ligatures w14:val="standardContextual"/>
        </w:rPr>
        <w:t>Of the 16 countries below the regional average, nine were small Pacific islands.</w:t>
      </w:r>
    </w:p>
    <w:p w14:paraId="5F3A7413" w14:textId="465EEE4F"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Mobile-cellular subscriptions per 100 inhabitants, </w:t>
      </w:r>
      <w:r w:rsidR="007B7825"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year available</w:t>
      </w:r>
    </w:p>
    <w:p w14:paraId="5A4BB34B" w14:textId="567405AF" w:rsidR="00253C23" w:rsidRPr="00BE3DAF" w:rsidRDefault="00F272F8" w:rsidP="00D165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pPr>
      <w:r w:rsidRPr="00BE3DAF">
        <w:rPr>
          <w:noProof/>
        </w:rPr>
        <w:drawing>
          <wp:inline distT="0" distB="0" distL="0" distR="0" wp14:anchorId="3C0AE84F" wp14:editId="15CDCC75">
            <wp:extent cx="6120765" cy="3225800"/>
            <wp:effectExtent l="0" t="0" r="0" b="0"/>
            <wp:docPr id="21018701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70178"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6120765" cy="3225800"/>
                    </a:xfrm>
                    <a:prstGeom prst="rect">
                      <a:avLst/>
                    </a:prstGeom>
                  </pic:spPr>
                </pic:pic>
              </a:graphicData>
            </a:graphic>
          </wp:inline>
        </w:drawing>
      </w:r>
      <w:r w:rsidR="00253C23" w:rsidRPr="00BE3DAF">
        <w:rPr>
          <w:rFonts w:ascii="Aptos" w:eastAsiaTheme="minorHAnsi" w:hAnsi="Aptos" w:cstheme="minorBidi"/>
          <w:kern w:val="2"/>
          <w:sz w:val="16"/>
          <w:szCs w:val="28"/>
          <w14:ligatures w14:val="standardContextual"/>
        </w:rPr>
        <w:t>Notes: Country submitted are in a darker shade, non-official data in a lighter shade.</w:t>
      </w:r>
    </w:p>
    <w:p w14:paraId="3F83E9A8" w14:textId="77777777" w:rsidR="006C41B5" w:rsidRPr="00BE3DAF" w:rsidRDefault="006C41B5" w:rsidP="00B1004A">
      <w:pPr>
        <w:pStyle w:val="Sourcetext"/>
      </w:pPr>
      <w:r w:rsidRPr="00BE3DAF">
        <w:t>Source: ITU</w:t>
      </w:r>
    </w:p>
    <w:p w14:paraId="36AA0DFA" w14:textId="77777777" w:rsidR="006C41B5" w:rsidRPr="00BE3DAF"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br w:type="page"/>
      </w:r>
    </w:p>
    <w:p w14:paraId="34E6FA60" w14:textId="77777777" w:rsidR="006C41B5" w:rsidRPr="00BE3DAF" w:rsidRDefault="006C41B5" w:rsidP="00DA1CD8">
      <w:pPr>
        <w:pStyle w:val="Section"/>
      </w:pPr>
      <w:bookmarkStart w:id="16" w:name="_Toc189658581"/>
      <w:r w:rsidRPr="00BE3DAF">
        <w:lastRenderedPageBreak/>
        <w:t>ICT skills</w:t>
      </w:r>
      <w:bookmarkEnd w:id="16"/>
    </w:p>
    <w:p w14:paraId="1C200474"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bCs/>
          <w:i/>
          <w:iCs/>
          <w:kern w:val="2"/>
          <w:sz w:val="22"/>
          <w:szCs w:val="22"/>
          <w14:ligatures w14:val="standardContextual"/>
        </w:rPr>
        <w:t>Large variety in ICT skills among Internet users</w:t>
      </w:r>
    </w:p>
    <w:p w14:paraId="37A26D0A" w14:textId="77777777" w:rsidR="00C00CAB" w:rsidRPr="00BE3DAF" w:rsidRDefault="00C00CAB" w:rsidP="00C00CA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1FB78A8A" w14:textId="35C31BB3"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w:t>
      </w:r>
      <w:r w:rsidR="008A46C4" w:rsidRPr="00BE3DAF">
        <w:rPr>
          <w:rFonts w:ascii="Aptos" w:eastAsia="Aptos" w:hAnsi="Aptos" w:cs="Arial"/>
          <w:kern w:val="2"/>
          <w:sz w:val="22"/>
          <w:szCs w:val="22"/>
          <w14:ligatures w14:val="standardContextual"/>
        </w:rPr>
        <w:t xml:space="preserve">, with </w:t>
      </w:r>
      <w:r w:rsidR="005F31C7" w:rsidRPr="00BE3DAF">
        <w:rPr>
          <w:rFonts w:ascii="Aptos" w:eastAsia="Aptos" w:hAnsi="Aptos" w:cs="Arial"/>
          <w:kern w:val="2"/>
          <w:sz w:val="22"/>
          <w:szCs w:val="22"/>
          <w14:ligatures w14:val="standardContextual"/>
        </w:rPr>
        <w:t>only 13 countries in Asia and the Pacific having submitted data since 2020</w:t>
      </w:r>
      <w:r w:rsidRPr="00BE3DAF">
        <w:rPr>
          <w:rFonts w:ascii="Aptos" w:eastAsia="Aptos" w:hAnsi="Aptos" w:cs="Arial"/>
          <w:kern w:val="2"/>
          <w:sz w:val="22"/>
          <w:szCs w:val="22"/>
          <w14:ligatures w14:val="standardContextual"/>
        </w:rPr>
        <w:t xml:space="preserve">. </w:t>
      </w:r>
      <w:r w:rsidR="003B3E9E" w:rsidRPr="00BE3DAF">
        <w:rPr>
          <w:rFonts w:ascii="Aptos" w:eastAsia="Aptos" w:hAnsi="Aptos" w:cs="Arial"/>
          <w:kern w:val="2"/>
          <w:sz w:val="22"/>
          <w:szCs w:val="22"/>
          <w14:ligatures w14:val="standardContextual"/>
        </w:rPr>
        <w:t>Even</w:t>
      </w:r>
      <w:r w:rsidRPr="00BE3DAF">
        <w:rPr>
          <w:rFonts w:ascii="Aptos" w:eastAsia="Aptos" w:hAnsi="Aptos" w:cs="Arial"/>
          <w:kern w:val="2"/>
          <w:sz w:val="22"/>
          <w:szCs w:val="22"/>
          <w14:ligatures w14:val="standardContextual"/>
        </w:rPr>
        <w:t xml:space="preserve"> fewer – just </w:t>
      </w:r>
      <w:r w:rsidR="00282829" w:rsidRPr="00BE3DAF">
        <w:rPr>
          <w:rFonts w:ascii="Aptos" w:eastAsia="Aptos" w:hAnsi="Aptos" w:cs="Arial"/>
          <w:kern w:val="2"/>
          <w:sz w:val="22"/>
          <w:szCs w:val="22"/>
          <w14:ligatures w14:val="standardContextual"/>
        </w:rPr>
        <w:t>6</w:t>
      </w:r>
      <w:r w:rsidRPr="00BE3DAF">
        <w:rPr>
          <w:rFonts w:ascii="Aptos" w:eastAsia="Aptos" w:hAnsi="Aptos" w:cs="Arial"/>
          <w:kern w:val="2"/>
          <w:sz w:val="22"/>
          <w:szCs w:val="22"/>
          <w14:ligatures w14:val="standardContextual"/>
        </w:rPr>
        <w:t xml:space="preserve"> countries – provided </w:t>
      </w:r>
      <w:r w:rsidR="00282829" w:rsidRPr="00BE3DAF">
        <w:rPr>
          <w:rFonts w:ascii="Aptos" w:eastAsia="Aptos" w:hAnsi="Aptos" w:cs="Arial"/>
          <w:kern w:val="2"/>
          <w:sz w:val="22"/>
          <w:szCs w:val="22"/>
          <w14:ligatures w14:val="standardContextual"/>
        </w:rPr>
        <w:t xml:space="preserve">(at least some) </w:t>
      </w:r>
      <w:r w:rsidRPr="00BE3DAF">
        <w:rPr>
          <w:rFonts w:ascii="Aptos" w:eastAsia="Aptos" w:hAnsi="Aptos" w:cs="Arial"/>
          <w:kern w:val="2"/>
          <w:sz w:val="22"/>
          <w:szCs w:val="22"/>
          <w14:ligatures w14:val="standardContextual"/>
        </w:rPr>
        <w:t>comparable data on ICT skill levels (see box for details on the methodology for calculating ICT skill levels).</w:t>
      </w:r>
    </w:p>
    <w:p w14:paraId="3DEF477E" w14:textId="1036EBC6" w:rsidR="00EF1EF8" w:rsidRPr="00BE3DAF" w:rsidRDefault="00EF1EF8"/>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BE3DAF" w14:paraId="41D5B970" w14:textId="77777777" w:rsidTr="006C41B5">
        <w:tc>
          <w:tcPr>
            <w:tcW w:w="9016" w:type="dxa"/>
            <w:shd w:val="clear" w:color="auto" w:fill="F2F2F2"/>
          </w:tcPr>
          <w:p w14:paraId="0E831F47" w14:textId="5BFAC1F2"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BE3DAF">
              <w:rPr>
                <w:rFonts w:ascii="Aptos" w:hAnsi="Aptos"/>
                <w:b/>
                <w:sz w:val="22"/>
              </w:rPr>
              <w:t>Methodology for calculating ICT skill levels</w:t>
            </w:r>
          </w:p>
          <w:p w14:paraId="5753A8F5" w14:textId="77777777"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BE3DAF">
              <w:rPr>
                <w:rFonts w:ascii="Aptos" w:hAnsi="Aptos"/>
                <w:sz w:val="22"/>
              </w:rPr>
              <w:t>At its 11</w:t>
            </w:r>
            <w:r w:rsidRPr="00BE3DAF">
              <w:rPr>
                <w:rFonts w:ascii="Aptos" w:hAnsi="Aptos"/>
                <w:sz w:val="22"/>
                <w:vertAlign w:val="superscript"/>
              </w:rPr>
              <w:t>th</w:t>
            </w:r>
            <w:r w:rsidRPr="00BE3DAF">
              <w:rPr>
                <w:rFonts w:ascii="Aptos" w:hAnsi="Aptos"/>
                <w:sz w:val="22"/>
              </w:rPr>
              <w:t xml:space="preserve"> meeting in September 2023, ITU’s Expert Group on ICT Household Indicators (EGH) </w:t>
            </w:r>
            <w:hyperlink r:id="rId93">
              <w:r w:rsidRPr="00BE3DAF">
                <w:rPr>
                  <w:rFonts w:ascii="Aptos" w:hAnsi="Aptos"/>
                  <w:color w:val="467886"/>
                  <w:sz w:val="22"/>
                  <w:u w:val="single"/>
                </w:rPr>
                <w:t>recommended changes</w:t>
              </w:r>
            </w:hyperlink>
            <w:r w:rsidRPr="00BE3DAF">
              <w:rPr>
                <w:rFonts w:ascii="Aptos" w:hAnsi="Aptos"/>
                <w:sz w:val="22"/>
              </w:rPr>
              <w:t xml:space="preserve"> in how data on ICT skill levels are reported – most importantly, that skill levels of individuals should be assessed for different areas. </w:t>
            </w:r>
          </w:p>
          <w:p w14:paraId="3F859865" w14:textId="77777777"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BE3DAF"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BE3DAF">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BE3DAF"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BE3DAF"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BE3DAF">
                    <w:rPr>
                      <w:rFonts w:ascii="Aptos" w:hAnsi="Aptos"/>
                      <w:sz w:val="18"/>
                      <w:szCs w:val="18"/>
                    </w:rPr>
                    <w:t>None</w:t>
                  </w:r>
                </w:p>
              </w:tc>
              <w:tc>
                <w:tcPr>
                  <w:tcW w:w="1531" w:type="dxa"/>
                </w:tcPr>
                <w:p w14:paraId="5C2009D3" w14:textId="77777777" w:rsidR="006C41B5" w:rsidRPr="00BE3DAF"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BE3DAF">
                    <w:rPr>
                      <w:rFonts w:ascii="Aptos" w:hAnsi="Aptos"/>
                      <w:sz w:val="18"/>
                      <w:szCs w:val="18"/>
                    </w:rPr>
                    <w:t>Basic</w:t>
                  </w:r>
                </w:p>
              </w:tc>
              <w:tc>
                <w:tcPr>
                  <w:tcW w:w="2268" w:type="dxa"/>
                </w:tcPr>
                <w:p w14:paraId="5425CDFA" w14:textId="77777777" w:rsidR="006C41B5" w:rsidRPr="00BE3DAF"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BE3DAF">
                    <w:rPr>
                      <w:rFonts w:ascii="Aptos" w:hAnsi="Aptos"/>
                      <w:sz w:val="18"/>
                      <w:szCs w:val="18"/>
                    </w:rPr>
                    <w:t>Above basic</w:t>
                  </w:r>
                </w:p>
              </w:tc>
            </w:tr>
            <w:tr w:rsidR="006C41B5" w:rsidRPr="00BE3DAF"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BE3DAF"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BE3DAF">
                    <w:rPr>
                      <w:rFonts w:ascii="Aptos" w:hAnsi="Aptos"/>
                      <w:b w:val="0"/>
                      <w:bCs w:val="0"/>
                      <w:sz w:val="18"/>
                      <w:szCs w:val="18"/>
                    </w:rPr>
                    <w:t>0 activities</w:t>
                  </w:r>
                </w:p>
              </w:tc>
              <w:tc>
                <w:tcPr>
                  <w:tcW w:w="1531" w:type="dxa"/>
                </w:tcPr>
                <w:p w14:paraId="63634BAB" w14:textId="77777777" w:rsidR="006C41B5" w:rsidRPr="00BE3DAF"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BE3DAF">
                    <w:rPr>
                      <w:rFonts w:ascii="Aptos" w:hAnsi="Aptos"/>
                      <w:sz w:val="18"/>
                      <w:szCs w:val="18"/>
                    </w:rPr>
                    <w:t>1 activity</w:t>
                  </w:r>
                </w:p>
              </w:tc>
              <w:tc>
                <w:tcPr>
                  <w:tcW w:w="2268" w:type="dxa"/>
                </w:tcPr>
                <w:p w14:paraId="735AC9BE" w14:textId="77777777" w:rsidR="006C41B5" w:rsidRPr="00BE3DAF"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BE3DAF">
                    <w:rPr>
                      <w:rFonts w:ascii="Aptos" w:hAnsi="Aptos"/>
                      <w:sz w:val="18"/>
                      <w:szCs w:val="18"/>
                    </w:rPr>
                    <w:t>More than 1 activity</w:t>
                  </w:r>
                </w:p>
              </w:tc>
            </w:tr>
          </w:tbl>
          <w:p w14:paraId="2DC40BAF" w14:textId="77777777" w:rsidR="006C41B5" w:rsidRPr="00BE3DAF"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BE3DAF"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BE3DAF">
              <w:rPr>
                <w:rFonts w:ascii="Aptos" w:hAnsi="Aptos"/>
                <w:i/>
                <w:sz w:val="22"/>
              </w:rPr>
              <w:t>Skill levels should not be assessed in skill areas where fewer than two indicators are collected.</w:t>
            </w:r>
          </w:p>
          <w:p w14:paraId="20DC6FD8" w14:textId="77777777" w:rsidR="006C41B5" w:rsidRPr="00BE3DAF"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BE3DAF">
              <w:rPr>
                <w:rFonts w:ascii="Aptos" w:hAnsi="Aptos"/>
                <w:i/>
                <w:sz w:val="22"/>
              </w:rPr>
              <w:t>Indicators should be weighted equally within each skill area.</w:t>
            </w:r>
          </w:p>
          <w:p w14:paraId="43BB6E16" w14:textId="77777777" w:rsidR="006C41B5" w:rsidRPr="00BE3DAF"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BE3DAF">
              <w:rPr>
                <w:rFonts w:ascii="Aptos" w:hAnsi="Aptos"/>
                <w:i/>
                <w:sz w:val="22"/>
              </w:rPr>
              <w:t>Skill areas with different numbers of components should be treated equally.</w:t>
            </w:r>
          </w:p>
          <w:p w14:paraId="087B19D0" w14:textId="77777777"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42E0E2A3"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BE3DAF">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w:t>
            </w:r>
            <w:r w:rsidR="00AE3A56" w:rsidRPr="00BE3DAF">
              <w:rPr>
                <w:rFonts w:ascii="Aptos" w:hAnsi="Aptos"/>
                <w:sz w:val="22"/>
              </w:rPr>
              <w:t>i</w:t>
            </w:r>
            <w:r w:rsidR="006A37CE" w:rsidRPr="00BE3DAF">
              <w:rPr>
                <w:rFonts w:ascii="Aptos" w:hAnsi="Aptos"/>
                <w:sz w:val="22"/>
              </w:rPr>
              <w:t xml:space="preserve">ncluding </w:t>
            </w:r>
            <w:r w:rsidR="00D26D39" w:rsidRPr="00BE3DAF">
              <w:rPr>
                <w:rFonts w:ascii="Aptos" w:hAnsi="Aptos"/>
                <w:sz w:val="22"/>
              </w:rPr>
              <w:t>6</w:t>
            </w:r>
            <w:r w:rsidR="006A37CE" w:rsidRPr="00BE3DAF">
              <w:rPr>
                <w:rFonts w:ascii="Aptos" w:hAnsi="Aptos"/>
                <w:sz w:val="22"/>
              </w:rPr>
              <w:t xml:space="preserve"> </w:t>
            </w:r>
            <w:r w:rsidR="00D26D39" w:rsidRPr="00BE3DAF">
              <w:rPr>
                <w:rFonts w:ascii="Aptos" w:hAnsi="Aptos"/>
                <w:sz w:val="22"/>
              </w:rPr>
              <w:t xml:space="preserve">countries in </w:t>
            </w:r>
            <w:r w:rsidR="00091171" w:rsidRPr="00BE3DAF">
              <w:rPr>
                <w:rFonts w:ascii="Aptos" w:hAnsi="Aptos"/>
                <w:sz w:val="22"/>
              </w:rPr>
              <w:t>Asia and the Pacific</w:t>
            </w:r>
            <w:r w:rsidRPr="00BE3DAF">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16C88072" w14:textId="6A74C8D6" w:rsidR="00736BBB" w:rsidRPr="00BE3DAF" w:rsidRDefault="0000318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ICT skills data </w:t>
      </w:r>
      <w:r w:rsidR="00135F19" w:rsidRPr="00BE3DAF">
        <w:rPr>
          <w:rFonts w:ascii="Aptos" w:eastAsia="Aptos" w:hAnsi="Aptos" w:cs="Arial"/>
          <w:kern w:val="2"/>
          <w:sz w:val="22"/>
          <w:szCs w:val="22"/>
          <w14:ligatures w14:val="standardContextual"/>
        </w:rPr>
        <w:t xml:space="preserve">goes beyond </w:t>
      </w:r>
      <w:r w:rsidR="001E69F1" w:rsidRPr="00BE3DAF">
        <w:rPr>
          <w:rFonts w:ascii="Aptos" w:eastAsia="Aptos" w:hAnsi="Aptos" w:cs="Arial"/>
          <w:kern w:val="2"/>
          <w:sz w:val="22"/>
          <w:szCs w:val="22"/>
          <w14:ligatures w14:val="standardContextual"/>
        </w:rPr>
        <w:t>simple</w:t>
      </w:r>
      <w:r w:rsidR="00135F19" w:rsidRPr="00BE3DAF">
        <w:rPr>
          <w:rFonts w:ascii="Aptos" w:eastAsia="Aptos" w:hAnsi="Aptos" w:cs="Arial"/>
          <w:kern w:val="2"/>
          <w:sz w:val="22"/>
          <w:szCs w:val="22"/>
          <w14:ligatures w14:val="standardContextual"/>
        </w:rPr>
        <w:t xml:space="preserve"> </w:t>
      </w:r>
      <w:r w:rsidR="00C7634B" w:rsidRPr="00BE3DAF">
        <w:rPr>
          <w:rFonts w:ascii="Aptos" w:eastAsia="Aptos" w:hAnsi="Aptos" w:cs="Arial"/>
          <w:kern w:val="2"/>
          <w:sz w:val="22"/>
          <w:szCs w:val="22"/>
          <w14:ligatures w14:val="standardContextual"/>
        </w:rPr>
        <w:t xml:space="preserve">access and </w:t>
      </w:r>
      <w:r w:rsidR="00135F19" w:rsidRPr="00BE3DAF">
        <w:rPr>
          <w:rFonts w:ascii="Aptos" w:eastAsia="Aptos" w:hAnsi="Aptos" w:cs="Arial"/>
          <w:kern w:val="2"/>
          <w:sz w:val="22"/>
          <w:szCs w:val="22"/>
          <w14:ligatures w14:val="standardContextual"/>
        </w:rPr>
        <w:t xml:space="preserve">use </w:t>
      </w:r>
      <w:r w:rsidR="001E69F1" w:rsidRPr="00BE3DAF">
        <w:rPr>
          <w:rFonts w:ascii="Aptos" w:eastAsia="Aptos" w:hAnsi="Aptos" w:cs="Arial"/>
          <w:kern w:val="2"/>
          <w:sz w:val="22"/>
          <w:szCs w:val="22"/>
          <w14:ligatures w14:val="standardContextual"/>
        </w:rPr>
        <w:t xml:space="preserve">of ICTs </w:t>
      </w:r>
      <w:r w:rsidR="00C7634B" w:rsidRPr="00BE3DAF">
        <w:rPr>
          <w:rFonts w:ascii="Aptos" w:eastAsia="Aptos" w:hAnsi="Aptos" w:cs="Arial"/>
          <w:kern w:val="2"/>
          <w:sz w:val="22"/>
          <w:szCs w:val="22"/>
          <w14:ligatures w14:val="standardContextual"/>
        </w:rPr>
        <w:t xml:space="preserve">to </w:t>
      </w:r>
      <w:r w:rsidR="009E7F54" w:rsidRPr="00BE3DAF">
        <w:rPr>
          <w:rFonts w:ascii="Aptos" w:eastAsia="Aptos" w:hAnsi="Aptos" w:cs="Arial"/>
          <w:kern w:val="2"/>
          <w:sz w:val="22"/>
          <w:szCs w:val="22"/>
          <w14:ligatures w14:val="standardContextual"/>
        </w:rPr>
        <w:t xml:space="preserve">provide a view of </w:t>
      </w:r>
      <w:r w:rsidR="00DF1568" w:rsidRPr="00BE3DAF">
        <w:rPr>
          <w:rFonts w:ascii="Aptos" w:eastAsia="Aptos" w:hAnsi="Aptos" w:cs="Arial"/>
          <w:kern w:val="2"/>
          <w:sz w:val="22"/>
          <w:szCs w:val="22"/>
          <w14:ligatures w14:val="standardContextual"/>
        </w:rPr>
        <w:t xml:space="preserve">the capabilities of </w:t>
      </w:r>
      <w:r w:rsidR="002835F8" w:rsidRPr="00BE3DAF">
        <w:rPr>
          <w:rFonts w:ascii="Aptos" w:eastAsia="Aptos" w:hAnsi="Aptos" w:cs="Arial"/>
          <w:kern w:val="2"/>
          <w:sz w:val="22"/>
          <w:szCs w:val="22"/>
          <w14:ligatures w14:val="standardContextual"/>
        </w:rPr>
        <w:t xml:space="preserve">ICT </w:t>
      </w:r>
      <w:r w:rsidR="00C7634B" w:rsidRPr="00BE3DAF">
        <w:rPr>
          <w:rFonts w:ascii="Aptos" w:eastAsia="Aptos" w:hAnsi="Aptos" w:cs="Arial"/>
          <w:kern w:val="2"/>
          <w:sz w:val="22"/>
          <w:szCs w:val="22"/>
          <w14:ligatures w14:val="standardContextual"/>
        </w:rPr>
        <w:t>users</w:t>
      </w:r>
      <w:r w:rsidR="00C15027" w:rsidRPr="00BE3DAF">
        <w:rPr>
          <w:rFonts w:ascii="Aptos" w:eastAsia="Aptos" w:hAnsi="Aptos" w:cs="Arial"/>
          <w:kern w:val="2"/>
          <w:sz w:val="22"/>
          <w:szCs w:val="22"/>
          <w14:ligatures w14:val="standardContextual"/>
        </w:rPr>
        <w:t>.</w:t>
      </w:r>
      <w:r w:rsidR="00BE69E0" w:rsidRPr="00BE3DAF">
        <w:rPr>
          <w:rFonts w:ascii="Aptos" w:eastAsia="Aptos" w:hAnsi="Aptos" w:cs="Arial"/>
          <w:kern w:val="2"/>
          <w:sz w:val="22"/>
          <w:szCs w:val="22"/>
          <w14:ligatures w14:val="standardContextual"/>
        </w:rPr>
        <w:t xml:space="preserve"> </w:t>
      </w:r>
      <w:r w:rsidR="0035530A" w:rsidRPr="00BE3DAF">
        <w:rPr>
          <w:rFonts w:ascii="Aptos" w:eastAsia="Aptos" w:hAnsi="Aptos" w:cs="Arial"/>
          <w:kern w:val="2"/>
          <w:sz w:val="22"/>
          <w:szCs w:val="22"/>
          <w14:ligatures w14:val="standardContextual"/>
        </w:rPr>
        <w:t>Data on</w:t>
      </w:r>
      <w:r w:rsidR="00B736C8" w:rsidRPr="00BE3DAF">
        <w:rPr>
          <w:rFonts w:ascii="Aptos" w:eastAsia="Aptos" w:hAnsi="Aptos" w:cs="Arial"/>
          <w:kern w:val="2"/>
          <w:sz w:val="22"/>
          <w:szCs w:val="22"/>
          <w14:ligatures w14:val="standardContextual"/>
        </w:rPr>
        <w:t xml:space="preserve"> </w:t>
      </w:r>
      <w:r w:rsidR="00420720" w:rsidRPr="00BE3DAF">
        <w:rPr>
          <w:rFonts w:ascii="Aptos" w:eastAsia="Aptos" w:hAnsi="Aptos" w:cs="Arial"/>
          <w:kern w:val="2"/>
          <w:sz w:val="22"/>
          <w:szCs w:val="22"/>
          <w14:ligatures w14:val="standardContextual"/>
        </w:rPr>
        <w:t xml:space="preserve">individuals </w:t>
      </w:r>
      <w:r w:rsidR="007816FB" w:rsidRPr="00BE3DAF">
        <w:rPr>
          <w:rFonts w:ascii="Aptos" w:eastAsia="Aptos" w:hAnsi="Aptos" w:cs="Arial"/>
          <w:kern w:val="2"/>
          <w:sz w:val="22"/>
          <w:szCs w:val="22"/>
          <w14:ligatures w14:val="standardContextual"/>
        </w:rPr>
        <w:t xml:space="preserve">in </w:t>
      </w:r>
      <w:r w:rsidR="00091171" w:rsidRPr="00BE3DAF">
        <w:rPr>
          <w:rFonts w:ascii="Aptos" w:eastAsia="Aptos" w:hAnsi="Aptos" w:cs="Arial"/>
          <w:kern w:val="2"/>
          <w:sz w:val="22"/>
          <w:szCs w:val="22"/>
          <w14:ligatures w14:val="standardContextual"/>
        </w:rPr>
        <w:t>Asia and the Pacific</w:t>
      </w:r>
      <w:r w:rsidR="007816FB" w:rsidRPr="00BE3DAF">
        <w:rPr>
          <w:rFonts w:ascii="Aptos" w:eastAsia="Aptos" w:hAnsi="Aptos" w:cs="Arial"/>
          <w:kern w:val="2"/>
          <w:sz w:val="22"/>
          <w:szCs w:val="22"/>
          <w14:ligatures w14:val="standardContextual"/>
        </w:rPr>
        <w:t xml:space="preserve"> </w:t>
      </w:r>
      <w:r w:rsidR="00420720" w:rsidRPr="00BE3DAF">
        <w:rPr>
          <w:rFonts w:ascii="Aptos" w:eastAsia="Aptos" w:hAnsi="Aptos" w:cs="Arial"/>
          <w:kern w:val="2"/>
          <w:sz w:val="22"/>
          <w:szCs w:val="22"/>
          <w14:ligatures w14:val="standardContextual"/>
        </w:rPr>
        <w:t xml:space="preserve">with different levels of </w:t>
      </w:r>
      <w:r w:rsidR="0035530A" w:rsidRPr="00BE3DAF">
        <w:rPr>
          <w:rFonts w:ascii="Aptos" w:eastAsia="Aptos" w:hAnsi="Aptos" w:cs="Arial"/>
          <w:kern w:val="2"/>
          <w:sz w:val="22"/>
          <w:szCs w:val="22"/>
          <w14:ligatures w14:val="standardContextual"/>
        </w:rPr>
        <w:t>ICT skill</w:t>
      </w:r>
      <w:r w:rsidR="00420720" w:rsidRPr="00BE3DAF">
        <w:rPr>
          <w:rFonts w:ascii="Aptos" w:eastAsia="Aptos" w:hAnsi="Aptos" w:cs="Arial"/>
          <w:kern w:val="2"/>
          <w:sz w:val="22"/>
          <w:szCs w:val="22"/>
          <w14:ligatures w14:val="standardContextual"/>
        </w:rPr>
        <w:t xml:space="preserve">s are </w:t>
      </w:r>
      <w:r w:rsidR="00FF21E6" w:rsidRPr="00BE3DAF">
        <w:rPr>
          <w:rFonts w:ascii="Aptos" w:eastAsia="Aptos" w:hAnsi="Aptos" w:cs="Arial"/>
          <w:kern w:val="2"/>
          <w:sz w:val="22"/>
          <w:szCs w:val="22"/>
          <w14:ligatures w14:val="standardContextual"/>
        </w:rPr>
        <w:t xml:space="preserve">shown below as </w:t>
      </w:r>
      <w:r w:rsidR="00420720" w:rsidRPr="00BE3DAF">
        <w:rPr>
          <w:rFonts w:ascii="Aptos" w:eastAsia="Aptos" w:hAnsi="Aptos" w:cs="Arial"/>
          <w:kern w:val="2"/>
          <w:sz w:val="22"/>
          <w:szCs w:val="22"/>
          <w14:ligatures w14:val="standardContextual"/>
        </w:rPr>
        <w:t xml:space="preserve">a share of Internet users. </w:t>
      </w:r>
      <w:r w:rsidR="00C73A80" w:rsidRPr="00BE3DAF">
        <w:rPr>
          <w:rFonts w:ascii="Aptos" w:eastAsia="Aptos" w:hAnsi="Aptos" w:cs="Arial"/>
          <w:kern w:val="2"/>
          <w:sz w:val="22"/>
          <w:szCs w:val="22"/>
          <w14:ligatures w14:val="standardContextual"/>
        </w:rPr>
        <w:t>The</w:t>
      </w:r>
      <w:r w:rsidR="00A525E8" w:rsidRPr="00BE3DAF">
        <w:rPr>
          <w:rFonts w:ascii="Aptos" w:eastAsia="Aptos" w:hAnsi="Aptos" w:cs="Arial"/>
          <w:kern w:val="2"/>
          <w:sz w:val="22"/>
          <w:szCs w:val="22"/>
          <w14:ligatures w14:val="standardContextual"/>
        </w:rPr>
        <w:t>se data</w:t>
      </w:r>
      <w:r w:rsidR="00C73A80" w:rsidRPr="00BE3DAF">
        <w:rPr>
          <w:rFonts w:ascii="Aptos" w:eastAsia="Aptos" w:hAnsi="Aptos" w:cs="Arial"/>
          <w:kern w:val="2"/>
          <w:sz w:val="22"/>
          <w:szCs w:val="22"/>
          <w14:ligatures w14:val="standardContextual"/>
        </w:rPr>
        <w:t xml:space="preserve"> </w:t>
      </w:r>
      <w:r w:rsidR="0067161F" w:rsidRPr="00BE3DAF">
        <w:rPr>
          <w:rFonts w:ascii="Aptos" w:eastAsia="Aptos" w:hAnsi="Aptos" w:cs="Arial"/>
          <w:kern w:val="2"/>
          <w:sz w:val="22"/>
          <w:szCs w:val="22"/>
          <w14:ligatures w14:val="standardContextual"/>
        </w:rPr>
        <w:t xml:space="preserve">demonstrate </w:t>
      </w:r>
      <w:r w:rsidR="00884180" w:rsidRPr="00BE3DAF">
        <w:rPr>
          <w:rFonts w:ascii="Aptos" w:eastAsia="Aptos" w:hAnsi="Aptos" w:cs="Arial"/>
          <w:kern w:val="2"/>
          <w:sz w:val="22"/>
          <w:szCs w:val="22"/>
          <w14:ligatures w14:val="standardContextual"/>
        </w:rPr>
        <w:t>th</w:t>
      </w:r>
      <w:r w:rsidR="00A525E8" w:rsidRPr="00BE3DAF">
        <w:rPr>
          <w:rFonts w:ascii="Aptos" w:eastAsia="Aptos" w:hAnsi="Aptos" w:cs="Arial"/>
          <w:kern w:val="2"/>
          <w:sz w:val="22"/>
          <w:szCs w:val="22"/>
          <w14:ligatures w14:val="standardContextual"/>
        </w:rPr>
        <w:t xml:space="preserve">e </w:t>
      </w:r>
      <w:r w:rsidR="00884180" w:rsidRPr="00BE3DAF">
        <w:rPr>
          <w:rFonts w:ascii="Aptos" w:eastAsia="Aptos" w:hAnsi="Aptos" w:cs="Arial"/>
          <w:kern w:val="2"/>
          <w:sz w:val="22"/>
          <w:szCs w:val="22"/>
          <w14:ligatures w14:val="standardContextual"/>
        </w:rPr>
        <w:t xml:space="preserve">substantial variation </w:t>
      </w:r>
      <w:r w:rsidR="00DF1B23" w:rsidRPr="00BE3DAF">
        <w:rPr>
          <w:rFonts w:ascii="Aptos" w:eastAsia="Aptos" w:hAnsi="Aptos" w:cs="Arial"/>
          <w:kern w:val="2"/>
          <w:sz w:val="22"/>
          <w:szCs w:val="22"/>
          <w14:ligatures w14:val="standardContextual"/>
        </w:rPr>
        <w:t xml:space="preserve">between countries </w:t>
      </w:r>
      <w:r w:rsidR="00884180" w:rsidRPr="00BE3DAF">
        <w:rPr>
          <w:rFonts w:ascii="Aptos" w:eastAsia="Aptos" w:hAnsi="Aptos" w:cs="Arial"/>
          <w:kern w:val="2"/>
          <w:sz w:val="22"/>
          <w:szCs w:val="22"/>
          <w14:ligatures w14:val="standardContextual"/>
        </w:rPr>
        <w:t>in the level of</w:t>
      </w:r>
      <w:r w:rsidR="0067161F" w:rsidRPr="00BE3DAF">
        <w:rPr>
          <w:rFonts w:ascii="Aptos" w:eastAsia="Aptos" w:hAnsi="Aptos" w:cs="Arial"/>
          <w:kern w:val="2"/>
          <w:sz w:val="22"/>
          <w:szCs w:val="22"/>
          <w14:ligatures w14:val="standardContextual"/>
        </w:rPr>
        <w:t xml:space="preserve"> </w:t>
      </w:r>
      <w:r w:rsidR="0026006E" w:rsidRPr="00BE3DAF">
        <w:rPr>
          <w:rFonts w:ascii="Aptos" w:eastAsia="Aptos" w:hAnsi="Aptos" w:cs="Arial"/>
          <w:kern w:val="2"/>
          <w:sz w:val="22"/>
          <w:szCs w:val="22"/>
          <w14:ligatures w14:val="standardContextual"/>
        </w:rPr>
        <w:t xml:space="preserve">ICT skills </w:t>
      </w:r>
      <w:r w:rsidR="00796A5A" w:rsidRPr="00BE3DAF">
        <w:rPr>
          <w:rFonts w:ascii="Aptos" w:eastAsia="Aptos" w:hAnsi="Aptos" w:cs="Arial"/>
          <w:kern w:val="2"/>
          <w:sz w:val="22"/>
          <w:szCs w:val="22"/>
          <w14:ligatures w14:val="standardContextual"/>
        </w:rPr>
        <w:t xml:space="preserve">of </w:t>
      </w:r>
      <w:r w:rsidR="00DF1B23" w:rsidRPr="00BE3DAF">
        <w:rPr>
          <w:rFonts w:ascii="Aptos" w:eastAsia="Aptos" w:hAnsi="Aptos" w:cs="Arial"/>
          <w:kern w:val="2"/>
          <w:sz w:val="22"/>
          <w:szCs w:val="22"/>
          <w14:ligatures w14:val="standardContextual"/>
        </w:rPr>
        <w:t xml:space="preserve">those already using the </w:t>
      </w:r>
      <w:r w:rsidR="00796A5A" w:rsidRPr="00BE3DAF">
        <w:rPr>
          <w:rFonts w:ascii="Aptos" w:eastAsia="Aptos" w:hAnsi="Aptos" w:cs="Arial"/>
          <w:kern w:val="2"/>
          <w:sz w:val="22"/>
          <w:szCs w:val="22"/>
          <w14:ligatures w14:val="standardContextual"/>
        </w:rPr>
        <w:t>Internet</w:t>
      </w:r>
      <w:r w:rsidR="00CC0729" w:rsidRPr="00BE3DAF">
        <w:rPr>
          <w:rFonts w:ascii="Aptos" w:eastAsia="Aptos" w:hAnsi="Aptos" w:cs="Arial"/>
          <w:kern w:val="2"/>
          <w:sz w:val="22"/>
          <w:szCs w:val="22"/>
          <w14:ligatures w14:val="standardContextual"/>
        </w:rPr>
        <w:t>.</w:t>
      </w:r>
      <w:r w:rsidR="002B5CBA" w:rsidRPr="00BE3DAF">
        <w:rPr>
          <w:rFonts w:ascii="Aptos" w:eastAsia="Aptos" w:hAnsi="Aptos" w:cs="Arial"/>
          <w:kern w:val="2"/>
          <w:sz w:val="22"/>
          <w:szCs w:val="22"/>
          <w14:ligatures w14:val="standardContextual"/>
        </w:rPr>
        <w:t xml:space="preserve"> They also show </w:t>
      </w:r>
      <w:r w:rsidR="00222749" w:rsidRPr="00BE3DAF">
        <w:rPr>
          <w:rFonts w:ascii="Aptos" w:eastAsia="Aptos" w:hAnsi="Aptos" w:cs="Arial"/>
          <w:kern w:val="2"/>
          <w:sz w:val="22"/>
          <w:szCs w:val="22"/>
          <w14:ligatures w14:val="standardContextual"/>
        </w:rPr>
        <w:t xml:space="preserve">the </w:t>
      </w:r>
      <w:r w:rsidR="001B255E" w:rsidRPr="00BE3DAF">
        <w:rPr>
          <w:rFonts w:ascii="Aptos" w:eastAsia="Aptos" w:hAnsi="Aptos" w:cs="Arial"/>
          <w:kern w:val="2"/>
          <w:sz w:val="22"/>
          <w:szCs w:val="22"/>
          <w14:ligatures w14:val="standardContextual"/>
        </w:rPr>
        <w:t xml:space="preserve">areas </w:t>
      </w:r>
      <w:r w:rsidR="00222749" w:rsidRPr="00BE3DAF">
        <w:rPr>
          <w:rFonts w:ascii="Aptos" w:eastAsia="Aptos" w:hAnsi="Aptos" w:cs="Arial"/>
          <w:kern w:val="2"/>
          <w:sz w:val="22"/>
          <w:szCs w:val="22"/>
          <w14:ligatures w14:val="standardContextual"/>
        </w:rPr>
        <w:t xml:space="preserve">where attention is needed to </w:t>
      </w:r>
      <w:r w:rsidR="007A605A" w:rsidRPr="00BE3DAF">
        <w:rPr>
          <w:rFonts w:ascii="Aptos" w:eastAsia="Aptos" w:hAnsi="Aptos" w:cs="Arial"/>
          <w:kern w:val="2"/>
          <w:sz w:val="22"/>
          <w:szCs w:val="22"/>
          <w14:ligatures w14:val="standardContextual"/>
        </w:rPr>
        <w:t xml:space="preserve">increase </w:t>
      </w:r>
      <w:r w:rsidR="009E26B3" w:rsidRPr="00BE3DAF">
        <w:rPr>
          <w:rFonts w:ascii="Aptos" w:eastAsia="Aptos" w:hAnsi="Aptos" w:cs="Arial"/>
          <w:kern w:val="2"/>
          <w:sz w:val="22"/>
          <w:szCs w:val="22"/>
          <w14:ligatures w14:val="standardContextual"/>
        </w:rPr>
        <w:t>ICT skills.</w:t>
      </w:r>
    </w:p>
    <w:p w14:paraId="16904B0F" w14:textId="77777777" w:rsidR="00355916" w:rsidRPr="00BE3DAF" w:rsidRDefault="0035591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96C5A81" w14:textId="4B275F9D" w:rsidR="00355916" w:rsidRPr="00BE3DAF" w:rsidRDefault="00355916" w:rsidP="0035591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E3DAF">
        <w:rPr>
          <w:rFonts w:ascii="AvenirNext LT Pro Light" w:eastAsia="Yu Gothic Light" w:hAnsi="AvenirNext LT Pro Light" w:cs="Calibri"/>
          <w:color w:val="0070C0"/>
          <w:spacing w:val="-10"/>
          <w:kern w:val="28"/>
          <w:szCs w:val="24"/>
        </w:rPr>
        <w:lastRenderedPageBreak/>
        <w:t xml:space="preserve">Percentage of Internet users with ICT skills in </w:t>
      </w:r>
      <w:r w:rsidR="006E1E80" w:rsidRPr="00BE3DAF">
        <w:rPr>
          <w:rFonts w:ascii="AvenirNext LT Pro Light" w:eastAsia="Yu Gothic Light" w:hAnsi="AvenirNext LT Pro Light" w:cs="Calibri"/>
          <w:color w:val="0070C0"/>
          <w:spacing w:val="-10"/>
          <w:kern w:val="28"/>
          <w:szCs w:val="24"/>
        </w:rPr>
        <w:t>Asi</w:t>
      </w:r>
      <w:r w:rsidR="00852D1F" w:rsidRPr="00BE3DAF">
        <w:rPr>
          <w:rFonts w:ascii="AvenirNext LT Pro Light" w:eastAsia="Yu Gothic Light" w:hAnsi="AvenirNext LT Pro Light" w:cs="Calibri"/>
          <w:color w:val="0070C0"/>
          <w:spacing w:val="-10"/>
          <w:kern w:val="28"/>
          <w:szCs w:val="24"/>
        </w:rPr>
        <w:t>a and the Pacific</w:t>
      </w:r>
      <w:r w:rsidRPr="00BE3DAF">
        <w:rPr>
          <w:rFonts w:ascii="AvenirNext LT Pro Light" w:eastAsia="Yu Gothic Light" w:hAnsi="AvenirNext LT Pro Light" w:cs="Calibri"/>
          <w:color w:val="0070C0"/>
          <w:spacing w:val="-10"/>
          <w:kern w:val="28"/>
          <w:szCs w:val="24"/>
        </w:rPr>
        <w:t>, by skill level, 2023</w:t>
      </w:r>
      <w:r w:rsidR="00852D1F" w:rsidRPr="00BE3DAF">
        <w:rPr>
          <w:rFonts w:ascii="AvenirNext LT Pro Light" w:eastAsia="Yu Gothic Light" w:hAnsi="AvenirNext LT Pro Light" w:cs="Calibri"/>
          <w:color w:val="0070C0"/>
          <w:spacing w:val="-10"/>
          <w:kern w:val="28"/>
          <w:szCs w:val="24"/>
        </w:rPr>
        <w:t xml:space="preserve"> or latest year available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55916" w:rsidRPr="00BE3DAF" w14:paraId="1EF9FB47" w14:textId="77777777" w:rsidTr="00793CEA">
        <w:tc>
          <w:tcPr>
            <w:tcW w:w="4508" w:type="dxa"/>
          </w:tcPr>
          <w:p w14:paraId="3E35BA3C" w14:textId="1DC5A994" w:rsidR="00355916" w:rsidRPr="00BE3DAF" w:rsidRDefault="00FE534B" w:rsidP="00FE534B">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BE3DAF">
              <w:rPr>
                <w:rFonts w:ascii="Aptos" w:hAnsi="Aptos"/>
                <w:b/>
                <w:sz w:val="22"/>
              </w:rPr>
              <w:t>Brunei Darussalam (2022)</w:t>
            </w:r>
            <w:r w:rsidRPr="00BE3DAF">
              <w:rPr>
                <w:noProof/>
              </w:rPr>
              <w:t xml:space="preserve"> </w:t>
            </w:r>
            <w:r w:rsidRPr="00BE3DAF">
              <w:rPr>
                <w:noProof/>
              </w:rPr>
              <w:drawing>
                <wp:inline distT="0" distB="0" distL="0" distR="0" wp14:anchorId="4134E7BA" wp14:editId="25AA9FEA">
                  <wp:extent cx="2705100" cy="2733675"/>
                  <wp:effectExtent l="0" t="0" r="0" b="9525"/>
                  <wp:docPr id="19196824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82468"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2705100" cy="2733675"/>
                          </a:xfrm>
                          <a:prstGeom prst="rect">
                            <a:avLst/>
                          </a:prstGeom>
                        </pic:spPr>
                      </pic:pic>
                    </a:graphicData>
                  </a:graphic>
                </wp:inline>
              </w:drawing>
            </w:r>
          </w:p>
        </w:tc>
        <w:tc>
          <w:tcPr>
            <w:tcW w:w="4508" w:type="dxa"/>
          </w:tcPr>
          <w:p w14:paraId="2E3663DE" w14:textId="46D809E5" w:rsidR="00355916" w:rsidRPr="00BE3DAF" w:rsidRDefault="00A92AA4">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E3DAF">
              <w:rPr>
                <w:rFonts w:ascii="Aptos" w:hAnsi="Aptos"/>
                <w:b/>
                <w:sz w:val="22"/>
              </w:rPr>
              <w:t>Hong Kong, China</w:t>
            </w:r>
            <w:r w:rsidR="00793CEA" w:rsidRPr="00BE3DAF">
              <w:rPr>
                <w:noProof/>
              </w:rPr>
              <w:drawing>
                <wp:inline distT="0" distB="0" distL="0" distR="0" wp14:anchorId="69008336" wp14:editId="53B69378">
                  <wp:extent cx="2695575" cy="2733675"/>
                  <wp:effectExtent l="0" t="0" r="9525" b="9525"/>
                  <wp:docPr id="14740650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5089"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695575" cy="2733675"/>
                          </a:xfrm>
                          <a:prstGeom prst="rect">
                            <a:avLst/>
                          </a:prstGeom>
                        </pic:spPr>
                      </pic:pic>
                    </a:graphicData>
                  </a:graphic>
                </wp:inline>
              </w:drawing>
            </w:r>
          </w:p>
          <w:p w14:paraId="77A20DD7" w14:textId="5D8DB69E" w:rsidR="00355916" w:rsidRPr="00BE3DAF" w:rsidRDefault="00355916">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r w:rsidR="00852D1F" w:rsidRPr="00BE3DAF" w14:paraId="59482EA7" w14:textId="77777777" w:rsidTr="00342EE8">
        <w:tc>
          <w:tcPr>
            <w:tcW w:w="4508" w:type="dxa"/>
          </w:tcPr>
          <w:p w14:paraId="5CFFCBA4" w14:textId="1789CF12" w:rsidR="00852D1F" w:rsidRPr="00BE3DAF" w:rsidRDefault="00DD5B0F">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E3DAF">
              <w:rPr>
                <w:rFonts w:ascii="Aptos" w:hAnsi="Aptos"/>
                <w:b/>
                <w:sz w:val="22"/>
              </w:rPr>
              <w:t>Japan</w:t>
            </w:r>
            <w:r w:rsidR="00793CEA" w:rsidRPr="00BE3DAF">
              <w:rPr>
                <w:rFonts w:ascii="Aptos" w:hAnsi="Aptos"/>
                <w:b/>
                <w:sz w:val="22"/>
              </w:rPr>
              <w:t xml:space="preserve"> (2022)</w:t>
            </w:r>
            <w:r w:rsidRPr="00BE3DAF">
              <w:rPr>
                <w:noProof/>
              </w:rPr>
              <w:t xml:space="preserve"> </w:t>
            </w:r>
            <w:r w:rsidRPr="00BE3DAF">
              <w:rPr>
                <w:noProof/>
              </w:rPr>
              <w:drawing>
                <wp:inline distT="0" distB="0" distL="0" distR="0" wp14:anchorId="26809EC1" wp14:editId="2F570D02">
                  <wp:extent cx="2695575" cy="2733675"/>
                  <wp:effectExtent l="0" t="0" r="9525" b="9525"/>
                  <wp:docPr id="10502925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2583"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2695575" cy="2733675"/>
                          </a:xfrm>
                          <a:prstGeom prst="rect">
                            <a:avLst/>
                          </a:prstGeom>
                        </pic:spPr>
                      </pic:pic>
                    </a:graphicData>
                  </a:graphic>
                </wp:inline>
              </w:drawing>
            </w:r>
          </w:p>
        </w:tc>
        <w:tc>
          <w:tcPr>
            <w:tcW w:w="4508" w:type="dxa"/>
          </w:tcPr>
          <w:p w14:paraId="5C3430FD" w14:textId="7E3014C7" w:rsidR="00852D1F" w:rsidRPr="00BE3DAF" w:rsidRDefault="00DD5B0F">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E3DAF">
              <w:rPr>
                <w:rFonts w:ascii="Aptos" w:hAnsi="Aptos"/>
                <w:b/>
                <w:sz w:val="22"/>
              </w:rPr>
              <w:t>Korea (Rep. of)</w:t>
            </w:r>
            <w:r w:rsidR="00342EE8" w:rsidRPr="00BE3DAF">
              <w:rPr>
                <w:noProof/>
              </w:rPr>
              <w:t xml:space="preserve"> </w:t>
            </w:r>
            <w:r w:rsidR="00342EE8" w:rsidRPr="00BE3DAF">
              <w:rPr>
                <w:noProof/>
              </w:rPr>
              <w:drawing>
                <wp:inline distT="0" distB="0" distL="0" distR="0" wp14:anchorId="09473C2E" wp14:editId="0CDC658A">
                  <wp:extent cx="2695575" cy="2733675"/>
                  <wp:effectExtent l="0" t="0" r="9525" b="9525"/>
                  <wp:docPr id="14146926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2698"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2695575" cy="2733675"/>
                          </a:xfrm>
                          <a:prstGeom prst="rect">
                            <a:avLst/>
                          </a:prstGeom>
                        </pic:spPr>
                      </pic:pic>
                    </a:graphicData>
                  </a:graphic>
                </wp:inline>
              </w:drawing>
            </w:r>
          </w:p>
        </w:tc>
      </w:tr>
      <w:tr w:rsidR="00852D1F" w:rsidRPr="00BE3DAF" w14:paraId="3C8B181E" w14:textId="77777777" w:rsidTr="00D96522">
        <w:tc>
          <w:tcPr>
            <w:tcW w:w="4508" w:type="dxa"/>
          </w:tcPr>
          <w:p w14:paraId="43FEF090" w14:textId="1F2C6A09" w:rsidR="00852D1F" w:rsidRPr="00BE3DAF" w:rsidRDefault="00342EE8">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E3DAF">
              <w:rPr>
                <w:rFonts w:ascii="Aptos" w:hAnsi="Aptos"/>
                <w:b/>
                <w:sz w:val="22"/>
              </w:rPr>
              <w:lastRenderedPageBreak/>
              <w:t>Malaysia</w:t>
            </w:r>
            <w:r w:rsidR="00D96522" w:rsidRPr="00BE3DAF">
              <w:rPr>
                <w:noProof/>
              </w:rPr>
              <w:t xml:space="preserve"> </w:t>
            </w:r>
            <w:r w:rsidR="00D96522" w:rsidRPr="00BE3DAF">
              <w:rPr>
                <w:noProof/>
              </w:rPr>
              <w:drawing>
                <wp:inline distT="0" distB="0" distL="0" distR="0" wp14:anchorId="2A76CD50" wp14:editId="2AAF390D">
                  <wp:extent cx="2695575" cy="2733675"/>
                  <wp:effectExtent l="0" t="0" r="9525" b="9525"/>
                  <wp:docPr id="12369620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2029"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2695575" cy="2733675"/>
                          </a:xfrm>
                          <a:prstGeom prst="rect">
                            <a:avLst/>
                          </a:prstGeom>
                        </pic:spPr>
                      </pic:pic>
                    </a:graphicData>
                  </a:graphic>
                </wp:inline>
              </w:drawing>
            </w:r>
          </w:p>
        </w:tc>
        <w:tc>
          <w:tcPr>
            <w:tcW w:w="4508" w:type="dxa"/>
          </w:tcPr>
          <w:p w14:paraId="265F995C" w14:textId="69BA0D82" w:rsidR="00852D1F" w:rsidRPr="00BE3DAF" w:rsidRDefault="00D9652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E3DAF">
              <w:rPr>
                <w:rFonts w:ascii="Aptos" w:hAnsi="Aptos"/>
                <w:b/>
                <w:sz w:val="22"/>
              </w:rPr>
              <w:t>Viet Nam</w:t>
            </w:r>
            <w:r w:rsidRPr="00BE3DAF">
              <w:rPr>
                <w:noProof/>
              </w:rPr>
              <w:t xml:space="preserve"> </w:t>
            </w:r>
            <w:r w:rsidRPr="00BE3DAF">
              <w:rPr>
                <w:noProof/>
              </w:rPr>
              <w:drawing>
                <wp:inline distT="0" distB="0" distL="0" distR="0" wp14:anchorId="58816E9A" wp14:editId="787CE069">
                  <wp:extent cx="2695575" cy="2733675"/>
                  <wp:effectExtent l="0" t="0" r="9525" b="9525"/>
                  <wp:docPr id="5858942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4284"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2695575" cy="2733675"/>
                          </a:xfrm>
                          <a:prstGeom prst="rect">
                            <a:avLst/>
                          </a:prstGeom>
                        </pic:spPr>
                      </pic:pic>
                    </a:graphicData>
                  </a:graphic>
                </wp:inline>
              </w:drawing>
            </w:r>
          </w:p>
        </w:tc>
      </w:tr>
    </w:tbl>
    <w:p w14:paraId="0EC05A5D" w14:textId="0CB23765" w:rsidR="00355916" w:rsidRPr="00BE3DAF" w:rsidRDefault="00355916" w:rsidP="0035591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 xml:space="preserve">Note: </w:t>
      </w:r>
      <w:r w:rsidR="00FA0571" w:rsidRPr="00BE3DAF">
        <w:rPr>
          <w:rFonts w:ascii="Aptos" w:eastAsia="Aptos" w:hAnsi="Aptos" w:cs="Arial"/>
          <w:kern w:val="2"/>
          <w:sz w:val="16"/>
          <w:szCs w:val="28"/>
          <w14:ligatures w14:val="standardContextual"/>
        </w:rPr>
        <w:t xml:space="preserve">Data for </w:t>
      </w:r>
      <w:r w:rsidR="008076E2" w:rsidRPr="00BE3DAF">
        <w:rPr>
          <w:rFonts w:ascii="Aptos" w:eastAsia="Aptos" w:hAnsi="Aptos" w:cs="Arial"/>
          <w:kern w:val="2"/>
          <w:sz w:val="16"/>
          <w:szCs w:val="28"/>
          <w14:ligatures w14:val="standardContextual"/>
        </w:rPr>
        <w:t xml:space="preserve">Japan and Viet Nam refer to individuals aged 6 and older. Data for the Hong Kong, China refer to individuals aged 10 and older. </w:t>
      </w:r>
      <w:r w:rsidR="00FA0571" w:rsidRPr="00BE3DAF">
        <w:rPr>
          <w:rFonts w:ascii="Aptos" w:eastAsia="Aptos" w:hAnsi="Aptos" w:cs="Arial"/>
          <w:kern w:val="2"/>
          <w:sz w:val="16"/>
          <w:szCs w:val="28"/>
          <w14:ligatures w14:val="standardContextual"/>
        </w:rPr>
        <w:t xml:space="preserve">Data for Brunei Darussalam </w:t>
      </w:r>
      <w:r w:rsidR="00960D8E" w:rsidRPr="00BE3DAF">
        <w:rPr>
          <w:rFonts w:ascii="Aptos" w:eastAsia="Aptos" w:hAnsi="Aptos" w:cs="Arial"/>
          <w:kern w:val="2"/>
          <w:sz w:val="16"/>
          <w:szCs w:val="28"/>
          <w14:ligatures w14:val="standardContextual"/>
        </w:rPr>
        <w:t xml:space="preserve">and Malaysia </w:t>
      </w:r>
      <w:r w:rsidR="00FA0571" w:rsidRPr="00BE3DAF">
        <w:rPr>
          <w:rFonts w:ascii="Aptos" w:eastAsia="Aptos" w:hAnsi="Aptos" w:cs="Arial"/>
          <w:kern w:val="2"/>
          <w:sz w:val="16"/>
          <w:szCs w:val="28"/>
          <w14:ligatures w14:val="standardContextual"/>
        </w:rPr>
        <w:t xml:space="preserve">refer to individuals aged 15 and older. </w:t>
      </w:r>
      <w:r w:rsidR="000D44B9" w:rsidRPr="00BE3DAF">
        <w:rPr>
          <w:rFonts w:ascii="Aptos" w:eastAsia="Aptos" w:hAnsi="Aptos" w:cs="Arial"/>
          <w:kern w:val="2"/>
          <w:sz w:val="16"/>
          <w:szCs w:val="28"/>
          <w14:ligatures w14:val="standardContextual"/>
        </w:rPr>
        <w:t xml:space="preserve">Data for </w:t>
      </w:r>
      <w:r w:rsidR="008076E2" w:rsidRPr="00BE3DAF">
        <w:rPr>
          <w:rFonts w:ascii="Aptos" w:eastAsia="Aptos" w:hAnsi="Aptos" w:cs="Arial"/>
          <w:kern w:val="2"/>
          <w:sz w:val="16"/>
          <w:szCs w:val="28"/>
          <w14:ligatures w14:val="standardContextual"/>
        </w:rPr>
        <w:t>Republic of Korea</w:t>
      </w:r>
      <w:r w:rsidR="000D44B9" w:rsidRPr="00BE3DAF">
        <w:rPr>
          <w:rFonts w:ascii="Aptos" w:eastAsia="Aptos" w:hAnsi="Aptos" w:cs="Arial"/>
          <w:kern w:val="2"/>
          <w:sz w:val="16"/>
          <w:szCs w:val="28"/>
          <w14:ligatures w14:val="standardContextual"/>
        </w:rPr>
        <w:t xml:space="preserve"> refer to individuals aged 1</w:t>
      </w:r>
      <w:r w:rsidR="008076E2" w:rsidRPr="00BE3DAF">
        <w:rPr>
          <w:rFonts w:ascii="Aptos" w:eastAsia="Aptos" w:hAnsi="Aptos" w:cs="Arial"/>
          <w:kern w:val="2"/>
          <w:sz w:val="16"/>
          <w:szCs w:val="28"/>
          <w14:ligatures w14:val="standardContextual"/>
        </w:rPr>
        <w:t>6-74</w:t>
      </w:r>
      <w:r w:rsidR="000D44B9" w:rsidRPr="00BE3DAF">
        <w:rPr>
          <w:rFonts w:ascii="Aptos" w:eastAsia="Aptos" w:hAnsi="Aptos" w:cs="Arial"/>
          <w:kern w:val="2"/>
          <w:sz w:val="16"/>
          <w:szCs w:val="28"/>
          <w14:ligatures w14:val="standardContextual"/>
        </w:rPr>
        <w:t>.</w:t>
      </w:r>
    </w:p>
    <w:p w14:paraId="04575544" w14:textId="77777777" w:rsidR="00355916" w:rsidRPr="00BE3DAF" w:rsidRDefault="00355916" w:rsidP="0035591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4E7DDD0E" w14:textId="77777777" w:rsidR="00A5181C" w:rsidRPr="00BE3DAF" w:rsidRDefault="00485B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In general, communication and collaboration skill levels are very high in </w:t>
      </w:r>
      <w:r w:rsidR="00D3668A" w:rsidRPr="00BE3DAF">
        <w:rPr>
          <w:rFonts w:ascii="Aptos" w:eastAsia="Aptos" w:hAnsi="Aptos" w:cs="Arial"/>
          <w:kern w:val="2"/>
          <w:sz w:val="22"/>
          <w:szCs w:val="22"/>
          <w14:ligatures w14:val="standardContextual"/>
        </w:rPr>
        <w:t>the four countries with available data</w:t>
      </w:r>
      <w:r w:rsidRPr="00BE3DAF">
        <w:rPr>
          <w:rFonts w:ascii="Aptos" w:eastAsia="Aptos" w:hAnsi="Aptos" w:cs="Arial"/>
          <w:kern w:val="2"/>
          <w:sz w:val="22"/>
          <w:szCs w:val="22"/>
          <w14:ligatures w14:val="standardContextual"/>
        </w:rPr>
        <w:t xml:space="preserve">. </w:t>
      </w:r>
      <w:r w:rsidR="00E329C1" w:rsidRPr="00BE3DAF">
        <w:rPr>
          <w:rFonts w:ascii="Aptos" w:eastAsia="Aptos" w:hAnsi="Aptos" w:cs="Arial"/>
          <w:kern w:val="2"/>
          <w:sz w:val="22"/>
          <w:szCs w:val="22"/>
          <w14:ligatures w14:val="standardContextual"/>
        </w:rPr>
        <w:t xml:space="preserve">However, in Viet Nam there are relatively fewer individuals </w:t>
      </w:r>
      <w:r w:rsidR="002E68D4" w:rsidRPr="00BE3DAF">
        <w:rPr>
          <w:rFonts w:ascii="Aptos" w:eastAsia="Aptos" w:hAnsi="Aptos" w:cs="Arial"/>
          <w:kern w:val="2"/>
          <w:sz w:val="22"/>
          <w:szCs w:val="22"/>
          <w14:ligatures w14:val="standardContextual"/>
        </w:rPr>
        <w:t>with above basic skills in this area.</w:t>
      </w:r>
      <w:r w:rsidR="00D3668A" w:rsidRPr="00BE3DAF">
        <w:rPr>
          <w:rFonts w:ascii="Aptos" w:eastAsia="Aptos" w:hAnsi="Aptos" w:cs="Arial"/>
          <w:kern w:val="2"/>
          <w:sz w:val="22"/>
          <w:szCs w:val="22"/>
          <w14:ligatures w14:val="standardContextual"/>
        </w:rPr>
        <w:t xml:space="preserve"> </w:t>
      </w:r>
    </w:p>
    <w:p w14:paraId="1CC77236" w14:textId="40E00B7F" w:rsidR="00981676" w:rsidRPr="00BE3DAF" w:rsidRDefault="000B2FA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Di</w:t>
      </w:r>
      <w:r w:rsidR="00A5181C" w:rsidRPr="00BE3DAF">
        <w:rPr>
          <w:rFonts w:ascii="Aptos" w:eastAsia="Aptos" w:hAnsi="Aptos" w:cs="Arial"/>
          <w:kern w:val="2"/>
          <w:sz w:val="22"/>
          <w:szCs w:val="22"/>
          <w14:ligatures w14:val="standardContextual"/>
        </w:rPr>
        <w:t xml:space="preserve">gital content creation </w:t>
      </w:r>
      <w:r w:rsidR="00CD5C1F" w:rsidRPr="00BE3DAF">
        <w:rPr>
          <w:rFonts w:ascii="Aptos" w:eastAsia="Aptos" w:hAnsi="Aptos" w:cs="Arial"/>
          <w:kern w:val="2"/>
          <w:sz w:val="22"/>
          <w:szCs w:val="22"/>
          <w14:ligatures w14:val="standardContextual"/>
        </w:rPr>
        <w:t xml:space="preserve">and problem solving </w:t>
      </w:r>
      <w:r w:rsidR="00A5181C" w:rsidRPr="00BE3DAF">
        <w:rPr>
          <w:rFonts w:ascii="Aptos" w:eastAsia="Aptos" w:hAnsi="Aptos" w:cs="Arial"/>
          <w:kern w:val="2"/>
          <w:sz w:val="22"/>
          <w:szCs w:val="22"/>
          <w14:ligatures w14:val="standardContextual"/>
        </w:rPr>
        <w:t>skill levels are</w:t>
      </w:r>
      <w:r w:rsidR="001F04FC" w:rsidRPr="00BE3DAF">
        <w:rPr>
          <w:rFonts w:ascii="Aptos" w:eastAsia="Aptos" w:hAnsi="Aptos" w:cs="Arial"/>
          <w:kern w:val="2"/>
          <w:sz w:val="22"/>
          <w:szCs w:val="22"/>
          <w14:ligatures w14:val="standardContextual"/>
        </w:rPr>
        <w:t xml:space="preserve"> </w:t>
      </w:r>
      <w:r w:rsidR="00A5181C" w:rsidRPr="00BE3DAF">
        <w:rPr>
          <w:rFonts w:ascii="Aptos" w:eastAsia="Aptos" w:hAnsi="Aptos" w:cs="Arial"/>
          <w:kern w:val="2"/>
          <w:sz w:val="22"/>
          <w:szCs w:val="22"/>
          <w14:ligatures w14:val="standardContextual"/>
        </w:rPr>
        <w:t xml:space="preserve">also </w:t>
      </w:r>
      <w:r w:rsidR="00D11B78" w:rsidRPr="00BE3DAF">
        <w:rPr>
          <w:rFonts w:ascii="Aptos" w:eastAsia="Aptos" w:hAnsi="Aptos" w:cs="Arial"/>
          <w:kern w:val="2"/>
          <w:sz w:val="22"/>
          <w:szCs w:val="22"/>
          <w14:ligatures w14:val="standardContextual"/>
        </w:rPr>
        <w:t xml:space="preserve">quite high in the </w:t>
      </w:r>
      <w:r w:rsidR="008D0363" w:rsidRPr="00BE3DAF">
        <w:rPr>
          <w:rFonts w:ascii="Aptos" w:eastAsia="Aptos" w:hAnsi="Aptos" w:cs="Arial"/>
          <w:kern w:val="2"/>
          <w:sz w:val="22"/>
          <w:szCs w:val="22"/>
          <w14:ligatures w14:val="standardContextual"/>
        </w:rPr>
        <w:t>countries with available data</w:t>
      </w:r>
      <w:r w:rsidR="001F04FC" w:rsidRPr="00BE3DAF">
        <w:rPr>
          <w:rFonts w:ascii="Aptos" w:eastAsia="Aptos" w:hAnsi="Aptos" w:cs="Arial"/>
          <w:kern w:val="2"/>
          <w:sz w:val="22"/>
          <w:szCs w:val="22"/>
          <w14:ligatures w14:val="standardContextual"/>
        </w:rPr>
        <w:t xml:space="preserve"> though not as high as communication and collaboration skill levels</w:t>
      </w:r>
      <w:r w:rsidR="008D0363" w:rsidRPr="00BE3DAF">
        <w:rPr>
          <w:rFonts w:ascii="Aptos" w:eastAsia="Aptos" w:hAnsi="Aptos" w:cs="Arial"/>
          <w:kern w:val="2"/>
          <w:sz w:val="22"/>
          <w:szCs w:val="22"/>
          <w14:ligatures w14:val="standardContextual"/>
        </w:rPr>
        <w:t xml:space="preserve"> – Hong Kong, China </w:t>
      </w:r>
      <w:r w:rsidR="00236592" w:rsidRPr="00BE3DAF">
        <w:rPr>
          <w:rFonts w:ascii="Aptos" w:eastAsia="Aptos" w:hAnsi="Aptos" w:cs="Arial"/>
          <w:kern w:val="2"/>
          <w:sz w:val="22"/>
          <w:szCs w:val="22"/>
          <w14:ligatures w14:val="standardContextual"/>
        </w:rPr>
        <w:t xml:space="preserve">reported somewhat </w:t>
      </w:r>
      <w:r w:rsidR="0006574A" w:rsidRPr="00BE3DAF">
        <w:rPr>
          <w:rFonts w:ascii="Aptos" w:eastAsia="Aptos" w:hAnsi="Aptos" w:cs="Arial"/>
          <w:kern w:val="2"/>
          <w:sz w:val="22"/>
          <w:szCs w:val="22"/>
          <w14:ligatures w14:val="standardContextual"/>
        </w:rPr>
        <w:t xml:space="preserve">lower levels than for the others. </w:t>
      </w:r>
    </w:p>
    <w:p w14:paraId="6DFB65F5" w14:textId="55A1EBE5" w:rsidR="00981676" w:rsidRPr="00BE3DAF" w:rsidRDefault="00FE658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For the three countries with available data</w:t>
      </w:r>
      <w:r w:rsidR="006A1885" w:rsidRPr="00BE3DAF">
        <w:rPr>
          <w:rFonts w:ascii="Aptos" w:eastAsia="Aptos" w:hAnsi="Aptos" w:cs="Arial"/>
          <w:kern w:val="2"/>
          <w:sz w:val="22"/>
          <w:szCs w:val="22"/>
          <w14:ligatures w14:val="standardContextual"/>
        </w:rPr>
        <w:t xml:space="preserve"> (</w:t>
      </w:r>
      <w:r w:rsidR="00B66FF0" w:rsidRPr="00BE3DAF">
        <w:rPr>
          <w:rFonts w:ascii="Aptos" w:eastAsia="Aptos" w:hAnsi="Aptos" w:cs="Arial"/>
          <w:kern w:val="2"/>
          <w:sz w:val="22"/>
          <w:szCs w:val="22"/>
          <w14:ligatures w14:val="standardContextual"/>
        </w:rPr>
        <w:t>Brunei Darussalam, Hong Kong, and Republic of Korea)</w:t>
      </w:r>
      <w:r w:rsidR="006A1885" w:rsidRPr="00BE3DAF">
        <w:rPr>
          <w:rFonts w:ascii="Aptos" w:eastAsia="Aptos" w:hAnsi="Aptos" w:cs="Arial"/>
          <w:kern w:val="2"/>
          <w:sz w:val="22"/>
          <w:szCs w:val="22"/>
          <w14:ligatures w14:val="standardContextual"/>
        </w:rPr>
        <w:t xml:space="preserve">, safety skill levels </w:t>
      </w:r>
      <w:r w:rsidR="00A67EE4" w:rsidRPr="00BE3DAF">
        <w:rPr>
          <w:rFonts w:ascii="Aptos" w:eastAsia="Aptos" w:hAnsi="Aptos" w:cs="Arial"/>
          <w:kern w:val="2"/>
          <w:sz w:val="22"/>
          <w:szCs w:val="22"/>
          <w14:ligatures w14:val="standardContextual"/>
        </w:rPr>
        <w:t xml:space="preserve">are notably lower than skill levels in other areas. </w:t>
      </w:r>
    </w:p>
    <w:p w14:paraId="332A251C" w14:textId="0EEB0DA7" w:rsidR="00ED4C9B" w:rsidRPr="00BE3DAF" w:rsidRDefault="005E172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Comparing between countries, </w:t>
      </w:r>
      <w:r w:rsidR="00AE41D2" w:rsidRPr="00BE3DAF">
        <w:rPr>
          <w:rFonts w:ascii="Aptos" w:eastAsia="Aptos" w:hAnsi="Aptos" w:cs="Arial"/>
          <w:kern w:val="2"/>
          <w:sz w:val="22"/>
          <w:szCs w:val="22"/>
          <w14:ligatures w14:val="standardContextual"/>
        </w:rPr>
        <w:t>Brunei Darussalam</w:t>
      </w:r>
      <w:r w:rsidR="005D6AE1" w:rsidRPr="00BE3DAF">
        <w:rPr>
          <w:rFonts w:ascii="Aptos" w:eastAsia="Aptos" w:hAnsi="Aptos" w:cs="Arial"/>
          <w:kern w:val="2"/>
          <w:sz w:val="22"/>
          <w:szCs w:val="22"/>
          <w14:ligatures w14:val="standardContextual"/>
        </w:rPr>
        <w:t>, Malaysia</w:t>
      </w:r>
      <w:r w:rsidR="00AE41D2" w:rsidRPr="00BE3DAF">
        <w:rPr>
          <w:rFonts w:ascii="Aptos" w:eastAsia="Aptos" w:hAnsi="Aptos" w:cs="Arial"/>
          <w:kern w:val="2"/>
          <w:sz w:val="22"/>
          <w:szCs w:val="22"/>
          <w14:ligatures w14:val="standardContextual"/>
        </w:rPr>
        <w:t xml:space="preserve"> and Republic of Korea have similar profiles with </w:t>
      </w:r>
      <w:r w:rsidR="00E82567" w:rsidRPr="00BE3DAF">
        <w:rPr>
          <w:rFonts w:ascii="Aptos" w:eastAsia="Aptos" w:hAnsi="Aptos" w:cs="Arial"/>
          <w:kern w:val="2"/>
          <w:sz w:val="22"/>
          <w:szCs w:val="22"/>
          <w14:ligatures w14:val="standardContextual"/>
        </w:rPr>
        <w:t>high levels of at least basic skills in all skill areas for which data are available</w:t>
      </w:r>
      <w:r w:rsidR="00271BF8" w:rsidRPr="00BE3DAF">
        <w:rPr>
          <w:rFonts w:ascii="Aptos" w:eastAsia="Aptos" w:hAnsi="Aptos" w:cs="Arial"/>
          <w:kern w:val="2"/>
          <w:sz w:val="22"/>
          <w:szCs w:val="22"/>
          <w14:ligatures w14:val="standardContextual"/>
        </w:rPr>
        <w:t xml:space="preserve"> – </w:t>
      </w:r>
      <w:r w:rsidR="002A261D" w:rsidRPr="00BE3DAF">
        <w:rPr>
          <w:rFonts w:ascii="Aptos" w:eastAsia="Aptos" w:hAnsi="Aptos" w:cs="Arial"/>
          <w:kern w:val="2"/>
          <w:sz w:val="22"/>
          <w:szCs w:val="22"/>
          <w14:ligatures w14:val="standardContextual"/>
        </w:rPr>
        <w:t>with</w:t>
      </w:r>
      <w:r w:rsidR="00594007" w:rsidRPr="00BE3DAF">
        <w:rPr>
          <w:rFonts w:ascii="Aptos" w:eastAsia="Aptos" w:hAnsi="Aptos" w:cs="Arial"/>
          <w:kern w:val="2"/>
          <w:sz w:val="22"/>
          <w:szCs w:val="22"/>
          <w14:ligatures w14:val="standardContextual"/>
        </w:rPr>
        <w:t xml:space="preserve"> safety skill</w:t>
      </w:r>
      <w:r w:rsidR="002A261D" w:rsidRPr="00BE3DAF">
        <w:rPr>
          <w:rFonts w:ascii="Aptos" w:eastAsia="Aptos" w:hAnsi="Aptos" w:cs="Arial"/>
          <w:kern w:val="2"/>
          <w:sz w:val="22"/>
          <w:szCs w:val="22"/>
          <w14:ligatures w14:val="standardContextual"/>
        </w:rPr>
        <w:t xml:space="preserve"> level</w:t>
      </w:r>
      <w:r w:rsidR="00594007" w:rsidRPr="00BE3DAF">
        <w:rPr>
          <w:rFonts w:ascii="Aptos" w:eastAsia="Aptos" w:hAnsi="Aptos" w:cs="Arial"/>
          <w:kern w:val="2"/>
          <w:sz w:val="22"/>
          <w:szCs w:val="22"/>
          <w14:ligatures w14:val="standardContextual"/>
        </w:rPr>
        <w:t xml:space="preserve">s </w:t>
      </w:r>
      <w:r w:rsidR="00BE5651" w:rsidRPr="00BE3DAF">
        <w:rPr>
          <w:rFonts w:ascii="Aptos" w:eastAsia="Aptos" w:hAnsi="Aptos" w:cs="Arial"/>
          <w:kern w:val="2"/>
          <w:sz w:val="22"/>
          <w:szCs w:val="22"/>
          <w14:ligatures w14:val="standardContextual"/>
        </w:rPr>
        <w:t>lagging</w:t>
      </w:r>
      <w:r w:rsidR="002A261D" w:rsidRPr="00BE3DAF">
        <w:rPr>
          <w:rFonts w:ascii="Aptos" w:eastAsia="Aptos" w:hAnsi="Aptos" w:cs="Arial"/>
          <w:kern w:val="2"/>
          <w:sz w:val="22"/>
          <w:szCs w:val="22"/>
          <w14:ligatures w14:val="standardContextual"/>
        </w:rPr>
        <w:t xml:space="preserve"> others</w:t>
      </w:r>
      <w:r w:rsidR="00E82567" w:rsidRPr="00BE3DAF">
        <w:rPr>
          <w:rFonts w:ascii="Aptos" w:eastAsia="Aptos" w:hAnsi="Aptos" w:cs="Arial"/>
          <w:kern w:val="2"/>
          <w:sz w:val="22"/>
          <w:szCs w:val="22"/>
          <w14:ligatures w14:val="standardContextual"/>
        </w:rPr>
        <w:t>.</w:t>
      </w:r>
      <w:r w:rsidR="00EF45B8" w:rsidRPr="00BE3DAF">
        <w:rPr>
          <w:rFonts w:ascii="Aptos" w:eastAsia="Aptos" w:hAnsi="Aptos" w:cs="Arial"/>
          <w:kern w:val="2"/>
          <w:sz w:val="22"/>
          <w:szCs w:val="22"/>
          <w14:ligatures w14:val="standardContextual"/>
        </w:rPr>
        <w:t xml:space="preserve"> In Hong Kong</w:t>
      </w:r>
      <w:r w:rsidR="00BE5651" w:rsidRPr="00BE3DAF">
        <w:rPr>
          <w:rFonts w:ascii="Aptos" w:eastAsia="Aptos" w:hAnsi="Aptos" w:cs="Arial"/>
          <w:kern w:val="2"/>
          <w:sz w:val="22"/>
          <w:szCs w:val="22"/>
          <w14:ligatures w14:val="standardContextual"/>
        </w:rPr>
        <w:t>, China and Japan skill levels are somewhat lower</w:t>
      </w:r>
      <w:r w:rsidR="00310045" w:rsidRPr="00BE3DAF">
        <w:rPr>
          <w:rFonts w:ascii="Aptos" w:eastAsia="Aptos" w:hAnsi="Aptos" w:cs="Arial"/>
          <w:kern w:val="2"/>
          <w:sz w:val="22"/>
          <w:szCs w:val="22"/>
          <w14:ligatures w14:val="standardContextual"/>
        </w:rPr>
        <w:t xml:space="preserve">, indicating </w:t>
      </w:r>
      <w:r w:rsidR="001F64C1" w:rsidRPr="00BE3DAF">
        <w:rPr>
          <w:rFonts w:ascii="Aptos" w:eastAsia="Aptos" w:hAnsi="Aptos" w:cs="Arial"/>
          <w:kern w:val="2"/>
          <w:sz w:val="22"/>
          <w:szCs w:val="22"/>
          <w14:ligatures w14:val="standardContextual"/>
        </w:rPr>
        <w:t xml:space="preserve">room for improvement in </w:t>
      </w:r>
      <w:r w:rsidR="000206C9" w:rsidRPr="00BE3DAF">
        <w:rPr>
          <w:rFonts w:ascii="Aptos" w:eastAsia="Aptos" w:hAnsi="Aptos" w:cs="Arial"/>
          <w:kern w:val="2"/>
          <w:sz w:val="22"/>
          <w:szCs w:val="22"/>
          <w14:ligatures w14:val="standardContextual"/>
        </w:rPr>
        <w:t>skill areas such as digital content creation, problem solving</w:t>
      </w:r>
      <w:r w:rsidR="00B30228" w:rsidRPr="00BE3DAF">
        <w:rPr>
          <w:rFonts w:ascii="Aptos" w:eastAsia="Aptos" w:hAnsi="Aptos" w:cs="Arial"/>
          <w:kern w:val="2"/>
          <w:sz w:val="22"/>
          <w:szCs w:val="22"/>
          <w14:ligatures w14:val="standardContextual"/>
        </w:rPr>
        <w:t>, and especially safety in Hong Kong, China.</w:t>
      </w:r>
    </w:p>
    <w:p w14:paraId="0CDA5523" w14:textId="629CE0A9" w:rsidR="006E1E80" w:rsidRPr="00BE3DAF"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variation in ICT skills in countries in the region even when focusing only on those using the Internet.</w:t>
      </w:r>
    </w:p>
    <w:p w14:paraId="2F00DD3B" w14:textId="77777777" w:rsidR="006E1E80" w:rsidRPr="00BE3DAF"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E3DAF">
        <w:rPr>
          <w:rFonts w:ascii="AvenirNext LT Pro Light" w:eastAsia="Yu Gothic Light" w:hAnsi="AvenirNext LT Pro Light" w:cs="Calibri"/>
          <w:color w:val="0070C0"/>
          <w:spacing w:val="-10"/>
          <w:kern w:val="28"/>
          <w:szCs w:val="24"/>
        </w:rPr>
        <w:lastRenderedPageBreak/>
        <w:t>Percentage of Internet users with information and data literacy skills, latest year available</w:t>
      </w:r>
    </w:p>
    <w:p w14:paraId="18CFF8B3" w14:textId="631D3C87" w:rsidR="006E1E80" w:rsidRPr="00BE3DAF" w:rsidRDefault="00D235D4"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3D630A96" wp14:editId="108C5891">
            <wp:extent cx="6120765" cy="2699385"/>
            <wp:effectExtent l="0" t="0" r="0" b="5715"/>
            <wp:docPr id="11959424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2404"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6120765" cy="2699385"/>
                    </a:xfrm>
                    <a:prstGeom prst="rect">
                      <a:avLst/>
                    </a:prstGeom>
                  </pic:spPr>
                </pic:pic>
              </a:graphicData>
            </a:graphic>
          </wp:inline>
        </w:drawing>
      </w:r>
      <w:r w:rsidR="006E1E80" w:rsidRPr="00BE3DAF">
        <w:rPr>
          <w:rFonts w:ascii="Aptos" w:eastAsia="Aptos" w:hAnsi="Aptos" w:cs="Arial"/>
          <w:kern w:val="2"/>
          <w:sz w:val="16"/>
          <w:szCs w:val="28"/>
          <w14:ligatures w14:val="standardContextual"/>
        </w:rPr>
        <w:t>Note</w:t>
      </w:r>
      <w:r w:rsidR="00FE4AA1" w:rsidRPr="00BE3DAF">
        <w:rPr>
          <w:rFonts w:ascii="Aptos" w:eastAsia="Aptos" w:hAnsi="Aptos" w:cs="Arial"/>
          <w:kern w:val="2"/>
          <w:sz w:val="16"/>
          <w:szCs w:val="28"/>
          <w14:ligatures w14:val="standardContextual"/>
        </w:rPr>
        <w:t>:</w:t>
      </w:r>
      <w:r w:rsidR="00F24400" w:rsidRPr="00BE3DAF">
        <w:rPr>
          <w:rFonts w:ascii="Aptos" w:eastAsia="Aptos" w:hAnsi="Aptos" w:cs="Arial"/>
          <w:kern w:val="2"/>
          <w:sz w:val="16"/>
          <w:szCs w:val="28"/>
          <w14:ligatures w14:val="standardContextual"/>
        </w:rPr>
        <w:t xml:space="preserve"> Bars indicate the 25th, median and 75th percentile of all country values. The whiskers (bottom and top lines) indicate individual minimum and maximum values. In-scope age varies between countries. Country data are for 2023 where available but no earlier than 2020. </w:t>
      </w:r>
      <w:r w:rsidR="006E1E80" w:rsidRPr="00BE3DAF">
        <w:rPr>
          <w:rFonts w:ascii="Aptos" w:eastAsia="Aptos" w:hAnsi="Aptos" w:cs="Arial"/>
          <w:kern w:val="2"/>
          <w:sz w:val="16"/>
          <w:szCs w:val="28"/>
          <w14:ligatures w14:val="standardContextual"/>
        </w:rPr>
        <w:t xml:space="preserve">Data availability varies between indicators, ranging from </w:t>
      </w:r>
      <w:r w:rsidR="005C4689" w:rsidRPr="00BE3DAF">
        <w:rPr>
          <w:rFonts w:ascii="Aptos" w:eastAsia="Aptos" w:hAnsi="Aptos" w:cs="Arial"/>
          <w:kern w:val="2"/>
          <w:sz w:val="16"/>
          <w:szCs w:val="28"/>
          <w14:ligatures w14:val="standardContextual"/>
        </w:rPr>
        <w:t>six</w:t>
      </w:r>
      <w:r w:rsidR="006E1E80" w:rsidRPr="00BE3DAF">
        <w:rPr>
          <w:rFonts w:ascii="Aptos" w:eastAsia="Aptos" w:hAnsi="Aptos" w:cs="Arial"/>
          <w:kern w:val="2"/>
          <w:sz w:val="16"/>
          <w:szCs w:val="28"/>
          <w14:ligatures w14:val="standardContextual"/>
        </w:rPr>
        <w:t xml:space="preserve"> countries for </w:t>
      </w:r>
      <w:r w:rsidR="00A84FCF" w:rsidRPr="00BE3DAF">
        <w:rPr>
          <w:rFonts w:ascii="Aptos" w:eastAsia="Aptos" w:hAnsi="Aptos" w:cs="Arial"/>
          <w:i/>
          <w:kern w:val="2"/>
          <w:sz w:val="16"/>
          <w:szCs w:val="28"/>
          <w14:ligatures w14:val="standardContextual"/>
        </w:rPr>
        <w:t xml:space="preserve">Verifying the </w:t>
      </w:r>
      <w:r w:rsidR="00B92711" w:rsidRPr="00BE3DAF">
        <w:rPr>
          <w:rFonts w:ascii="Aptos" w:eastAsia="Aptos" w:hAnsi="Aptos" w:cs="Arial"/>
          <w:i/>
          <w:kern w:val="2"/>
          <w:sz w:val="16"/>
          <w:szCs w:val="28"/>
          <w14:ligatures w14:val="standardContextual"/>
        </w:rPr>
        <w:t>reliability of information found online</w:t>
      </w:r>
      <w:r w:rsidR="006E1E80" w:rsidRPr="00BE3DAF">
        <w:rPr>
          <w:rFonts w:ascii="Aptos" w:eastAsia="Aptos" w:hAnsi="Aptos" w:cs="Arial"/>
          <w:i/>
          <w:kern w:val="2"/>
          <w:sz w:val="16"/>
          <w:szCs w:val="28"/>
          <w14:ligatures w14:val="standardContextual"/>
        </w:rPr>
        <w:t xml:space="preserve"> to</w:t>
      </w:r>
      <w:r w:rsidR="006E1E80" w:rsidRPr="00BE3DAF">
        <w:rPr>
          <w:rFonts w:ascii="Aptos" w:eastAsia="Aptos" w:hAnsi="Aptos" w:cs="Arial"/>
          <w:kern w:val="2"/>
          <w:sz w:val="16"/>
          <w:szCs w:val="28"/>
          <w14:ligatures w14:val="standardContextual"/>
        </w:rPr>
        <w:t xml:space="preserve"> </w:t>
      </w:r>
      <w:r w:rsidR="000C2E7B" w:rsidRPr="00BE3DAF">
        <w:rPr>
          <w:rFonts w:ascii="Aptos" w:eastAsia="Aptos" w:hAnsi="Aptos" w:cs="Arial"/>
          <w:kern w:val="2"/>
          <w:sz w:val="16"/>
          <w:szCs w:val="28"/>
          <w14:ligatures w14:val="standardContextual"/>
        </w:rPr>
        <w:t>nine</w:t>
      </w:r>
      <w:r w:rsidR="006E1E80" w:rsidRPr="00BE3DAF">
        <w:rPr>
          <w:rFonts w:ascii="Aptos" w:eastAsia="Aptos" w:hAnsi="Aptos" w:cs="Arial"/>
          <w:kern w:val="2"/>
          <w:sz w:val="16"/>
          <w:szCs w:val="28"/>
          <w14:ligatures w14:val="standardContextual"/>
        </w:rPr>
        <w:t xml:space="preserve"> countries for </w:t>
      </w:r>
      <w:r w:rsidR="000C2E7B" w:rsidRPr="00BE3DAF">
        <w:rPr>
          <w:rFonts w:ascii="Aptos" w:eastAsia="Aptos" w:hAnsi="Aptos" w:cs="Arial"/>
          <w:i/>
          <w:iCs/>
          <w:kern w:val="2"/>
          <w:sz w:val="16"/>
          <w:szCs w:val="28"/>
          <w14:ligatures w14:val="standardContextual"/>
        </w:rPr>
        <w:t>Getting</w:t>
      </w:r>
      <w:r w:rsidR="006E1E80" w:rsidRPr="00BE3DAF">
        <w:rPr>
          <w:rFonts w:ascii="Aptos" w:eastAsia="Aptos" w:hAnsi="Aptos" w:cs="Arial"/>
          <w:i/>
          <w:kern w:val="2"/>
          <w:sz w:val="16"/>
          <w:szCs w:val="28"/>
          <w14:ligatures w14:val="standardContextual"/>
        </w:rPr>
        <w:t xml:space="preserve"> information</w:t>
      </w:r>
      <w:r w:rsidR="000C2E7B" w:rsidRPr="00BE3DAF">
        <w:rPr>
          <w:rFonts w:ascii="Aptos" w:eastAsia="Aptos" w:hAnsi="Aptos" w:cs="Arial"/>
          <w:i/>
          <w:iCs/>
          <w:kern w:val="2"/>
          <w:sz w:val="16"/>
          <w:szCs w:val="28"/>
          <w14:ligatures w14:val="standardContextual"/>
        </w:rPr>
        <w:t xml:space="preserve"> about goods or services</w:t>
      </w:r>
      <w:r w:rsidR="006E1E80" w:rsidRPr="00BE3DAF">
        <w:rPr>
          <w:rFonts w:ascii="Aptos" w:eastAsia="Aptos" w:hAnsi="Aptos" w:cs="Arial"/>
          <w:i/>
          <w:iCs/>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Detailed information – including complete indicator names – is available </w:t>
      </w:r>
      <w:hyperlink r:id="rId108" w:history="1">
        <w:r w:rsidR="006E1E80" w:rsidRPr="00BE3DAF">
          <w:rPr>
            <w:rFonts w:ascii="Aptos" w:eastAsia="Aptos" w:hAnsi="Aptos" w:cs="Arial"/>
            <w:color w:val="467886"/>
            <w:kern w:val="2"/>
            <w:sz w:val="16"/>
            <w:szCs w:val="28"/>
            <w:u w:val="single"/>
            <w14:ligatures w14:val="standardContextual"/>
          </w:rPr>
          <w:t>here</w:t>
        </w:r>
      </w:hyperlink>
      <w:r w:rsidR="006E1E80" w:rsidRPr="00BE3DAF">
        <w:rPr>
          <w:rFonts w:ascii="Aptos" w:eastAsia="Aptos" w:hAnsi="Aptos" w:cs="Arial"/>
          <w:kern w:val="2"/>
          <w:sz w:val="16"/>
          <w:szCs w:val="28"/>
          <w14:ligatures w14:val="standardContextual"/>
        </w:rPr>
        <w:t>.</w:t>
      </w:r>
    </w:p>
    <w:p w14:paraId="7D849EB9" w14:textId="77777777" w:rsidR="006E1E80" w:rsidRPr="00BE3DAF"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63CA2C25" w14:textId="017F42F7" w:rsidR="006E1E80" w:rsidRPr="00BE3DAF"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For information and data literacy, getting information about goods or services had the highest median (</w:t>
      </w:r>
      <w:r w:rsidR="00674E65" w:rsidRPr="00BE3DAF">
        <w:rPr>
          <w:rFonts w:ascii="Aptos" w:eastAsia="Aptos" w:hAnsi="Aptos" w:cs="Arial"/>
          <w:kern w:val="2"/>
          <w:sz w:val="22"/>
          <w:szCs w:val="22"/>
          <w14:ligatures w14:val="standardContextual"/>
        </w:rPr>
        <w:t>69</w:t>
      </w:r>
      <w:r w:rsidRPr="00BE3DAF">
        <w:rPr>
          <w:rFonts w:ascii="Aptos" w:eastAsia="Aptos" w:hAnsi="Aptos" w:cs="Arial"/>
          <w:kern w:val="2"/>
          <w:sz w:val="22"/>
          <w:szCs w:val="22"/>
          <w14:ligatures w14:val="standardContextual"/>
        </w:rPr>
        <w:t xml:space="preserve"> per cent) of the four activities that make up this skill category.</w:t>
      </w:r>
      <w:r w:rsidR="006D526B" w:rsidRPr="00BE3DAF">
        <w:rPr>
          <w:rFonts w:ascii="Aptos" w:eastAsia="Aptos" w:hAnsi="Aptos" w:cs="Arial"/>
          <w:kern w:val="2"/>
          <w:sz w:val="22"/>
          <w:szCs w:val="22"/>
          <w14:ligatures w14:val="standardContextual"/>
        </w:rPr>
        <w:t xml:space="preserve"> Using the Internet to read or download newspapers, magazines or books</w:t>
      </w:r>
      <w:r w:rsidRPr="00BE3DAF">
        <w:rPr>
          <w:rFonts w:ascii="Aptos" w:eastAsia="Aptos" w:hAnsi="Aptos" w:cs="Arial"/>
          <w:kern w:val="2"/>
          <w:sz w:val="22"/>
          <w:szCs w:val="22"/>
          <w14:ligatures w14:val="standardContextual"/>
        </w:rPr>
        <w:t xml:space="preserve">, </w:t>
      </w:r>
      <w:r w:rsidR="006D526B" w:rsidRPr="00BE3DAF">
        <w:rPr>
          <w:rFonts w:ascii="Aptos" w:eastAsia="Aptos" w:hAnsi="Aptos" w:cs="Arial"/>
          <w:kern w:val="2"/>
          <w:sz w:val="22"/>
          <w:szCs w:val="22"/>
          <w14:ligatures w14:val="standardContextual"/>
        </w:rPr>
        <w:t xml:space="preserve">and </w:t>
      </w:r>
      <w:r w:rsidRPr="00BE3DAF">
        <w:rPr>
          <w:rFonts w:ascii="Aptos" w:eastAsia="Aptos" w:hAnsi="Aptos" w:cs="Arial"/>
          <w:kern w:val="2"/>
          <w:sz w:val="22"/>
          <w:szCs w:val="22"/>
          <w14:ligatures w14:val="standardContextual"/>
        </w:rPr>
        <w:t>seeking health information had similar distributions of country shares.</w:t>
      </w:r>
      <w:r w:rsidRPr="00BE3DAF" w:rsidDel="004317D7">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Conversely, </w:t>
      </w:r>
      <w:r w:rsidR="003F3EA9" w:rsidRPr="00BE3DAF">
        <w:rPr>
          <w:rFonts w:ascii="Aptos" w:eastAsia="Aptos" w:hAnsi="Aptos" w:cs="Arial"/>
          <w:kern w:val="2"/>
          <w:sz w:val="22"/>
          <w:szCs w:val="22"/>
          <w14:ligatures w14:val="standardContextual"/>
        </w:rPr>
        <w:t>v</w:t>
      </w:r>
      <w:r w:rsidR="001A4B04" w:rsidRPr="00BE3DAF">
        <w:rPr>
          <w:rFonts w:ascii="Aptos" w:eastAsia="Aptos" w:hAnsi="Aptos" w:cs="Arial"/>
          <w:kern w:val="2"/>
          <w:sz w:val="22"/>
          <w:szCs w:val="22"/>
          <w14:ligatures w14:val="standardContextual"/>
        </w:rPr>
        <w:t xml:space="preserve">erifying the reliability of information found online </w:t>
      </w:r>
      <w:r w:rsidRPr="00BE3DAF">
        <w:rPr>
          <w:rFonts w:ascii="Aptos" w:eastAsia="Aptos" w:hAnsi="Aptos" w:cs="Arial"/>
          <w:kern w:val="2"/>
          <w:sz w:val="22"/>
          <w:szCs w:val="22"/>
          <w14:ligatures w14:val="standardContextual"/>
        </w:rPr>
        <w:t>was less frequently reported (median of 1</w:t>
      </w:r>
      <w:r w:rsidR="006961FB" w:rsidRPr="00BE3DAF">
        <w:rPr>
          <w:rFonts w:ascii="Aptos" w:eastAsia="Aptos" w:hAnsi="Aptos" w:cs="Arial"/>
          <w:kern w:val="2"/>
          <w:sz w:val="22"/>
          <w:szCs w:val="22"/>
          <w14:ligatures w14:val="standardContextual"/>
        </w:rPr>
        <w:t>9</w:t>
      </w:r>
      <w:r w:rsidRPr="00BE3DAF">
        <w:rPr>
          <w:rFonts w:ascii="Aptos" w:eastAsia="Aptos" w:hAnsi="Aptos" w:cs="Arial"/>
          <w:kern w:val="2"/>
          <w:sz w:val="22"/>
          <w:szCs w:val="22"/>
          <w14:ligatures w14:val="standardContextual"/>
        </w:rPr>
        <w:t xml:space="preserve"> per cent) by individuals across the region.</w:t>
      </w:r>
    </w:p>
    <w:p w14:paraId="5E0C7AE8" w14:textId="4C371DE6" w:rsidR="006E1E80" w:rsidRPr="00BE3DAF"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E3DAF">
        <w:rPr>
          <w:rFonts w:ascii="AvenirNext LT Pro Light" w:eastAsia="Yu Gothic Light" w:hAnsi="AvenirNext LT Pro Light" w:cs="Calibri"/>
          <w:color w:val="0070C0"/>
          <w:spacing w:val="-10"/>
          <w:kern w:val="28"/>
          <w:szCs w:val="24"/>
        </w:rPr>
        <w:t>Percentage of Internet users with communication and collaboration skills, latest year available</w:t>
      </w:r>
    </w:p>
    <w:p w14:paraId="20288D04" w14:textId="21DFB384" w:rsidR="006E1E80" w:rsidRPr="00BE3DAF" w:rsidRDefault="00F41344"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1B902A92" wp14:editId="4362CF2C">
            <wp:extent cx="6120765" cy="2659380"/>
            <wp:effectExtent l="0" t="0" r="0" b="7620"/>
            <wp:docPr id="667363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63477"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6120765" cy="2659380"/>
                    </a:xfrm>
                    <a:prstGeom prst="rect">
                      <a:avLst/>
                    </a:prstGeom>
                  </pic:spPr>
                </pic:pic>
              </a:graphicData>
            </a:graphic>
          </wp:inline>
        </w:drawing>
      </w:r>
      <w:r w:rsidR="006E1E80" w:rsidRPr="00BE3DAF">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between indicators, ranging from </w:t>
      </w:r>
      <w:r w:rsidR="00004E90" w:rsidRPr="00BE3DAF">
        <w:rPr>
          <w:rFonts w:ascii="Aptos" w:eastAsia="Aptos" w:hAnsi="Aptos" w:cs="Arial"/>
          <w:kern w:val="2"/>
          <w:sz w:val="16"/>
          <w:szCs w:val="28"/>
          <w14:ligatures w14:val="standardContextual"/>
        </w:rPr>
        <w:t>five</w:t>
      </w:r>
      <w:r w:rsidR="006E1E80" w:rsidRPr="00BE3DAF">
        <w:rPr>
          <w:rFonts w:ascii="Aptos" w:eastAsia="Aptos" w:hAnsi="Aptos" w:cs="Arial"/>
          <w:kern w:val="2"/>
          <w:sz w:val="16"/>
          <w:szCs w:val="28"/>
          <w14:ligatures w14:val="standardContextual"/>
        </w:rPr>
        <w:t xml:space="preserve"> countries for </w:t>
      </w:r>
      <w:r w:rsidR="006E1E80" w:rsidRPr="00BE3DAF">
        <w:rPr>
          <w:rFonts w:ascii="Aptos" w:eastAsia="Aptos" w:hAnsi="Aptos" w:cs="Arial"/>
          <w:i/>
          <w:kern w:val="2"/>
          <w:sz w:val="16"/>
          <w:szCs w:val="28"/>
          <w14:ligatures w14:val="standardContextual"/>
        </w:rPr>
        <w:t xml:space="preserve">Taking part in online </w:t>
      </w:r>
      <w:r w:rsidR="009617C2" w:rsidRPr="00BE3DAF">
        <w:rPr>
          <w:rFonts w:ascii="Aptos" w:eastAsia="Aptos" w:hAnsi="Aptos" w:cs="Arial"/>
          <w:i/>
          <w:kern w:val="2"/>
          <w:sz w:val="16"/>
          <w:szCs w:val="28"/>
          <w14:ligatures w14:val="standardContextual"/>
        </w:rPr>
        <w:t>consultation</w:t>
      </w:r>
      <w:r w:rsidR="006E1E80" w:rsidRPr="00BE3DAF">
        <w:rPr>
          <w:rFonts w:ascii="Aptos" w:eastAsia="Aptos" w:hAnsi="Aptos" w:cs="Arial"/>
          <w:i/>
          <w:kern w:val="2"/>
          <w:sz w:val="16"/>
          <w:szCs w:val="28"/>
          <w14:ligatures w14:val="standardContextual"/>
        </w:rPr>
        <w:t xml:space="preserve"> or voting to define civic or political issues</w:t>
      </w:r>
      <w:r w:rsidR="005E0334" w:rsidRPr="00BE3DAF">
        <w:rPr>
          <w:rFonts w:ascii="Aptos" w:eastAsia="Aptos" w:hAnsi="Aptos" w:cs="Arial"/>
          <w:i/>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and </w:t>
      </w:r>
      <w:r w:rsidR="00AF4090" w:rsidRPr="00BE3DAF">
        <w:rPr>
          <w:rFonts w:ascii="Aptos" w:eastAsia="Aptos" w:hAnsi="Aptos" w:cs="Arial"/>
          <w:kern w:val="2"/>
          <w:sz w:val="16"/>
          <w:szCs w:val="28"/>
          <w14:ligatures w14:val="standardContextual"/>
        </w:rPr>
        <w:t>12</w:t>
      </w:r>
      <w:r w:rsidR="006E1E80" w:rsidRPr="00BE3DAF">
        <w:rPr>
          <w:rFonts w:ascii="Aptos" w:eastAsia="Aptos" w:hAnsi="Aptos" w:cs="Arial"/>
          <w:kern w:val="2"/>
          <w:sz w:val="16"/>
          <w:szCs w:val="28"/>
          <w14:ligatures w14:val="standardContextual"/>
        </w:rPr>
        <w:t xml:space="preserve"> countries for </w:t>
      </w:r>
      <w:r w:rsidR="00AF4090" w:rsidRPr="00BE3DAF">
        <w:rPr>
          <w:rFonts w:ascii="Aptos" w:eastAsia="Aptos" w:hAnsi="Aptos" w:cs="Arial"/>
          <w:i/>
          <w:kern w:val="2"/>
          <w:sz w:val="16"/>
          <w:szCs w:val="28"/>
          <w14:ligatures w14:val="standardContextual"/>
        </w:rPr>
        <w:t>Sending messages with attached files</w:t>
      </w:r>
      <w:r w:rsidR="006E1E80" w:rsidRPr="00BE3DAF">
        <w:rPr>
          <w:rFonts w:ascii="Aptos" w:eastAsia="Aptos" w:hAnsi="Aptos" w:cs="Arial"/>
          <w:i/>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Detailed information – including complete indicator names – </w:t>
      </w:r>
      <w:r w:rsidR="00322D63" w:rsidRPr="00BE3DAF">
        <w:rPr>
          <w:rFonts w:ascii="Aptos" w:eastAsia="Aptos" w:hAnsi="Aptos" w:cs="Arial"/>
          <w:kern w:val="2"/>
          <w:sz w:val="16"/>
          <w:szCs w:val="28"/>
          <w14:ligatures w14:val="standardContextual"/>
        </w:rPr>
        <w:t xml:space="preserve">is available </w:t>
      </w:r>
      <w:hyperlink r:id="rId111" w:history="1">
        <w:r w:rsidR="00322D63" w:rsidRPr="00BE3DAF">
          <w:rPr>
            <w:rFonts w:ascii="Aptos" w:eastAsia="Aptos" w:hAnsi="Aptos" w:cs="Arial"/>
            <w:color w:val="467886"/>
            <w:kern w:val="2"/>
            <w:sz w:val="16"/>
            <w:szCs w:val="28"/>
            <w:u w:val="single"/>
            <w14:ligatures w14:val="standardContextual"/>
          </w:rPr>
          <w:t>here</w:t>
        </w:r>
      </w:hyperlink>
      <w:r w:rsidR="006E1E80" w:rsidRPr="00BE3DAF">
        <w:rPr>
          <w:rFonts w:ascii="Aptos" w:eastAsia="Aptos" w:hAnsi="Aptos" w:cs="Arial"/>
          <w:kern w:val="2"/>
          <w:sz w:val="16"/>
          <w:szCs w:val="28"/>
          <w14:ligatures w14:val="standardContextual"/>
        </w:rPr>
        <w:t>.</w:t>
      </w:r>
    </w:p>
    <w:p w14:paraId="4EB6875A" w14:textId="77777777" w:rsidR="006E1E80" w:rsidRPr="00BE3DAF"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4B736AAD" w14:textId="04768A86" w:rsidR="006E1E80" w:rsidRPr="00BE3DAF"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 xml:space="preserve">The medians for communication and collaboration were much higher than for information and data literacy, ranging from </w:t>
      </w:r>
      <w:r w:rsidR="00C02216" w:rsidRPr="00BE3DAF">
        <w:rPr>
          <w:rFonts w:ascii="Aptos" w:eastAsia="Aptos" w:hAnsi="Aptos" w:cs="Arial"/>
          <w:kern w:val="2"/>
          <w:sz w:val="22"/>
          <w:szCs w:val="22"/>
          <w14:ligatures w14:val="standardContextual"/>
        </w:rPr>
        <w:t>71</w:t>
      </w:r>
      <w:r w:rsidRPr="00BE3DAF">
        <w:rPr>
          <w:rFonts w:ascii="Aptos" w:eastAsia="Aptos" w:hAnsi="Aptos" w:cs="Arial"/>
          <w:kern w:val="2"/>
          <w:sz w:val="22"/>
          <w:szCs w:val="22"/>
          <w14:ligatures w14:val="standardContextual"/>
        </w:rPr>
        <w:t xml:space="preserve"> to </w:t>
      </w:r>
      <w:r w:rsidR="00C02216" w:rsidRPr="00BE3DAF">
        <w:rPr>
          <w:rFonts w:ascii="Aptos" w:eastAsia="Aptos" w:hAnsi="Aptos" w:cs="Arial"/>
          <w:kern w:val="2"/>
          <w:sz w:val="22"/>
          <w:szCs w:val="22"/>
          <w14:ligatures w14:val="standardContextual"/>
        </w:rPr>
        <w:t>7</w:t>
      </w:r>
      <w:r w:rsidRPr="00BE3DAF">
        <w:rPr>
          <w:rFonts w:ascii="Aptos" w:eastAsia="Aptos" w:hAnsi="Aptos" w:cs="Arial"/>
          <w:kern w:val="2"/>
          <w:sz w:val="22"/>
          <w:szCs w:val="22"/>
          <w14:ligatures w14:val="standardContextual"/>
        </w:rPr>
        <w:t xml:space="preserve">8 per cent. The one exception was taking part in online consultations or voting to define civic or political issues, which had a median of only </w:t>
      </w:r>
      <w:r w:rsidR="00920618" w:rsidRPr="00BE3DAF">
        <w:rPr>
          <w:rFonts w:ascii="Aptos" w:eastAsia="Aptos" w:hAnsi="Aptos" w:cs="Arial"/>
          <w:kern w:val="2"/>
          <w:sz w:val="22"/>
          <w:szCs w:val="22"/>
          <w14:ligatures w14:val="standardContextual"/>
        </w:rPr>
        <w:t>2</w:t>
      </w:r>
      <w:r w:rsidRPr="00BE3DAF">
        <w:rPr>
          <w:rFonts w:ascii="Aptos" w:eastAsia="Aptos" w:hAnsi="Aptos" w:cs="Arial"/>
          <w:kern w:val="2"/>
          <w:sz w:val="22"/>
          <w:szCs w:val="22"/>
          <w14:ligatures w14:val="standardContextual"/>
        </w:rPr>
        <w:t xml:space="preserve"> per cent.</w:t>
      </w:r>
    </w:p>
    <w:p w14:paraId="25D046AA" w14:textId="77777777" w:rsidR="006E1E80" w:rsidRPr="00BE3DAF"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E3DAF">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55EA6403" w14:textId="7FC65CC0" w:rsidR="006E1E80" w:rsidRPr="00BE3DAF" w:rsidRDefault="00F3015B"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3A5F8720" wp14:editId="4FA8A0F7">
            <wp:extent cx="6120765" cy="3201670"/>
            <wp:effectExtent l="0" t="0" r="0" b="0"/>
            <wp:docPr id="5672158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15834"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6120765" cy="3201670"/>
                    </a:xfrm>
                    <a:prstGeom prst="rect">
                      <a:avLst/>
                    </a:prstGeom>
                  </pic:spPr>
                </pic:pic>
              </a:graphicData>
            </a:graphic>
          </wp:inline>
        </w:drawing>
      </w:r>
      <w:r w:rsidR="006E1E80" w:rsidRPr="00BE3DAF">
        <w:rPr>
          <w:rFonts w:ascii="Aptos" w:eastAsia="Aptos" w:hAnsi="Aptos" w:cs="Arial"/>
          <w:kern w:val="2"/>
          <w:sz w:val="16"/>
          <w:szCs w:val="28"/>
          <w14:ligatures w14:val="standardContextual"/>
        </w:rPr>
        <w:t xml:space="preserve">Note: </w:t>
      </w:r>
      <w:r w:rsidR="00830D0D" w:rsidRPr="00BE3DAF">
        <w:rPr>
          <w:rFonts w:ascii="Aptos" w:eastAsia="Aptos" w:hAnsi="Aptos" w:cs="Arial"/>
          <w:kern w:val="2"/>
          <w:sz w:val="16"/>
          <w:szCs w:val="28"/>
          <w14:ligatures w14:val="standardContextual"/>
        </w:rPr>
        <w:t xml:space="preserve">Bars indicate the 25th, median and 75th percentile of all country values. The whiskers (bottom and top lines) indicate individual minimum and maximum values. In-scope age varies between countries. Country data are for 2023 where available but no earlier than 2020. </w:t>
      </w:r>
      <w:r w:rsidR="006E1E80" w:rsidRPr="00BE3DAF">
        <w:rPr>
          <w:rFonts w:ascii="Aptos" w:eastAsia="Aptos" w:hAnsi="Aptos" w:cs="Arial"/>
          <w:kern w:val="2"/>
          <w:sz w:val="16"/>
          <w:szCs w:val="28"/>
          <w14:ligatures w14:val="standardContextual"/>
        </w:rPr>
        <w:t xml:space="preserve">Data availability varies among indicators, ranging from </w:t>
      </w:r>
      <w:r w:rsidR="005D3C4A" w:rsidRPr="00BE3DAF">
        <w:rPr>
          <w:rFonts w:ascii="Aptos" w:eastAsia="Aptos" w:hAnsi="Aptos" w:cs="Arial"/>
          <w:kern w:val="2"/>
          <w:sz w:val="16"/>
          <w:szCs w:val="28"/>
          <w14:ligatures w14:val="standardContextual"/>
        </w:rPr>
        <w:t>five</w:t>
      </w:r>
      <w:r w:rsidR="006E1E80" w:rsidRPr="00BE3DAF">
        <w:rPr>
          <w:rFonts w:ascii="Aptos" w:eastAsia="Aptos" w:hAnsi="Aptos" w:cs="Arial"/>
          <w:kern w:val="2"/>
          <w:sz w:val="16"/>
          <w:szCs w:val="28"/>
          <w14:ligatures w14:val="standardContextual"/>
        </w:rPr>
        <w:t xml:space="preserve"> countries for </w:t>
      </w:r>
      <w:r w:rsidR="006E1E80" w:rsidRPr="00BE3DAF">
        <w:rPr>
          <w:rFonts w:ascii="Aptos" w:eastAsia="Aptos" w:hAnsi="Aptos" w:cs="Arial"/>
          <w:i/>
          <w:kern w:val="2"/>
          <w:sz w:val="16"/>
          <w:szCs w:val="28"/>
          <w14:ligatures w14:val="standardContextual"/>
        </w:rPr>
        <w:t xml:space="preserve">Using software run over the Internet for editing text documents, spreadsheets or presentations </w:t>
      </w:r>
      <w:r w:rsidR="006E1E80" w:rsidRPr="00BE3DAF">
        <w:rPr>
          <w:rFonts w:ascii="Aptos" w:eastAsia="Aptos" w:hAnsi="Aptos" w:cs="Arial"/>
          <w:kern w:val="2"/>
          <w:sz w:val="16"/>
          <w:szCs w:val="28"/>
          <w14:ligatures w14:val="standardContextual"/>
        </w:rPr>
        <w:t xml:space="preserve">to </w:t>
      </w:r>
      <w:r w:rsidR="00FE1D7D" w:rsidRPr="00BE3DAF">
        <w:rPr>
          <w:rFonts w:ascii="Aptos" w:eastAsia="Aptos" w:hAnsi="Aptos" w:cs="Arial"/>
          <w:kern w:val="2"/>
          <w:sz w:val="16"/>
          <w:szCs w:val="28"/>
          <w14:ligatures w14:val="standardContextual"/>
        </w:rPr>
        <w:t>eight</w:t>
      </w:r>
      <w:r w:rsidR="006E1E80" w:rsidRPr="00BE3DAF">
        <w:rPr>
          <w:rFonts w:ascii="Aptos" w:eastAsia="Aptos" w:hAnsi="Aptos" w:cs="Arial"/>
          <w:kern w:val="2"/>
          <w:sz w:val="16"/>
          <w:szCs w:val="28"/>
          <w14:ligatures w14:val="standardContextual"/>
        </w:rPr>
        <w:t xml:space="preserve"> countries for </w:t>
      </w:r>
      <w:r w:rsidR="00FE1D7D" w:rsidRPr="00BE3DAF">
        <w:rPr>
          <w:rFonts w:ascii="Aptos" w:eastAsia="Aptos" w:hAnsi="Aptos" w:cs="Arial"/>
          <w:i/>
          <w:iCs/>
          <w:kern w:val="2"/>
          <w:sz w:val="16"/>
          <w:szCs w:val="28"/>
          <w14:ligatures w14:val="standardContextual"/>
        </w:rPr>
        <w:t>Uploading self/user-created content to</w:t>
      </w:r>
      <w:r w:rsidR="006E1E80" w:rsidRPr="00BE3DAF">
        <w:rPr>
          <w:rFonts w:ascii="Aptos" w:eastAsia="Aptos" w:hAnsi="Aptos" w:cs="Arial"/>
          <w:i/>
          <w:kern w:val="2"/>
          <w:sz w:val="16"/>
          <w:szCs w:val="28"/>
          <w14:ligatures w14:val="standardContextual"/>
        </w:rPr>
        <w:t xml:space="preserve"> a </w:t>
      </w:r>
      <w:r w:rsidR="00FE1D7D" w:rsidRPr="00BE3DAF">
        <w:rPr>
          <w:rFonts w:ascii="Aptos" w:eastAsia="Aptos" w:hAnsi="Aptos" w:cs="Arial"/>
          <w:i/>
          <w:iCs/>
          <w:kern w:val="2"/>
          <w:sz w:val="16"/>
          <w:szCs w:val="28"/>
          <w14:ligatures w14:val="standardContextual"/>
        </w:rPr>
        <w:t>website to be shared</w:t>
      </w:r>
      <w:r w:rsidR="006E1E80" w:rsidRPr="00BE3DAF">
        <w:rPr>
          <w:rFonts w:ascii="Aptos" w:eastAsia="Aptos" w:hAnsi="Aptos" w:cs="Arial"/>
          <w:i/>
          <w:iCs/>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and </w:t>
      </w:r>
      <w:r w:rsidR="00FE1D7D" w:rsidRPr="00BE3DAF">
        <w:rPr>
          <w:rFonts w:ascii="Aptos" w:eastAsia="Aptos" w:hAnsi="Aptos" w:cs="Arial"/>
          <w:kern w:val="2"/>
          <w:sz w:val="16"/>
          <w:szCs w:val="28"/>
          <w14:ligatures w14:val="standardContextual"/>
        </w:rPr>
        <w:t>12</w:t>
      </w:r>
      <w:r w:rsidR="006E1E80" w:rsidRPr="00BE3DAF">
        <w:rPr>
          <w:rFonts w:ascii="Aptos" w:eastAsia="Aptos" w:hAnsi="Aptos" w:cs="Arial"/>
          <w:kern w:val="2"/>
          <w:sz w:val="16"/>
          <w:szCs w:val="28"/>
          <w14:ligatures w14:val="standardContextual"/>
        </w:rPr>
        <w:t xml:space="preserve"> countries for all other indicators</w:t>
      </w:r>
      <w:r w:rsidR="006E1E80" w:rsidRPr="00BE3DAF">
        <w:rPr>
          <w:rFonts w:ascii="Aptos" w:eastAsia="Aptos" w:hAnsi="Aptos" w:cs="Arial"/>
          <w:i/>
          <w:iCs/>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Detailed information – including complete indicator names – </w:t>
      </w:r>
      <w:r w:rsidR="00322D63" w:rsidRPr="00BE3DAF">
        <w:rPr>
          <w:rFonts w:ascii="Aptos" w:eastAsia="Aptos" w:hAnsi="Aptos" w:cs="Arial"/>
          <w:kern w:val="2"/>
          <w:sz w:val="16"/>
          <w:szCs w:val="28"/>
          <w14:ligatures w14:val="standardContextual"/>
        </w:rPr>
        <w:t xml:space="preserve">is available </w:t>
      </w:r>
      <w:hyperlink r:id="rId114" w:history="1">
        <w:r w:rsidR="00322D63" w:rsidRPr="00BE3DAF">
          <w:rPr>
            <w:rFonts w:ascii="Aptos" w:eastAsia="Aptos" w:hAnsi="Aptos" w:cs="Arial"/>
            <w:color w:val="467886"/>
            <w:kern w:val="2"/>
            <w:sz w:val="16"/>
            <w:szCs w:val="28"/>
            <w:u w:val="single"/>
            <w14:ligatures w14:val="standardContextual"/>
          </w:rPr>
          <w:t>here</w:t>
        </w:r>
      </w:hyperlink>
      <w:r w:rsidR="006E1E80" w:rsidRPr="00BE3DAF">
        <w:rPr>
          <w:rFonts w:ascii="Aptos" w:eastAsia="Aptos" w:hAnsi="Aptos" w:cs="Arial"/>
          <w:kern w:val="2"/>
          <w:sz w:val="16"/>
          <w:szCs w:val="28"/>
          <w14:ligatures w14:val="standardContextual"/>
        </w:rPr>
        <w:t>.</w:t>
      </w:r>
    </w:p>
    <w:p w14:paraId="1C0BB191" w14:textId="77777777" w:rsidR="006E1E80" w:rsidRPr="00BE3DAF"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07A7BF6D" w14:textId="59C210C6" w:rsidR="006E1E80" w:rsidRPr="00BE3DAF"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digital content creation skill area generally shows relatively low medians for five of the six activities, ranging from </w:t>
      </w:r>
      <w:r w:rsidR="00113E5B" w:rsidRPr="00BE3DAF">
        <w:rPr>
          <w:rFonts w:ascii="Aptos" w:eastAsia="Aptos" w:hAnsi="Aptos" w:cs="Arial"/>
          <w:kern w:val="2"/>
          <w:sz w:val="22"/>
          <w:szCs w:val="22"/>
          <w14:ligatures w14:val="standardContextual"/>
        </w:rPr>
        <w:t>7</w:t>
      </w:r>
      <w:r w:rsidRPr="00BE3DAF">
        <w:rPr>
          <w:rFonts w:ascii="Aptos" w:eastAsia="Aptos" w:hAnsi="Aptos" w:cs="Arial"/>
          <w:kern w:val="2"/>
          <w:sz w:val="22"/>
          <w:szCs w:val="22"/>
          <w14:ligatures w14:val="standardContextual"/>
        </w:rPr>
        <w:t xml:space="preserve"> to </w:t>
      </w:r>
      <w:r w:rsidR="00113E5B" w:rsidRPr="00BE3DAF">
        <w:rPr>
          <w:rFonts w:ascii="Aptos" w:eastAsia="Aptos" w:hAnsi="Aptos" w:cs="Arial"/>
          <w:kern w:val="2"/>
          <w:sz w:val="22"/>
          <w:szCs w:val="22"/>
          <w14:ligatures w14:val="standardContextual"/>
        </w:rPr>
        <w:t>41</w:t>
      </w:r>
      <w:r w:rsidRPr="00BE3DAF">
        <w:rPr>
          <w:rFonts w:ascii="Aptos" w:eastAsia="Aptos" w:hAnsi="Aptos" w:cs="Arial"/>
          <w:kern w:val="2"/>
          <w:sz w:val="22"/>
          <w:szCs w:val="22"/>
          <w14:ligatures w14:val="standardContextual"/>
        </w:rPr>
        <w:t xml:space="preserve"> per cent. The exception is using copy and paste tools within a document, which had a median of </w:t>
      </w:r>
      <w:r w:rsidR="00766DB0" w:rsidRPr="00BE3DAF">
        <w:rPr>
          <w:rFonts w:ascii="Aptos" w:eastAsia="Aptos" w:hAnsi="Aptos" w:cs="Arial"/>
          <w:kern w:val="2"/>
          <w:sz w:val="22"/>
          <w:szCs w:val="22"/>
          <w14:ligatures w14:val="standardContextual"/>
        </w:rPr>
        <w:t>63</w:t>
      </w:r>
      <w:r w:rsidRPr="00BE3DAF">
        <w:rPr>
          <w:rFonts w:ascii="Aptos" w:eastAsia="Aptos" w:hAnsi="Aptos" w:cs="Arial"/>
          <w:kern w:val="2"/>
          <w:sz w:val="22"/>
          <w:szCs w:val="22"/>
          <w14:ligatures w14:val="standardContextual"/>
        </w:rPr>
        <w:t xml:space="preserve"> per cent</w:t>
      </w:r>
      <w:r w:rsidR="00901710" w:rsidRPr="00BE3DAF">
        <w:rPr>
          <w:rFonts w:ascii="Aptos" w:eastAsia="Aptos" w:hAnsi="Aptos" w:cs="Arial"/>
          <w:kern w:val="2"/>
          <w:sz w:val="22"/>
          <w:szCs w:val="22"/>
          <w14:ligatures w14:val="standardContextual"/>
        </w:rPr>
        <w:t xml:space="preserve"> though </w:t>
      </w:r>
      <w:r w:rsidR="00D77C41" w:rsidRPr="00BE3DAF">
        <w:rPr>
          <w:rFonts w:ascii="Aptos" w:eastAsia="Aptos" w:hAnsi="Aptos" w:cs="Arial"/>
          <w:kern w:val="2"/>
          <w:sz w:val="22"/>
          <w:szCs w:val="22"/>
          <w14:ligatures w14:val="standardContextual"/>
        </w:rPr>
        <w:t xml:space="preserve">there </w:t>
      </w:r>
      <w:r w:rsidR="00077A96" w:rsidRPr="00BE3DAF">
        <w:rPr>
          <w:rFonts w:ascii="Aptos" w:eastAsia="Aptos" w:hAnsi="Aptos" w:cs="Arial"/>
          <w:kern w:val="2"/>
          <w:sz w:val="22"/>
          <w:szCs w:val="22"/>
          <w14:ligatures w14:val="standardContextual"/>
        </w:rPr>
        <w:t>was</w:t>
      </w:r>
      <w:r w:rsidR="006B75BD" w:rsidRPr="00BE3DAF">
        <w:rPr>
          <w:rFonts w:ascii="Aptos" w:eastAsia="Aptos" w:hAnsi="Aptos" w:cs="Arial"/>
          <w:kern w:val="2"/>
          <w:sz w:val="22"/>
          <w:szCs w:val="22"/>
          <w14:ligatures w14:val="standardContextual"/>
        </w:rPr>
        <w:t xml:space="preserve"> substantial variation between countries for this activity</w:t>
      </w:r>
      <w:r w:rsidRPr="00BE3DAF">
        <w:rPr>
          <w:rFonts w:ascii="Aptos" w:eastAsia="Aptos" w:hAnsi="Aptos" w:cs="Arial"/>
          <w:kern w:val="2"/>
          <w:sz w:val="22"/>
          <w:szCs w:val="22"/>
          <w14:ligatures w14:val="standardContextual"/>
        </w:rPr>
        <w:t>.</w:t>
      </w:r>
    </w:p>
    <w:p w14:paraId="49677178" w14:textId="77777777" w:rsidR="006E1E80" w:rsidRPr="00BE3DAF"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E3DAF">
        <w:rPr>
          <w:rFonts w:ascii="AvenirNext LT Pro Light" w:eastAsia="Yu Gothic Light" w:hAnsi="AvenirNext LT Pro Light" w:cs="Calibri"/>
          <w:color w:val="0070C0"/>
          <w:spacing w:val="-10"/>
          <w:kern w:val="28"/>
          <w:szCs w:val="24"/>
        </w:rPr>
        <w:t>Percentage of Internet users with safety skills, latest year available</w:t>
      </w:r>
    </w:p>
    <w:p w14:paraId="57CD36EB" w14:textId="2E8B3287" w:rsidR="006E1E80" w:rsidRPr="00BE3DAF" w:rsidRDefault="00B55C28"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171F8619" wp14:editId="741867CD">
            <wp:extent cx="6162675" cy="2588081"/>
            <wp:effectExtent l="0" t="0" r="0" b="3175"/>
            <wp:docPr id="636224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2469" name=""/>
                    <pic:cNvPicPr/>
                  </pic:nvPicPr>
                  <pic:blipFill>
                    <a:blip r:embed="rId115">
                      <a:extLst>
                        <a:ext uri="{96DAC541-7B7A-43D3-8B79-37D633B846F1}">
                          <asvg:svgBlip xmlns:asvg="http://schemas.microsoft.com/office/drawing/2016/SVG/main" r:embed="rId116"/>
                        </a:ext>
                      </a:extLst>
                    </a:blip>
                    <a:stretch>
                      <a:fillRect/>
                    </a:stretch>
                  </pic:blipFill>
                  <pic:spPr>
                    <a:xfrm>
                      <a:off x="0" y="0"/>
                      <a:ext cx="6163761" cy="2588537"/>
                    </a:xfrm>
                    <a:prstGeom prst="rect">
                      <a:avLst/>
                    </a:prstGeom>
                  </pic:spPr>
                </pic:pic>
              </a:graphicData>
            </a:graphic>
          </wp:inline>
        </w:drawing>
      </w:r>
      <w:r w:rsidR="006E1E80" w:rsidRPr="00BE3DAF">
        <w:rPr>
          <w:rFonts w:ascii="Aptos" w:eastAsia="Aptos" w:hAnsi="Aptos" w:cs="Arial"/>
          <w:kern w:val="2"/>
          <w:sz w:val="16"/>
          <w:szCs w:val="28"/>
          <w14:ligatures w14:val="standardContextual"/>
        </w:rPr>
        <w:lastRenderedPageBreak/>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w:t>
      </w:r>
      <w:r w:rsidR="00566C6A" w:rsidRPr="00BE3DAF">
        <w:rPr>
          <w:rFonts w:ascii="Aptos" w:eastAsia="Aptos" w:hAnsi="Aptos" w:cs="Arial"/>
          <w:kern w:val="2"/>
          <w:sz w:val="16"/>
          <w:szCs w:val="28"/>
          <w14:ligatures w14:val="standardContextual"/>
        </w:rPr>
        <w:t>Eight</w:t>
      </w:r>
      <w:r w:rsidR="006E1E80" w:rsidRPr="00BE3DAF">
        <w:rPr>
          <w:rFonts w:ascii="Aptos" w:eastAsia="Aptos" w:hAnsi="Aptos" w:cs="Arial"/>
          <w:kern w:val="2"/>
          <w:sz w:val="16"/>
          <w:szCs w:val="28"/>
          <w14:ligatures w14:val="standardContextual"/>
        </w:rPr>
        <w:t xml:space="preserve"> countries provided data for each indicator</w:t>
      </w:r>
      <w:r w:rsidR="006E1E80" w:rsidRPr="00BE3DAF">
        <w:rPr>
          <w:rFonts w:ascii="Aptos" w:eastAsia="Aptos" w:hAnsi="Aptos" w:cs="Arial"/>
          <w:i/>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Detailed information – including complete indicator names – </w:t>
      </w:r>
      <w:r w:rsidR="00322D63" w:rsidRPr="00BE3DAF">
        <w:rPr>
          <w:rFonts w:ascii="Aptos" w:eastAsia="Aptos" w:hAnsi="Aptos" w:cs="Arial"/>
          <w:kern w:val="2"/>
          <w:sz w:val="16"/>
          <w:szCs w:val="28"/>
          <w14:ligatures w14:val="standardContextual"/>
        </w:rPr>
        <w:t xml:space="preserve">is available </w:t>
      </w:r>
      <w:hyperlink r:id="rId117" w:history="1">
        <w:r w:rsidR="00322D63" w:rsidRPr="00BE3DAF">
          <w:rPr>
            <w:rFonts w:ascii="Aptos" w:eastAsia="Aptos" w:hAnsi="Aptos" w:cs="Arial"/>
            <w:color w:val="467886"/>
            <w:kern w:val="2"/>
            <w:sz w:val="16"/>
            <w:szCs w:val="28"/>
            <w:u w:val="single"/>
            <w14:ligatures w14:val="standardContextual"/>
          </w:rPr>
          <w:t>here</w:t>
        </w:r>
      </w:hyperlink>
      <w:r w:rsidR="006E1E80" w:rsidRPr="00BE3DAF">
        <w:rPr>
          <w:rFonts w:ascii="Aptos" w:eastAsia="Aptos" w:hAnsi="Aptos" w:cs="Arial"/>
          <w:kern w:val="2"/>
          <w:sz w:val="16"/>
          <w:szCs w:val="28"/>
          <w14:ligatures w14:val="standardContextual"/>
        </w:rPr>
        <w:t>.</w:t>
      </w:r>
    </w:p>
    <w:p w14:paraId="76C0BE91" w14:textId="77777777" w:rsidR="006E1E80" w:rsidRPr="00BE3DAF"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5B5BC1C7" w14:textId="2899F6FC" w:rsidR="006E1E80" w:rsidRPr="00BE3DAF"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two activities in the safety category showed similar prevalence for countries in the region. The median shares were </w:t>
      </w:r>
      <w:r w:rsidR="00113E5B" w:rsidRPr="00BE3DAF">
        <w:rPr>
          <w:rFonts w:ascii="Aptos" w:eastAsia="Aptos" w:hAnsi="Aptos" w:cs="Arial"/>
          <w:kern w:val="2"/>
          <w:sz w:val="22"/>
          <w:szCs w:val="22"/>
          <w14:ligatures w14:val="standardContextual"/>
        </w:rPr>
        <w:t>31</w:t>
      </w:r>
      <w:r w:rsidRPr="00BE3DAF">
        <w:rPr>
          <w:rFonts w:ascii="Aptos" w:eastAsia="Aptos" w:hAnsi="Aptos" w:cs="Arial"/>
          <w:kern w:val="2"/>
          <w:sz w:val="22"/>
          <w:szCs w:val="22"/>
          <w14:ligatures w14:val="standardContextual"/>
        </w:rPr>
        <w:t xml:space="preserve"> and </w:t>
      </w:r>
      <w:r w:rsidR="004B6B6C" w:rsidRPr="00BE3DAF">
        <w:rPr>
          <w:rFonts w:ascii="Aptos" w:eastAsia="Aptos" w:hAnsi="Aptos" w:cs="Arial"/>
          <w:kern w:val="2"/>
          <w:sz w:val="22"/>
          <w:szCs w:val="22"/>
          <w14:ligatures w14:val="standardContextual"/>
        </w:rPr>
        <w:t>33</w:t>
      </w:r>
      <w:r w:rsidRPr="00BE3DAF">
        <w:rPr>
          <w:rFonts w:ascii="Aptos" w:eastAsia="Aptos" w:hAnsi="Aptos" w:cs="Arial"/>
          <w:kern w:val="2"/>
          <w:sz w:val="22"/>
          <w:szCs w:val="22"/>
          <w14:ligatures w14:val="standardContextual"/>
        </w:rPr>
        <w:t xml:space="preserve"> per cent for changing privacy settings on one’s device, account or app and setting up effective security measures to protect devices and accounts, respectively.</w:t>
      </w:r>
      <w:r w:rsidR="00077A96" w:rsidRPr="00BE3DAF">
        <w:rPr>
          <w:rFonts w:ascii="Aptos" w:eastAsia="Aptos" w:hAnsi="Aptos" w:cs="Arial"/>
          <w:kern w:val="2"/>
          <w:sz w:val="22"/>
          <w:szCs w:val="22"/>
          <w14:ligatures w14:val="standardContextual"/>
        </w:rPr>
        <w:t xml:space="preserve"> </w:t>
      </w:r>
      <w:r w:rsidR="00B902A0" w:rsidRPr="00BE3DAF">
        <w:rPr>
          <w:rFonts w:ascii="Aptos" w:eastAsia="Aptos" w:hAnsi="Aptos" w:cs="Arial"/>
          <w:kern w:val="2"/>
          <w:sz w:val="22"/>
          <w:szCs w:val="22"/>
          <w14:ligatures w14:val="standardContextual"/>
        </w:rPr>
        <w:t>However, t</w:t>
      </w:r>
      <w:r w:rsidR="00077A96" w:rsidRPr="00BE3DAF">
        <w:rPr>
          <w:rFonts w:ascii="Aptos" w:eastAsia="Aptos" w:hAnsi="Aptos" w:cs="Arial"/>
          <w:kern w:val="2"/>
          <w:sz w:val="22"/>
          <w:szCs w:val="22"/>
          <w14:ligatures w14:val="standardContextual"/>
        </w:rPr>
        <w:t xml:space="preserve">he share of individuals </w:t>
      </w:r>
      <w:r w:rsidR="009D67B0" w:rsidRPr="00BE3DAF">
        <w:rPr>
          <w:rFonts w:ascii="Aptos" w:eastAsia="Aptos" w:hAnsi="Aptos" w:cs="Arial"/>
          <w:kern w:val="2"/>
          <w:sz w:val="22"/>
          <w:szCs w:val="22"/>
          <w14:ligatures w14:val="standardContextual"/>
        </w:rPr>
        <w:t>doing these activities varied widely between countries in the region.</w:t>
      </w:r>
    </w:p>
    <w:p w14:paraId="6A25C7EE" w14:textId="77777777" w:rsidR="006E1E80" w:rsidRPr="00BE3DAF"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E3DAF">
        <w:rPr>
          <w:rFonts w:ascii="AvenirNext LT Pro Light" w:eastAsia="Yu Gothic Light" w:hAnsi="AvenirNext LT Pro Light" w:cs="Calibri"/>
          <w:color w:val="0070C0"/>
          <w:spacing w:val="-10"/>
          <w:kern w:val="28"/>
          <w:szCs w:val="24"/>
        </w:rPr>
        <w:t>Percentage of Internet users with problem solving skills, latest year available</w:t>
      </w:r>
    </w:p>
    <w:p w14:paraId="68F4F451" w14:textId="153BFD48" w:rsidR="006E1E80" w:rsidRPr="00BE3DAF" w:rsidRDefault="009B307F"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E3DAF">
        <w:rPr>
          <w:noProof/>
        </w:rPr>
        <w:drawing>
          <wp:inline distT="0" distB="0" distL="0" distR="0" wp14:anchorId="4B997152" wp14:editId="50741832">
            <wp:extent cx="6120765" cy="2708910"/>
            <wp:effectExtent l="0" t="0" r="0" b="0"/>
            <wp:docPr id="13937269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6969"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6120765" cy="2708910"/>
                    </a:xfrm>
                    <a:prstGeom prst="rect">
                      <a:avLst/>
                    </a:prstGeom>
                  </pic:spPr>
                </pic:pic>
              </a:graphicData>
            </a:graphic>
          </wp:inline>
        </w:drawing>
      </w:r>
      <w:r w:rsidR="006E1E80" w:rsidRPr="00BE3DAF">
        <w:rPr>
          <w:rFonts w:ascii="Aptos" w:eastAsia="Aptos" w:hAnsi="Aptos" w:cs="Arial"/>
          <w:kern w:val="2"/>
          <w:sz w:val="16"/>
          <w:szCs w:val="28"/>
          <w14:ligatures w14:val="standardContextual"/>
        </w:rPr>
        <w:t xml:space="preserve">Note: </w:t>
      </w:r>
      <w:r w:rsidR="00830D0D" w:rsidRPr="00BE3DAF">
        <w:rPr>
          <w:rFonts w:ascii="Aptos" w:eastAsia="Aptos" w:hAnsi="Aptos" w:cs="Arial"/>
          <w:kern w:val="2"/>
          <w:sz w:val="16"/>
          <w:szCs w:val="28"/>
          <w14:ligatures w14:val="standardContextual"/>
        </w:rPr>
        <w:t>Bars indicate the 25th, median and 75th percentile of all country values. The whiskers (bottom and top lines) indicate individual minimum and maximum values. In-scope age varies between countries. Country data are for 2023 where available but no earlier than 2020.</w:t>
      </w:r>
      <w:r w:rsidR="006E1E80" w:rsidRPr="00BE3DAF">
        <w:rPr>
          <w:rFonts w:ascii="Aptos" w:eastAsia="Aptos" w:hAnsi="Aptos" w:cs="Arial"/>
          <w:kern w:val="2"/>
          <w:sz w:val="16"/>
          <w:szCs w:val="28"/>
          <w14:ligatures w14:val="standardContextual"/>
        </w:rPr>
        <w:t xml:space="preserve"> Data availability varies between </w:t>
      </w:r>
      <w:r w:rsidR="001D32B8" w:rsidRPr="00BE3DAF">
        <w:rPr>
          <w:rFonts w:ascii="Aptos" w:eastAsia="Aptos" w:hAnsi="Aptos" w:cs="Arial"/>
          <w:kern w:val="2"/>
          <w:sz w:val="16"/>
          <w:szCs w:val="28"/>
          <w14:ligatures w14:val="standardContextual"/>
        </w:rPr>
        <w:t>eight</w:t>
      </w:r>
      <w:r w:rsidR="006E1E80" w:rsidRPr="00BE3DAF">
        <w:rPr>
          <w:rFonts w:ascii="Aptos" w:eastAsia="Aptos" w:hAnsi="Aptos" w:cs="Arial"/>
          <w:kern w:val="2"/>
          <w:sz w:val="16"/>
          <w:szCs w:val="28"/>
          <w14:ligatures w14:val="standardContextual"/>
        </w:rPr>
        <w:t xml:space="preserve"> and </w:t>
      </w:r>
      <w:r w:rsidR="001D32B8" w:rsidRPr="00BE3DAF">
        <w:rPr>
          <w:rFonts w:ascii="Aptos" w:eastAsia="Aptos" w:hAnsi="Aptos" w:cs="Arial"/>
          <w:kern w:val="2"/>
          <w:sz w:val="16"/>
          <w:szCs w:val="28"/>
          <w14:ligatures w14:val="standardContextual"/>
        </w:rPr>
        <w:t>12</w:t>
      </w:r>
      <w:r w:rsidR="006E1E80" w:rsidRPr="00BE3DAF">
        <w:rPr>
          <w:rFonts w:ascii="Aptos" w:eastAsia="Aptos" w:hAnsi="Aptos" w:cs="Arial"/>
          <w:kern w:val="2"/>
          <w:sz w:val="16"/>
          <w:szCs w:val="28"/>
          <w14:ligatures w14:val="standardContextual"/>
        </w:rPr>
        <w:t xml:space="preserve"> countries for each indicator</w:t>
      </w:r>
      <w:r w:rsidR="006E1E80" w:rsidRPr="00BE3DAF">
        <w:rPr>
          <w:rFonts w:ascii="Aptos" w:eastAsia="Aptos" w:hAnsi="Aptos" w:cs="Arial"/>
          <w:i/>
          <w:kern w:val="2"/>
          <w:sz w:val="16"/>
          <w:szCs w:val="28"/>
          <w14:ligatures w14:val="standardContextual"/>
        </w:rPr>
        <w:t xml:space="preserve">. </w:t>
      </w:r>
      <w:r w:rsidR="006E1E80" w:rsidRPr="00BE3DAF">
        <w:rPr>
          <w:rFonts w:ascii="Aptos" w:eastAsia="Aptos" w:hAnsi="Aptos" w:cs="Arial"/>
          <w:kern w:val="2"/>
          <w:sz w:val="16"/>
          <w:szCs w:val="28"/>
          <w14:ligatures w14:val="standardContextual"/>
        </w:rPr>
        <w:t xml:space="preserve">Detailed information – including complete indicator names – </w:t>
      </w:r>
      <w:r w:rsidR="00322D63" w:rsidRPr="00BE3DAF">
        <w:rPr>
          <w:rFonts w:ascii="Aptos" w:eastAsia="Aptos" w:hAnsi="Aptos" w:cs="Arial"/>
          <w:kern w:val="2"/>
          <w:sz w:val="16"/>
          <w:szCs w:val="28"/>
          <w14:ligatures w14:val="standardContextual"/>
        </w:rPr>
        <w:t xml:space="preserve">is available </w:t>
      </w:r>
      <w:hyperlink r:id="rId120" w:history="1">
        <w:r w:rsidR="00322D63" w:rsidRPr="00BE3DAF">
          <w:rPr>
            <w:rFonts w:ascii="Aptos" w:eastAsia="Aptos" w:hAnsi="Aptos" w:cs="Arial"/>
            <w:color w:val="467886"/>
            <w:kern w:val="2"/>
            <w:sz w:val="16"/>
            <w:szCs w:val="28"/>
            <w:u w:val="single"/>
            <w14:ligatures w14:val="standardContextual"/>
          </w:rPr>
          <w:t>here</w:t>
        </w:r>
      </w:hyperlink>
      <w:r w:rsidR="006E1E80" w:rsidRPr="00BE3DAF">
        <w:rPr>
          <w:rFonts w:ascii="Aptos" w:eastAsia="Aptos" w:hAnsi="Aptos" w:cs="Arial"/>
          <w:kern w:val="2"/>
          <w:sz w:val="16"/>
          <w:szCs w:val="28"/>
          <w14:ligatures w14:val="standardContextual"/>
        </w:rPr>
        <w:t>.</w:t>
      </w:r>
    </w:p>
    <w:p w14:paraId="184DB606" w14:textId="77777777" w:rsidR="006E1E80" w:rsidRPr="00BE3DAF"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E3DAF">
        <w:rPr>
          <w:rFonts w:ascii="Aptos" w:eastAsia="Aptos" w:hAnsi="Aptos" w:cs="Arial"/>
          <w:kern w:val="2"/>
          <w:sz w:val="16"/>
          <w:szCs w:val="28"/>
          <w14:ligatures w14:val="standardContextual"/>
        </w:rPr>
        <w:t>Source: ITU</w:t>
      </w:r>
    </w:p>
    <w:p w14:paraId="784CBB8C" w14:textId="22B384C8" w:rsidR="006E1E80" w:rsidRPr="00BE3DAF"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Finally, the medians for activities in the problem-solving skill area vary widely, from </w:t>
      </w:r>
      <w:r w:rsidR="0046570E" w:rsidRPr="00BE3DAF">
        <w:rPr>
          <w:rFonts w:ascii="Aptos" w:eastAsia="Aptos" w:hAnsi="Aptos" w:cs="Arial"/>
          <w:kern w:val="2"/>
          <w:sz w:val="22"/>
          <w:szCs w:val="22"/>
          <w14:ligatures w14:val="standardContextual"/>
        </w:rPr>
        <w:t>24</w:t>
      </w:r>
      <w:r w:rsidRPr="00BE3DAF">
        <w:rPr>
          <w:rFonts w:ascii="Aptos" w:eastAsia="Aptos" w:hAnsi="Aptos" w:cs="Arial"/>
          <w:kern w:val="2"/>
          <w:sz w:val="22"/>
          <w:szCs w:val="22"/>
          <w14:ligatures w14:val="standardContextual"/>
        </w:rPr>
        <w:t xml:space="preserve"> per cent for doing an online course to </w:t>
      </w:r>
      <w:r w:rsidR="00795719" w:rsidRPr="00BE3DAF">
        <w:rPr>
          <w:rFonts w:ascii="Aptos" w:eastAsia="Aptos" w:hAnsi="Aptos" w:cs="Arial"/>
          <w:kern w:val="2"/>
          <w:sz w:val="22"/>
          <w:szCs w:val="22"/>
          <w14:ligatures w14:val="standardContextual"/>
        </w:rPr>
        <w:t>51</w:t>
      </w:r>
      <w:r w:rsidRPr="00BE3DAF">
        <w:rPr>
          <w:rFonts w:ascii="Aptos" w:eastAsia="Aptos" w:hAnsi="Aptos" w:cs="Arial"/>
          <w:kern w:val="2"/>
          <w:sz w:val="22"/>
          <w:szCs w:val="22"/>
          <w14:ligatures w14:val="standardContextual"/>
        </w:rPr>
        <w:t xml:space="preserve"> per cent for </w:t>
      </w:r>
      <w:r w:rsidR="00795719" w:rsidRPr="00BE3DAF">
        <w:rPr>
          <w:rFonts w:ascii="Aptos" w:eastAsia="Aptos" w:hAnsi="Aptos" w:cs="Arial"/>
          <w:kern w:val="2"/>
          <w:sz w:val="22"/>
          <w:szCs w:val="22"/>
          <w14:ligatures w14:val="standardContextual"/>
        </w:rPr>
        <w:t>Internet banking</w:t>
      </w:r>
      <w:r w:rsidRPr="00BE3DAF">
        <w:rPr>
          <w:rFonts w:ascii="Aptos" w:eastAsia="Aptos" w:hAnsi="Aptos" w:cs="Arial"/>
          <w:kern w:val="2"/>
          <w:sz w:val="22"/>
          <w:szCs w:val="22"/>
          <w14:ligatures w14:val="standardContextual"/>
        </w:rPr>
        <w:t>.</w:t>
      </w:r>
    </w:p>
    <w:p w14:paraId="389D3697" w14:textId="77777777" w:rsidR="00355916" w:rsidRPr="00BE3DAF" w:rsidRDefault="0035591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9AF4B0F" w14:textId="77777777" w:rsidR="00460C50" w:rsidRPr="00BE3DAF" w:rsidRDefault="00460C50">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E3DAF">
        <w:br w:type="page"/>
      </w:r>
    </w:p>
    <w:p w14:paraId="275F64C2" w14:textId="1D5B2C4B" w:rsidR="006C41B5" w:rsidRPr="00BE3DAF" w:rsidRDefault="006C41B5" w:rsidP="000C3666">
      <w:pPr>
        <w:pStyle w:val="Section"/>
      </w:pPr>
      <w:bookmarkStart w:id="17" w:name="_Toc189658582"/>
      <w:r w:rsidRPr="00BE3DAF">
        <w:lastRenderedPageBreak/>
        <w:t>Revenue and investment</w:t>
      </w:r>
      <w:bookmarkEnd w:id="17"/>
      <w:r w:rsidRPr="00BE3DAF">
        <w:t xml:space="preserve"> </w:t>
      </w:r>
    </w:p>
    <w:p w14:paraId="37CF7549" w14:textId="63FC94F8" w:rsidR="00524D65" w:rsidRPr="00BE3DAF" w:rsidRDefault="00B10E5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BE3DAF">
        <w:rPr>
          <w:rFonts w:ascii="Aptos" w:eastAsia="Aptos" w:hAnsi="Aptos" w:cs="Arial"/>
          <w:b/>
          <w:bCs/>
          <w:i/>
          <w:iCs/>
          <w:noProof/>
          <w:kern w:val="2"/>
          <w:sz w:val="22"/>
          <w:szCs w:val="22"/>
          <w14:ligatures w14:val="standardContextual"/>
        </w:rPr>
        <w:t>The telecom sector is a key economic driver</w:t>
      </w:r>
      <w:r w:rsidR="003232EC" w:rsidRPr="00BE3DAF">
        <w:rPr>
          <w:rFonts w:ascii="Aptos" w:eastAsia="Aptos" w:hAnsi="Aptos" w:cs="Arial"/>
          <w:b/>
          <w:bCs/>
          <w:i/>
          <w:iCs/>
          <w:noProof/>
          <w:kern w:val="2"/>
          <w:sz w:val="22"/>
          <w:szCs w:val="22"/>
          <w14:ligatures w14:val="standardContextual"/>
        </w:rPr>
        <w:t xml:space="preserve"> in Asia and the Pacific</w:t>
      </w:r>
    </w:p>
    <w:p w14:paraId="11A92771" w14:textId="32DA6993" w:rsidR="006C41B5" w:rsidRPr="00BE3DAF" w:rsidRDefault="008A66E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BE3DAF">
        <w:rPr>
          <w:rFonts w:ascii="Aptos" w:eastAsia="Aptos" w:hAnsi="Aptos" w:cs="Arial"/>
          <w:noProof/>
          <w:kern w:val="2"/>
          <w:sz w:val="22"/>
          <w:szCs w:val="22"/>
          <w14:ligatures w14:val="standardContextual"/>
        </w:rPr>
        <w:t>The telecommunication sector is an important enabler of economic development, with both direct and indirect impacts. While it is harder to capture the indirect impact, recent data on revenue and investment reveals the significance of the sector’s direct impact on development but also the considerable gaps between countries.</w:t>
      </w:r>
    </w:p>
    <w:p w14:paraId="215AE009" w14:textId="21D03A7C" w:rsidR="006C41B5" w:rsidRPr="00BE3DAF"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Revenue from all telecommunication services, in USD </w:t>
      </w:r>
      <w:r w:rsidR="00F52337" w:rsidRPr="00BE3DAF">
        <w:rPr>
          <w:rFonts w:ascii="AvenirNext LT Pro Light" w:eastAsia="Yu Gothic Light" w:hAnsi="AvenirNext LT Pro Light" w:cs="Calibri"/>
          <w:color w:val="0070C0"/>
          <w:spacing w:val="-10"/>
          <w:kern w:val="28"/>
        </w:rPr>
        <w:t>b</w:t>
      </w:r>
      <w:r w:rsidRPr="00BE3DAF">
        <w:rPr>
          <w:rFonts w:ascii="AvenirNext LT Pro Light" w:eastAsia="Yu Gothic Light" w:hAnsi="AvenirNext LT Pro Light" w:cs="Calibri"/>
          <w:color w:val="0070C0"/>
          <w:spacing w:val="-10"/>
          <w:kern w:val="28"/>
        </w:rPr>
        <w:t xml:space="preserve">illion and as a % of GDP, </w:t>
      </w:r>
      <w:r w:rsidR="00F7068F" w:rsidRPr="00BE3DAF">
        <w:rPr>
          <w:rFonts w:ascii="AvenirNext LT Pro Light" w:eastAsia="Yu Gothic Light" w:hAnsi="AvenirNext LT Pro Light" w:cs="Calibri"/>
          <w:color w:val="0070C0"/>
          <w:spacing w:val="-10"/>
          <w:kern w:val="28"/>
        </w:rPr>
        <w:t xml:space="preserve">2023 or </w:t>
      </w:r>
      <w:r w:rsidRPr="00BE3DAF">
        <w:rPr>
          <w:rFonts w:ascii="AvenirNext LT Pro Light" w:eastAsia="Yu Gothic Light" w:hAnsi="AvenirNext LT Pro Light" w:cs="Calibri"/>
          <w:color w:val="0070C0"/>
          <w:spacing w:val="-10"/>
          <w:kern w:val="28"/>
        </w:rPr>
        <w:t>latest available year</w:t>
      </w:r>
    </w:p>
    <w:p w14:paraId="38D4CC11" w14:textId="2CDB90F2" w:rsidR="00816318" w:rsidRPr="00BE3DAF" w:rsidRDefault="009C7156" w:rsidP="00B1004A">
      <w:pPr>
        <w:pStyle w:val="notetext"/>
      </w:pPr>
      <w:r w:rsidRPr="00BE3DAF">
        <w:rPr>
          <w:noProof/>
        </w:rPr>
        <w:drawing>
          <wp:inline distT="0" distB="0" distL="0" distR="0" wp14:anchorId="7E546CA0" wp14:editId="33E826F1">
            <wp:extent cx="6120765" cy="3783965"/>
            <wp:effectExtent l="0" t="0" r="0" b="6985"/>
            <wp:docPr id="5604525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52540" name=""/>
                    <pic:cNvPicPr/>
                  </pic:nvPicPr>
                  <pic:blipFill>
                    <a:blip r:embed="rId121">
                      <a:extLst>
                        <a:ext uri="{96DAC541-7B7A-43D3-8B79-37D633B846F1}">
                          <asvg:svgBlip xmlns:asvg="http://schemas.microsoft.com/office/drawing/2016/SVG/main" r:embed="rId122"/>
                        </a:ext>
                      </a:extLst>
                    </a:blip>
                    <a:stretch>
                      <a:fillRect/>
                    </a:stretch>
                  </pic:blipFill>
                  <pic:spPr>
                    <a:xfrm>
                      <a:off x="0" y="0"/>
                      <a:ext cx="6120765" cy="3783965"/>
                    </a:xfrm>
                    <a:prstGeom prst="rect">
                      <a:avLst/>
                    </a:prstGeom>
                  </pic:spPr>
                </pic:pic>
              </a:graphicData>
            </a:graphic>
          </wp:inline>
        </w:drawing>
      </w:r>
      <w:r w:rsidR="00816318" w:rsidRPr="00BE3DAF">
        <w:t>Note: Annual average exchange rates applied, last available year values at constant 2023 prices.</w:t>
      </w:r>
    </w:p>
    <w:p w14:paraId="566B1952" w14:textId="77777777" w:rsidR="006C41B5" w:rsidRPr="00BE3DAF" w:rsidRDefault="006C41B5" w:rsidP="00B1004A">
      <w:pPr>
        <w:pStyle w:val="Sourcetext"/>
        <w:rPr>
          <w:noProof/>
        </w:rPr>
      </w:pPr>
      <w:r w:rsidRPr="00BE3DAF">
        <w:rPr>
          <w:noProof/>
        </w:rPr>
        <w:t>Source: ITU, World Bank World Development Indicators</w:t>
      </w:r>
    </w:p>
    <w:p w14:paraId="14A268DB" w14:textId="3B6218CB" w:rsidR="00B82143" w:rsidRPr="00BE3DAF" w:rsidRDefault="007C19BF" w:rsidP="0049502C">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BE3DAF">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sidRPr="00BE3DAF">
        <w:rPr>
          <w:rFonts w:ascii="Aptos" w:eastAsia="Aptos" w:hAnsi="Aptos" w:cs="Arial"/>
          <w:noProof/>
          <w:kern w:val="2"/>
          <w:sz w:val="22"/>
          <w:szCs w:val="22"/>
          <w14:ligatures w14:val="standardContextual"/>
        </w:rPr>
        <w:t>.</w:t>
      </w:r>
      <w:r w:rsidRPr="00BE3DAF">
        <w:rPr>
          <w:rFonts w:ascii="Aptos" w:eastAsia="Aptos" w:hAnsi="Aptos" w:cs="Arial"/>
          <w:noProof/>
          <w:kern w:val="2"/>
          <w:sz w:val="22"/>
          <w:szCs w:val="22"/>
          <w:vertAlign w:val="superscript"/>
          <w14:ligatures w14:val="standardContextual"/>
        </w:rPr>
        <w:footnoteReference w:id="7"/>
      </w:r>
      <w:r w:rsidRPr="00BE3DAF">
        <w:rPr>
          <w:rFonts w:ascii="Aptos" w:eastAsia="Aptos" w:hAnsi="Aptos" w:cs="Arial"/>
          <w:kern w:val="2"/>
          <w:sz w:val="22"/>
          <w:szCs w:val="22"/>
          <w14:ligatures w14:val="standardContextual"/>
        </w:rPr>
        <w:t xml:space="preserve"> </w:t>
      </w:r>
      <w:r w:rsidR="003E4ED7" w:rsidRPr="00BE3DAF">
        <w:rPr>
          <w:rFonts w:ascii="Aptos" w:eastAsia="Aptos" w:hAnsi="Aptos" w:cs="Arial"/>
          <w:kern w:val="2"/>
          <w:sz w:val="22"/>
          <w:szCs w:val="22"/>
          <w14:ligatures w14:val="standardContextual"/>
        </w:rPr>
        <w:t xml:space="preserve">The total retail revenues for the sector in the Asia and the Pacific region, for the </w:t>
      </w:r>
      <w:r w:rsidR="00692C4A" w:rsidRPr="00BE3DAF">
        <w:rPr>
          <w:rFonts w:ascii="Aptos" w:eastAsia="Aptos" w:hAnsi="Aptos" w:cs="Arial"/>
          <w:kern w:val="2"/>
          <w:sz w:val="22"/>
          <w:szCs w:val="22"/>
          <w14:ligatures w14:val="standardContextual"/>
        </w:rPr>
        <w:t>2</w:t>
      </w:r>
      <w:r w:rsidR="003E4ED7" w:rsidRPr="00BE3DAF">
        <w:rPr>
          <w:rFonts w:ascii="Aptos" w:eastAsia="Aptos" w:hAnsi="Aptos" w:cs="Arial"/>
          <w:kern w:val="2"/>
          <w:sz w:val="22"/>
          <w:szCs w:val="22"/>
          <w14:ligatures w14:val="standardContextual"/>
        </w:rPr>
        <w:t>5 countries that provided data in the last available year since 2021, is estimated at around USD 5</w:t>
      </w:r>
      <w:r w:rsidR="00243B84" w:rsidRPr="00BE3DAF">
        <w:rPr>
          <w:rFonts w:ascii="Aptos" w:eastAsia="Aptos" w:hAnsi="Aptos" w:cs="Arial"/>
          <w:kern w:val="2"/>
          <w:sz w:val="22"/>
          <w:szCs w:val="22"/>
          <w14:ligatures w14:val="standardContextual"/>
        </w:rPr>
        <w:t>9</w:t>
      </w:r>
      <w:r w:rsidR="003E4ED7" w:rsidRPr="00BE3DAF">
        <w:rPr>
          <w:rFonts w:ascii="Aptos" w:eastAsia="Aptos" w:hAnsi="Aptos" w:cs="Arial"/>
          <w:kern w:val="2"/>
          <w:sz w:val="22"/>
          <w:szCs w:val="22"/>
          <w14:ligatures w14:val="standardContextual"/>
        </w:rPr>
        <w:t>7 billion</w:t>
      </w:r>
      <w:r w:rsidR="00A256F0" w:rsidRPr="00BE3DAF">
        <w:rPr>
          <w:rFonts w:ascii="Aptos" w:eastAsia="Aptos" w:hAnsi="Aptos" w:cs="Arial"/>
          <w:kern w:val="2"/>
          <w:sz w:val="22"/>
          <w:szCs w:val="22"/>
          <w14:ligatures w14:val="standardContextual"/>
        </w:rPr>
        <w:t xml:space="preserve">. </w:t>
      </w:r>
      <w:r w:rsidR="002B0E05" w:rsidRPr="00BE3DAF">
        <w:rPr>
          <w:rFonts w:ascii="Aptos" w:eastAsia="Aptos" w:hAnsi="Aptos" w:cs="Arial"/>
          <w:kern w:val="2"/>
          <w:sz w:val="22"/>
          <w:szCs w:val="22"/>
          <w14:ligatures w14:val="standardContextual"/>
        </w:rPr>
        <w:t>However, t</w:t>
      </w:r>
      <w:r w:rsidR="0049502C" w:rsidRPr="00BE3DAF">
        <w:rPr>
          <w:rFonts w:ascii="Aptos" w:eastAsia="Aptos" w:hAnsi="Aptos" w:cs="Arial"/>
          <w:noProof/>
          <w:kern w:val="2"/>
          <w:sz w:val="22"/>
          <w:szCs w:val="22"/>
          <w14:ligatures w14:val="standardContextual"/>
        </w:rPr>
        <w:t xml:space="preserve">he size of the telecommunication market varies significantly across countries, with </w:t>
      </w:r>
      <w:r w:rsidR="000842C9" w:rsidRPr="00BE3DAF">
        <w:rPr>
          <w:rFonts w:ascii="Aptos" w:eastAsia="Aptos" w:hAnsi="Aptos" w:cs="Arial"/>
          <w:noProof/>
          <w:kern w:val="2"/>
          <w:sz w:val="22"/>
          <w:szCs w:val="22"/>
          <w14:ligatures w14:val="standardContextual"/>
        </w:rPr>
        <w:t xml:space="preserve">nine </w:t>
      </w:r>
      <w:r w:rsidR="0049502C" w:rsidRPr="00BE3DAF">
        <w:rPr>
          <w:rFonts w:ascii="Aptos" w:eastAsia="Aptos" w:hAnsi="Aptos" w:cs="Arial"/>
          <w:noProof/>
          <w:kern w:val="2"/>
          <w:sz w:val="22"/>
          <w:szCs w:val="22"/>
          <w14:ligatures w14:val="standardContextual"/>
        </w:rPr>
        <w:t xml:space="preserve">countries reporting revenue of up to USD </w:t>
      </w:r>
      <w:r w:rsidR="001005B2" w:rsidRPr="00BE3DAF">
        <w:rPr>
          <w:rFonts w:ascii="Aptos" w:eastAsia="Aptos" w:hAnsi="Aptos" w:cs="Arial"/>
          <w:noProof/>
          <w:kern w:val="2"/>
          <w:sz w:val="22"/>
          <w:szCs w:val="22"/>
          <w14:ligatures w14:val="standardContextual"/>
        </w:rPr>
        <w:t>75</w:t>
      </w:r>
      <w:r w:rsidR="0049502C" w:rsidRPr="00BE3DAF">
        <w:rPr>
          <w:rFonts w:ascii="Aptos" w:eastAsia="Aptos" w:hAnsi="Aptos" w:cs="Arial"/>
          <w:noProof/>
          <w:kern w:val="2"/>
          <w:sz w:val="22"/>
          <w:szCs w:val="22"/>
          <w14:ligatures w14:val="standardContextual"/>
        </w:rPr>
        <w:t xml:space="preserve">0 million, while </w:t>
      </w:r>
      <w:r w:rsidR="001005B2" w:rsidRPr="00BE3DAF">
        <w:rPr>
          <w:rFonts w:ascii="Aptos" w:eastAsia="Aptos" w:hAnsi="Aptos" w:cs="Arial"/>
          <w:noProof/>
          <w:kern w:val="2"/>
          <w:sz w:val="22"/>
          <w:szCs w:val="22"/>
          <w14:ligatures w14:val="standardContextual"/>
        </w:rPr>
        <w:t>China</w:t>
      </w:r>
      <w:r w:rsidR="0049502C" w:rsidRPr="00BE3DAF">
        <w:rPr>
          <w:rFonts w:ascii="Aptos" w:eastAsia="Aptos" w:hAnsi="Aptos" w:cs="Arial"/>
          <w:noProof/>
          <w:kern w:val="2"/>
          <w:sz w:val="22"/>
          <w:szCs w:val="22"/>
          <w14:ligatures w14:val="standardContextual"/>
        </w:rPr>
        <w:t>, the largest market, achieved USD </w:t>
      </w:r>
      <w:r w:rsidR="00E316CE" w:rsidRPr="00BE3DAF">
        <w:rPr>
          <w:rFonts w:ascii="Aptos" w:eastAsia="Aptos" w:hAnsi="Aptos" w:cs="Arial"/>
          <w:noProof/>
          <w:kern w:val="2"/>
          <w:sz w:val="22"/>
          <w:szCs w:val="22"/>
          <w14:ligatures w14:val="standardContextual"/>
        </w:rPr>
        <w:t>238</w:t>
      </w:r>
      <w:r w:rsidR="0049502C" w:rsidRPr="00BE3DAF">
        <w:rPr>
          <w:rFonts w:ascii="Aptos" w:eastAsia="Aptos" w:hAnsi="Aptos" w:cs="Arial"/>
          <w:noProof/>
          <w:kern w:val="2"/>
          <w:sz w:val="22"/>
          <w:szCs w:val="22"/>
          <w14:ligatures w14:val="standardContextual"/>
        </w:rPr>
        <w:t xml:space="preserve"> billion</w:t>
      </w:r>
      <w:r w:rsidR="00E316CE" w:rsidRPr="00BE3DAF">
        <w:rPr>
          <w:rFonts w:ascii="Aptos" w:eastAsia="Aptos" w:hAnsi="Aptos" w:cs="Arial"/>
          <w:noProof/>
          <w:kern w:val="2"/>
          <w:sz w:val="22"/>
          <w:szCs w:val="22"/>
          <w14:ligatures w14:val="standardContextual"/>
        </w:rPr>
        <w:t xml:space="preserve">, followed by Japan at </w:t>
      </w:r>
      <w:r w:rsidR="00125E3C" w:rsidRPr="00BE3DAF">
        <w:rPr>
          <w:rFonts w:ascii="Aptos" w:eastAsia="Aptos" w:hAnsi="Aptos" w:cs="Arial"/>
          <w:noProof/>
          <w:kern w:val="2"/>
          <w:sz w:val="22"/>
          <w:szCs w:val="22"/>
          <w14:ligatures w14:val="standardContextual"/>
        </w:rPr>
        <w:t xml:space="preserve">USD </w:t>
      </w:r>
      <w:r w:rsidR="00832BC7" w:rsidRPr="00BE3DAF">
        <w:rPr>
          <w:rFonts w:ascii="Aptos" w:eastAsia="Aptos" w:hAnsi="Aptos" w:cs="Arial"/>
          <w:noProof/>
          <w:kern w:val="2"/>
          <w:sz w:val="22"/>
          <w:szCs w:val="22"/>
          <w14:ligatures w14:val="standardContextual"/>
        </w:rPr>
        <w:t>13</w:t>
      </w:r>
      <w:r w:rsidR="00125E3C" w:rsidRPr="00BE3DAF">
        <w:rPr>
          <w:rFonts w:ascii="Aptos" w:eastAsia="Aptos" w:hAnsi="Aptos" w:cs="Arial"/>
          <w:noProof/>
          <w:kern w:val="2"/>
          <w:sz w:val="22"/>
          <w:szCs w:val="22"/>
          <w14:ligatures w14:val="standardContextual"/>
        </w:rPr>
        <w:t>5 billion</w:t>
      </w:r>
      <w:r w:rsidR="0049502C" w:rsidRPr="00BE3DAF">
        <w:rPr>
          <w:rFonts w:ascii="Aptos" w:eastAsia="Aptos" w:hAnsi="Aptos" w:cs="Arial"/>
          <w:noProof/>
          <w:kern w:val="2"/>
          <w:sz w:val="22"/>
          <w:szCs w:val="22"/>
          <w14:ligatures w14:val="standardContextual"/>
        </w:rPr>
        <w:t xml:space="preserve">. </w:t>
      </w:r>
    </w:p>
    <w:p w14:paraId="7AFD9D1F" w14:textId="7847F5A9" w:rsidR="0049502C" w:rsidRPr="00BE3DAF" w:rsidRDefault="00B82143" w:rsidP="0049502C">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BE3DAF">
        <w:rPr>
          <w:rFonts w:ascii="Aptos" w:eastAsia="Aptos" w:hAnsi="Aptos" w:cs="Arial"/>
          <w:noProof/>
          <w:kern w:val="2"/>
          <w:sz w:val="22"/>
          <w:szCs w:val="22"/>
          <w14:ligatures w14:val="standardContextual"/>
        </w:rPr>
        <w:t>This sector contributed an average of 1.7 per cent to the region's GDP.</w:t>
      </w:r>
      <w:r w:rsidR="0049502C" w:rsidRPr="00BE3DAF">
        <w:rPr>
          <w:rFonts w:ascii="Aptos" w:eastAsia="Aptos" w:hAnsi="Aptos" w:cs="Arial"/>
          <w:noProof/>
          <w:kern w:val="2"/>
          <w:sz w:val="22"/>
          <w:szCs w:val="22"/>
          <w14:ligatures w14:val="standardContextual"/>
        </w:rPr>
        <w:t xml:space="preserve"> </w:t>
      </w:r>
      <w:r w:rsidR="000D7933" w:rsidRPr="00BE3DAF">
        <w:rPr>
          <w:rFonts w:ascii="Aptos" w:eastAsia="Aptos" w:hAnsi="Aptos" w:cs="Arial"/>
          <w:noProof/>
          <w:kern w:val="2"/>
          <w:sz w:val="22"/>
          <w:szCs w:val="22"/>
          <w14:ligatures w14:val="standardContextual"/>
        </w:rPr>
        <w:t>T</w:t>
      </w:r>
      <w:r w:rsidR="0049502C" w:rsidRPr="00BE3DAF">
        <w:rPr>
          <w:rFonts w:ascii="Aptos" w:eastAsia="Aptos" w:hAnsi="Aptos" w:cs="Arial"/>
          <w:noProof/>
          <w:kern w:val="2"/>
          <w:sz w:val="22"/>
          <w:szCs w:val="22"/>
          <w14:ligatures w14:val="standardContextual"/>
        </w:rPr>
        <w:t xml:space="preserve">his proportion fluctuates, ranging from less than 1 per cent in </w:t>
      </w:r>
      <w:r w:rsidR="003F764B" w:rsidRPr="00BE3DAF">
        <w:rPr>
          <w:rFonts w:ascii="Aptos" w:eastAsia="Aptos" w:hAnsi="Aptos" w:cs="Arial"/>
          <w:noProof/>
          <w:kern w:val="2"/>
          <w:sz w:val="22"/>
          <w:szCs w:val="22"/>
          <w14:ligatures w14:val="standardContextual"/>
        </w:rPr>
        <w:t>seven</w:t>
      </w:r>
      <w:r w:rsidR="0049502C" w:rsidRPr="00BE3DAF">
        <w:rPr>
          <w:rFonts w:ascii="Aptos" w:eastAsia="Aptos" w:hAnsi="Aptos" w:cs="Arial"/>
          <w:noProof/>
          <w:kern w:val="2"/>
          <w:sz w:val="22"/>
          <w:szCs w:val="22"/>
          <w14:ligatures w14:val="standardContextual"/>
        </w:rPr>
        <w:t xml:space="preserve"> countries to over 3 per cent in </w:t>
      </w:r>
      <w:r w:rsidR="001B5974" w:rsidRPr="00BE3DAF">
        <w:rPr>
          <w:rFonts w:ascii="Aptos" w:eastAsia="Aptos" w:hAnsi="Aptos" w:cs="Arial"/>
          <w:noProof/>
          <w:kern w:val="2"/>
          <w:sz w:val="22"/>
          <w:szCs w:val="22"/>
          <w14:ligatures w14:val="standardContextual"/>
        </w:rPr>
        <w:t>eight</w:t>
      </w:r>
      <w:r w:rsidR="0049502C" w:rsidRPr="00BE3DAF">
        <w:rPr>
          <w:rFonts w:ascii="Aptos" w:eastAsia="Aptos" w:hAnsi="Aptos" w:cs="Arial"/>
          <w:noProof/>
          <w:kern w:val="2"/>
          <w:sz w:val="22"/>
          <w:szCs w:val="22"/>
          <w14:ligatures w14:val="standardContextual"/>
        </w:rPr>
        <w:t xml:space="preserve"> countries.</w:t>
      </w:r>
      <w:r w:rsidRPr="00BE3DAF">
        <w:rPr>
          <w:rFonts w:ascii="Aptos" w:eastAsia="Aptos" w:hAnsi="Aptos" w:cs="Arial"/>
          <w:kern w:val="2"/>
          <w:sz w:val="22"/>
          <w:szCs w:val="22"/>
          <w14:ligatures w14:val="standardContextual"/>
        </w:rPr>
        <w:t xml:space="preserve"> </w:t>
      </w:r>
    </w:p>
    <w:p w14:paraId="13F098A6" w14:textId="4011894B" w:rsidR="0047619F" w:rsidRPr="00BE3DAF" w:rsidRDefault="0047619F"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 xml:space="preserve">Annual investment in telecommunication services, in USD </w:t>
      </w:r>
      <w:r w:rsidR="00D470D7" w:rsidRPr="00BE3DAF">
        <w:rPr>
          <w:rFonts w:ascii="AvenirNext LT Pro Light" w:eastAsia="Yu Gothic Light" w:hAnsi="AvenirNext LT Pro Light" w:cs="Calibri"/>
          <w:color w:val="0070C0"/>
          <w:spacing w:val="-10"/>
          <w:kern w:val="28"/>
        </w:rPr>
        <w:t>b</w:t>
      </w:r>
      <w:r w:rsidRPr="00BE3DAF">
        <w:rPr>
          <w:rFonts w:ascii="AvenirNext LT Pro Light" w:eastAsia="Yu Gothic Light" w:hAnsi="AvenirNext LT Pro Light" w:cs="Calibri"/>
          <w:color w:val="0070C0"/>
          <w:spacing w:val="-10"/>
          <w:kern w:val="28"/>
        </w:rPr>
        <w:t>illion and as % of GDP</w:t>
      </w:r>
    </w:p>
    <w:p w14:paraId="3F79FE86" w14:textId="6D6F9398" w:rsidR="0047619F" w:rsidRPr="00BE3DAF" w:rsidRDefault="00501BB3" w:rsidP="00B1004A">
      <w:pPr>
        <w:pStyle w:val="notetext"/>
      </w:pPr>
      <w:r w:rsidRPr="00BE3DAF">
        <w:rPr>
          <w:noProof/>
        </w:rPr>
        <w:drawing>
          <wp:inline distT="0" distB="0" distL="0" distR="0" wp14:anchorId="6C7E2BB9" wp14:editId="46B82198">
            <wp:extent cx="6120765" cy="3551555"/>
            <wp:effectExtent l="0" t="0" r="0" b="0"/>
            <wp:docPr id="1958454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54851" name=""/>
                    <pic:cNvPicPr/>
                  </pic:nvPicPr>
                  <pic:blipFill>
                    <a:blip r:embed="rId123">
                      <a:extLst>
                        <a:ext uri="{96DAC541-7B7A-43D3-8B79-37D633B846F1}">
                          <asvg:svgBlip xmlns:asvg="http://schemas.microsoft.com/office/drawing/2016/SVG/main" r:embed="rId124"/>
                        </a:ext>
                      </a:extLst>
                    </a:blip>
                    <a:stretch>
                      <a:fillRect/>
                    </a:stretch>
                  </pic:blipFill>
                  <pic:spPr>
                    <a:xfrm>
                      <a:off x="0" y="0"/>
                      <a:ext cx="6120765" cy="3551555"/>
                    </a:xfrm>
                    <a:prstGeom prst="rect">
                      <a:avLst/>
                    </a:prstGeom>
                  </pic:spPr>
                </pic:pic>
              </a:graphicData>
            </a:graphic>
          </wp:inline>
        </w:drawing>
      </w:r>
      <w:r w:rsidR="0047619F" w:rsidRPr="00BE3DAF">
        <w:t>Note: Data are a three-year (2021-2023) average of available data points to correct for annual fluctuations and gaps. Investment figures are in constant 2023 US dollars.</w:t>
      </w:r>
    </w:p>
    <w:p w14:paraId="46261EB7" w14:textId="77777777" w:rsidR="0047619F" w:rsidRPr="00BE3DAF" w:rsidRDefault="0047619F" w:rsidP="00B1004A">
      <w:pPr>
        <w:pStyle w:val="Sourcetext"/>
      </w:pPr>
      <w:r w:rsidRPr="00BE3DAF">
        <w:t>Source: ITU, World Bank World Development Indicators</w:t>
      </w:r>
    </w:p>
    <w:p w14:paraId="1C280A2D" w14:textId="7CC605CC" w:rsidR="005410A1" w:rsidRPr="00BE3DAF" w:rsidRDefault="0010744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deployment of new network technologies and the upgrading of existing ones are highly capital-intensive activities. </w:t>
      </w:r>
      <w:r w:rsidR="00F957D5" w:rsidRPr="00BE3DAF">
        <w:rPr>
          <w:rFonts w:ascii="Aptos" w:eastAsia="Aptos" w:hAnsi="Aptos" w:cs="Arial"/>
          <w:kern w:val="2"/>
          <w:sz w:val="22"/>
          <w:szCs w:val="22"/>
          <w14:ligatures w14:val="standardContextual"/>
        </w:rPr>
        <w:t xml:space="preserve">Investment projects often span multiple years and values fluctuate, which is why statistics are presented as the period average for 2021-2023. </w:t>
      </w:r>
      <w:r w:rsidRPr="00BE3DAF">
        <w:rPr>
          <w:rFonts w:ascii="Aptos" w:eastAsia="Aptos" w:hAnsi="Aptos" w:cs="Arial"/>
          <w:kern w:val="2"/>
          <w:sz w:val="22"/>
          <w:szCs w:val="22"/>
          <w14:ligatures w14:val="standardContextual"/>
        </w:rPr>
        <w:t xml:space="preserve">Those countries in the </w:t>
      </w:r>
      <w:r w:rsidR="00CD7C3E" w:rsidRPr="00BE3DAF">
        <w:rPr>
          <w:rFonts w:ascii="Aptos" w:eastAsia="Aptos" w:hAnsi="Aptos" w:cs="Arial"/>
          <w:kern w:val="2"/>
          <w:sz w:val="22"/>
          <w:szCs w:val="22"/>
          <w14:ligatures w14:val="standardContextual"/>
        </w:rPr>
        <w:t>Asia and the Pacific</w:t>
      </w:r>
      <w:r w:rsidRPr="00BE3DAF">
        <w:rPr>
          <w:rFonts w:ascii="Aptos" w:eastAsia="Aptos" w:hAnsi="Aptos" w:cs="Arial"/>
          <w:kern w:val="2"/>
          <w:sz w:val="22"/>
          <w:szCs w:val="22"/>
          <w14:ligatures w14:val="standardContextual"/>
        </w:rPr>
        <w:t xml:space="preserve"> region for which data was available made annual investments</w:t>
      </w:r>
      <w:r w:rsidR="004D1FDD" w:rsidRPr="00BE3DAF">
        <w:rPr>
          <w:rFonts w:ascii="Aptos" w:eastAsia="Aptos" w:hAnsi="Aptos" w:cs="Arial"/>
          <w:kern w:val="2"/>
          <w:sz w:val="22"/>
          <w:szCs w:val="22"/>
          <w14:ligatures w14:val="standardContextual"/>
        </w:rPr>
        <w:t xml:space="preserve"> ranging from less than </w:t>
      </w:r>
      <w:r w:rsidR="00241EB3" w:rsidRPr="00BE3DAF">
        <w:rPr>
          <w:rFonts w:ascii="Aptos" w:eastAsia="Aptos" w:hAnsi="Aptos" w:cs="Arial"/>
          <w:kern w:val="2"/>
          <w:sz w:val="22"/>
          <w:szCs w:val="22"/>
          <w14:ligatures w14:val="standardContextual"/>
        </w:rPr>
        <w:t xml:space="preserve">USD </w:t>
      </w:r>
      <w:r w:rsidR="004D1FDD" w:rsidRPr="00BE3DAF">
        <w:rPr>
          <w:rFonts w:ascii="Aptos" w:eastAsia="Aptos" w:hAnsi="Aptos" w:cs="Arial"/>
          <w:kern w:val="2"/>
          <w:sz w:val="22"/>
          <w:szCs w:val="22"/>
          <w14:ligatures w14:val="standardContextual"/>
        </w:rPr>
        <w:t xml:space="preserve">1 billion in nine countries, to </w:t>
      </w:r>
      <w:r w:rsidR="00241EB3" w:rsidRPr="00BE3DAF">
        <w:rPr>
          <w:rFonts w:ascii="Aptos" w:eastAsia="Aptos" w:hAnsi="Aptos" w:cs="Arial"/>
          <w:kern w:val="2"/>
          <w:sz w:val="22"/>
          <w:szCs w:val="22"/>
          <w14:ligatures w14:val="standardContextual"/>
        </w:rPr>
        <w:t xml:space="preserve">USD </w:t>
      </w:r>
      <w:r w:rsidR="009B7ACF" w:rsidRPr="00BE3DAF">
        <w:rPr>
          <w:rFonts w:ascii="Aptos" w:eastAsia="Aptos" w:hAnsi="Aptos" w:cs="Arial"/>
          <w:kern w:val="2"/>
          <w:sz w:val="22"/>
          <w:szCs w:val="22"/>
          <w14:ligatures w14:val="standardContextual"/>
        </w:rPr>
        <w:t xml:space="preserve">28 billion in Japan and </w:t>
      </w:r>
      <w:r w:rsidR="00241EB3" w:rsidRPr="00BE3DAF">
        <w:rPr>
          <w:rFonts w:ascii="Aptos" w:eastAsia="Aptos" w:hAnsi="Aptos" w:cs="Arial"/>
          <w:kern w:val="2"/>
          <w:sz w:val="22"/>
          <w:szCs w:val="22"/>
          <w14:ligatures w14:val="standardContextual"/>
        </w:rPr>
        <w:t xml:space="preserve">USD </w:t>
      </w:r>
      <w:r w:rsidR="009B7ACF" w:rsidRPr="00BE3DAF">
        <w:rPr>
          <w:rFonts w:ascii="Aptos" w:eastAsia="Aptos" w:hAnsi="Aptos" w:cs="Arial"/>
          <w:kern w:val="2"/>
          <w:sz w:val="22"/>
          <w:szCs w:val="22"/>
          <w14:ligatures w14:val="standardContextual"/>
        </w:rPr>
        <w:t>62 billion in China.</w:t>
      </w:r>
      <w:r w:rsidR="00F07726" w:rsidRPr="00BE3DAF">
        <w:rPr>
          <w:rFonts w:ascii="Aptos" w:eastAsia="Aptos" w:hAnsi="Aptos" w:cs="Arial"/>
          <w:kern w:val="2"/>
          <w:sz w:val="22"/>
          <w:szCs w:val="22"/>
          <w14:ligatures w14:val="standardContextual"/>
        </w:rPr>
        <w:t xml:space="preserve"> This </w:t>
      </w:r>
      <w:r w:rsidRPr="00BE3DAF">
        <w:rPr>
          <w:rFonts w:ascii="Aptos" w:eastAsia="Aptos" w:hAnsi="Aptos" w:cs="Arial"/>
          <w:kern w:val="2"/>
          <w:sz w:val="22"/>
          <w:szCs w:val="22"/>
          <w14:ligatures w14:val="standardContextual"/>
        </w:rPr>
        <w:t>correspond</w:t>
      </w:r>
      <w:r w:rsidR="00F07726" w:rsidRPr="00BE3DAF">
        <w:rPr>
          <w:rFonts w:ascii="Aptos" w:eastAsia="Aptos" w:hAnsi="Aptos" w:cs="Arial"/>
          <w:kern w:val="2"/>
          <w:sz w:val="22"/>
          <w:szCs w:val="22"/>
          <w14:ligatures w14:val="standardContextual"/>
        </w:rPr>
        <w:t>ed</w:t>
      </w:r>
      <w:r w:rsidRPr="00BE3DAF">
        <w:rPr>
          <w:rFonts w:ascii="Aptos" w:eastAsia="Aptos" w:hAnsi="Aptos" w:cs="Arial"/>
          <w:kern w:val="2"/>
          <w:sz w:val="22"/>
          <w:szCs w:val="22"/>
          <w14:ligatures w14:val="standardContextual"/>
        </w:rPr>
        <w:t xml:space="preserve"> to a median value of 0.4 per cent of GDP over the 2021-2023 period.</w:t>
      </w:r>
      <w:r w:rsidRPr="00BE3DAF">
        <w:rPr>
          <w:rFonts w:ascii="Aptos" w:eastAsia="Aptos" w:hAnsi="Aptos" w:cs="Arial"/>
          <w:kern w:val="2"/>
          <w:sz w:val="22"/>
          <w:szCs w:val="22"/>
          <w:vertAlign w:val="superscript"/>
          <w14:ligatures w14:val="standardContextual"/>
        </w:rPr>
        <w:footnoteReference w:id="8"/>
      </w:r>
      <w:r w:rsidRPr="00BE3DAF">
        <w:rPr>
          <w:rFonts w:ascii="Aptos" w:eastAsia="Aptos" w:hAnsi="Aptos" w:cs="Arial"/>
          <w:kern w:val="2"/>
          <w:sz w:val="22"/>
          <w:szCs w:val="22"/>
          <w14:ligatures w14:val="standardContextual"/>
        </w:rPr>
        <w:t xml:space="preserve"> </w:t>
      </w:r>
    </w:p>
    <w:p w14:paraId="66FE690A" w14:textId="6C190514" w:rsidR="006C41B5" w:rsidRPr="00BE3DAF" w:rsidRDefault="0010744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Investment is unevenly distributed across countries in the region, and both the levels and the per GDP rates of capital expenditure vary significantly. Low levels of investment in countries with mobile network coverage gaps and low mobile and fixed broadband penetration is a particular concern, as it perpetuates digital development divides</w:t>
      </w:r>
      <w:r w:rsidR="00F957D5" w:rsidRPr="00BE3DAF">
        <w:rPr>
          <w:rFonts w:ascii="Aptos" w:eastAsia="Aptos" w:hAnsi="Aptos" w:cs="Arial"/>
          <w:kern w:val="2"/>
          <w:sz w:val="22"/>
          <w:szCs w:val="22"/>
          <w14:ligatures w14:val="standardContextual"/>
        </w:rPr>
        <w:t>.</w:t>
      </w:r>
      <w:r w:rsidR="006C41B5" w:rsidRPr="00BE3DAF">
        <w:rPr>
          <w:rFonts w:ascii="Aptos" w:eastAsia="Aptos" w:hAnsi="Aptos" w:cs="Arial"/>
          <w:kern w:val="2"/>
          <w:sz w:val="22"/>
          <w:szCs w:val="22"/>
          <w14:ligatures w14:val="standardContextual"/>
        </w:rPr>
        <w:br w:type="page"/>
      </w:r>
    </w:p>
    <w:p w14:paraId="491095ED" w14:textId="77777777" w:rsidR="006C41B5" w:rsidRPr="00BE3DAF" w:rsidRDefault="006C41B5" w:rsidP="000C3666">
      <w:pPr>
        <w:pStyle w:val="Section"/>
      </w:pPr>
      <w:bookmarkStart w:id="18" w:name="_Toc189658583"/>
      <w:r w:rsidRPr="00BE3DAF">
        <w:lastRenderedPageBreak/>
        <w:t>Cybersecurity</w:t>
      </w:r>
      <w:bookmarkEnd w:id="18"/>
    </w:p>
    <w:p w14:paraId="5BA4DF24" w14:textId="77777777" w:rsidR="00510C14" w:rsidRPr="00BE3DAF" w:rsidRDefault="00510C14" w:rsidP="006C41B5">
      <w:pPr>
        <w:tabs>
          <w:tab w:val="clear" w:pos="794"/>
          <w:tab w:val="clear" w:pos="1191"/>
          <w:tab w:val="clear" w:pos="1588"/>
          <w:tab w:val="clear" w:pos="1985"/>
        </w:tabs>
        <w:overflowPunct/>
        <w:autoSpaceDE/>
        <w:autoSpaceDN/>
        <w:adjustRightInd/>
        <w:spacing w:before="0" w:after="160" w:line="259" w:lineRule="auto"/>
        <w:textAlignment w:val="auto"/>
        <w:rPr>
          <w:b/>
          <w:bCs/>
          <w:i/>
          <w:iCs/>
        </w:rPr>
      </w:pPr>
      <w:r w:rsidRPr="00BE3DAF">
        <w:rPr>
          <w:b/>
          <w:bCs/>
          <w:i/>
          <w:iCs/>
        </w:rPr>
        <w:t>Asia and the Pacific shows progress, but many countries still lag</w:t>
      </w:r>
    </w:p>
    <w:p w14:paraId="5F2A0104" w14:textId="7EF1550C" w:rsidR="00F462DA" w:rsidRPr="00BE3DAF" w:rsidRDefault="00F462DA" w:rsidP="00F462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Meaningful connectivity requires trustworthy and secure communications. With over 5.5 billion people now online, cybersecurity is no longer an afterthought in the digital economy. Addressing cybersecurity requires a holistic approach encompassing legal, technical, organizational, capacity development, and cooperation domains. Since 2015, the Global Cybersecurity Index (GCI) has tracked countries' measures across these areas, each representing a pillar of the GCI. Overall GCI scores are measured on a 0-100 scale, with each pillar scored out of 20. The 2024 edition revealed a notable improvement in countries’ commitment to cybersecurity: the world’s average GCI score reached 66 out, on a 0-to-100 scale, up 14 points from the 2021 edition. The countries in Asia and the Pacific have continued to expand their commitments </w:t>
      </w:r>
      <w:r w:rsidR="00706C50" w:rsidRPr="00BE3DAF">
        <w:rPr>
          <w:rFonts w:ascii="Aptos" w:eastAsia="Aptos" w:hAnsi="Aptos" w:cs="Arial"/>
          <w:kern w:val="2"/>
          <w:sz w:val="22"/>
          <w:szCs w:val="22"/>
          <w14:ligatures w14:val="standardContextual"/>
        </w:rPr>
        <w:t>reaching an</w:t>
      </w:r>
      <w:r w:rsidRPr="00BE3DAF">
        <w:rPr>
          <w:rFonts w:ascii="Aptos" w:eastAsia="Aptos" w:hAnsi="Aptos" w:cs="Arial"/>
          <w:kern w:val="2"/>
          <w:sz w:val="22"/>
          <w:szCs w:val="22"/>
          <w14:ligatures w14:val="standardContextual"/>
        </w:rPr>
        <w:t xml:space="preserve"> average score of </w:t>
      </w:r>
      <w:r w:rsidR="00706C50" w:rsidRPr="00BE3DAF">
        <w:rPr>
          <w:rFonts w:ascii="Aptos" w:eastAsia="Aptos" w:hAnsi="Aptos" w:cs="Arial"/>
          <w:kern w:val="2"/>
          <w:sz w:val="22"/>
          <w:szCs w:val="22"/>
          <w14:ligatures w14:val="standardContextual"/>
        </w:rPr>
        <w:t>61</w:t>
      </w:r>
      <w:r w:rsidR="002527C8"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 xml:space="preserve">a gain of </w:t>
      </w:r>
      <w:r w:rsidR="002527C8" w:rsidRPr="00BE3DAF">
        <w:rPr>
          <w:rFonts w:ascii="Aptos" w:eastAsia="Aptos" w:hAnsi="Aptos" w:cs="Arial"/>
          <w:kern w:val="2"/>
          <w:sz w:val="22"/>
          <w:szCs w:val="22"/>
          <w14:ligatures w14:val="standardContextual"/>
        </w:rPr>
        <w:t>13</w:t>
      </w:r>
      <w:r w:rsidRPr="00BE3DAF">
        <w:rPr>
          <w:rFonts w:ascii="Aptos" w:eastAsia="Aptos" w:hAnsi="Aptos" w:cs="Arial"/>
          <w:kern w:val="2"/>
          <w:sz w:val="22"/>
          <w:szCs w:val="22"/>
          <w14:ligatures w14:val="standardContextual"/>
        </w:rPr>
        <w:t xml:space="preserve"> points from the previous edition. </w:t>
      </w:r>
    </w:p>
    <w:p w14:paraId="18574B6F" w14:textId="0290DA65"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Global Cybersecurity Index scores, 2017-2024</w:t>
      </w:r>
    </w:p>
    <w:p w14:paraId="67F5910D" w14:textId="34FE6211" w:rsidR="006C41B5" w:rsidRPr="00BE3DAF" w:rsidRDefault="000C0EC0" w:rsidP="006C41B5">
      <w:pPr>
        <w:rPr>
          <w:rFonts w:ascii="Aptos" w:eastAsia="Aptos" w:hAnsi="Aptos" w:cs="Arial"/>
          <w:kern w:val="2"/>
          <w:sz w:val="22"/>
          <w:szCs w:val="22"/>
          <w14:ligatures w14:val="standardContextual"/>
        </w:rPr>
      </w:pPr>
      <w:r w:rsidRPr="00BE3DAF">
        <w:rPr>
          <w:noProof/>
        </w:rPr>
        <w:drawing>
          <wp:inline distT="0" distB="0" distL="0" distR="0" wp14:anchorId="1E04E844" wp14:editId="48C66BE7">
            <wp:extent cx="6120765" cy="2122805"/>
            <wp:effectExtent l="0" t="0" r="0" b="0"/>
            <wp:docPr id="1723461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61910" name=""/>
                    <pic:cNvPicPr/>
                  </pic:nvPicPr>
                  <pic:blipFill>
                    <a:blip r:embed="rId125">
                      <a:extLst>
                        <a:ext uri="{96DAC541-7B7A-43D3-8B79-37D633B846F1}">
                          <asvg:svgBlip xmlns:asvg="http://schemas.microsoft.com/office/drawing/2016/SVG/main" r:embed="rId126"/>
                        </a:ext>
                      </a:extLst>
                    </a:blip>
                    <a:stretch>
                      <a:fillRect/>
                    </a:stretch>
                  </pic:blipFill>
                  <pic:spPr>
                    <a:xfrm>
                      <a:off x="0" y="0"/>
                      <a:ext cx="6120765" cy="2122805"/>
                    </a:xfrm>
                    <a:prstGeom prst="rect">
                      <a:avLst/>
                    </a:prstGeom>
                  </pic:spPr>
                </pic:pic>
              </a:graphicData>
            </a:graphic>
          </wp:inline>
        </w:drawing>
      </w:r>
    </w:p>
    <w:p w14:paraId="52CA949C" w14:textId="77777777" w:rsidR="006C41B5" w:rsidRPr="00BE3DAF" w:rsidRDefault="006C41B5" w:rsidP="00B1004A">
      <w:pPr>
        <w:pStyle w:val="notetext"/>
      </w:pPr>
      <w:r w:rsidRPr="00BE3DAF">
        <w:t xml:space="preserve">Note: Questions and weightings have been updated between editions, in collaboration with the GCI Expert Group, to better measure cybersecurity commitments by countries. </w:t>
      </w:r>
    </w:p>
    <w:p w14:paraId="40B40C4C" w14:textId="77777777" w:rsidR="006C41B5" w:rsidRPr="00BE3DAF" w:rsidRDefault="006C41B5" w:rsidP="00B1004A">
      <w:pPr>
        <w:pStyle w:val="Sourcetext"/>
      </w:pPr>
      <w:r w:rsidRPr="00BE3DAF">
        <w:t>Source: ITU</w:t>
      </w:r>
    </w:p>
    <w:p w14:paraId="4163848E" w14:textId="44DE6729" w:rsidR="00F93656" w:rsidRPr="00BE3DAF" w:rsidRDefault="00F93656" w:rsidP="00F936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performance in the GCI of Asia and the Pacific region countries is mixed, with a 94-point between the region’s best performers, which achieved the maximum score of 100, and the region’s worst performer, the Democratic People’s Republic of Korea, with a score of 6.2.</w:t>
      </w:r>
      <w:r w:rsidR="00F53AF6" w:rsidRPr="00BE3DAF">
        <w:rPr>
          <w:rStyle w:val="FootnoteReference"/>
          <w:rFonts w:eastAsia="Aptos" w:cs="Arial"/>
          <w:kern w:val="2"/>
          <w:szCs w:val="22"/>
          <w14:ligatures w14:val="standardContextual"/>
        </w:rPr>
        <w:footnoteReference w:id="9"/>
      </w:r>
      <w:r w:rsidRPr="00BE3DAF">
        <w:rPr>
          <w:rFonts w:ascii="Aptos" w:eastAsia="Aptos" w:hAnsi="Aptos" w:cs="Arial"/>
          <w:kern w:val="2"/>
          <w:sz w:val="22"/>
          <w:szCs w:val="22"/>
          <w14:ligatures w14:val="standardContextual"/>
        </w:rPr>
        <w:t xml:space="preserve"> The next lowest scoring country is Micronesia, scoring 8.8, followed by other Small Island Developing States.</w:t>
      </w:r>
    </w:p>
    <w:p w14:paraId="3B67349D"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Global Cybersecurity Index scores, by pillar and overall, 2024</w:t>
      </w:r>
    </w:p>
    <w:p w14:paraId="7C28988A" w14:textId="1EFDAF21" w:rsidR="006C41B5" w:rsidRPr="00BE3DAF" w:rsidRDefault="000E7574" w:rsidP="00B1004A">
      <w:pPr>
        <w:pStyle w:val="notetext"/>
      </w:pPr>
      <w:r w:rsidRPr="00BE3DAF">
        <w:rPr>
          <w:noProof/>
        </w:rPr>
        <w:t xml:space="preserve"> </w:t>
      </w:r>
      <w:r w:rsidRPr="00BE3DAF">
        <w:rPr>
          <w:noProof/>
        </w:rPr>
        <w:lastRenderedPageBreak/>
        <w:drawing>
          <wp:inline distT="0" distB="0" distL="0" distR="0" wp14:anchorId="695BFA37" wp14:editId="34DDC05A">
            <wp:extent cx="6120765" cy="2788920"/>
            <wp:effectExtent l="0" t="0" r="0" b="0"/>
            <wp:docPr id="4025727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72780" name=""/>
                    <pic:cNvPicPr/>
                  </pic:nvPicPr>
                  <pic:blipFill>
                    <a:blip r:embed="rId127">
                      <a:extLst>
                        <a:ext uri="{96DAC541-7B7A-43D3-8B79-37D633B846F1}">
                          <asvg:svgBlip xmlns:asvg="http://schemas.microsoft.com/office/drawing/2016/SVG/main" r:embed="rId128"/>
                        </a:ext>
                      </a:extLst>
                    </a:blip>
                    <a:stretch>
                      <a:fillRect/>
                    </a:stretch>
                  </pic:blipFill>
                  <pic:spPr>
                    <a:xfrm>
                      <a:off x="0" y="0"/>
                      <a:ext cx="6120765" cy="2788920"/>
                    </a:xfrm>
                    <a:prstGeom prst="rect">
                      <a:avLst/>
                    </a:prstGeom>
                  </pic:spPr>
                </pic:pic>
              </a:graphicData>
            </a:graphic>
          </wp:inline>
        </w:drawing>
      </w:r>
      <w:r w:rsidR="006C41B5" w:rsidRPr="00BE3DAF">
        <w:t>Note: The overall CGI score shown is the sum of the score of the five pillars</w:t>
      </w:r>
    </w:p>
    <w:p w14:paraId="3C70DF12" w14:textId="77777777" w:rsidR="006C41B5" w:rsidRPr="00BE3DAF" w:rsidRDefault="006C41B5" w:rsidP="00B1004A">
      <w:pPr>
        <w:pStyle w:val="Sourcetext"/>
      </w:pPr>
      <w:r w:rsidRPr="00BE3DAF">
        <w:t>Source: ITU</w:t>
      </w:r>
    </w:p>
    <w:p w14:paraId="6043C986" w14:textId="49F77D71" w:rsidR="0095221A" w:rsidRPr="00BE3DAF" w:rsidRDefault="0095221A" w:rsidP="009522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While Small Island Developing States are among the lowest performers in </w:t>
      </w:r>
      <w:r w:rsidR="00D03B4C" w:rsidRPr="00BE3DAF">
        <w:rPr>
          <w:rFonts w:ascii="Aptos" w:eastAsia="Aptos" w:hAnsi="Aptos" w:cs="Arial"/>
          <w:kern w:val="2"/>
          <w:sz w:val="22"/>
          <w:szCs w:val="22"/>
          <w14:ligatures w14:val="standardContextual"/>
        </w:rPr>
        <w:t>the region</w:t>
      </w:r>
      <w:r w:rsidRPr="00BE3DAF">
        <w:rPr>
          <w:rFonts w:ascii="Aptos" w:eastAsia="Aptos" w:hAnsi="Aptos" w:cs="Arial"/>
          <w:kern w:val="2"/>
          <w:sz w:val="22"/>
          <w:szCs w:val="22"/>
          <w14:ligatures w14:val="standardContextual"/>
        </w:rPr>
        <w:t xml:space="preserve">, some SIDSs have shown significant improvement in the past years, </w:t>
      </w:r>
      <w:r w:rsidR="00D03B4C" w:rsidRPr="00BE3DAF">
        <w:rPr>
          <w:rFonts w:ascii="Aptos" w:eastAsia="Aptos" w:hAnsi="Aptos" w:cs="Arial"/>
          <w:kern w:val="2"/>
          <w:sz w:val="22"/>
          <w:szCs w:val="22"/>
          <w14:ligatures w14:val="standardContextual"/>
        </w:rPr>
        <w:t>including</w:t>
      </w:r>
      <w:r w:rsidRPr="00BE3DAF">
        <w:rPr>
          <w:rFonts w:ascii="Aptos" w:eastAsia="Aptos" w:hAnsi="Aptos" w:cs="Arial"/>
          <w:kern w:val="2"/>
          <w:sz w:val="22"/>
          <w:szCs w:val="22"/>
          <w14:ligatures w14:val="standardContextual"/>
        </w:rPr>
        <w:t xml:space="preserve"> Kiribati, Papua New Guinea, and Vanuatu. Across the rest of Asia and the Pacific, LLDCs Bhutan and Mongolia have also made significant improvements. </w:t>
      </w:r>
    </w:p>
    <w:p w14:paraId="2396FF49" w14:textId="1331E674" w:rsidR="0095221A" w:rsidRPr="00BE3DAF" w:rsidRDefault="0095221A" w:rsidP="009522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Technical Pillar of the GCI assesses the effectiveness of national mechanisms and institutional structures in detecting, preventing, responding to, and mitigating cyber threats and incidents. Computer Incident Response Teams (CIRTs) are responsible for the protection against, detection of, and response to cybersecurity incidents, and can enhance a country’s ability to manage cybersecurity incidents. 76</w:t>
      </w:r>
      <w:r w:rsidR="00292B1B" w:rsidRPr="00BE3DAF">
        <w:rPr>
          <w:rFonts w:ascii="Aptos" w:eastAsia="Aptos" w:hAnsi="Aptos" w:cs="Arial"/>
          <w:kern w:val="2"/>
          <w:sz w:val="22"/>
          <w:szCs w:val="22"/>
          <w14:ligatures w14:val="standardContextual"/>
        </w:rPr>
        <w:t xml:space="preserve"> per cent</w:t>
      </w:r>
      <w:r w:rsidRPr="00BE3DAF">
        <w:rPr>
          <w:rFonts w:ascii="Aptos" w:eastAsia="Aptos" w:hAnsi="Aptos" w:cs="Arial"/>
          <w:kern w:val="2"/>
          <w:sz w:val="22"/>
          <w:szCs w:val="22"/>
          <w14:ligatures w14:val="standardContextual"/>
        </w:rPr>
        <w:t xml:space="preserve"> (29) countries in Asia and the Pacific have established their national CIRTs, and many are participating in regional cyber exercises. Still, there is need for further development of these CIRTS, and expanding efforts around the protection of critical information infrastructure.</w:t>
      </w:r>
    </w:p>
    <w:p w14:paraId="72CC52AE" w14:textId="2E19C896" w:rsidR="0095221A" w:rsidRPr="00BE3DAF" w:rsidRDefault="0095221A" w:rsidP="009522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Child Online Protection (COP) encompasses strategies and initiatives designed to protect children from harm or exploitation online. This includes ensuring children are using age-appropriate software and filtering tools and educating parents and children about staying safe online. </w:t>
      </w:r>
      <w:r w:rsidR="00F15538" w:rsidRPr="00BE3DAF">
        <w:rPr>
          <w:rFonts w:ascii="Aptos" w:eastAsia="Aptos" w:hAnsi="Aptos" w:cs="Arial"/>
          <w:kern w:val="2"/>
          <w:sz w:val="22"/>
          <w:szCs w:val="22"/>
          <w14:ligatures w14:val="standardContextual"/>
        </w:rPr>
        <w:t>COP</w:t>
      </w:r>
      <w:r w:rsidRPr="00BE3DAF">
        <w:rPr>
          <w:rFonts w:ascii="Aptos" w:eastAsia="Aptos" w:hAnsi="Aptos" w:cs="Arial"/>
          <w:kern w:val="2"/>
          <w:sz w:val="22"/>
          <w:szCs w:val="22"/>
          <w14:ligatures w14:val="standardContextual"/>
        </w:rPr>
        <w:t xml:space="preserve"> is tracked through questions under the Legal, Organizational, and Capacity Development pillars. A total of 164 countries reported having legal measures on </w:t>
      </w:r>
      <w:r w:rsidR="00F15538" w:rsidRPr="00BE3DAF">
        <w:rPr>
          <w:rFonts w:ascii="Aptos" w:eastAsia="Aptos" w:hAnsi="Aptos" w:cs="Arial"/>
          <w:kern w:val="2"/>
          <w:sz w:val="22"/>
          <w:szCs w:val="22"/>
          <w14:ligatures w14:val="standardContextual"/>
        </w:rPr>
        <w:t xml:space="preserve">COP </w:t>
      </w:r>
      <w:r w:rsidRPr="00BE3DAF">
        <w:rPr>
          <w:rFonts w:ascii="Aptos" w:eastAsia="Aptos" w:hAnsi="Aptos" w:cs="Arial"/>
          <w:kern w:val="2"/>
          <w:sz w:val="22"/>
          <w:szCs w:val="22"/>
          <w14:ligatures w14:val="standardContextual"/>
        </w:rPr>
        <w:t xml:space="preserve">in the GCI 2024, compared to 130 countries in the previous edition. These measures were sometimes part of other rules, regulations, and substantive law, such as on online crime or sexual exploitation. </w:t>
      </w:r>
      <w:r w:rsidR="00A6262A" w:rsidRPr="00BE3DAF">
        <w:rPr>
          <w:rFonts w:ascii="Aptos" w:eastAsia="Aptos" w:hAnsi="Aptos" w:cs="Arial"/>
          <w:kern w:val="2"/>
          <w:sz w:val="22"/>
          <w:szCs w:val="22"/>
          <w14:ligatures w14:val="standardContextual"/>
        </w:rPr>
        <w:t>Forty-five</w:t>
      </w:r>
      <w:r w:rsidR="00F15538" w:rsidRPr="00BE3DAF">
        <w:rPr>
          <w:rFonts w:ascii="Aptos" w:eastAsia="Aptos" w:hAnsi="Aptos" w:cs="Arial"/>
          <w:kern w:val="2"/>
          <w:sz w:val="22"/>
          <w:szCs w:val="22"/>
          <w14:ligatures w14:val="standardContextual"/>
        </w:rPr>
        <w:t xml:space="preserve"> per cent</w:t>
      </w:r>
      <w:r w:rsidRPr="00BE3DAF">
        <w:rPr>
          <w:rFonts w:ascii="Aptos" w:eastAsia="Aptos" w:hAnsi="Aptos" w:cs="Arial"/>
          <w:kern w:val="2"/>
          <w:sz w:val="22"/>
          <w:szCs w:val="22"/>
          <w14:ligatures w14:val="standardContextual"/>
        </w:rPr>
        <w:t xml:space="preserve"> (17) of countries in Asia and the Pacific have some form of a </w:t>
      </w:r>
      <w:r w:rsidR="00C16570" w:rsidRPr="00BE3DAF">
        <w:rPr>
          <w:rFonts w:ascii="Aptos" w:eastAsia="Aptos" w:hAnsi="Aptos" w:cs="Arial"/>
          <w:kern w:val="2"/>
          <w:sz w:val="22"/>
          <w:szCs w:val="22"/>
          <w14:ligatures w14:val="standardContextual"/>
        </w:rPr>
        <w:t xml:space="preserve">COP </w:t>
      </w:r>
      <w:r w:rsidRPr="00BE3DAF">
        <w:rPr>
          <w:rFonts w:ascii="Aptos" w:eastAsia="Aptos" w:hAnsi="Aptos" w:cs="Arial"/>
          <w:kern w:val="2"/>
          <w:sz w:val="22"/>
          <w:szCs w:val="22"/>
          <w14:ligatures w14:val="standardContextual"/>
        </w:rPr>
        <w:t xml:space="preserve">strategy with associated actions. However, linking these efforts to educational efforts for educators, parents, and policy makers is key. </w:t>
      </w:r>
    </w:p>
    <w:p w14:paraId="1835A1DD" w14:textId="4BE75691" w:rsidR="00500CF9" w:rsidRPr="00BE3DAF" w:rsidRDefault="0095221A"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66</w:t>
      </w:r>
      <w:r w:rsidR="00BE02BB" w:rsidRPr="00BE3DAF">
        <w:rPr>
          <w:rFonts w:ascii="Aptos" w:eastAsia="Aptos" w:hAnsi="Aptos" w:cs="Arial"/>
          <w:kern w:val="2"/>
          <w:sz w:val="22"/>
          <w:szCs w:val="22"/>
          <w14:ligatures w14:val="standardContextual"/>
        </w:rPr>
        <w:t xml:space="preserve"> per cent</w:t>
      </w:r>
      <w:r w:rsidRPr="00BE3DAF">
        <w:rPr>
          <w:rFonts w:ascii="Aptos" w:eastAsia="Aptos" w:hAnsi="Aptos" w:cs="Arial"/>
          <w:kern w:val="2"/>
          <w:sz w:val="22"/>
          <w:szCs w:val="22"/>
          <w14:ligatures w14:val="standardContextual"/>
        </w:rPr>
        <w:t xml:space="preserve"> (25) countries in Asia and the Pacific have cybersecurity-focused university degrees, ensuring that there are multiple pathways towards building cybersecurity competency is important to meet ongoing cyber needs. </w:t>
      </w:r>
    </w:p>
    <w:p w14:paraId="25F0EDAF" w14:textId="77777777" w:rsidR="00500CF9" w:rsidRPr="00BE3DAF"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E3DAF">
        <w:rPr>
          <w:rFonts w:ascii="Aptos Display" w:eastAsia="Yu Gothic Light" w:hAnsi="Aptos Display"/>
          <w:color w:val="0F4761"/>
          <w:kern w:val="2"/>
          <w:sz w:val="32"/>
          <w:szCs w:val="32"/>
          <w14:ligatures w14:val="standardContextual"/>
        </w:rPr>
        <w:br w:type="page"/>
      </w:r>
    </w:p>
    <w:p w14:paraId="2D7E8F86" w14:textId="6A85B155" w:rsidR="006C41B5" w:rsidRPr="00BE3DAF" w:rsidRDefault="006C41B5" w:rsidP="000C3666">
      <w:pPr>
        <w:pStyle w:val="Section"/>
      </w:pPr>
      <w:bookmarkStart w:id="19" w:name="_Toc189658584"/>
      <w:r w:rsidRPr="00BE3DAF">
        <w:lastRenderedPageBreak/>
        <w:t>E-waste management</w:t>
      </w:r>
      <w:bookmarkEnd w:id="19"/>
    </w:p>
    <w:p w14:paraId="514D7761" w14:textId="20243080" w:rsidR="003232EC" w:rsidRPr="00BE3DAF" w:rsidRDefault="000A61A4" w:rsidP="00F57571">
      <w:pPr>
        <w:tabs>
          <w:tab w:val="clear" w:pos="794"/>
          <w:tab w:val="clear" w:pos="1191"/>
          <w:tab w:val="clear" w:pos="1588"/>
          <w:tab w:val="clear" w:pos="1985"/>
        </w:tabs>
        <w:overflowPunct/>
        <w:autoSpaceDE/>
        <w:autoSpaceDN/>
        <w:adjustRightInd/>
        <w:spacing w:before="0" w:after="160" w:line="259" w:lineRule="auto"/>
        <w:textAlignment w:val="auto"/>
        <w:rPr>
          <w:b/>
          <w:bCs/>
          <w:i/>
          <w:iCs/>
          <w:highlight w:val="yellow"/>
        </w:rPr>
      </w:pPr>
      <w:r w:rsidRPr="00BE3DAF">
        <w:rPr>
          <w:b/>
          <w:bCs/>
          <w:i/>
          <w:iCs/>
        </w:rPr>
        <w:t>Lack of formalized collection and recycling targets impedes progress towards a circular economy for electronics</w:t>
      </w:r>
    </w:p>
    <w:p w14:paraId="0CBBF4F0" w14:textId="6BEBD4BE" w:rsidR="00F57571" w:rsidRPr="00BE3DAF"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BE3DAF">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68C56588" w:rsidR="00F57571" w:rsidRPr="00BE3DAF"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 xml:space="preserve">E-waste generated, in </w:t>
      </w:r>
      <w:r w:rsidR="008A4B82" w:rsidRPr="00BE3DAF">
        <w:rPr>
          <w:rFonts w:ascii="AvenirNext LT Pro Light" w:eastAsia="Yu Gothic Light" w:hAnsi="AvenirNext LT Pro Light" w:cs="Calibri"/>
          <w:color w:val="0070C0"/>
          <w:spacing w:val="-10"/>
          <w:kern w:val="28"/>
        </w:rPr>
        <w:t>b</w:t>
      </w:r>
      <w:r w:rsidRPr="00BE3DAF">
        <w:rPr>
          <w:rFonts w:ascii="AvenirNext LT Pro Light" w:eastAsia="Yu Gothic Light" w:hAnsi="AvenirNext LT Pro Light" w:cs="Calibri"/>
          <w:color w:val="0070C0"/>
          <w:spacing w:val="-10"/>
          <w:kern w:val="28"/>
        </w:rPr>
        <w:t xml:space="preserve">illions of </w:t>
      </w:r>
      <w:r w:rsidR="00723598" w:rsidRPr="00BE3DAF">
        <w:rPr>
          <w:rFonts w:ascii="AvenirNext LT Pro Light" w:eastAsia="Yu Gothic Light" w:hAnsi="AvenirNext LT Pro Light" w:cs="Calibri"/>
          <w:color w:val="0070C0"/>
          <w:spacing w:val="-10"/>
          <w:kern w:val="28"/>
        </w:rPr>
        <w:t>kilograms</w:t>
      </w:r>
      <w:r w:rsidRPr="00BE3DAF">
        <w:rPr>
          <w:rFonts w:ascii="AvenirNext LT Pro Light" w:eastAsia="Yu Gothic Light" w:hAnsi="AvenirNext LT Pro Light" w:cs="Calibri"/>
          <w:color w:val="0070C0"/>
          <w:spacing w:val="-10"/>
          <w:kern w:val="28"/>
        </w:rPr>
        <w:t xml:space="preserve">, 2022 </w:t>
      </w:r>
      <w:r w:rsidR="00D462D7" w:rsidRPr="00BE3DAF">
        <w:rPr>
          <w:noProof/>
        </w:rPr>
        <w:drawing>
          <wp:inline distT="0" distB="0" distL="0" distR="0" wp14:anchorId="77D51454" wp14:editId="05B3F63A">
            <wp:extent cx="6120765" cy="3248660"/>
            <wp:effectExtent l="0" t="0" r="0" b="8890"/>
            <wp:docPr id="15757012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01246" name=""/>
                    <pic:cNvPicPr/>
                  </pic:nvPicPr>
                  <pic:blipFill>
                    <a:blip r:embed="rId129">
                      <a:extLst>
                        <a:ext uri="{96DAC541-7B7A-43D3-8B79-37D633B846F1}">
                          <asvg:svgBlip xmlns:asvg="http://schemas.microsoft.com/office/drawing/2016/SVG/main" r:embed="rId130"/>
                        </a:ext>
                      </a:extLst>
                    </a:blip>
                    <a:stretch>
                      <a:fillRect/>
                    </a:stretch>
                  </pic:blipFill>
                  <pic:spPr>
                    <a:xfrm>
                      <a:off x="0" y="0"/>
                      <a:ext cx="6120765" cy="3248660"/>
                    </a:xfrm>
                    <a:prstGeom prst="rect">
                      <a:avLst/>
                    </a:prstGeom>
                  </pic:spPr>
                </pic:pic>
              </a:graphicData>
            </a:graphic>
          </wp:inline>
        </w:drawing>
      </w:r>
    </w:p>
    <w:p w14:paraId="34B0179E" w14:textId="63F9D07B" w:rsidR="006C41B5" w:rsidRPr="00BE3DAF" w:rsidRDefault="00867409" w:rsidP="00B1004A">
      <w:pPr>
        <w:pStyle w:val="Sourcetext"/>
        <w:rPr>
          <w:rFonts w:eastAsia="Aptos" w:cs="Arial"/>
        </w:rPr>
      </w:pPr>
      <w:r w:rsidRPr="00BE3DAF">
        <w:rPr>
          <w:rFonts w:eastAsia="Aptos" w:cs="Arial"/>
        </w:rPr>
        <w:t xml:space="preserve"> </w:t>
      </w:r>
      <w:r w:rsidR="006C41B5" w:rsidRPr="00BE3DAF">
        <w:rPr>
          <w:rFonts w:eastAsia="Aptos" w:cs="Arial"/>
        </w:rPr>
        <w:t xml:space="preserve">Source: ITU and UNITAR, </w:t>
      </w:r>
      <w:hyperlink r:id="rId131" w:history="1">
        <w:r w:rsidR="006C41B5" w:rsidRPr="00BE3DAF">
          <w:rPr>
            <w:rFonts w:eastAsia="Aptos" w:cs="Arial"/>
            <w:color w:val="467886"/>
            <w:u w:val="single"/>
          </w:rPr>
          <w:t>Global E-waste Monitor, 2024</w:t>
        </w:r>
      </w:hyperlink>
    </w:p>
    <w:p w14:paraId="7A8F595B" w14:textId="3F8A5AB0" w:rsidR="001357EF" w:rsidRPr="00BE3DAF" w:rsidRDefault="001357EF" w:rsidP="001357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BE3DAF">
        <w:rPr>
          <w:rFonts w:ascii="Aptos" w:eastAsia="Aptos" w:hAnsi="Aptos"/>
          <w:kern w:val="2"/>
          <w:sz w:val="22"/>
          <w14:ligatures w14:val="standardContextual"/>
        </w:rPr>
        <w:t xml:space="preserve">The </w:t>
      </w:r>
      <w:hyperlink r:id="rId132">
        <w:r w:rsidRPr="00BE3DAF">
          <w:rPr>
            <w:rStyle w:val="Hyperlink"/>
            <w:rFonts w:ascii="Aptos" w:eastAsia="Aptos" w:hAnsi="Aptos"/>
            <w:sz w:val="22"/>
            <w:szCs w:val="22"/>
          </w:rPr>
          <w:t>Global E-waste Monitor 2024</w:t>
        </w:r>
      </w:hyperlink>
      <w:r w:rsidRPr="00BE3DAF">
        <w:rPr>
          <w:rFonts w:ascii="Aptos" w:eastAsia="Aptos" w:hAnsi="Aptos"/>
          <w:sz w:val="22"/>
          <w:szCs w:val="22"/>
        </w:rPr>
        <w:t xml:space="preserve"> </w:t>
      </w:r>
      <w:r w:rsidRPr="00BE3DAF">
        <w:rPr>
          <w:rFonts w:ascii="Aptos" w:eastAsia="Aptos" w:hAnsi="Aptos"/>
          <w:kern w:val="2"/>
          <w:sz w:val="22"/>
          <w14:ligatures w14:val="standardContextual"/>
        </w:rPr>
        <w:t xml:space="preserve">finds that in 2022, Asia and the Pacific generated approximately 27 </w:t>
      </w:r>
      <w:r w:rsidR="00902E14" w:rsidRPr="00BE3DAF">
        <w:rPr>
          <w:rFonts w:ascii="Aptos" w:eastAsia="Aptos" w:hAnsi="Aptos"/>
          <w:kern w:val="2"/>
          <w:sz w:val="22"/>
          <w14:ligatures w14:val="standardContextual"/>
        </w:rPr>
        <w:t>b</w:t>
      </w:r>
      <w:r w:rsidRPr="00BE3DAF">
        <w:rPr>
          <w:rFonts w:ascii="Aptos" w:eastAsia="Aptos" w:hAnsi="Aptos"/>
          <w:kern w:val="2"/>
          <w:sz w:val="22"/>
          <w14:ligatures w14:val="standardContextual"/>
        </w:rPr>
        <w:t>illion kg of e-waste, representing almost 44 percent of global e-waste generation (62 billion kg). However, significant disparities exist across the region. China is the largest contributor, producing 12</w:t>
      </w:r>
      <w:r w:rsidR="00D22A77" w:rsidRPr="00BE3DAF">
        <w:rPr>
          <w:rFonts w:ascii="Aptos" w:eastAsia="Aptos" w:hAnsi="Aptos"/>
          <w:kern w:val="2"/>
          <w:sz w:val="22"/>
          <w14:ligatures w14:val="standardContextual"/>
        </w:rPr>
        <w:t xml:space="preserve"> b</w:t>
      </w:r>
      <w:r w:rsidRPr="00BE3DAF">
        <w:rPr>
          <w:rFonts w:ascii="Aptos" w:eastAsia="Aptos" w:hAnsi="Aptos"/>
          <w:kern w:val="2"/>
          <w:sz w:val="22"/>
          <w14:ligatures w14:val="standardContextual"/>
        </w:rPr>
        <w:t>illion kg, followed by India (4</w:t>
      </w:r>
      <w:r w:rsidR="00D22A77" w:rsidRPr="00BE3DAF">
        <w:rPr>
          <w:rFonts w:ascii="Aptos" w:eastAsia="Aptos" w:hAnsi="Aptos"/>
          <w:kern w:val="2"/>
          <w:sz w:val="22"/>
          <w14:ligatures w14:val="standardContextual"/>
        </w:rPr>
        <w:t>.</w:t>
      </w:r>
      <w:r w:rsidRPr="00BE3DAF">
        <w:rPr>
          <w:rFonts w:ascii="Aptos" w:eastAsia="Aptos" w:hAnsi="Aptos"/>
          <w:kern w:val="2"/>
          <w:sz w:val="22"/>
          <w14:ligatures w14:val="standardContextual"/>
        </w:rPr>
        <w:t xml:space="preserve">1 </w:t>
      </w:r>
      <w:r w:rsidR="00D22A77" w:rsidRPr="00BE3DAF">
        <w:rPr>
          <w:rFonts w:ascii="Aptos" w:eastAsia="Aptos" w:hAnsi="Aptos"/>
          <w:kern w:val="2"/>
          <w:sz w:val="22"/>
          <w14:ligatures w14:val="standardContextual"/>
        </w:rPr>
        <w:t>b</w:t>
      </w:r>
      <w:r w:rsidRPr="00BE3DAF">
        <w:rPr>
          <w:rFonts w:ascii="Aptos" w:eastAsia="Aptos" w:hAnsi="Aptos"/>
          <w:kern w:val="2"/>
          <w:sz w:val="22"/>
          <w14:ligatures w14:val="standardContextual"/>
        </w:rPr>
        <w:t>illion kg) and Japan (2</w:t>
      </w:r>
      <w:r w:rsidR="00D22A77" w:rsidRPr="00BE3DAF">
        <w:rPr>
          <w:rFonts w:ascii="Aptos" w:eastAsia="Aptos" w:hAnsi="Aptos"/>
          <w:kern w:val="2"/>
          <w:sz w:val="22"/>
          <w14:ligatures w14:val="standardContextual"/>
        </w:rPr>
        <w:t>.</w:t>
      </w:r>
      <w:r w:rsidRPr="00BE3DAF">
        <w:rPr>
          <w:rFonts w:ascii="Aptos" w:eastAsia="Aptos" w:hAnsi="Aptos"/>
          <w:kern w:val="2"/>
          <w:sz w:val="22"/>
          <w14:ligatures w14:val="standardContextual"/>
        </w:rPr>
        <w:t xml:space="preserve">6 </w:t>
      </w:r>
      <w:r w:rsidR="00D22A77" w:rsidRPr="00BE3DAF">
        <w:rPr>
          <w:rFonts w:ascii="Aptos" w:eastAsia="Aptos" w:hAnsi="Aptos"/>
          <w:kern w:val="2"/>
          <w:sz w:val="22"/>
          <w14:ligatures w14:val="standardContextual"/>
        </w:rPr>
        <w:t>b</w:t>
      </w:r>
      <w:r w:rsidRPr="00BE3DAF">
        <w:rPr>
          <w:rFonts w:ascii="Aptos" w:eastAsia="Aptos" w:hAnsi="Aptos"/>
          <w:kern w:val="2"/>
          <w:sz w:val="22"/>
          <w14:ligatures w14:val="standardContextual"/>
        </w:rPr>
        <w:t xml:space="preserve">illion kg). Together these three countries generated over 60 percent of the region’s total e-waste. In contrast, smaller countries such as small island states, including Kiribati, Tuvalu, and Nauru, generated less than 5 million kg combined, reflecting differences in population size, economic development, and levels of technological adoption. </w:t>
      </w:r>
    </w:p>
    <w:p w14:paraId="6CF82071" w14:textId="77777777" w:rsidR="006C41B5" w:rsidRPr="00C55F2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lang w:val="it-IT"/>
        </w:rPr>
      </w:pPr>
      <w:r w:rsidRPr="00C55F28">
        <w:rPr>
          <w:rFonts w:ascii="AvenirNext LT Pro Light" w:eastAsia="Yu Gothic Light" w:hAnsi="AvenirNext LT Pro Light" w:cs="Calibri"/>
          <w:color w:val="0070C0"/>
          <w:spacing w:val="-10"/>
          <w:kern w:val="28"/>
          <w:lang w:val="it-IT"/>
        </w:rPr>
        <w:lastRenderedPageBreak/>
        <w:t>E-waste per capita generated in kg, 2022</w:t>
      </w:r>
    </w:p>
    <w:p w14:paraId="085DAA6A" w14:textId="0D5006C6" w:rsidR="006C41B5" w:rsidRPr="00BE3DAF" w:rsidRDefault="00900052" w:rsidP="00B1004A">
      <w:pPr>
        <w:pStyle w:val="Sourcetext"/>
        <w:rPr>
          <w:rFonts w:eastAsia="Aptos" w:cs="Arial"/>
        </w:rPr>
      </w:pPr>
      <w:r w:rsidRPr="00BE3DAF">
        <w:rPr>
          <w:noProof/>
        </w:rPr>
        <w:drawing>
          <wp:inline distT="0" distB="0" distL="0" distR="0" wp14:anchorId="52208D7B" wp14:editId="4D6546BE">
            <wp:extent cx="6120765" cy="3173095"/>
            <wp:effectExtent l="0" t="0" r="0" b="8255"/>
            <wp:docPr id="15849202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0269"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120765" cy="3173095"/>
                    </a:xfrm>
                    <a:prstGeom prst="rect">
                      <a:avLst/>
                    </a:prstGeom>
                  </pic:spPr>
                </pic:pic>
              </a:graphicData>
            </a:graphic>
          </wp:inline>
        </w:drawing>
      </w:r>
      <w:r w:rsidR="006C41B5" w:rsidRPr="00BE3DAF">
        <w:rPr>
          <w:rFonts w:eastAsia="Aptos" w:cs="Arial"/>
        </w:rPr>
        <w:t xml:space="preserve">Source: ITU and UNITAR, </w:t>
      </w:r>
      <w:hyperlink r:id="rId135" w:history="1">
        <w:r w:rsidR="006C41B5" w:rsidRPr="00BE3DAF">
          <w:rPr>
            <w:rFonts w:eastAsia="Aptos" w:cs="Arial"/>
            <w:color w:val="467886"/>
            <w:u w:val="single"/>
          </w:rPr>
          <w:t>Global E-waste Monitor, 2024</w:t>
        </w:r>
      </w:hyperlink>
    </w:p>
    <w:p w14:paraId="25907128" w14:textId="63FDB362" w:rsidR="00D5342E" w:rsidRPr="00BE3DAF" w:rsidRDefault="00D5342E" w:rsidP="00D5342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analysis of e-waste trends in Asia and the Pacific can be further deepened by examining per capita e-waste generation. While the region collectively approaches the global per capita e-waste average of 7.8 kg, disparities between countries are stark. The regional average of </w:t>
      </w:r>
      <w:r w:rsidR="002046EF" w:rsidRPr="00BE3DAF">
        <w:rPr>
          <w:rFonts w:ascii="Aptos" w:eastAsia="Aptos" w:hAnsi="Aptos" w:cs="Arial"/>
          <w:kern w:val="2"/>
          <w:sz w:val="22"/>
          <w:szCs w:val="22"/>
          <w14:ligatures w14:val="standardContextual"/>
        </w:rPr>
        <w:t>6.2</w:t>
      </w:r>
      <w:r w:rsidRPr="00BE3DAF">
        <w:rPr>
          <w:rFonts w:ascii="Aptos" w:eastAsia="Aptos" w:hAnsi="Aptos" w:cs="Arial"/>
          <w:kern w:val="2"/>
          <w:sz w:val="22"/>
          <w:szCs w:val="22"/>
          <w14:ligatures w14:val="standardContextual"/>
        </w:rPr>
        <w:t xml:space="preserve"> kg per capita reflects a diverse landscape where high-income countries significantly drive up the overall figure. For instance, Australia (22.4 kg per capita) generates nearly three times the global average, while Japan (21.2 kg per capita) and New Zealand (19.6 kg per capita) exceed the regional average more than </w:t>
      </w:r>
      <w:r w:rsidR="002046EF" w:rsidRPr="00BE3DAF">
        <w:rPr>
          <w:rFonts w:ascii="Aptos" w:eastAsia="Aptos" w:hAnsi="Aptos" w:cs="Arial"/>
          <w:kern w:val="2"/>
          <w:sz w:val="22"/>
          <w:szCs w:val="22"/>
          <w14:ligatures w14:val="standardContextual"/>
        </w:rPr>
        <w:t>three times</w:t>
      </w:r>
      <w:r w:rsidRPr="00BE3DAF">
        <w:rPr>
          <w:rFonts w:ascii="Aptos" w:eastAsia="Aptos" w:hAnsi="Aptos" w:cs="Arial"/>
          <w:kern w:val="2"/>
          <w:sz w:val="22"/>
          <w:szCs w:val="22"/>
          <w14:ligatures w14:val="standardContextual"/>
        </w:rPr>
        <w:t xml:space="preserve">. In contrast, low-income countries such as the Republic of Nepal (1.4 kg per capita), Papua New Guinea (1.3 kg per capita), and Afghanistan (0.8 kg per capita) have e-waste per capita generation rates at less than a fifth of the global average. Meanwhile, mid-range contributors such as Malaysia (12.2 kg per capita) and Thailand (10.5 kg per capita) have e-waste generation levels above the regional average of </w:t>
      </w:r>
      <w:r w:rsidR="00300ADF" w:rsidRPr="00BE3DAF">
        <w:rPr>
          <w:rFonts w:ascii="Aptos" w:eastAsia="Aptos" w:hAnsi="Aptos" w:cs="Arial"/>
          <w:kern w:val="2"/>
          <w:sz w:val="22"/>
          <w:szCs w:val="22"/>
          <w14:ligatures w14:val="standardContextual"/>
        </w:rPr>
        <w:t>6.2</w:t>
      </w:r>
      <w:r w:rsidRPr="00BE3DAF">
        <w:rPr>
          <w:rFonts w:ascii="Aptos" w:eastAsia="Aptos" w:hAnsi="Aptos" w:cs="Arial"/>
          <w:kern w:val="2"/>
          <w:sz w:val="22"/>
          <w:szCs w:val="22"/>
          <w14:ligatures w14:val="standardContextual"/>
        </w:rPr>
        <w:t xml:space="preserve"> kg, though still significantly below the highest per capita generators in the region.</w:t>
      </w:r>
    </w:p>
    <w:p w14:paraId="3151CD52" w14:textId="576E15AD" w:rsidR="00D5342E" w:rsidRPr="00BE3DAF" w:rsidRDefault="00D5342E" w:rsidP="00D5342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Despite these high e-waste generation rates, only 12.8 percent (3</w:t>
      </w:r>
      <w:r w:rsidR="00300ADF" w:rsidRPr="00BE3DAF">
        <w:rPr>
          <w:rFonts w:ascii="Aptos" w:eastAsia="Aptos" w:hAnsi="Aptos" w:cs="Arial"/>
          <w:kern w:val="2"/>
          <w:sz w:val="22"/>
          <w:szCs w:val="22"/>
          <w14:ligatures w14:val="standardContextual"/>
        </w:rPr>
        <w:t>.5</w:t>
      </w:r>
      <w:r w:rsidRPr="00BE3DAF">
        <w:rPr>
          <w:rFonts w:ascii="Aptos" w:eastAsia="Aptos" w:hAnsi="Aptos" w:cs="Arial"/>
          <w:kern w:val="2"/>
          <w:sz w:val="22"/>
          <w:szCs w:val="22"/>
          <w14:ligatures w14:val="standardContextual"/>
        </w:rPr>
        <w:t xml:space="preserve"> </w:t>
      </w:r>
      <w:r w:rsidR="00300ADF" w:rsidRPr="00BE3DAF">
        <w:rPr>
          <w:rFonts w:ascii="Aptos" w:eastAsia="Aptos" w:hAnsi="Aptos" w:cs="Arial"/>
          <w:kern w:val="2"/>
          <w:sz w:val="22"/>
          <w:szCs w:val="22"/>
          <w14:ligatures w14:val="standardContextual"/>
        </w:rPr>
        <w:t>b</w:t>
      </w:r>
      <w:r w:rsidRPr="00BE3DAF">
        <w:rPr>
          <w:rFonts w:ascii="Aptos" w:eastAsia="Aptos" w:hAnsi="Aptos" w:cs="Arial"/>
          <w:kern w:val="2"/>
          <w:sz w:val="22"/>
          <w:szCs w:val="22"/>
          <w14:ligatures w14:val="standardContextual"/>
        </w:rPr>
        <w:t xml:space="preserve">illion kg) of the e-waste generated was documented as properly collected and recycled- well below the global documented formal collection and recycling rate of 22.3 percent in 2022. A few countries, such as India and the Republic of Korea, report formal collection and recycling initiatives. Notably, China documented having recycled </w:t>
      </w:r>
      <w:r w:rsidR="00C60924" w:rsidRPr="00BE3DAF">
        <w:rPr>
          <w:rFonts w:ascii="Aptos" w:eastAsia="Aptos" w:hAnsi="Aptos" w:cs="Arial"/>
          <w:kern w:val="2"/>
          <w:sz w:val="22"/>
          <w:szCs w:val="22"/>
          <w14:ligatures w14:val="standardContextual"/>
        </w:rPr>
        <w:t>2.0</w:t>
      </w:r>
      <w:r w:rsidRPr="00BE3DAF">
        <w:rPr>
          <w:rFonts w:ascii="Aptos" w:eastAsia="Aptos" w:hAnsi="Aptos" w:cs="Arial"/>
          <w:kern w:val="2"/>
          <w:sz w:val="22"/>
          <w:szCs w:val="22"/>
          <w14:ligatures w14:val="standardContextual"/>
        </w:rPr>
        <w:t xml:space="preserve"> </w:t>
      </w:r>
      <w:r w:rsidR="00C60924" w:rsidRPr="00BE3DAF">
        <w:rPr>
          <w:rFonts w:ascii="Aptos" w:eastAsia="Aptos" w:hAnsi="Aptos" w:cs="Arial"/>
          <w:kern w:val="2"/>
          <w:sz w:val="22"/>
          <w:szCs w:val="22"/>
          <w14:ligatures w14:val="standardContextual"/>
        </w:rPr>
        <w:t>b</w:t>
      </w:r>
      <w:r w:rsidRPr="00BE3DAF">
        <w:rPr>
          <w:rFonts w:ascii="Aptos" w:eastAsia="Aptos" w:hAnsi="Aptos" w:cs="Arial"/>
          <w:kern w:val="2"/>
          <w:sz w:val="22"/>
          <w:szCs w:val="22"/>
          <w14:ligatures w14:val="standardContextual"/>
        </w:rPr>
        <w:t>illion kg of e-waste. In contrast, many countries in the region, including high e-waste generators like Indonesia and the Islamic Republic of Iran (which together producer over 2</w:t>
      </w:r>
      <w:r w:rsidR="00C60924" w:rsidRPr="00BE3DAF">
        <w:rPr>
          <w:rFonts w:ascii="Aptos" w:eastAsia="Aptos" w:hAnsi="Aptos" w:cs="Arial"/>
          <w:kern w:val="2"/>
          <w:sz w:val="22"/>
          <w:szCs w:val="22"/>
          <w14:ligatures w14:val="standardContextual"/>
        </w:rPr>
        <w:t>.</w:t>
      </w:r>
      <w:r w:rsidRPr="00BE3DAF">
        <w:rPr>
          <w:rFonts w:ascii="Aptos" w:eastAsia="Aptos" w:hAnsi="Aptos" w:cs="Arial"/>
          <w:kern w:val="2"/>
          <w:sz w:val="22"/>
          <w:szCs w:val="22"/>
          <w14:ligatures w14:val="standardContextual"/>
        </w:rPr>
        <w:t xml:space="preserve">7 </w:t>
      </w:r>
      <w:r w:rsidR="00C60924" w:rsidRPr="00BE3DAF">
        <w:rPr>
          <w:rFonts w:ascii="Aptos" w:eastAsia="Aptos" w:hAnsi="Aptos" w:cs="Arial"/>
          <w:kern w:val="2"/>
          <w:sz w:val="22"/>
          <w:szCs w:val="22"/>
          <w14:ligatures w14:val="standardContextual"/>
        </w:rPr>
        <w:t>b</w:t>
      </w:r>
      <w:r w:rsidRPr="00BE3DAF">
        <w:rPr>
          <w:rFonts w:ascii="Aptos" w:eastAsia="Aptos" w:hAnsi="Aptos" w:cs="Arial"/>
          <w:kern w:val="2"/>
          <w:sz w:val="22"/>
          <w:szCs w:val="22"/>
          <w14:ligatures w14:val="standardContextual"/>
        </w:rPr>
        <w:t xml:space="preserve">illion kg), lack significant formal recycling activity. </w:t>
      </w:r>
    </w:p>
    <w:p w14:paraId="620F879B" w14:textId="77777777" w:rsidR="00900052" w:rsidRPr="00BE3DAF" w:rsidRDefault="00900052">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br w:type="page"/>
      </w:r>
    </w:p>
    <w:p w14:paraId="382CF483" w14:textId="4157D83E"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E-waste policies and regulations in place, 2022</w:t>
      </w:r>
    </w:p>
    <w:tbl>
      <w:tblPr>
        <w:tblW w:w="5000" w:type="pct"/>
        <w:tblLook w:val="04A0" w:firstRow="1" w:lastRow="0" w:firstColumn="1" w:lastColumn="0" w:noHBand="0" w:noVBand="1"/>
      </w:tblPr>
      <w:tblGrid>
        <w:gridCol w:w="2676"/>
        <w:gridCol w:w="1643"/>
        <w:gridCol w:w="2129"/>
        <w:gridCol w:w="1627"/>
        <w:gridCol w:w="1554"/>
      </w:tblGrid>
      <w:tr w:rsidR="006C41B5" w:rsidRPr="00BE3DAF" w14:paraId="43D5D3B1" w14:textId="77777777" w:rsidTr="00FC7BEC">
        <w:trPr>
          <w:trHeight w:val="20"/>
        </w:trPr>
        <w:tc>
          <w:tcPr>
            <w:tcW w:w="1396"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BE3DAF"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828"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BE3DAF"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E3DAF">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BE3DAF"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E3DAF">
              <w:rPr>
                <w:rFonts w:ascii="Aptos" w:hAnsi="Aptos"/>
                <w:b/>
                <w:color w:val="404040"/>
                <w:sz w:val="18"/>
                <w:szCs w:val="18"/>
                <w:lang w:eastAsia="en-GB"/>
              </w:rPr>
              <w:t xml:space="preserve">Extended </w:t>
            </w:r>
            <w:r w:rsidR="0090627A" w:rsidRPr="00BE3DAF">
              <w:rPr>
                <w:rFonts w:ascii="Aptos" w:hAnsi="Aptos"/>
                <w:b/>
                <w:color w:val="404040"/>
                <w:sz w:val="18"/>
                <w:szCs w:val="18"/>
                <w:lang w:eastAsia="en-GB"/>
              </w:rPr>
              <w:t>p</w:t>
            </w:r>
            <w:r w:rsidRPr="00BE3DAF">
              <w:rPr>
                <w:rFonts w:ascii="Aptos" w:hAnsi="Aptos"/>
                <w:b/>
                <w:color w:val="404040"/>
                <w:sz w:val="18"/>
                <w:szCs w:val="18"/>
                <w:lang w:eastAsia="en-GB"/>
              </w:rPr>
              <w:t xml:space="preserve">roducer </w:t>
            </w:r>
            <w:r w:rsidR="008C00E1" w:rsidRPr="00BE3DAF">
              <w:rPr>
                <w:rFonts w:ascii="Aptos" w:hAnsi="Aptos"/>
                <w:b/>
                <w:color w:val="404040"/>
                <w:sz w:val="18"/>
                <w:szCs w:val="18"/>
                <w:lang w:eastAsia="en-GB"/>
              </w:rPr>
              <w:t>r</w:t>
            </w:r>
            <w:r w:rsidRPr="00BE3DAF">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BE3DAF"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E3DAF">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BE3DAF"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E3DAF">
              <w:rPr>
                <w:rFonts w:ascii="Aptos" w:hAnsi="Aptos"/>
                <w:b/>
                <w:color w:val="404040"/>
                <w:sz w:val="18"/>
                <w:szCs w:val="18"/>
                <w:lang w:eastAsia="en-GB"/>
              </w:rPr>
              <w:t>Recycling targets</w:t>
            </w:r>
          </w:p>
        </w:tc>
      </w:tr>
      <w:tr w:rsidR="00F95B1C" w:rsidRPr="00BE3DAF" w14:paraId="501CEA4D"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3BE7D28" w14:textId="20806DEE"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Afghanistan</w:t>
            </w:r>
          </w:p>
        </w:tc>
        <w:tc>
          <w:tcPr>
            <w:tcW w:w="828" w:type="pct"/>
            <w:tcBorders>
              <w:top w:val="nil"/>
              <w:left w:val="nil"/>
              <w:bottom w:val="single" w:sz="4" w:space="0" w:color="auto"/>
              <w:right w:val="single" w:sz="4" w:space="0" w:color="auto"/>
            </w:tcBorders>
            <w:shd w:val="clear" w:color="auto" w:fill="auto"/>
            <w:noWrap/>
          </w:tcPr>
          <w:p w14:paraId="6DD46542" w14:textId="79747FA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83D8D64" w14:textId="2F6CF3E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C65E4E8" w14:textId="77B7A9B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C0B7F3C" w14:textId="28FC16A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0A219B7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00556D15" w14:textId="57120AFB"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Australia</w:t>
            </w:r>
          </w:p>
        </w:tc>
        <w:tc>
          <w:tcPr>
            <w:tcW w:w="828" w:type="pct"/>
            <w:tcBorders>
              <w:top w:val="nil"/>
              <w:left w:val="nil"/>
              <w:bottom w:val="single" w:sz="4" w:space="0" w:color="auto"/>
              <w:right w:val="single" w:sz="4" w:space="0" w:color="auto"/>
            </w:tcBorders>
            <w:shd w:val="clear" w:color="auto" w:fill="auto"/>
            <w:noWrap/>
          </w:tcPr>
          <w:p w14:paraId="684681B0" w14:textId="1FB4491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73EA2C94" w14:textId="3499A0C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79BD2AB7" w14:textId="040D95A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691C9F8C" w14:textId="6FA9A7A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r>
      <w:tr w:rsidR="00F95B1C" w:rsidRPr="00BE3DAF" w14:paraId="7268D072"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655393C" w14:textId="200E7C0B"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Bangladesh</w:t>
            </w:r>
          </w:p>
        </w:tc>
        <w:tc>
          <w:tcPr>
            <w:tcW w:w="828" w:type="pct"/>
            <w:tcBorders>
              <w:top w:val="nil"/>
              <w:left w:val="nil"/>
              <w:bottom w:val="single" w:sz="4" w:space="0" w:color="auto"/>
              <w:right w:val="single" w:sz="4" w:space="0" w:color="auto"/>
            </w:tcBorders>
            <w:shd w:val="clear" w:color="auto" w:fill="auto"/>
            <w:noWrap/>
          </w:tcPr>
          <w:p w14:paraId="4E817DF3" w14:textId="2760B02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58C9B43C" w14:textId="3870573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4D143D49" w14:textId="1331B1D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1C7FEB0B" w14:textId="5E872C7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17FE3C3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A11A23F" w14:textId="71992313"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Bhutan</w:t>
            </w:r>
          </w:p>
        </w:tc>
        <w:tc>
          <w:tcPr>
            <w:tcW w:w="828" w:type="pct"/>
            <w:tcBorders>
              <w:top w:val="nil"/>
              <w:left w:val="nil"/>
              <w:bottom w:val="single" w:sz="4" w:space="0" w:color="auto"/>
              <w:right w:val="single" w:sz="4" w:space="0" w:color="auto"/>
            </w:tcBorders>
            <w:shd w:val="clear" w:color="auto" w:fill="auto"/>
            <w:noWrap/>
          </w:tcPr>
          <w:p w14:paraId="518A160A" w14:textId="70C8E5F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97C5E97" w14:textId="431F26F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345A257" w14:textId="791943E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171DB7D" w14:textId="4F64A1C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3048C3EC"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0F59538A" w14:textId="25618179"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Brunei Darussalam</w:t>
            </w:r>
          </w:p>
        </w:tc>
        <w:tc>
          <w:tcPr>
            <w:tcW w:w="828" w:type="pct"/>
            <w:tcBorders>
              <w:top w:val="nil"/>
              <w:left w:val="nil"/>
              <w:bottom w:val="single" w:sz="4" w:space="0" w:color="auto"/>
              <w:right w:val="single" w:sz="4" w:space="0" w:color="auto"/>
            </w:tcBorders>
            <w:shd w:val="clear" w:color="auto" w:fill="auto"/>
            <w:noWrap/>
          </w:tcPr>
          <w:p w14:paraId="70E6A022" w14:textId="6714BA8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5A9A31BC" w14:textId="544C78D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6872DD06" w14:textId="50BF6AE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9962651" w14:textId="4D210F6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37C4E2F4"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2910E0C" w14:textId="21D34ECB"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Cambodia</w:t>
            </w:r>
          </w:p>
        </w:tc>
        <w:tc>
          <w:tcPr>
            <w:tcW w:w="828" w:type="pct"/>
            <w:tcBorders>
              <w:top w:val="nil"/>
              <w:left w:val="nil"/>
              <w:bottom w:val="single" w:sz="4" w:space="0" w:color="auto"/>
              <w:right w:val="single" w:sz="4" w:space="0" w:color="auto"/>
            </w:tcBorders>
            <w:shd w:val="clear" w:color="auto" w:fill="auto"/>
            <w:noWrap/>
          </w:tcPr>
          <w:p w14:paraId="41D4CFFB" w14:textId="58A6B52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1C3BA022" w14:textId="647D530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67B0AEC" w14:textId="3FC3FC9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95EE005" w14:textId="1EAFB74E"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0FA07AD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7437AE4" w14:textId="2652C9C8"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China</w:t>
            </w:r>
          </w:p>
        </w:tc>
        <w:tc>
          <w:tcPr>
            <w:tcW w:w="828" w:type="pct"/>
            <w:tcBorders>
              <w:top w:val="nil"/>
              <w:left w:val="nil"/>
              <w:bottom w:val="single" w:sz="4" w:space="0" w:color="auto"/>
              <w:right w:val="single" w:sz="4" w:space="0" w:color="auto"/>
            </w:tcBorders>
            <w:shd w:val="clear" w:color="auto" w:fill="auto"/>
            <w:noWrap/>
          </w:tcPr>
          <w:p w14:paraId="12CE44EA" w14:textId="70EA93C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0E366E72" w14:textId="4A8E101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5937D00C" w14:textId="2512C61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D3544E2" w14:textId="1E6CDB7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r>
      <w:tr w:rsidR="00F95B1C" w:rsidRPr="00BE3DAF" w14:paraId="593F8DB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A95D47D" w14:textId="7C3A0E9D"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Dem. People's Rep. of Korea</w:t>
            </w:r>
          </w:p>
        </w:tc>
        <w:tc>
          <w:tcPr>
            <w:tcW w:w="828" w:type="pct"/>
            <w:tcBorders>
              <w:top w:val="nil"/>
              <w:left w:val="nil"/>
              <w:bottom w:val="single" w:sz="4" w:space="0" w:color="auto"/>
              <w:right w:val="single" w:sz="4" w:space="0" w:color="auto"/>
            </w:tcBorders>
            <w:shd w:val="clear" w:color="auto" w:fill="auto"/>
            <w:noWrap/>
          </w:tcPr>
          <w:p w14:paraId="01058A58" w14:textId="138205A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N/A</w:t>
            </w:r>
          </w:p>
        </w:tc>
        <w:tc>
          <w:tcPr>
            <w:tcW w:w="1112" w:type="pct"/>
            <w:tcBorders>
              <w:top w:val="nil"/>
              <w:left w:val="nil"/>
              <w:bottom w:val="single" w:sz="4" w:space="0" w:color="auto"/>
              <w:right w:val="single" w:sz="4" w:space="0" w:color="auto"/>
            </w:tcBorders>
            <w:shd w:val="clear" w:color="auto" w:fill="auto"/>
            <w:noWrap/>
          </w:tcPr>
          <w:p w14:paraId="4C98F7A8" w14:textId="71DD77C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N/A</w:t>
            </w:r>
          </w:p>
        </w:tc>
        <w:tc>
          <w:tcPr>
            <w:tcW w:w="851" w:type="pct"/>
            <w:tcBorders>
              <w:top w:val="nil"/>
              <w:left w:val="nil"/>
              <w:bottom w:val="single" w:sz="4" w:space="0" w:color="auto"/>
              <w:right w:val="single" w:sz="4" w:space="0" w:color="auto"/>
            </w:tcBorders>
            <w:shd w:val="clear" w:color="auto" w:fill="auto"/>
            <w:noWrap/>
          </w:tcPr>
          <w:p w14:paraId="2361CFE3" w14:textId="7A96919F"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N/A</w:t>
            </w:r>
          </w:p>
        </w:tc>
        <w:tc>
          <w:tcPr>
            <w:tcW w:w="813" w:type="pct"/>
            <w:tcBorders>
              <w:top w:val="nil"/>
              <w:left w:val="nil"/>
              <w:bottom w:val="single" w:sz="4" w:space="0" w:color="auto"/>
              <w:right w:val="single" w:sz="4" w:space="0" w:color="auto"/>
            </w:tcBorders>
            <w:shd w:val="clear" w:color="auto" w:fill="auto"/>
            <w:noWrap/>
          </w:tcPr>
          <w:p w14:paraId="7A70ECF6" w14:textId="03F61A6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N/A</w:t>
            </w:r>
          </w:p>
        </w:tc>
      </w:tr>
      <w:tr w:rsidR="00F95B1C" w:rsidRPr="00BE3DAF" w14:paraId="02415202"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62D1C37" w14:textId="3B589E98"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Fiji</w:t>
            </w:r>
          </w:p>
        </w:tc>
        <w:tc>
          <w:tcPr>
            <w:tcW w:w="828" w:type="pct"/>
            <w:tcBorders>
              <w:top w:val="nil"/>
              <w:left w:val="nil"/>
              <w:bottom w:val="single" w:sz="4" w:space="0" w:color="auto"/>
              <w:right w:val="single" w:sz="4" w:space="0" w:color="auto"/>
            </w:tcBorders>
            <w:shd w:val="clear" w:color="auto" w:fill="auto"/>
            <w:noWrap/>
          </w:tcPr>
          <w:p w14:paraId="3BA06FA7" w14:textId="65F1224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4E8354F" w14:textId="6D39404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B51D0CC" w14:textId="36043AE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CC3E551" w14:textId="2A93343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5D4A04CF"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EF3DAB0" w14:textId="284BBA2F"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Hong Kong, China</w:t>
            </w:r>
          </w:p>
        </w:tc>
        <w:tc>
          <w:tcPr>
            <w:tcW w:w="828" w:type="pct"/>
            <w:tcBorders>
              <w:top w:val="nil"/>
              <w:left w:val="nil"/>
              <w:bottom w:val="single" w:sz="4" w:space="0" w:color="auto"/>
              <w:right w:val="single" w:sz="4" w:space="0" w:color="auto"/>
            </w:tcBorders>
            <w:shd w:val="clear" w:color="auto" w:fill="auto"/>
            <w:noWrap/>
          </w:tcPr>
          <w:p w14:paraId="0C19621E" w14:textId="6277EA7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4D5CAA7" w14:textId="0EEA79B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8CC3385" w14:textId="152EDB8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CE160C4" w14:textId="545D422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68910D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BA76F95" w14:textId="3373C9F0"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India</w:t>
            </w:r>
          </w:p>
        </w:tc>
        <w:tc>
          <w:tcPr>
            <w:tcW w:w="828" w:type="pct"/>
            <w:tcBorders>
              <w:top w:val="nil"/>
              <w:left w:val="nil"/>
              <w:bottom w:val="single" w:sz="4" w:space="0" w:color="auto"/>
              <w:right w:val="single" w:sz="4" w:space="0" w:color="auto"/>
            </w:tcBorders>
            <w:shd w:val="clear" w:color="auto" w:fill="auto"/>
            <w:noWrap/>
          </w:tcPr>
          <w:p w14:paraId="6170A708" w14:textId="2DF755A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39C4BA25" w14:textId="2808E92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4B25E7EB" w14:textId="15414B9F"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083F1158" w14:textId="3CCE666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6DD4DB84"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03571671" w14:textId="0ED94D5D"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Indonesia</w:t>
            </w:r>
          </w:p>
        </w:tc>
        <w:tc>
          <w:tcPr>
            <w:tcW w:w="828" w:type="pct"/>
            <w:tcBorders>
              <w:top w:val="nil"/>
              <w:left w:val="nil"/>
              <w:bottom w:val="single" w:sz="4" w:space="0" w:color="auto"/>
              <w:right w:val="single" w:sz="4" w:space="0" w:color="auto"/>
            </w:tcBorders>
            <w:shd w:val="clear" w:color="auto" w:fill="auto"/>
            <w:noWrap/>
          </w:tcPr>
          <w:p w14:paraId="3F04B1E9" w14:textId="78577EB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22A0EB6" w14:textId="29470D6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12833882" w14:textId="56902AD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F1B8547" w14:textId="650D365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EDB9F5E"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9F65848" w14:textId="7058946D"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Iran (Islamic Republic of)</w:t>
            </w:r>
          </w:p>
        </w:tc>
        <w:tc>
          <w:tcPr>
            <w:tcW w:w="828" w:type="pct"/>
            <w:tcBorders>
              <w:top w:val="nil"/>
              <w:left w:val="nil"/>
              <w:bottom w:val="single" w:sz="4" w:space="0" w:color="auto"/>
              <w:right w:val="single" w:sz="4" w:space="0" w:color="auto"/>
            </w:tcBorders>
            <w:shd w:val="clear" w:color="auto" w:fill="auto"/>
            <w:noWrap/>
          </w:tcPr>
          <w:p w14:paraId="1AA5896A" w14:textId="12D276D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5B957761" w14:textId="67C1B1D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1011B635" w14:textId="557D957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287CD4C" w14:textId="06E0BC2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98EC8A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A7DD348" w14:textId="523C8D84"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Japan</w:t>
            </w:r>
          </w:p>
        </w:tc>
        <w:tc>
          <w:tcPr>
            <w:tcW w:w="828" w:type="pct"/>
            <w:tcBorders>
              <w:top w:val="nil"/>
              <w:left w:val="nil"/>
              <w:bottom w:val="single" w:sz="4" w:space="0" w:color="auto"/>
              <w:right w:val="single" w:sz="4" w:space="0" w:color="auto"/>
            </w:tcBorders>
            <w:shd w:val="clear" w:color="auto" w:fill="auto"/>
            <w:noWrap/>
          </w:tcPr>
          <w:p w14:paraId="581F4DFE" w14:textId="524EA1A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43FFE523" w14:textId="77372A0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B063DB7" w14:textId="0D2A111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97A72B1" w14:textId="43091D9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r>
      <w:tr w:rsidR="00F95B1C" w:rsidRPr="00BE3DAF" w14:paraId="36A5019D"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5B41B55" w14:textId="4A2A25E7"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Kiribati</w:t>
            </w:r>
          </w:p>
        </w:tc>
        <w:tc>
          <w:tcPr>
            <w:tcW w:w="828" w:type="pct"/>
            <w:tcBorders>
              <w:top w:val="nil"/>
              <w:left w:val="nil"/>
              <w:bottom w:val="single" w:sz="4" w:space="0" w:color="auto"/>
              <w:right w:val="single" w:sz="4" w:space="0" w:color="auto"/>
            </w:tcBorders>
            <w:shd w:val="clear" w:color="auto" w:fill="auto"/>
            <w:noWrap/>
          </w:tcPr>
          <w:p w14:paraId="1989917B" w14:textId="41EFE22E"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D9ECA10" w14:textId="5C38D07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FBAB25C" w14:textId="7F9925A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8595881" w14:textId="5848BE9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466323D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33BB913" w14:textId="7D658A85"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Korea (Rep. of)</w:t>
            </w:r>
          </w:p>
        </w:tc>
        <w:tc>
          <w:tcPr>
            <w:tcW w:w="828" w:type="pct"/>
            <w:tcBorders>
              <w:top w:val="nil"/>
              <w:left w:val="nil"/>
              <w:bottom w:val="single" w:sz="4" w:space="0" w:color="auto"/>
              <w:right w:val="single" w:sz="4" w:space="0" w:color="auto"/>
            </w:tcBorders>
            <w:shd w:val="clear" w:color="auto" w:fill="auto"/>
            <w:noWrap/>
          </w:tcPr>
          <w:p w14:paraId="55381453" w14:textId="5AC7684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637088E5" w14:textId="07B650F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6F40A3BD" w14:textId="2696AE4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DD66EBE" w14:textId="5E5ECBF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B7EE987"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46317D8" w14:textId="3B5CCC2F"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Lao P.D.R.</w:t>
            </w:r>
          </w:p>
        </w:tc>
        <w:tc>
          <w:tcPr>
            <w:tcW w:w="828" w:type="pct"/>
            <w:tcBorders>
              <w:top w:val="nil"/>
              <w:left w:val="nil"/>
              <w:bottom w:val="single" w:sz="4" w:space="0" w:color="auto"/>
              <w:right w:val="single" w:sz="4" w:space="0" w:color="auto"/>
            </w:tcBorders>
            <w:shd w:val="clear" w:color="auto" w:fill="auto"/>
            <w:noWrap/>
          </w:tcPr>
          <w:p w14:paraId="48969568" w14:textId="510B993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53EE8BC0" w14:textId="04B32D1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01741DD8" w14:textId="42C8241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EA999D2" w14:textId="072ED43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0EDD6C1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ED1B5FC" w14:textId="376C462C"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Macao, China</w:t>
            </w:r>
          </w:p>
        </w:tc>
        <w:tc>
          <w:tcPr>
            <w:tcW w:w="828" w:type="pct"/>
            <w:tcBorders>
              <w:top w:val="nil"/>
              <w:left w:val="nil"/>
              <w:bottom w:val="single" w:sz="4" w:space="0" w:color="auto"/>
              <w:right w:val="single" w:sz="4" w:space="0" w:color="auto"/>
            </w:tcBorders>
            <w:shd w:val="clear" w:color="auto" w:fill="auto"/>
            <w:noWrap/>
          </w:tcPr>
          <w:p w14:paraId="0E3F6B80" w14:textId="6B674D9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20BD701" w14:textId="67ED3FE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0B442279" w14:textId="29E97A9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FEB3F04" w14:textId="6C0A229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720924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F88C748" w14:textId="01127A92"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Malaysia</w:t>
            </w:r>
          </w:p>
        </w:tc>
        <w:tc>
          <w:tcPr>
            <w:tcW w:w="828" w:type="pct"/>
            <w:tcBorders>
              <w:top w:val="nil"/>
              <w:left w:val="nil"/>
              <w:bottom w:val="single" w:sz="4" w:space="0" w:color="auto"/>
              <w:right w:val="single" w:sz="4" w:space="0" w:color="auto"/>
            </w:tcBorders>
            <w:shd w:val="clear" w:color="auto" w:fill="auto"/>
            <w:noWrap/>
          </w:tcPr>
          <w:p w14:paraId="1D520AF2" w14:textId="438F288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6F7AAE11" w14:textId="77AB472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074BF4E" w14:textId="03B45E8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9DBFA5D" w14:textId="25FD94A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14133F16"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797CAF7" w14:textId="1A41E75F"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Maldives</w:t>
            </w:r>
          </w:p>
        </w:tc>
        <w:tc>
          <w:tcPr>
            <w:tcW w:w="828" w:type="pct"/>
            <w:tcBorders>
              <w:top w:val="nil"/>
              <w:left w:val="nil"/>
              <w:bottom w:val="single" w:sz="4" w:space="0" w:color="auto"/>
              <w:right w:val="single" w:sz="4" w:space="0" w:color="auto"/>
            </w:tcBorders>
            <w:shd w:val="clear" w:color="auto" w:fill="auto"/>
            <w:noWrap/>
          </w:tcPr>
          <w:p w14:paraId="5552293D" w14:textId="0921B33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C04FC40" w14:textId="2012234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64DFD16" w14:textId="094AEEA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8F32D07" w14:textId="192E16EE"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5ECAD85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167E4CA" w14:textId="122948CD"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Marshall Islands</w:t>
            </w:r>
          </w:p>
        </w:tc>
        <w:tc>
          <w:tcPr>
            <w:tcW w:w="828" w:type="pct"/>
            <w:tcBorders>
              <w:top w:val="nil"/>
              <w:left w:val="nil"/>
              <w:bottom w:val="single" w:sz="4" w:space="0" w:color="auto"/>
              <w:right w:val="single" w:sz="4" w:space="0" w:color="auto"/>
            </w:tcBorders>
            <w:shd w:val="clear" w:color="auto" w:fill="auto"/>
            <w:noWrap/>
          </w:tcPr>
          <w:p w14:paraId="49C10342" w14:textId="607F068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CA6C7B5" w14:textId="67BE827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5481E3A" w14:textId="122657A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ABC8F1A" w14:textId="12A54BC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796EFC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6DAAA7F" w14:textId="6081A1EA"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Micronesia</w:t>
            </w:r>
          </w:p>
        </w:tc>
        <w:tc>
          <w:tcPr>
            <w:tcW w:w="828" w:type="pct"/>
            <w:tcBorders>
              <w:top w:val="nil"/>
              <w:left w:val="nil"/>
              <w:bottom w:val="single" w:sz="4" w:space="0" w:color="auto"/>
              <w:right w:val="single" w:sz="4" w:space="0" w:color="auto"/>
            </w:tcBorders>
            <w:shd w:val="clear" w:color="auto" w:fill="auto"/>
            <w:noWrap/>
          </w:tcPr>
          <w:p w14:paraId="2DCB8DA6" w14:textId="01A8C09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505E607" w14:textId="3EAFFD8E"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E569ABE" w14:textId="6E5780A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B7B6322" w14:textId="784FEE9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89EABA0"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479C317" w14:textId="31B378F8"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Mongolia</w:t>
            </w:r>
          </w:p>
        </w:tc>
        <w:tc>
          <w:tcPr>
            <w:tcW w:w="828" w:type="pct"/>
            <w:tcBorders>
              <w:top w:val="nil"/>
              <w:left w:val="nil"/>
              <w:bottom w:val="single" w:sz="4" w:space="0" w:color="auto"/>
              <w:right w:val="single" w:sz="4" w:space="0" w:color="auto"/>
            </w:tcBorders>
            <w:shd w:val="clear" w:color="auto" w:fill="auto"/>
            <w:noWrap/>
          </w:tcPr>
          <w:p w14:paraId="2E3E37BA" w14:textId="25650D0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3ECA367" w14:textId="115FF71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8456F2C" w14:textId="237A29A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AC6D323" w14:textId="209B1A8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682D7406"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A2ADEA8" w14:textId="75B97838"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Myanmar</w:t>
            </w:r>
          </w:p>
        </w:tc>
        <w:tc>
          <w:tcPr>
            <w:tcW w:w="828" w:type="pct"/>
            <w:tcBorders>
              <w:top w:val="nil"/>
              <w:left w:val="nil"/>
              <w:bottom w:val="single" w:sz="4" w:space="0" w:color="auto"/>
              <w:right w:val="single" w:sz="4" w:space="0" w:color="auto"/>
            </w:tcBorders>
            <w:shd w:val="clear" w:color="auto" w:fill="auto"/>
            <w:noWrap/>
          </w:tcPr>
          <w:p w14:paraId="09ACC274" w14:textId="7A9318D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3AC9370" w14:textId="78B3E93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EA10B79" w14:textId="128F5D5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3420E5B" w14:textId="33DEC72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63BA011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2C90883" w14:textId="0083B4CE"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Nauru</w:t>
            </w:r>
          </w:p>
        </w:tc>
        <w:tc>
          <w:tcPr>
            <w:tcW w:w="828" w:type="pct"/>
            <w:tcBorders>
              <w:top w:val="nil"/>
              <w:left w:val="nil"/>
              <w:bottom w:val="single" w:sz="4" w:space="0" w:color="auto"/>
              <w:right w:val="single" w:sz="4" w:space="0" w:color="auto"/>
            </w:tcBorders>
            <w:shd w:val="clear" w:color="auto" w:fill="auto"/>
            <w:noWrap/>
          </w:tcPr>
          <w:p w14:paraId="65584681" w14:textId="550D092F"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695B68E" w14:textId="0547CEF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8892A72" w14:textId="517B93C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012E2E7C" w14:textId="261CD5F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5A4A000A"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1C7E7F4" w14:textId="5E86A806"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Nepal (Republic of)</w:t>
            </w:r>
          </w:p>
        </w:tc>
        <w:tc>
          <w:tcPr>
            <w:tcW w:w="828" w:type="pct"/>
            <w:tcBorders>
              <w:top w:val="nil"/>
              <w:left w:val="nil"/>
              <w:bottom w:val="single" w:sz="4" w:space="0" w:color="auto"/>
              <w:right w:val="single" w:sz="4" w:space="0" w:color="auto"/>
            </w:tcBorders>
            <w:shd w:val="clear" w:color="auto" w:fill="auto"/>
            <w:noWrap/>
          </w:tcPr>
          <w:p w14:paraId="1D1A6DD5" w14:textId="0C191AD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9F45754" w14:textId="7C3EF7A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DC6E7EA" w14:textId="755BD85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2BBD0E6" w14:textId="48FC2D7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3DCC1A5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3F05C78" w14:textId="73093C97"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New Zealand</w:t>
            </w:r>
          </w:p>
        </w:tc>
        <w:tc>
          <w:tcPr>
            <w:tcW w:w="828" w:type="pct"/>
            <w:tcBorders>
              <w:top w:val="nil"/>
              <w:left w:val="nil"/>
              <w:bottom w:val="single" w:sz="4" w:space="0" w:color="auto"/>
              <w:right w:val="single" w:sz="4" w:space="0" w:color="auto"/>
            </w:tcBorders>
            <w:shd w:val="clear" w:color="auto" w:fill="auto"/>
            <w:noWrap/>
          </w:tcPr>
          <w:p w14:paraId="17184375" w14:textId="75C54A7B"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8E0AD82" w14:textId="71BF70F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E6D0B12" w14:textId="78B0751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384EB03E" w14:textId="0EE6DD0F"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C19A1B0"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A1BFB1C" w14:textId="25FA46A6"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Pakistan</w:t>
            </w:r>
          </w:p>
        </w:tc>
        <w:tc>
          <w:tcPr>
            <w:tcW w:w="828" w:type="pct"/>
            <w:tcBorders>
              <w:top w:val="nil"/>
              <w:left w:val="nil"/>
              <w:bottom w:val="single" w:sz="4" w:space="0" w:color="auto"/>
              <w:right w:val="single" w:sz="4" w:space="0" w:color="auto"/>
            </w:tcBorders>
            <w:shd w:val="clear" w:color="auto" w:fill="auto"/>
            <w:noWrap/>
          </w:tcPr>
          <w:p w14:paraId="7E7D4A25" w14:textId="3149CA0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79259A4" w14:textId="38B2693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485A725" w14:textId="127D74E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066A039F" w14:textId="4E435E2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BE34D67"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E5C95E1" w14:textId="616F922C"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Palau</w:t>
            </w:r>
          </w:p>
        </w:tc>
        <w:tc>
          <w:tcPr>
            <w:tcW w:w="828" w:type="pct"/>
            <w:tcBorders>
              <w:top w:val="nil"/>
              <w:left w:val="nil"/>
              <w:bottom w:val="single" w:sz="4" w:space="0" w:color="auto"/>
              <w:right w:val="single" w:sz="4" w:space="0" w:color="auto"/>
            </w:tcBorders>
            <w:shd w:val="clear" w:color="auto" w:fill="auto"/>
            <w:noWrap/>
          </w:tcPr>
          <w:p w14:paraId="70EEDABC" w14:textId="6B2EE8B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64A6432" w14:textId="5440714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EF29C6B" w14:textId="77FF28F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C678EEE" w14:textId="4E9C957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E0E560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A1D3585" w14:textId="263747D8"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Papua New Guinea</w:t>
            </w:r>
          </w:p>
        </w:tc>
        <w:tc>
          <w:tcPr>
            <w:tcW w:w="828" w:type="pct"/>
            <w:tcBorders>
              <w:top w:val="nil"/>
              <w:left w:val="nil"/>
              <w:bottom w:val="single" w:sz="4" w:space="0" w:color="auto"/>
              <w:right w:val="single" w:sz="4" w:space="0" w:color="auto"/>
            </w:tcBorders>
            <w:shd w:val="clear" w:color="auto" w:fill="auto"/>
            <w:noWrap/>
          </w:tcPr>
          <w:p w14:paraId="5D9B05A2" w14:textId="66CC637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F33FB49" w14:textId="1220B07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83BD46C" w14:textId="3030EE1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A50EFDB" w14:textId="3F15CC3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46D64D5C"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706866E" w14:textId="7A1AE5B4"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Philippines</w:t>
            </w:r>
          </w:p>
        </w:tc>
        <w:tc>
          <w:tcPr>
            <w:tcW w:w="828" w:type="pct"/>
            <w:tcBorders>
              <w:top w:val="nil"/>
              <w:left w:val="nil"/>
              <w:bottom w:val="single" w:sz="4" w:space="0" w:color="auto"/>
              <w:right w:val="single" w:sz="4" w:space="0" w:color="auto"/>
            </w:tcBorders>
            <w:shd w:val="clear" w:color="auto" w:fill="auto"/>
            <w:noWrap/>
          </w:tcPr>
          <w:p w14:paraId="506025E4" w14:textId="589696A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39A8674" w14:textId="174AFAF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A24D5D3" w14:textId="03495B46"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22BD6A4" w14:textId="0369F12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38533BAA"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6629EF6" w14:textId="7E40AA34"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Samoa</w:t>
            </w:r>
          </w:p>
        </w:tc>
        <w:tc>
          <w:tcPr>
            <w:tcW w:w="828" w:type="pct"/>
            <w:tcBorders>
              <w:top w:val="nil"/>
              <w:left w:val="nil"/>
              <w:bottom w:val="single" w:sz="4" w:space="0" w:color="auto"/>
              <w:right w:val="single" w:sz="4" w:space="0" w:color="auto"/>
            </w:tcBorders>
            <w:shd w:val="clear" w:color="auto" w:fill="auto"/>
            <w:noWrap/>
          </w:tcPr>
          <w:p w14:paraId="3079035B" w14:textId="58429D8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D82988B" w14:textId="6459CD8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0622E836" w14:textId="6E07EF1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04331FAF" w14:textId="72284B8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1B4EA175"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C24C059" w14:textId="3CCB1AAC"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Singapore</w:t>
            </w:r>
          </w:p>
        </w:tc>
        <w:tc>
          <w:tcPr>
            <w:tcW w:w="828" w:type="pct"/>
            <w:tcBorders>
              <w:top w:val="nil"/>
              <w:left w:val="nil"/>
              <w:bottom w:val="single" w:sz="4" w:space="0" w:color="auto"/>
              <w:right w:val="single" w:sz="4" w:space="0" w:color="auto"/>
            </w:tcBorders>
            <w:shd w:val="clear" w:color="auto" w:fill="auto"/>
            <w:noWrap/>
          </w:tcPr>
          <w:p w14:paraId="58F3FD22" w14:textId="2EB2418C"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2342E349" w14:textId="3C78F32E"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r w:rsidR="00AD75C6" w:rsidRPr="00BE3DAF">
              <w:rPr>
                <w:rFonts w:ascii="Aptos" w:hAnsi="Aptos"/>
                <w:sz w:val="18"/>
                <w:szCs w:val="18"/>
              </w:rPr>
              <w:t>*</w:t>
            </w:r>
            <w:r w:rsidRPr="00BE3DAF">
              <w:rPr>
                <w:rFonts w:ascii="Aptos" w:hAnsi="Aptos"/>
                <w:sz w:val="18"/>
                <w:szCs w:val="18"/>
              </w:rPr>
              <w:t>*</w:t>
            </w:r>
          </w:p>
        </w:tc>
        <w:tc>
          <w:tcPr>
            <w:tcW w:w="851" w:type="pct"/>
            <w:tcBorders>
              <w:top w:val="nil"/>
              <w:left w:val="nil"/>
              <w:bottom w:val="single" w:sz="4" w:space="0" w:color="auto"/>
              <w:right w:val="single" w:sz="4" w:space="0" w:color="auto"/>
            </w:tcBorders>
            <w:shd w:val="clear" w:color="auto" w:fill="auto"/>
            <w:noWrap/>
          </w:tcPr>
          <w:p w14:paraId="58162A81" w14:textId="129276F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65697F89" w14:textId="118C8CA0"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17DB705"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294D48E" w14:textId="46C474BF"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Solomon Islands</w:t>
            </w:r>
          </w:p>
        </w:tc>
        <w:tc>
          <w:tcPr>
            <w:tcW w:w="828" w:type="pct"/>
            <w:tcBorders>
              <w:top w:val="nil"/>
              <w:left w:val="nil"/>
              <w:bottom w:val="single" w:sz="4" w:space="0" w:color="auto"/>
              <w:right w:val="single" w:sz="4" w:space="0" w:color="auto"/>
            </w:tcBorders>
            <w:shd w:val="clear" w:color="auto" w:fill="auto"/>
            <w:noWrap/>
          </w:tcPr>
          <w:p w14:paraId="12AB1744" w14:textId="6AEB674F"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8A850B6" w14:textId="37E6C31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C2D3B1E" w14:textId="3C8D9DD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E41E867" w14:textId="410213C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993900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EE3218A" w14:textId="494CD13B"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Sri Lanka</w:t>
            </w:r>
          </w:p>
        </w:tc>
        <w:tc>
          <w:tcPr>
            <w:tcW w:w="828" w:type="pct"/>
            <w:tcBorders>
              <w:top w:val="nil"/>
              <w:left w:val="nil"/>
              <w:bottom w:val="single" w:sz="4" w:space="0" w:color="auto"/>
              <w:right w:val="single" w:sz="4" w:space="0" w:color="auto"/>
            </w:tcBorders>
            <w:shd w:val="clear" w:color="auto" w:fill="auto"/>
            <w:noWrap/>
          </w:tcPr>
          <w:p w14:paraId="6A8AAC88" w14:textId="185082F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6509D1EB" w14:textId="6B8847D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4C70F85" w14:textId="0EF68D0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3AB316B" w14:textId="618D668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02EB46ED"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D08C17F" w14:textId="5CADB72B"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Thailand</w:t>
            </w:r>
          </w:p>
        </w:tc>
        <w:tc>
          <w:tcPr>
            <w:tcW w:w="828" w:type="pct"/>
            <w:tcBorders>
              <w:top w:val="nil"/>
              <w:left w:val="nil"/>
              <w:bottom w:val="single" w:sz="4" w:space="0" w:color="auto"/>
              <w:right w:val="single" w:sz="4" w:space="0" w:color="auto"/>
            </w:tcBorders>
            <w:shd w:val="clear" w:color="auto" w:fill="auto"/>
            <w:noWrap/>
          </w:tcPr>
          <w:p w14:paraId="43F3E919" w14:textId="03EBC398"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F423440" w14:textId="5AF20E9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9DB8917" w14:textId="2AEB0F0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6270B59" w14:textId="4FC4C62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7A3082E7"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70CB3AA" w14:textId="5FD2FFB9"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Timor-Leste</w:t>
            </w:r>
          </w:p>
        </w:tc>
        <w:tc>
          <w:tcPr>
            <w:tcW w:w="828" w:type="pct"/>
            <w:tcBorders>
              <w:top w:val="nil"/>
              <w:left w:val="nil"/>
              <w:bottom w:val="single" w:sz="4" w:space="0" w:color="auto"/>
              <w:right w:val="single" w:sz="4" w:space="0" w:color="auto"/>
            </w:tcBorders>
            <w:shd w:val="clear" w:color="auto" w:fill="auto"/>
            <w:noWrap/>
          </w:tcPr>
          <w:p w14:paraId="5D5531C3" w14:textId="3BFBEBEE"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862EEBE" w14:textId="19C5F0B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66DADE3" w14:textId="52A38725"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8B4C683" w14:textId="034CDAE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6330771C"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21AC6AA" w14:textId="4320B54E"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Tonga</w:t>
            </w:r>
          </w:p>
        </w:tc>
        <w:tc>
          <w:tcPr>
            <w:tcW w:w="828" w:type="pct"/>
            <w:tcBorders>
              <w:top w:val="nil"/>
              <w:left w:val="nil"/>
              <w:bottom w:val="single" w:sz="4" w:space="0" w:color="auto"/>
              <w:right w:val="single" w:sz="4" w:space="0" w:color="auto"/>
            </w:tcBorders>
            <w:shd w:val="clear" w:color="auto" w:fill="auto"/>
            <w:noWrap/>
          </w:tcPr>
          <w:p w14:paraId="48442D37" w14:textId="69E0B792"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A877F6D" w14:textId="31237CB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B3080BE" w14:textId="2AFD467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EC7D483" w14:textId="1CA7C66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2F88D29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5565EFD" w14:textId="7F18F460"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Tuvalu</w:t>
            </w:r>
          </w:p>
        </w:tc>
        <w:tc>
          <w:tcPr>
            <w:tcW w:w="828" w:type="pct"/>
            <w:tcBorders>
              <w:top w:val="nil"/>
              <w:left w:val="nil"/>
              <w:bottom w:val="single" w:sz="4" w:space="0" w:color="auto"/>
              <w:right w:val="single" w:sz="4" w:space="0" w:color="auto"/>
            </w:tcBorders>
            <w:shd w:val="clear" w:color="auto" w:fill="auto"/>
            <w:noWrap/>
          </w:tcPr>
          <w:p w14:paraId="6D86E660" w14:textId="292DA1B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6B40E23D" w14:textId="125CA5AD"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334379F" w14:textId="22780BE9"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546932B" w14:textId="721A80F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62405808"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F04530F" w14:textId="46A16553"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Vanuatu</w:t>
            </w:r>
          </w:p>
        </w:tc>
        <w:tc>
          <w:tcPr>
            <w:tcW w:w="828" w:type="pct"/>
            <w:tcBorders>
              <w:top w:val="nil"/>
              <w:left w:val="nil"/>
              <w:bottom w:val="single" w:sz="4" w:space="0" w:color="auto"/>
              <w:right w:val="single" w:sz="4" w:space="0" w:color="auto"/>
            </w:tcBorders>
            <w:shd w:val="clear" w:color="auto" w:fill="auto"/>
            <w:noWrap/>
          </w:tcPr>
          <w:p w14:paraId="53F33C9E" w14:textId="0F41C36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5694EE5" w14:textId="27FB019F"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4046456" w14:textId="5926E7F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789F31C" w14:textId="5C3F6DEA"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r w:rsidR="00F95B1C" w:rsidRPr="00BE3DAF" w14:paraId="42909DA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97E0318" w14:textId="2AF7BA28" w:rsidR="00F95B1C" w:rsidRPr="00BE3DAF"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E3DAF">
              <w:rPr>
                <w:rFonts w:ascii="Aptos" w:hAnsi="Aptos"/>
                <w:sz w:val="18"/>
                <w:szCs w:val="18"/>
              </w:rPr>
              <w:t>Viet Nam</w:t>
            </w:r>
          </w:p>
        </w:tc>
        <w:tc>
          <w:tcPr>
            <w:tcW w:w="828" w:type="pct"/>
            <w:tcBorders>
              <w:top w:val="nil"/>
              <w:left w:val="nil"/>
              <w:bottom w:val="single" w:sz="4" w:space="0" w:color="auto"/>
              <w:right w:val="single" w:sz="4" w:space="0" w:color="auto"/>
            </w:tcBorders>
            <w:shd w:val="clear" w:color="auto" w:fill="auto"/>
            <w:noWrap/>
          </w:tcPr>
          <w:p w14:paraId="5249A7E7" w14:textId="2FEF86F7"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6EBB303E" w14:textId="55E9B343"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1E36A6DF" w14:textId="64794304"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31AC85AA" w14:textId="58F24BC1" w:rsidR="00F95B1C" w:rsidRPr="00BE3DAF"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E3DAF">
              <w:rPr>
                <w:rFonts w:ascii="Aptos" w:hAnsi="Aptos"/>
                <w:sz w:val="18"/>
                <w:szCs w:val="18"/>
              </w:rPr>
              <w:t>No</w:t>
            </w:r>
          </w:p>
        </w:tc>
      </w:tr>
    </w:tbl>
    <w:p w14:paraId="007E8B67" w14:textId="236325FC" w:rsidR="00CD7CB1" w:rsidRPr="00BE3DAF" w:rsidRDefault="00751D0A" w:rsidP="00B1004A">
      <w:pPr>
        <w:pStyle w:val="Sourcetext"/>
        <w:rPr>
          <w:rFonts w:eastAsia="Aptos" w:cs="Arial"/>
        </w:rPr>
      </w:pPr>
      <w:r w:rsidRPr="00BE3DAF">
        <w:rPr>
          <w:rFonts w:eastAsia="Aptos" w:cs="Arial"/>
        </w:rPr>
        <w:t>*</w:t>
      </w:r>
      <w:r w:rsidR="0D14E082" w:rsidRPr="00BE3DAF">
        <w:t>The Indonesian e-waste</w:t>
      </w:r>
      <w:r w:rsidR="00CD7CB1" w:rsidRPr="00BE3DAF">
        <w:t xml:space="preserve"> </w:t>
      </w:r>
      <w:r w:rsidR="1C73D729" w:rsidRPr="00BE3DAF">
        <w:t xml:space="preserve">regulatory framework was strengthened </w:t>
      </w:r>
      <w:r w:rsidR="00CD7CB1" w:rsidRPr="00BE3DAF">
        <w:t xml:space="preserve">after publication of the </w:t>
      </w:r>
      <w:r w:rsidR="02F3C14C" w:rsidRPr="00BE3DAF">
        <w:t xml:space="preserve">Global </w:t>
      </w:r>
      <w:r w:rsidR="00CD7CB1" w:rsidRPr="00BE3DAF">
        <w:t>E-</w:t>
      </w:r>
      <w:r w:rsidR="00AD75C6" w:rsidRPr="00BE3DAF">
        <w:t>w</w:t>
      </w:r>
      <w:r w:rsidR="00CD7CB1" w:rsidRPr="00BE3DAF">
        <w:t>aste Monitor</w:t>
      </w:r>
      <w:r w:rsidR="00AD75C6" w:rsidRPr="00BE3DAF">
        <w:rPr>
          <w:rFonts w:eastAsia="Aptos" w:cs="Arial"/>
        </w:rPr>
        <w:t>.</w:t>
      </w:r>
    </w:p>
    <w:p w14:paraId="6FC740A6" w14:textId="2DB4F2D0" w:rsidR="00CD7CB1" w:rsidRPr="00BE3DAF" w:rsidRDefault="00CD7CB1" w:rsidP="00B1004A">
      <w:pPr>
        <w:pStyle w:val="Sourcetext"/>
        <w:rPr>
          <w:rFonts w:eastAsia="Aptos" w:cs="Arial"/>
        </w:rPr>
      </w:pPr>
      <w:r w:rsidRPr="00BE3DAF">
        <w:t xml:space="preserve">** Singapore </w:t>
      </w:r>
      <w:r w:rsidR="374E5511" w:rsidRPr="00BE3DAF">
        <w:t xml:space="preserve">begun the process of adopting </w:t>
      </w:r>
      <w:r w:rsidRPr="00BE3DAF">
        <w:t xml:space="preserve">an EPR framework after publication of the </w:t>
      </w:r>
      <w:r w:rsidR="22F009CD" w:rsidRPr="00BE3DAF">
        <w:t xml:space="preserve">Global </w:t>
      </w:r>
      <w:r w:rsidRPr="00BE3DAF">
        <w:t>E-</w:t>
      </w:r>
      <w:r w:rsidR="00AD75C6" w:rsidRPr="00BE3DAF">
        <w:t>w</w:t>
      </w:r>
      <w:r w:rsidRPr="00BE3DAF">
        <w:t>aste Monitor</w:t>
      </w:r>
      <w:r w:rsidR="00AD75C6" w:rsidRPr="00BE3DAF">
        <w:rPr>
          <w:rFonts w:eastAsia="Aptos" w:cs="Arial"/>
        </w:rPr>
        <w:t>.</w:t>
      </w:r>
    </w:p>
    <w:p w14:paraId="60BA3804" w14:textId="7519119F" w:rsidR="006C41B5" w:rsidRPr="00BE3DAF" w:rsidRDefault="006C41B5" w:rsidP="00B1004A">
      <w:pPr>
        <w:pStyle w:val="Sourcetext"/>
        <w:rPr>
          <w:rFonts w:eastAsia="Aptos" w:cs="Arial"/>
        </w:rPr>
      </w:pPr>
      <w:r w:rsidRPr="00BE3DAF">
        <w:rPr>
          <w:rFonts w:eastAsia="Aptos" w:cs="Arial"/>
        </w:rPr>
        <w:t xml:space="preserve">Source: ITU and UNITAR, </w:t>
      </w:r>
      <w:hyperlink r:id="rId136" w:history="1">
        <w:r w:rsidRPr="00BE3DAF">
          <w:rPr>
            <w:rFonts w:eastAsia="Aptos" w:cs="Arial"/>
          </w:rPr>
          <w:t>Global E-waste Monitor, 2024</w:t>
        </w:r>
      </w:hyperlink>
    </w:p>
    <w:p w14:paraId="69F41242" w14:textId="1E4002EF" w:rsidR="00EB6561" w:rsidRPr="00BE3DAF" w:rsidRDefault="00EB6561" w:rsidP="00EB65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lack of comprehensive policies for e-waste management remains a significant challenge in Asia and the Pacific, where only a few countries have implemented national e-waste legislation and extended producer responsibility (EPR) frameworks. Globally, 42 per cent of countries (81 out of 193) have enacted national e-waste policies, legislation, or regulations. In contrast, only 1</w:t>
      </w:r>
      <w:r w:rsidR="00D85C40" w:rsidRPr="00BE3DAF">
        <w:rPr>
          <w:rFonts w:ascii="Aptos" w:eastAsia="Aptos" w:hAnsi="Aptos" w:cs="Arial"/>
          <w:kern w:val="2"/>
          <w:sz w:val="22"/>
          <w:szCs w:val="22"/>
          <w14:ligatures w14:val="standardContextual"/>
        </w:rPr>
        <w:t>2</w:t>
      </w:r>
      <w:r w:rsidRPr="00BE3DAF">
        <w:rPr>
          <w:rFonts w:ascii="Aptos" w:eastAsia="Aptos" w:hAnsi="Aptos" w:cs="Arial"/>
          <w:kern w:val="2"/>
          <w:sz w:val="22"/>
          <w:szCs w:val="22"/>
          <w14:ligatures w14:val="standardContextual"/>
        </w:rPr>
        <w:t xml:space="preserve"> countries</w:t>
      </w:r>
      <w:r w:rsidR="00A7753B" w:rsidRPr="00BE3DAF">
        <w:rPr>
          <w:rStyle w:val="FootnoteReference"/>
          <w:rFonts w:eastAsia="Aptos" w:cs="Arial"/>
          <w:kern w:val="2"/>
          <w:szCs w:val="22"/>
          <w14:ligatures w14:val="standardContextual"/>
        </w:rPr>
        <w:footnoteReference w:id="10"/>
      </w:r>
      <w:r w:rsidRPr="00BE3DAF">
        <w:rPr>
          <w:rFonts w:ascii="Aptos" w:eastAsia="Aptos" w:hAnsi="Aptos" w:cs="Arial"/>
          <w:kern w:val="2"/>
          <w:sz w:val="22"/>
          <w:szCs w:val="22"/>
          <w14:ligatures w14:val="standardContextual"/>
        </w:rPr>
        <w:t xml:space="preserve"> in </w:t>
      </w:r>
      <w:r w:rsidRPr="00BE3DAF">
        <w:rPr>
          <w:rFonts w:ascii="Aptos" w:eastAsia="Aptos" w:hAnsi="Aptos" w:cs="Arial"/>
          <w:kern w:val="2"/>
          <w:sz w:val="22"/>
          <w:szCs w:val="22"/>
          <w14:ligatures w14:val="standardContextual"/>
        </w:rPr>
        <w:lastRenderedPageBreak/>
        <w:t>Asia and the Pacific have done so, which accounts for just 2</w:t>
      </w:r>
      <w:r w:rsidR="004C3C60" w:rsidRPr="00BE3DAF">
        <w:rPr>
          <w:rFonts w:ascii="Aptos" w:eastAsia="Aptos" w:hAnsi="Aptos" w:cs="Arial"/>
          <w:kern w:val="2"/>
          <w:sz w:val="22"/>
          <w:szCs w:val="22"/>
          <w14:ligatures w14:val="standardContextual"/>
        </w:rPr>
        <w:t>9</w:t>
      </w:r>
      <w:r w:rsidRPr="00BE3DAF">
        <w:rPr>
          <w:rFonts w:ascii="Aptos" w:eastAsia="Aptos" w:hAnsi="Aptos" w:cs="Arial"/>
          <w:kern w:val="2"/>
          <w:sz w:val="22"/>
          <w:szCs w:val="22"/>
          <w14:ligatures w14:val="standardContextual"/>
        </w:rPr>
        <w:t xml:space="preserve"> per</w:t>
      </w:r>
      <w:r w:rsidR="004C3C60" w:rsidRPr="00BE3DAF">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cent of the 41 ITU Member States in the region.</w:t>
      </w:r>
    </w:p>
    <w:p w14:paraId="26D85B84" w14:textId="6902F0C4" w:rsidR="00EB6561" w:rsidRPr="00BE3DAF" w:rsidRDefault="00EB6561" w:rsidP="00EB65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Moreover, only </w:t>
      </w:r>
      <w:r w:rsidR="001A0A6D" w:rsidRPr="00BE3DAF">
        <w:rPr>
          <w:rFonts w:ascii="Aptos" w:eastAsia="Aptos" w:hAnsi="Aptos" w:cs="Arial"/>
          <w:kern w:val="2"/>
          <w:sz w:val="22"/>
          <w:szCs w:val="22"/>
          <w14:ligatures w14:val="standardContextual"/>
        </w:rPr>
        <w:t>7</w:t>
      </w:r>
      <w:r w:rsidRPr="00BE3DAF">
        <w:rPr>
          <w:rFonts w:ascii="Aptos" w:eastAsia="Aptos" w:hAnsi="Aptos" w:cs="Arial"/>
          <w:kern w:val="2"/>
          <w:sz w:val="22"/>
          <w:szCs w:val="22"/>
          <w14:ligatures w14:val="standardContextual"/>
        </w:rPr>
        <w:t xml:space="preserve"> countries</w:t>
      </w:r>
      <w:r w:rsidR="001A0A6D" w:rsidRPr="00BE3DAF">
        <w:rPr>
          <w:rStyle w:val="FootnoteReference"/>
          <w:rFonts w:eastAsia="Aptos" w:cs="Arial"/>
          <w:kern w:val="2"/>
          <w:szCs w:val="22"/>
          <w14:ligatures w14:val="standardContextual"/>
        </w:rPr>
        <w:footnoteReference w:id="11"/>
      </w:r>
      <w:r w:rsidRPr="00BE3DAF">
        <w:rPr>
          <w:rFonts w:ascii="Aptos" w:eastAsia="Aptos" w:hAnsi="Aptos" w:cs="Arial"/>
          <w:kern w:val="2"/>
          <w:sz w:val="22"/>
          <w:szCs w:val="22"/>
          <w14:ligatures w14:val="standardContextual"/>
        </w:rPr>
        <w:t xml:space="preserve"> in Asia and the Pacific have introduced EPR frameworks for e-waste, which are essential for holding producers accountable for the entire lifecycle of their products. This figure is well below the global average, where 67 of the 81 countries with national e-waste policies or legislation have adopted EPR systems. The absence of these frameworks across most of Asia and the Pacific exacerbates the region’s e-waste challenges, contributing to the continued reliance on unregulated waste management practices that are harmful to both the environment and public health.</w:t>
      </w:r>
    </w:p>
    <w:p w14:paraId="553B9FC8" w14:textId="77777777" w:rsidR="00EB6561" w:rsidRPr="00BE3DAF" w:rsidRDefault="00EB6561" w:rsidP="00EB65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lack of formalized collection and recycling targets can significantly impede progress towards a circular economy for electronics. Globally, countries with collection targets achieve an average e-waste collection rate of 25 percent, significantly higher than the global average of 22.3 percent. In Asia and the Pacific, just 4 countries have implemented collection targets, and 3 have established recycling targets. Without such policies, the region risks missing key opportunities to advance towards a circular economy and reduce its environmental footprint.</w:t>
      </w:r>
    </w:p>
    <w:p w14:paraId="37A261FC"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6B95C5EE" w14:textId="14DAD658" w:rsidR="006C41B5" w:rsidRPr="00BE3DAF" w:rsidRDefault="006C41B5" w:rsidP="000C3666">
      <w:pPr>
        <w:pStyle w:val="Section"/>
      </w:pPr>
      <w:bookmarkStart w:id="20" w:name="_Toc189658585"/>
      <w:r w:rsidRPr="00BE3DAF">
        <w:lastRenderedPageBreak/>
        <w:t>Disparit</w:t>
      </w:r>
      <w:r w:rsidR="005B2B24" w:rsidRPr="00BE3DAF">
        <w:t>ies</w:t>
      </w:r>
      <w:r w:rsidRPr="00BE3DAF">
        <w:t xml:space="preserve"> within the region</w:t>
      </w:r>
      <w:bookmarkEnd w:id="20"/>
    </w:p>
    <w:p w14:paraId="6BD71CF1" w14:textId="43C80D36"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E3DAF">
        <w:rPr>
          <w:rFonts w:ascii="Aptos" w:eastAsia="Aptos" w:hAnsi="Aptos" w:cs="Arial"/>
          <w:b/>
          <w:i/>
          <w:kern w:val="2"/>
          <w:sz w:val="22"/>
          <w:szCs w:val="22"/>
          <w14:ligatures w14:val="standardContextual"/>
        </w:rPr>
        <w:t xml:space="preserve">Regional averages conceal disparities in connectivity among </w:t>
      </w:r>
      <w:r w:rsidR="0031482C" w:rsidRPr="00BE3DAF">
        <w:rPr>
          <w:rFonts w:ascii="Aptos" w:eastAsia="Aptos" w:hAnsi="Aptos" w:cs="Arial"/>
          <w:b/>
          <w:i/>
          <w:kern w:val="2"/>
          <w:sz w:val="22"/>
          <w:szCs w:val="22"/>
          <w14:ligatures w14:val="standardContextual"/>
        </w:rPr>
        <w:t xml:space="preserve">countries in </w:t>
      </w:r>
      <w:r w:rsidR="00091171" w:rsidRPr="00BE3DAF">
        <w:rPr>
          <w:rFonts w:ascii="Aptos" w:eastAsia="Aptos" w:hAnsi="Aptos" w:cs="Arial"/>
          <w:b/>
          <w:i/>
          <w:kern w:val="2"/>
          <w:sz w:val="22"/>
          <w:szCs w:val="22"/>
          <w14:ligatures w14:val="standardContextual"/>
        </w:rPr>
        <w:t>Asia and the Pacific</w:t>
      </w:r>
    </w:p>
    <w:p w14:paraId="1391BAB1" w14:textId="5E0BB4AB" w:rsidR="007B3513" w:rsidRPr="00BE3DAF" w:rsidRDefault="00C73B57"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Asia and Pacific region</w:t>
      </w:r>
      <w:r w:rsidR="007B3513" w:rsidRPr="00BE3DAF">
        <w:rPr>
          <w:rFonts w:ascii="Aptos" w:eastAsia="Aptos" w:hAnsi="Aptos" w:cs="Arial"/>
          <w:kern w:val="2"/>
          <w:sz w:val="22"/>
          <w:szCs w:val="22"/>
          <w14:ligatures w14:val="standardContextual"/>
        </w:rPr>
        <w:t xml:space="preserve"> is diverse in many respects: income level, with the wealthiest country’s GNI per capita </w:t>
      </w:r>
      <w:r w:rsidR="00087F13" w:rsidRPr="00BE3DAF">
        <w:rPr>
          <w:rFonts w:ascii="Aptos" w:eastAsia="Aptos" w:hAnsi="Aptos" w:cs="Arial"/>
          <w:kern w:val="2"/>
          <w:sz w:val="22"/>
          <w:szCs w:val="22"/>
          <w14:ligatures w14:val="standardContextual"/>
        </w:rPr>
        <w:t>more than</w:t>
      </w:r>
      <w:r w:rsidR="007B3513" w:rsidRPr="00BE3DAF">
        <w:rPr>
          <w:rFonts w:ascii="Aptos" w:eastAsia="Aptos" w:hAnsi="Aptos" w:cs="Arial"/>
          <w:kern w:val="2"/>
          <w:sz w:val="22"/>
          <w:szCs w:val="22"/>
          <w14:ligatures w14:val="standardContextual"/>
        </w:rPr>
        <w:t xml:space="preserve"> </w:t>
      </w:r>
      <w:r w:rsidR="00087F13" w:rsidRPr="00BE3DAF">
        <w:rPr>
          <w:rFonts w:ascii="Aptos" w:eastAsia="Aptos" w:hAnsi="Aptos" w:cs="Arial"/>
          <w:kern w:val="2"/>
          <w:sz w:val="22"/>
          <w:szCs w:val="22"/>
          <w14:ligatures w14:val="standardContextual"/>
        </w:rPr>
        <w:t>6</w:t>
      </w:r>
      <w:r w:rsidR="007B3513" w:rsidRPr="00BE3DAF">
        <w:rPr>
          <w:rFonts w:ascii="Aptos" w:eastAsia="Aptos" w:hAnsi="Aptos" w:cs="Arial"/>
          <w:kern w:val="2"/>
          <w:sz w:val="22"/>
          <w:szCs w:val="22"/>
          <w14:ligatures w14:val="standardContextual"/>
        </w:rPr>
        <w:t xml:space="preserve">0 times larger than the poorest; urbanization rate, which ranges from less than </w:t>
      </w:r>
      <w:r w:rsidR="00646A60" w:rsidRPr="00BE3DAF">
        <w:rPr>
          <w:rFonts w:ascii="Aptos" w:eastAsia="Aptos" w:hAnsi="Aptos" w:cs="Arial"/>
          <w:kern w:val="2"/>
          <w:sz w:val="22"/>
          <w:szCs w:val="22"/>
          <w14:ligatures w14:val="standardContextual"/>
        </w:rPr>
        <w:t>20</w:t>
      </w:r>
      <w:r w:rsidR="007B3513" w:rsidRPr="00BE3DAF">
        <w:rPr>
          <w:rFonts w:ascii="Aptos" w:eastAsia="Aptos" w:hAnsi="Aptos" w:cs="Arial"/>
          <w:kern w:val="2"/>
          <w:sz w:val="22"/>
          <w:szCs w:val="22"/>
          <w14:ligatures w14:val="standardContextual"/>
        </w:rPr>
        <w:t xml:space="preserve"> per cent to 100 per cent; and population, which ranges from</w:t>
      </w:r>
      <w:r w:rsidR="00C23509" w:rsidRPr="00BE3DAF">
        <w:rPr>
          <w:rFonts w:ascii="Aptos" w:eastAsia="Aptos" w:hAnsi="Aptos" w:cs="Arial"/>
          <w:kern w:val="2"/>
          <w:sz w:val="22"/>
          <w:szCs w:val="22"/>
          <w14:ligatures w14:val="standardContextual"/>
        </w:rPr>
        <w:t xml:space="preserve"> Small Island Developing States (SIDS)</w:t>
      </w:r>
      <w:r w:rsidR="007B3513" w:rsidRPr="00BE3DAF">
        <w:rPr>
          <w:rFonts w:ascii="Aptos" w:eastAsia="Aptos" w:hAnsi="Aptos" w:cs="Arial"/>
          <w:kern w:val="2"/>
          <w:sz w:val="22"/>
          <w:szCs w:val="22"/>
          <w14:ligatures w14:val="standardContextual"/>
        </w:rPr>
        <w:t xml:space="preserve"> with less than </w:t>
      </w:r>
      <w:r w:rsidR="00375F8A" w:rsidRPr="00BE3DAF">
        <w:rPr>
          <w:rFonts w:ascii="Aptos" w:eastAsia="Aptos" w:hAnsi="Aptos" w:cs="Arial"/>
          <w:kern w:val="2"/>
          <w:sz w:val="22"/>
          <w:szCs w:val="22"/>
          <w14:ligatures w14:val="standardContextual"/>
        </w:rPr>
        <w:t>50</w:t>
      </w:r>
      <w:r w:rsidR="007B3513" w:rsidRPr="00BE3DAF">
        <w:rPr>
          <w:rFonts w:ascii="Aptos" w:eastAsia="Aptos" w:hAnsi="Aptos" w:cs="Arial"/>
          <w:kern w:val="2"/>
          <w:sz w:val="22"/>
          <w:szCs w:val="22"/>
          <w14:ligatures w14:val="standardContextual"/>
        </w:rPr>
        <w:t>,000 residents to</w:t>
      </w:r>
      <w:r w:rsidR="00375F8A" w:rsidRPr="00BE3DAF">
        <w:rPr>
          <w:rFonts w:ascii="Aptos" w:eastAsia="Aptos" w:hAnsi="Aptos" w:cs="Arial"/>
          <w:kern w:val="2"/>
          <w:sz w:val="22"/>
          <w:szCs w:val="22"/>
          <w14:ligatures w14:val="standardContextual"/>
        </w:rPr>
        <w:t xml:space="preserve"> the </w:t>
      </w:r>
      <w:r w:rsidR="008F06EA" w:rsidRPr="00BE3DAF">
        <w:rPr>
          <w:rFonts w:ascii="Aptos" w:eastAsia="Aptos" w:hAnsi="Aptos" w:cs="Arial"/>
          <w:kern w:val="2"/>
          <w:sz w:val="22"/>
          <w:szCs w:val="22"/>
          <w14:ligatures w14:val="standardContextual"/>
        </w:rPr>
        <w:t xml:space="preserve">two </w:t>
      </w:r>
      <w:r w:rsidR="00375F8A" w:rsidRPr="00BE3DAF">
        <w:rPr>
          <w:rFonts w:ascii="Aptos" w:eastAsia="Aptos" w:hAnsi="Aptos" w:cs="Arial"/>
          <w:kern w:val="2"/>
          <w:sz w:val="22"/>
          <w:szCs w:val="22"/>
          <w14:ligatures w14:val="standardContextual"/>
        </w:rPr>
        <w:t>most populous</w:t>
      </w:r>
      <w:r w:rsidR="007B3513" w:rsidRPr="00BE3DAF">
        <w:rPr>
          <w:rFonts w:ascii="Aptos" w:eastAsia="Aptos" w:hAnsi="Aptos" w:cs="Arial"/>
          <w:kern w:val="2"/>
          <w:sz w:val="22"/>
          <w:szCs w:val="22"/>
          <w14:ligatures w14:val="standardContextual"/>
        </w:rPr>
        <w:t xml:space="preserve"> countries </w:t>
      </w:r>
      <w:r w:rsidR="00375F8A" w:rsidRPr="00BE3DAF">
        <w:rPr>
          <w:rFonts w:ascii="Aptos" w:eastAsia="Aptos" w:hAnsi="Aptos" w:cs="Arial"/>
          <w:kern w:val="2"/>
          <w:sz w:val="22"/>
          <w:szCs w:val="22"/>
          <w14:ligatures w14:val="standardContextual"/>
        </w:rPr>
        <w:t xml:space="preserve">in the world </w:t>
      </w:r>
      <w:r w:rsidR="007B3513" w:rsidRPr="00BE3DAF">
        <w:rPr>
          <w:rFonts w:ascii="Aptos" w:eastAsia="Aptos" w:hAnsi="Aptos" w:cs="Arial"/>
          <w:kern w:val="2"/>
          <w:sz w:val="22"/>
          <w:szCs w:val="22"/>
          <w14:ligatures w14:val="standardContextual"/>
        </w:rPr>
        <w:t>w</w:t>
      </w:r>
      <w:r w:rsidR="006465D1" w:rsidRPr="00BE3DAF">
        <w:rPr>
          <w:rFonts w:ascii="Aptos" w:eastAsia="Aptos" w:hAnsi="Aptos" w:cs="Arial"/>
          <w:kern w:val="2"/>
          <w:sz w:val="22"/>
          <w:szCs w:val="22"/>
          <w14:ligatures w14:val="standardContextual"/>
        </w:rPr>
        <w:t>ith</w:t>
      </w:r>
      <w:r w:rsidR="007B3513" w:rsidRPr="00BE3DAF">
        <w:rPr>
          <w:rFonts w:ascii="Aptos" w:eastAsia="Aptos" w:hAnsi="Aptos" w:cs="Arial"/>
          <w:kern w:val="2"/>
          <w:sz w:val="22"/>
          <w:szCs w:val="22"/>
          <w14:ligatures w14:val="standardContextual"/>
        </w:rPr>
        <w:t xml:space="preserve"> more than </w:t>
      </w:r>
      <w:r w:rsidR="006465D1" w:rsidRPr="00BE3DAF">
        <w:rPr>
          <w:rFonts w:ascii="Aptos" w:eastAsia="Aptos" w:hAnsi="Aptos" w:cs="Arial"/>
          <w:kern w:val="2"/>
          <w:sz w:val="22"/>
          <w:szCs w:val="22"/>
          <w14:ligatures w14:val="standardContextual"/>
        </w:rPr>
        <w:t>one billion</w:t>
      </w:r>
      <w:r w:rsidR="007B3513" w:rsidRPr="00BE3DAF">
        <w:rPr>
          <w:rFonts w:ascii="Aptos" w:eastAsia="Aptos" w:hAnsi="Aptos" w:cs="Arial"/>
          <w:kern w:val="2"/>
          <w:sz w:val="22"/>
          <w:szCs w:val="22"/>
          <w14:ligatures w14:val="standardContextual"/>
        </w:rPr>
        <w:t xml:space="preserve"> residents. </w:t>
      </w:r>
    </w:p>
    <w:p w14:paraId="58B3DF55" w14:textId="59C1F51B" w:rsidR="007B3513" w:rsidRPr="00BE3DAF" w:rsidRDefault="007B3513"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Given these differences, it can be useful to group countries </w:t>
      </w:r>
      <w:r w:rsidR="003F319A" w:rsidRPr="00BE3DAF">
        <w:rPr>
          <w:rFonts w:ascii="Aptos" w:eastAsia="Aptos" w:hAnsi="Aptos" w:cs="Arial"/>
          <w:kern w:val="2"/>
          <w:sz w:val="22"/>
          <w:szCs w:val="22"/>
          <w14:ligatures w14:val="standardContextual"/>
        </w:rPr>
        <w:t xml:space="preserve">in Asia and the Pacific </w:t>
      </w:r>
      <w:r w:rsidRPr="00BE3DAF">
        <w:rPr>
          <w:rFonts w:ascii="Aptos" w:eastAsia="Aptos" w:hAnsi="Aptos" w:cs="Arial"/>
          <w:kern w:val="2"/>
          <w:sz w:val="22"/>
          <w:szCs w:val="22"/>
          <w14:ligatures w14:val="standardContextual"/>
        </w:rPr>
        <w:t xml:space="preserve">into clusters, according to their scores on indicators of Internet use, mobile phone ownership, mobile broadband and fixed broadband subscription rates, affordability of entry-level mobile and fixed broadband, and gender equality. This ‘cluster analysis’ yields </w:t>
      </w:r>
      <w:r w:rsidR="000414C9" w:rsidRPr="00BE3DAF">
        <w:rPr>
          <w:rFonts w:ascii="Aptos" w:eastAsia="Aptos" w:hAnsi="Aptos" w:cs="Arial"/>
          <w:kern w:val="2"/>
          <w:sz w:val="22"/>
          <w:szCs w:val="22"/>
          <w14:ligatures w14:val="standardContextual"/>
        </w:rPr>
        <w:t>three</w:t>
      </w:r>
      <w:r w:rsidRPr="00BE3DAF">
        <w:rPr>
          <w:rFonts w:ascii="Aptos" w:eastAsia="Aptos" w:hAnsi="Aptos" w:cs="Arial"/>
          <w:kern w:val="2"/>
          <w:sz w:val="22"/>
          <w:szCs w:val="22"/>
          <w14:ligatures w14:val="standardContextual"/>
        </w:rPr>
        <w:t xml:space="preserve"> distinct groups</w:t>
      </w:r>
      <w:r w:rsidR="00AC1C2E" w:rsidRPr="00BE3DAF">
        <w:rPr>
          <w:rFonts w:ascii="Aptos" w:eastAsia="Aptos" w:hAnsi="Aptos" w:cs="Arial"/>
          <w:kern w:val="2"/>
          <w:sz w:val="22"/>
          <w:szCs w:val="22"/>
          <w:vertAlign w:val="superscript"/>
          <w14:ligatures w14:val="standardContextual"/>
        </w:rPr>
        <w:footnoteReference w:id="12"/>
      </w:r>
      <w:r w:rsidRPr="00BE3DAF">
        <w:rPr>
          <w:rFonts w:ascii="Aptos" w:eastAsia="Aptos" w:hAnsi="Aptos" w:cs="Arial"/>
          <w:kern w:val="2"/>
          <w:sz w:val="22"/>
          <w:szCs w:val="22"/>
          <w14:ligatures w14:val="standardContextual"/>
        </w:rPr>
        <w:t>, whose respective members share similar ICT profiles.</w:t>
      </w:r>
    </w:p>
    <w:p w14:paraId="078BA137" w14:textId="19486150" w:rsidR="007B3513" w:rsidRPr="00BE3DAF" w:rsidRDefault="007B3513"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first group, consisting of </w:t>
      </w:r>
      <w:r w:rsidR="006775EB" w:rsidRPr="00BE3DAF">
        <w:rPr>
          <w:rFonts w:ascii="Aptos" w:eastAsia="Aptos" w:hAnsi="Aptos" w:cs="Arial"/>
          <w:kern w:val="2"/>
          <w:sz w:val="22"/>
          <w:szCs w:val="22"/>
          <w14:ligatures w14:val="standardContextual"/>
        </w:rPr>
        <w:t>nearly half</w:t>
      </w:r>
      <w:r w:rsidRPr="00BE3DAF">
        <w:rPr>
          <w:rFonts w:ascii="Aptos" w:eastAsia="Aptos" w:hAnsi="Aptos" w:cs="Arial"/>
          <w:kern w:val="2"/>
          <w:sz w:val="22"/>
          <w:szCs w:val="22"/>
          <w14:ligatures w14:val="standardContextual"/>
        </w:rPr>
        <w:t xml:space="preserve"> of </w:t>
      </w:r>
      <w:r w:rsidR="006775EB" w:rsidRPr="00BE3DAF">
        <w:rPr>
          <w:rFonts w:ascii="Aptos" w:eastAsia="Aptos" w:hAnsi="Aptos" w:cs="Arial"/>
          <w:kern w:val="2"/>
          <w:sz w:val="22"/>
          <w:szCs w:val="22"/>
          <w14:ligatures w14:val="standardContextual"/>
        </w:rPr>
        <w:t>Asia and Pacific</w:t>
      </w:r>
      <w:r w:rsidRPr="00BE3DAF">
        <w:rPr>
          <w:rFonts w:ascii="Aptos" w:eastAsia="Aptos" w:hAnsi="Aptos" w:cs="Arial"/>
          <w:kern w:val="2"/>
          <w:sz w:val="22"/>
          <w:szCs w:val="22"/>
          <w14:ligatures w14:val="standardContextual"/>
        </w:rPr>
        <w:t xml:space="preserve"> countries</w:t>
      </w:r>
      <w:r w:rsidR="006775EB" w:rsidRPr="00BE3DAF">
        <w:rPr>
          <w:rFonts w:ascii="Aptos" w:eastAsia="Aptos" w:hAnsi="Aptos" w:cs="Arial"/>
          <w:kern w:val="2"/>
          <w:sz w:val="22"/>
          <w:szCs w:val="22"/>
          <w14:ligatures w14:val="standardContextual"/>
        </w:rPr>
        <w:t>,</w:t>
      </w:r>
      <w:r w:rsidRPr="00BE3DAF">
        <w:rPr>
          <w:rFonts w:ascii="Aptos" w:eastAsia="Aptos" w:hAnsi="Aptos"/>
          <w:kern w:val="2"/>
          <w:sz w:val="22"/>
          <w14:ligatures w14:val="standardContextual"/>
        </w:rPr>
        <w:t xml:space="preserve"> </w:t>
      </w:r>
      <w:r w:rsidRPr="00BE3DAF">
        <w:rPr>
          <w:rFonts w:ascii="Aptos" w:eastAsia="Aptos" w:hAnsi="Aptos" w:cs="Arial"/>
          <w:kern w:val="2"/>
          <w:sz w:val="22"/>
          <w:szCs w:val="22"/>
          <w14:ligatures w14:val="standardContextual"/>
        </w:rPr>
        <w:t>is characterized by rates of ICT usage and ownership that are well above the world average</w:t>
      </w:r>
      <w:r w:rsidR="00515433" w:rsidRPr="00BE3DAF">
        <w:rPr>
          <w:rFonts w:ascii="Aptos" w:eastAsia="Aptos" w:hAnsi="Aptos" w:cs="Arial"/>
          <w:kern w:val="2"/>
          <w:sz w:val="22"/>
          <w:szCs w:val="22"/>
          <w14:ligatures w14:val="standardContextual"/>
        </w:rPr>
        <w:t xml:space="preserve"> – notably one country classified as an LDC (Bhutan) is included in this group</w:t>
      </w:r>
      <w:r w:rsidRPr="00BE3DAF">
        <w:rPr>
          <w:rFonts w:ascii="Aptos" w:eastAsia="Aptos" w:hAnsi="Aptos" w:cs="Arial"/>
          <w:kern w:val="2"/>
          <w:sz w:val="22"/>
          <w:szCs w:val="22"/>
          <w14:ligatures w14:val="standardContextual"/>
        </w:rPr>
        <w:t>. Both fixed broadband and data-only mobile broadband are affordable relative to the world average, with the median entry-level prices as a share of monthly GNI per capita below the Broadband Commission target of 2 per cent of monthly GNI per capita or lower. There is also a</w:t>
      </w:r>
      <w:r w:rsidR="00D173DF" w:rsidRPr="00BE3DAF">
        <w:rPr>
          <w:rFonts w:ascii="Aptos" w:eastAsia="Aptos" w:hAnsi="Aptos" w:cs="Arial"/>
          <w:kern w:val="2"/>
          <w:sz w:val="22"/>
          <w:szCs w:val="22"/>
          <w14:ligatures w14:val="standardContextual"/>
        </w:rPr>
        <w:t xml:space="preserve"> relatively</w:t>
      </w:r>
      <w:r w:rsidRPr="00BE3DAF">
        <w:rPr>
          <w:rFonts w:ascii="Aptos" w:eastAsia="Aptos" w:hAnsi="Aptos" w:cs="Arial"/>
          <w:kern w:val="2"/>
          <w:sz w:val="22"/>
          <w:szCs w:val="22"/>
          <w14:ligatures w14:val="standardContextual"/>
        </w:rPr>
        <w:t xml:space="preserve"> high level of gender parity in terms of Internet use in this group.</w:t>
      </w:r>
    </w:p>
    <w:p w14:paraId="12B46C96" w14:textId="583678FB" w:rsidR="007B3513" w:rsidRPr="00BE3DAF" w:rsidRDefault="007B3513"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second group, consisting of </w:t>
      </w:r>
      <w:r w:rsidR="00C750C3" w:rsidRPr="00BE3DAF">
        <w:rPr>
          <w:rFonts w:ascii="Aptos" w:eastAsia="Aptos" w:hAnsi="Aptos" w:cs="Arial"/>
          <w:kern w:val="2"/>
          <w:sz w:val="22"/>
          <w:szCs w:val="22"/>
          <w14:ligatures w14:val="standardContextual"/>
        </w:rPr>
        <w:t>Bangladesh, Cambodia, India, Indonesia, Kiribati, Lao P.D.R., Marshall Islands, Micronesia, Myanmar, Nepal</w:t>
      </w:r>
      <w:r w:rsidRPr="00BE3DAF">
        <w:rPr>
          <w:rFonts w:ascii="Aptos" w:eastAsia="Aptos" w:hAnsi="Aptos" w:cs="Arial"/>
          <w:kern w:val="2"/>
          <w:sz w:val="22"/>
          <w:szCs w:val="22"/>
          <w14:ligatures w14:val="standardContextual"/>
        </w:rPr>
        <w:t>,</w:t>
      </w:r>
      <w:r w:rsidR="002E7021" w:rsidRPr="00BE3DAF">
        <w:rPr>
          <w:rFonts w:ascii="Aptos" w:eastAsia="Aptos" w:hAnsi="Aptos" w:cs="Arial"/>
          <w:kern w:val="2"/>
          <w:sz w:val="22"/>
          <w:szCs w:val="22"/>
          <w14:ligatures w14:val="standardContextual"/>
        </w:rPr>
        <w:t xml:space="preserve"> Palau, Samoa, Sri Lanka, Tonga, Tuvalu, and Vanuatu</w:t>
      </w:r>
      <w:r w:rsidRPr="00BE3DAF">
        <w:rPr>
          <w:rFonts w:ascii="Aptos" w:eastAsia="Aptos" w:hAnsi="Aptos" w:cs="Arial"/>
          <w:kern w:val="2"/>
          <w:sz w:val="22"/>
          <w:szCs w:val="22"/>
          <w14:ligatures w14:val="standardContextual"/>
        </w:rPr>
        <w:t xml:space="preserve"> is </w:t>
      </w:r>
      <w:r w:rsidR="00EA72B7" w:rsidRPr="00BE3DAF">
        <w:rPr>
          <w:rFonts w:ascii="Aptos" w:eastAsia="Aptos" w:hAnsi="Aptos" w:cs="Arial"/>
          <w:kern w:val="2"/>
          <w:sz w:val="22"/>
          <w:szCs w:val="22"/>
          <w14:ligatures w14:val="standardContextual"/>
        </w:rPr>
        <w:t>closer to world averages for most indicators</w:t>
      </w:r>
      <w:r w:rsidRPr="00BE3DAF">
        <w:rPr>
          <w:rFonts w:ascii="Aptos" w:eastAsia="Aptos" w:hAnsi="Aptos" w:cs="Arial"/>
          <w:kern w:val="2"/>
          <w:sz w:val="22"/>
          <w:szCs w:val="22"/>
          <w14:ligatures w14:val="standardContextual"/>
        </w:rPr>
        <w:t>. The</w:t>
      </w:r>
      <w:r w:rsidR="008800CA" w:rsidRPr="00BE3DAF">
        <w:rPr>
          <w:rFonts w:ascii="Aptos" w:eastAsia="Aptos" w:hAnsi="Aptos" w:cs="Arial"/>
          <w:kern w:val="2"/>
          <w:sz w:val="22"/>
          <w:szCs w:val="22"/>
          <w14:ligatures w14:val="standardContextual"/>
        </w:rPr>
        <w:t xml:space="preserve">ir average </w:t>
      </w:r>
      <w:r w:rsidR="007A32BD" w:rsidRPr="00BE3DAF">
        <w:rPr>
          <w:rFonts w:ascii="Aptos" w:eastAsia="Aptos" w:hAnsi="Aptos" w:cs="Arial"/>
          <w:kern w:val="2"/>
          <w:sz w:val="22"/>
          <w:szCs w:val="22"/>
          <w14:ligatures w14:val="standardContextual"/>
        </w:rPr>
        <w:t>level of Internet use</w:t>
      </w:r>
      <w:r w:rsidR="003F0E57" w:rsidRPr="00BE3DAF">
        <w:rPr>
          <w:rFonts w:ascii="Aptos" w:eastAsia="Aptos" w:hAnsi="Aptos" w:cs="Arial"/>
          <w:kern w:val="2"/>
          <w:sz w:val="22"/>
          <w:szCs w:val="22"/>
          <w14:ligatures w14:val="standardContextual"/>
        </w:rPr>
        <w:t xml:space="preserve"> and mobile phone ownership are</w:t>
      </w:r>
      <w:r w:rsidR="00413060" w:rsidRPr="00BE3DAF">
        <w:rPr>
          <w:rFonts w:ascii="Aptos" w:eastAsia="Aptos" w:hAnsi="Aptos" w:cs="Arial"/>
          <w:kern w:val="2"/>
          <w:sz w:val="22"/>
          <w:szCs w:val="22"/>
          <w14:ligatures w14:val="standardContextual"/>
        </w:rPr>
        <w:t xml:space="preserve"> below </w:t>
      </w:r>
      <w:r w:rsidR="004E1E1A" w:rsidRPr="00BE3DAF">
        <w:rPr>
          <w:rFonts w:ascii="Aptos" w:eastAsia="Aptos" w:hAnsi="Aptos" w:cs="Arial"/>
          <w:kern w:val="2"/>
          <w:sz w:val="22"/>
          <w:szCs w:val="22"/>
          <w14:ligatures w14:val="standardContextual"/>
        </w:rPr>
        <w:t>the world average</w:t>
      </w:r>
      <w:r w:rsidR="004238D2" w:rsidRPr="00BE3DAF">
        <w:rPr>
          <w:rFonts w:ascii="Aptos" w:eastAsia="Aptos" w:hAnsi="Aptos" w:cs="Arial"/>
          <w:kern w:val="2"/>
          <w:sz w:val="22"/>
          <w:szCs w:val="22"/>
          <w14:ligatures w14:val="standardContextual"/>
        </w:rPr>
        <w:t xml:space="preserve">. </w:t>
      </w:r>
      <w:r w:rsidR="008D6AD6" w:rsidRPr="00BE3DAF">
        <w:rPr>
          <w:rFonts w:ascii="Aptos" w:eastAsia="Aptos" w:hAnsi="Aptos" w:cs="Arial"/>
          <w:kern w:val="2"/>
          <w:sz w:val="22"/>
          <w:szCs w:val="22"/>
          <w14:ligatures w14:val="standardContextual"/>
        </w:rPr>
        <w:t xml:space="preserve">Gender </w:t>
      </w:r>
      <w:r w:rsidR="00FD54C8" w:rsidRPr="00BE3DAF">
        <w:rPr>
          <w:rFonts w:ascii="Aptos" w:eastAsia="Aptos" w:hAnsi="Aptos" w:cs="Arial"/>
          <w:kern w:val="2"/>
          <w:sz w:val="22"/>
          <w:szCs w:val="22"/>
          <w14:ligatures w14:val="standardContextual"/>
        </w:rPr>
        <w:t>parity</w:t>
      </w:r>
      <w:r w:rsidR="001C117E" w:rsidRPr="00BE3DAF">
        <w:rPr>
          <w:rFonts w:ascii="Aptos" w:eastAsia="Aptos" w:hAnsi="Aptos" w:cs="Arial"/>
          <w:kern w:val="2"/>
          <w:sz w:val="22"/>
          <w:szCs w:val="22"/>
          <w14:ligatures w14:val="standardContextual"/>
        </w:rPr>
        <w:t xml:space="preserve"> for Internet use</w:t>
      </w:r>
      <w:r w:rsidR="00FD54C8" w:rsidRPr="00BE3DAF">
        <w:rPr>
          <w:rFonts w:ascii="Aptos" w:eastAsia="Aptos" w:hAnsi="Aptos" w:cs="Arial"/>
          <w:kern w:val="2"/>
          <w:sz w:val="22"/>
          <w:szCs w:val="22"/>
          <w14:ligatures w14:val="standardContextual"/>
        </w:rPr>
        <w:t xml:space="preserve"> is also below </w:t>
      </w:r>
      <w:r w:rsidR="001C117E" w:rsidRPr="00BE3DAF">
        <w:rPr>
          <w:rFonts w:ascii="Aptos" w:eastAsia="Aptos" w:hAnsi="Aptos" w:cs="Arial"/>
          <w:kern w:val="2"/>
          <w:sz w:val="22"/>
          <w:szCs w:val="22"/>
          <w14:ligatures w14:val="standardContextual"/>
        </w:rPr>
        <w:t xml:space="preserve">the world average </w:t>
      </w:r>
      <w:r w:rsidR="003B3779" w:rsidRPr="00BE3DAF">
        <w:rPr>
          <w:rFonts w:ascii="Aptos" w:eastAsia="Aptos" w:hAnsi="Aptos" w:cs="Arial"/>
          <w:kern w:val="2"/>
          <w:sz w:val="22"/>
          <w:szCs w:val="22"/>
          <w14:ligatures w14:val="standardContextual"/>
        </w:rPr>
        <w:t xml:space="preserve">and prices </w:t>
      </w:r>
      <w:r w:rsidR="00D00055" w:rsidRPr="00BE3DAF">
        <w:rPr>
          <w:rFonts w:ascii="Aptos" w:eastAsia="Aptos" w:hAnsi="Aptos" w:cs="Arial"/>
          <w:kern w:val="2"/>
          <w:sz w:val="22"/>
          <w:szCs w:val="22"/>
          <w14:ligatures w14:val="standardContextual"/>
        </w:rPr>
        <w:t>for both fixed and mobile</w:t>
      </w:r>
      <w:r w:rsidR="00023004" w:rsidRPr="00BE3DAF">
        <w:rPr>
          <w:rFonts w:ascii="Aptos" w:eastAsia="Aptos" w:hAnsi="Aptos" w:cs="Arial"/>
          <w:kern w:val="2"/>
          <w:sz w:val="22"/>
          <w:szCs w:val="22"/>
          <w14:ligatures w14:val="standardContextual"/>
        </w:rPr>
        <w:t xml:space="preserve"> </w:t>
      </w:r>
      <w:r w:rsidR="00D00055" w:rsidRPr="00BE3DAF">
        <w:rPr>
          <w:rFonts w:ascii="Aptos" w:eastAsia="Aptos" w:hAnsi="Aptos" w:cs="Arial"/>
          <w:kern w:val="2"/>
          <w:sz w:val="22"/>
          <w:szCs w:val="22"/>
          <w14:ligatures w14:val="standardContextual"/>
        </w:rPr>
        <w:t xml:space="preserve">broadband </w:t>
      </w:r>
      <w:r w:rsidR="00023004" w:rsidRPr="00BE3DAF">
        <w:rPr>
          <w:rFonts w:ascii="Aptos" w:eastAsia="Aptos" w:hAnsi="Aptos" w:cs="Arial"/>
          <w:kern w:val="2"/>
          <w:sz w:val="22"/>
          <w:szCs w:val="22"/>
          <w14:ligatures w14:val="standardContextual"/>
        </w:rPr>
        <w:t xml:space="preserve">services are above </w:t>
      </w:r>
      <w:r w:rsidR="000414C9" w:rsidRPr="00BE3DAF">
        <w:rPr>
          <w:rFonts w:ascii="Aptos" w:eastAsia="Aptos" w:hAnsi="Aptos" w:cs="Arial"/>
          <w:kern w:val="2"/>
          <w:sz w:val="22"/>
          <w:szCs w:val="22"/>
          <w14:ligatures w14:val="standardContextual"/>
        </w:rPr>
        <w:t>the 2 per cent of monthly GNI per capita target.</w:t>
      </w:r>
      <w:r w:rsidR="0023484B" w:rsidRPr="00BE3DAF">
        <w:rPr>
          <w:rFonts w:ascii="Aptos" w:eastAsia="Aptos" w:hAnsi="Aptos" w:cs="Arial"/>
          <w:kern w:val="2"/>
          <w:sz w:val="22"/>
          <w:szCs w:val="22"/>
          <w14:ligatures w14:val="standardContextual"/>
        </w:rPr>
        <w:t xml:space="preserve"> Of these countries, Bangladesh, Cambodia, </w:t>
      </w:r>
      <w:r w:rsidR="00E133DF" w:rsidRPr="00BE3DAF">
        <w:rPr>
          <w:rFonts w:ascii="Aptos" w:eastAsia="Aptos" w:hAnsi="Aptos" w:cs="Arial"/>
          <w:kern w:val="2"/>
          <w:sz w:val="22"/>
          <w:szCs w:val="22"/>
          <w14:ligatures w14:val="standardContextual"/>
        </w:rPr>
        <w:t>Kiribati, Lao P.D.R., Nepal</w:t>
      </w:r>
      <w:r w:rsidR="00A02F74" w:rsidRPr="00BE3DAF">
        <w:rPr>
          <w:rFonts w:ascii="Aptos" w:eastAsia="Aptos" w:hAnsi="Aptos" w:cs="Arial"/>
          <w:kern w:val="2"/>
          <w:sz w:val="22"/>
          <w:szCs w:val="22"/>
          <w14:ligatures w14:val="standardContextual"/>
        </w:rPr>
        <w:t>, and Tuvalu</w:t>
      </w:r>
      <w:r w:rsidR="00515433" w:rsidRPr="00BE3DAF">
        <w:rPr>
          <w:rFonts w:ascii="Aptos" w:eastAsia="Aptos" w:hAnsi="Aptos" w:cs="Arial"/>
          <w:kern w:val="2"/>
          <w:sz w:val="22"/>
          <w:szCs w:val="22"/>
          <w14:ligatures w14:val="standardContextual"/>
        </w:rPr>
        <w:t xml:space="preserve"> are classified as LDCs.</w:t>
      </w:r>
    </w:p>
    <w:p w14:paraId="2EB67369" w14:textId="16B773E0" w:rsidR="007B3513" w:rsidRPr="00BE3DAF" w:rsidRDefault="004E2EDF"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BE3DAF">
        <w:rPr>
          <w:rFonts w:ascii="Aptos" w:eastAsia="Aptos" w:hAnsi="Aptos" w:cs="Arial"/>
          <w:kern w:val="2"/>
          <w:sz w:val="22"/>
          <w:szCs w:val="22"/>
          <w14:ligatures w14:val="standardContextual"/>
        </w:rPr>
        <w:t>The final group</w:t>
      </w:r>
      <w:r w:rsidR="007B3513" w:rsidRPr="00BE3DAF">
        <w:rPr>
          <w:rFonts w:ascii="Aptos" w:eastAsia="Aptos" w:hAnsi="Aptos" w:cs="Arial"/>
          <w:kern w:val="2"/>
          <w:sz w:val="22"/>
          <w:szCs w:val="22"/>
          <w14:ligatures w14:val="standardContextual"/>
        </w:rPr>
        <w:t xml:space="preserve">, consisting of </w:t>
      </w:r>
      <w:r w:rsidRPr="00BE3DAF">
        <w:rPr>
          <w:rFonts w:ascii="Aptos" w:eastAsia="Aptos" w:hAnsi="Aptos" w:cs="Arial"/>
          <w:kern w:val="2"/>
          <w:sz w:val="22"/>
          <w:szCs w:val="22"/>
          <w14:ligatures w14:val="standardContextual"/>
        </w:rPr>
        <w:t>Afghanistan, Pakistan, Solomon Island, and Timor-Leste</w:t>
      </w:r>
      <w:r w:rsidR="007B3513" w:rsidRPr="00BE3DAF">
        <w:rPr>
          <w:rFonts w:ascii="Aptos" w:eastAsia="Aptos" w:hAnsi="Aptos" w:cs="Arial"/>
          <w:kern w:val="2"/>
          <w:sz w:val="22"/>
          <w:szCs w:val="22"/>
          <w14:ligatures w14:val="standardContextual"/>
        </w:rPr>
        <w:t xml:space="preserve">, has </w:t>
      </w:r>
      <w:r w:rsidR="00BD6D02" w:rsidRPr="00BE3DAF">
        <w:rPr>
          <w:rFonts w:ascii="Aptos" w:eastAsia="Aptos" w:hAnsi="Aptos" w:cs="Arial"/>
          <w:kern w:val="2"/>
          <w:sz w:val="22"/>
          <w:szCs w:val="22"/>
          <w14:ligatures w14:val="standardContextual"/>
        </w:rPr>
        <w:t>the</w:t>
      </w:r>
      <w:r w:rsidR="007B3513" w:rsidRPr="00BE3DAF">
        <w:rPr>
          <w:rFonts w:ascii="Aptos" w:eastAsia="Aptos" w:hAnsi="Aptos" w:cs="Arial"/>
          <w:kern w:val="2"/>
          <w:sz w:val="22"/>
          <w:szCs w:val="22"/>
          <w14:ligatures w14:val="standardContextual"/>
        </w:rPr>
        <w:t xml:space="preserve"> lowe</w:t>
      </w:r>
      <w:r w:rsidR="00BD6D02" w:rsidRPr="00BE3DAF">
        <w:rPr>
          <w:rFonts w:ascii="Aptos" w:eastAsia="Aptos" w:hAnsi="Aptos" w:cs="Arial"/>
          <w:kern w:val="2"/>
          <w:sz w:val="22"/>
          <w:szCs w:val="22"/>
          <w14:ligatures w14:val="standardContextual"/>
        </w:rPr>
        <w:t>st</w:t>
      </w:r>
      <w:r w:rsidR="007B3513" w:rsidRPr="00BE3DAF">
        <w:rPr>
          <w:rFonts w:ascii="Aptos" w:eastAsia="Aptos" w:hAnsi="Aptos" w:cs="Arial"/>
          <w:kern w:val="2"/>
          <w:sz w:val="22"/>
          <w:szCs w:val="22"/>
          <w14:ligatures w14:val="standardContextual"/>
        </w:rPr>
        <w:t xml:space="preserve"> rates of ICT use. This is in addition to low subscription rates and </w:t>
      </w:r>
      <w:r w:rsidR="009C3A8A" w:rsidRPr="00BE3DAF">
        <w:rPr>
          <w:rFonts w:ascii="Aptos" w:eastAsia="Aptos" w:hAnsi="Aptos" w:cs="Arial"/>
          <w:kern w:val="2"/>
          <w:sz w:val="22"/>
          <w:szCs w:val="22"/>
          <w14:ligatures w14:val="standardContextual"/>
        </w:rPr>
        <w:t>much</w:t>
      </w:r>
      <w:r w:rsidR="007B3513" w:rsidRPr="00BE3DAF">
        <w:rPr>
          <w:rFonts w:ascii="Aptos" w:eastAsia="Aptos" w:hAnsi="Aptos" w:cs="Arial"/>
          <w:kern w:val="2"/>
          <w:sz w:val="22"/>
          <w:szCs w:val="22"/>
          <w14:ligatures w14:val="standardContextual"/>
        </w:rPr>
        <w:t xml:space="preserve"> worse affordability scores. </w:t>
      </w:r>
      <w:r w:rsidR="009C3A8A" w:rsidRPr="00BE3DAF">
        <w:rPr>
          <w:rFonts w:ascii="Aptos" w:eastAsia="Aptos" w:hAnsi="Aptos" w:cs="Arial"/>
          <w:kern w:val="2"/>
          <w:sz w:val="22"/>
          <w:szCs w:val="22"/>
          <w14:ligatures w14:val="standardContextual"/>
        </w:rPr>
        <w:t>Averages</w:t>
      </w:r>
      <w:r w:rsidR="007B3513" w:rsidRPr="00BE3DAF">
        <w:rPr>
          <w:rFonts w:ascii="Aptos" w:eastAsia="Aptos" w:hAnsi="Aptos" w:cs="Arial"/>
          <w:kern w:val="2"/>
          <w:sz w:val="22"/>
          <w:szCs w:val="22"/>
          <w14:ligatures w14:val="standardContextual"/>
        </w:rPr>
        <w:t xml:space="preserve"> in this group are still substantially </w:t>
      </w:r>
      <w:r w:rsidR="009C3A8A" w:rsidRPr="00BE3DAF">
        <w:rPr>
          <w:rFonts w:ascii="Aptos" w:eastAsia="Aptos" w:hAnsi="Aptos" w:cs="Arial"/>
          <w:kern w:val="2"/>
          <w:sz w:val="22"/>
          <w:szCs w:val="22"/>
          <w14:ligatures w14:val="standardContextual"/>
        </w:rPr>
        <w:t>below</w:t>
      </w:r>
      <w:r w:rsidR="007B3513" w:rsidRPr="00BE3DAF">
        <w:rPr>
          <w:rFonts w:ascii="Aptos" w:eastAsia="Aptos" w:hAnsi="Aptos" w:cs="Arial"/>
          <w:kern w:val="2"/>
          <w:sz w:val="22"/>
          <w:szCs w:val="22"/>
          <w14:ligatures w14:val="standardContextual"/>
        </w:rPr>
        <w:t xml:space="preserve"> global averages in all cases with average Internet use gender parity score falling </w:t>
      </w:r>
      <w:r w:rsidR="00E85FCB" w:rsidRPr="00BE3DAF">
        <w:rPr>
          <w:rFonts w:ascii="Aptos" w:eastAsia="Aptos" w:hAnsi="Aptos" w:cs="Arial"/>
          <w:kern w:val="2"/>
          <w:sz w:val="22"/>
          <w:szCs w:val="22"/>
          <w14:ligatures w14:val="standardContextual"/>
        </w:rPr>
        <w:t xml:space="preserve">well </w:t>
      </w:r>
      <w:r w:rsidR="007B3513" w:rsidRPr="00BE3DAF">
        <w:rPr>
          <w:rFonts w:ascii="Aptos" w:eastAsia="Aptos" w:hAnsi="Aptos" w:cs="Arial"/>
          <w:kern w:val="2"/>
          <w:sz w:val="22"/>
          <w:szCs w:val="22"/>
          <w14:ligatures w14:val="standardContextual"/>
        </w:rPr>
        <w:t xml:space="preserve">below that for the world. </w:t>
      </w:r>
      <w:r w:rsidR="0049585A" w:rsidRPr="00BE3DAF">
        <w:rPr>
          <w:rFonts w:ascii="Aptos" w:eastAsia="Aptos" w:hAnsi="Aptos" w:cs="Arial"/>
          <w:kern w:val="2"/>
          <w:sz w:val="22"/>
          <w:szCs w:val="22"/>
          <w14:ligatures w14:val="standardContextual"/>
        </w:rPr>
        <w:t>The low results for these indicators reflect the development challenges faced by these countries, all but one of which (</w:t>
      </w:r>
      <w:r w:rsidR="00C872F5" w:rsidRPr="00BE3DAF">
        <w:rPr>
          <w:rFonts w:ascii="Aptos" w:eastAsia="Aptos" w:hAnsi="Aptos" w:cs="Arial"/>
          <w:kern w:val="2"/>
          <w:sz w:val="22"/>
          <w:szCs w:val="22"/>
          <w14:ligatures w14:val="standardContextual"/>
        </w:rPr>
        <w:t>Pakistan</w:t>
      </w:r>
      <w:r w:rsidR="0049585A" w:rsidRPr="00BE3DAF">
        <w:rPr>
          <w:rFonts w:ascii="Aptos" w:eastAsia="Aptos" w:hAnsi="Aptos" w:cs="Arial"/>
          <w:kern w:val="2"/>
          <w:sz w:val="22"/>
          <w:szCs w:val="22"/>
          <w14:ligatures w14:val="standardContextual"/>
        </w:rPr>
        <w:t xml:space="preserve"> is the exception) are classified as LDCs.</w:t>
      </w:r>
    </w:p>
    <w:p w14:paraId="24C0C2DA" w14:textId="727D6A1B" w:rsidR="008F394E" w:rsidRPr="00BE3DAF" w:rsidRDefault="008F394E" w:rsidP="008F39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Finally, Papua New Guinea – another LDC – does not fall into any of the three groups, due to its low levels of ICT use and ownership, poor gender parity and a lack of affordability of broadband services.</w:t>
      </w:r>
    </w:p>
    <w:p w14:paraId="311FA299" w14:textId="5DF9F6D1" w:rsidR="0092371A" w:rsidRPr="00BE3DAF" w:rsidRDefault="007B3513" w:rsidP="007B35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BE3DAF">
        <w:rPr>
          <w:rFonts w:ascii="Aptos" w:eastAsia="Aptos" w:hAnsi="Aptos" w:cs="Arial"/>
          <w:kern w:val="2"/>
          <w:sz w:val="22"/>
          <w:szCs w:val="22"/>
          <w14:ligatures w14:val="standardContextual"/>
        </w:rPr>
        <w:t>The diversity of these groups of countries underlines the need to design tailored approaches to</w:t>
      </w:r>
      <w:r w:rsidRPr="00BE3DAF" w:rsidDel="00D14485">
        <w:rPr>
          <w:rFonts w:ascii="Aptos" w:eastAsia="Aptos" w:hAnsi="Aptos" w:cs="Arial"/>
          <w:kern w:val="2"/>
          <w:sz w:val="22"/>
          <w:szCs w:val="22"/>
          <w14:ligatures w14:val="standardContextual"/>
        </w:rPr>
        <w:t xml:space="preserve"> </w:t>
      </w:r>
      <w:r w:rsidRPr="00BE3DAF">
        <w:rPr>
          <w:rFonts w:ascii="Aptos" w:eastAsia="Aptos" w:hAnsi="Aptos" w:cs="Arial"/>
          <w:kern w:val="2"/>
          <w:sz w:val="22"/>
          <w:szCs w:val="22"/>
          <w14:ligatures w14:val="standardContextual"/>
        </w:rPr>
        <w:t>achieve universal and meaningful connectivity.</w:t>
      </w:r>
      <w:r w:rsidR="0092371A" w:rsidRPr="00BE3DAF">
        <w:rPr>
          <w:rFonts w:ascii="AvenirNext LT Pro Light" w:eastAsia="Yu Gothic Light" w:hAnsi="AvenirNext LT Pro Light" w:cs="Calibri"/>
          <w:color w:val="0070C0"/>
          <w:spacing w:val="-10"/>
          <w:kern w:val="28"/>
          <w:szCs w:val="24"/>
        </w:rPr>
        <w:br w:type="page"/>
      </w:r>
    </w:p>
    <w:p w14:paraId="70351E4E" w14:textId="6E4762C2"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 xml:space="preserve">Average of key ICT indicators by groups of similar </w:t>
      </w:r>
      <w:r w:rsidR="0031482C" w:rsidRPr="00BE3DAF">
        <w:rPr>
          <w:rFonts w:ascii="AvenirNext LT Pro Light" w:eastAsia="Yu Gothic Light" w:hAnsi="AvenirNext LT Pro Light" w:cs="Calibri"/>
          <w:color w:val="0070C0"/>
          <w:spacing w:val="-10"/>
          <w:kern w:val="28"/>
        </w:rPr>
        <w:t xml:space="preserve">countries in </w:t>
      </w:r>
      <w:r w:rsidR="00091171" w:rsidRPr="00BE3DAF">
        <w:rPr>
          <w:rFonts w:ascii="AvenirNext LT Pro Light" w:eastAsia="Yu Gothic Light" w:hAnsi="AvenirNext LT Pro Light" w:cs="Calibri"/>
          <w:color w:val="0070C0"/>
          <w:spacing w:val="-10"/>
          <w:kern w:val="28"/>
        </w:rPr>
        <w:t>Asia and the Pacific</w:t>
      </w:r>
      <w:r w:rsidRPr="00BE3DAF">
        <w:rPr>
          <w:rFonts w:ascii="AvenirNext LT Pro Light" w:eastAsia="Yu Gothic Light" w:hAnsi="AvenirNext LT Pro Light" w:cs="Calibri"/>
          <w:color w:val="0070C0"/>
          <w:spacing w:val="-10"/>
          <w:kern w:val="28"/>
        </w:rPr>
        <w:t>, 202</w:t>
      </w:r>
      <w:r w:rsidR="005E05D1" w:rsidRPr="00BE3DAF">
        <w:rPr>
          <w:rFonts w:ascii="AvenirNext LT Pro Light" w:eastAsia="Yu Gothic Light" w:hAnsi="AvenirNext LT Pro Light" w:cs="Calibri"/>
          <w:color w:val="0070C0"/>
          <w:spacing w:val="-10"/>
          <w:kern w:val="28"/>
        </w:rPr>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631"/>
        <w:gridCol w:w="1631"/>
        <w:gridCol w:w="1631"/>
        <w:gridCol w:w="1633"/>
      </w:tblGrid>
      <w:tr w:rsidR="000905F4" w:rsidRPr="00BE3DAF" w14:paraId="159E3EFE" w14:textId="77777777" w:rsidTr="00C96B91">
        <w:trPr>
          <w:trHeight w:val="315"/>
        </w:trPr>
        <w:tc>
          <w:tcPr>
            <w:tcW w:w="1615" w:type="pct"/>
            <w:shd w:val="clear" w:color="auto" w:fill="C1E4F5"/>
            <w:noWrap/>
            <w:vAlign w:val="bottom"/>
            <w:hideMark/>
          </w:tcPr>
          <w:p w14:paraId="40D87E7D" w14:textId="77777777"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 </w:t>
            </w:r>
          </w:p>
        </w:tc>
        <w:tc>
          <w:tcPr>
            <w:tcW w:w="1692" w:type="pct"/>
            <w:gridSpan w:val="2"/>
            <w:shd w:val="clear" w:color="auto" w:fill="C1E4F5"/>
            <w:noWrap/>
            <w:vAlign w:val="bottom"/>
            <w:hideMark/>
          </w:tcPr>
          <w:p w14:paraId="1337E017" w14:textId="6A2F6518"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Group</w:t>
            </w:r>
          </w:p>
        </w:tc>
        <w:tc>
          <w:tcPr>
            <w:tcW w:w="1693" w:type="pct"/>
            <w:gridSpan w:val="2"/>
            <w:shd w:val="clear" w:color="auto" w:fill="C1E4F5"/>
            <w:noWrap/>
            <w:vAlign w:val="bottom"/>
            <w:hideMark/>
          </w:tcPr>
          <w:p w14:paraId="63B79A10" w14:textId="1B633994"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 </w:t>
            </w:r>
          </w:p>
        </w:tc>
      </w:tr>
      <w:tr w:rsidR="000905F4" w:rsidRPr="00BE3DAF" w14:paraId="222DA800" w14:textId="77777777" w:rsidTr="00C96B91">
        <w:trPr>
          <w:trHeight w:val="315"/>
        </w:trPr>
        <w:tc>
          <w:tcPr>
            <w:tcW w:w="1615" w:type="pct"/>
            <w:shd w:val="clear" w:color="auto" w:fill="C1E4F5"/>
            <w:vAlign w:val="bottom"/>
            <w:hideMark/>
          </w:tcPr>
          <w:p w14:paraId="72E34E51" w14:textId="0502FAE7"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eastAsia="Yu Gothic Light" w:hAnsi="Aptos" w:cs="Calibri"/>
                <w:b/>
                <w:color w:val="000000"/>
                <w:spacing w:val="-10"/>
                <w:kern w:val="28"/>
                <w:sz w:val="18"/>
                <w:szCs w:val="18"/>
              </w:rPr>
            </w:pPr>
            <w:r w:rsidRPr="00BE3DAF">
              <w:rPr>
                <w:rFonts w:ascii="Aptos" w:eastAsia="Yu Gothic Light" w:hAnsi="Aptos" w:cs="Calibri"/>
                <w:b/>
                <w:color w:val="000000"/>
                <w:spacing w:val="-10"/>
                <w:kern w:val="28"/>
                <w:sz w:val="18"/>
                <w:szCs w:val="18"/>
              </w:rPr>
              <w:t>Indicator (units)</w:t>
            </w:r>
          </w:p>
        </w:tc>
        <w:tc>
          <w:tcPr>
            <w:tcW w:w="846" w:type="pct"/>
            <w:shd w:val="clear" w:color="auto" w:fill="C1E4F5"/>
            <w:noWrap/>
            <w:vAlign w:val="bottom"/>
            <w:hideMark/>
          </w:tcPr>
          <w:p w14:paraId="15407489" w14:textId="77777777"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 xml:space="preserve">1 </w:t>
            </w:r>
          </w:p>
          <w:p w14:paraId="64C37007" w14:textId="49CFFFFF"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w:t>
            </w:r>
            <w:r w:rsidR="00DB0C28" w:rsidRPr="00BE3DAF">
              <w:rPr>
                <w:rFonts w:ascii="Aptos" w:hAnsi="Aptos" w:cs="Calibri"/>
                <w:color w:val="000000"/>
                <w:spacing w:val="-10"/>
                <w:kern w:val="28"/>
                <w:sz w:val="18"/>
                <w:szCs w:val="18"/>
                <w:lang w:eastAsia="en-GB"/>
              </w:rPr>
              <w:t>19</w:t>
            </w:r>
            <w:r w:rsidRPr="00BE3DAF">
              <w:rPr>
                <w:rFonts w:ascii="Aptos" w:hAnsi="Aptos" w:cs="Calibri"/>
                <w:color w:val="000000"/>
                <w:spacing w:val="-10"/>
                <w:kern w:val="28"/>
                <w:sz w:val="18"/>
                <w:szCs w:val="18"/>
                <w:lang w:eastAsia="en-GB"/>
              </w:rPr>
              <w:t xml:space="preserve"> Asia and the Pacific countries)</w:t>
            </w:r>
          </w:p>
        </w:tc>
        <w:tc>
          <w:tcPr>
            <w:tcW w:w="846" w:type="pct"/>
            <w:shd w:val="clear" w:color="auto" w:fill="C1E4F5"/>
            <w:noWrap/>
            <w:vAlign w:val="bottom"/>
            <w:hideMark/>
          </w:tcPr>
          <w:p w14:paraId="38ADA897" w14:textId="77777777"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 xml:space="preserve">2 </w:t>
            </w:r>
          </w:p>
          <w:p w14:paraId="79297FD8" w14:textId="110360F6"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w:t>
            </w:r>
            <w:r w:rsidR="00DB0C28" w:rsidRPr="00BE3DAF">
              <w:rPr>
                <w:rFonts w:ascii="Aptos" w:hAnsi="Aptos" w:cs="Calibri"/>
                <w:color w:val="000000"/>
                <w:spacing w:val="-10"/>
                <w:kern w:val="28"/>
                <w:sz w:val="18"/>
                <w:szCs w:val="18"/>
                <w:lang w:eastAsia="en-GB"/>
              </w:rPr>
              <w:t>16</w:t>
            </w:r>
            <w:r w:rsidRPr="00BE3DAF">
              <w:rPr>
                <w:rFonts w:ascii="Aptos" w:hAnsi="Aptos" w:cs="Calibri"/>
                <w:color w:val="000000"/>
                <w:spacing w:val="-10"/>
                <w:kern w:val="28"/>
                <w:sz w:val="18"/>
                <w:szCs w:val="18"/>
                <w:lang w:eastAsia="en-GB"/>
              </w:rPr>
              <w:t xml:space="preserve"> Asia and the Pacific countries)</w:t>
            </w:r>
          </w:p>
        </w:tc>
        <w:tc>
          <w:tcPr>
            <w:tcW w:w="846" w:type="pct"/>
            <w:shd w:val="clear" w:color="auto" w:fill="C1E4F5"/>
            <w:noWrap/>
            <w:vAlign w:val="bottom"/>
            <w:hideMark/>
          </w:tcPr>
          <w:p w14:paraId="481A7D40" w14:textId="77777777"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 xml:space="preserve">3 </w:t>
            </w:r>
          </w:p>
          <w:p w14:paraId="3B43DCC9" w14:textId="304C48E1"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color w:val="000000"/>
                <w:spacing w:val="-10"/>
                <w:kern w:val="28"/>
                <w:sz w:val="18"/>
                <w:szCs w:val="18"/>
                <w:lang w:eastAsia="en-GB"/>
              </w:rPr>
            </w:pPr>
            <w:r w:rsidRPr="00BE3DAF">
              <w:rPr>
                <w:rFonts w:ascii="Aptos" w:hAnsi="Aptos" w:cs="Calibri"/>
                <w:color w:val="000000"/>
                <w:spacing w:val="-10"/>
                <w:kern w:val="28"/>
                <w:sz w:val="18"/>
                <w:szCs w:val="18"/>
                <w:lang w:eastAsia="en-GB"/>
              </w:rPr>
              <w:t>(</w:t>
            </w:r>
            <w:r w:rsidR="00DB0C28" w:rsidRPr="00BE3DAF">
              <w:rPr>
                <w:rFonts w:ascii="Aptos" w:hAnsi="Aptos" w:cs="Calibri"/>
                <w:color w:val="000000"/>
                <w:spacing w:val="-10"/>
                <w:kern w:val="28"/>
                <w:sz w:val="18"/>
                <w:szCs w:val="18"/>
                <w:lang w:eastAsia="en-GB"/>
              </w:rPr>
              <w:t>4</w:t>
            </w:r>
            <w:r w:rsidRPr="00BE3DAF">
              <w:rPr>
                <w:rFonts w:ascii="Aptos" w:hAnsi="Aptos" w:cs="Calibri"/>
                <w:color w:val="000000"/>
                <w:spacing w:val="-10"/>
                <w:kern w:val="28"/>
                <w:sz w:val="18"/>
                <w:szCs w:val="18"/>
                <w:lang w:eastAsia="en-GB"/>
              </w:rPr>
              <w:t xml:space="preserve"> Asia and the Pacific</w:t>
            </w:r>
            <w:r w:rsidR="00DB0C28" w:rsidRPr="00BE3DAF">
              <w:rPr>
                <w:rFonts w:ascii="Aptos" w:hAnsi="Aptos" w:cs="Calibri"/>
                <w:color w:val="000000"/>
                <w:spacing w:val="-10"/>
                <w:kern w:val="28"/>
                <w:sz w:val="18"/>
                <w:szCs w:val="18"/>
                <w:lang w:eastAsia="en-GB"/>
              </w:rPr>
              <w:t xml:space="preserve"> </w:t>
            </w:r>
            <w:r w:rsidRPr="00BE3DAF">
              <w:rPr>
                <w:rFonts w:ascii="Aptos" w:hAnsi="Aptos" w:cs="Calibri"/>
                <w:color w:val="000000"/>
                <w:spacing w:val="-10"/>
                <w:kern w:val="28"/>
                <w:sz w:val="18"/>
                <w:szCs w:val="18"/>
                <w:lang w:eastAsia="en-GB"/>
              </w:rPr>
              <w:t>countries)</w:t>
            </w:r>
          </w:p>
        </w:tc>
        <w:tc>
          <w:tcPr>
            <w:tcW w:w="847" w:type="pct"/>
            <w:shd w:val="clear" w:color="auto" w:fill="C1E4F5"/>
            <w:noWrap/>
            <w:vAlign w:val="bottom"/>
            <w:hideMark/>
          </w:tcPr>
          <w:p w14:paraId="3579F15F" w14:textId="3F5EE56E" w:rsidR="000905F4" w:rsidRPr="00BE3DAF"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color w:val="000000"/>
                <w:spacing w:val="-10"/>
                <w:kern w:val="28"/>
                <w:sz w:val="18"/>
                <w:szCs w:val="18"/>
                <w:lang w:eastAsia="en-GB"/>
              </w:rPr>
            </w:pPr>
            <w:r w:rsidRPr="00BE3DAF">
              <w:rPr>
                <w:rFonts w:ascii="Aptos" w:hAnsi="Aptos" w:cs="Calibri"/>
                <w:b/>
                <w:color w:val="000000"/>
                <w:spacing w:val="-10"/>
                <w:kern w:val="28"/>
                <w:sz w:val="18"/>
                <w:szCs w:val="18"/>
                <w:lang w:eastAsia="en-GB"/>
              </w:rPr>
              <w:t>World average</w:t>
            </w:r>
          </w:p>
        </w:tc>
      </w:tr>
      <w:tr w:rsidR="006116F3" w:rsidRPr="00BE3DAF" w14:paraId="7BC9A59C" w14:textId="77777777" w:rsidTr="00C96B91">
        <w:trPr>
          <w:trHeight w:val="510"/>
        </w:trPr>
        <w:tc>
          <w:tcPr>
            <w:tcW w:w="1615" w:type="pct"/>
            <w:shd w:val="clear" w:color="auto" w:fill="FFFFFF"/>
            <w:vAlign w:val="center"/>
            <w:hideMark/>
          </w:tcPr>
          <w:p w14:paraId="4C92BD59" w14:textId="7777777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E3DAF">
              <w:rPr>
                <w:rFonts w:ascii="Aptos" w:hAnsi="Aptos" w:cs="Calibri"/>
                <w:color w:val="000000"/>
                <w:kern w:val="28"/>
                <w:sz w:val="18"/>
                <w:szCs w:val="18"/>
                <w:lang w:eastAsia="en-GB"/>
              </w:rPr>
              <w:t>Share of individuals using</w:t>
            </w:r>
            <w:r w:rsidRPr="00BE3DAF">
              <w:rPr>
                <w:rFonts w:ascii="Aptos" w:hAnsi="Aptos" w:cs="Calibri"/>
                <w:color w:val="000000"/>
                <w:kern w:val="28"/>
                <w:sz w:val="18"/>
                <w:szCs w:val="18"/>
                <w:lang w:eastAsia="en-GB"/>
              </w:rPr>
              <w:br/>
              <w:t>the Internet</w:t>
            </w:r>
            <w:r w:rsidRPr="00BE3DAF">
              <w:rPr>
                <w:rFonts w:ascii="Aptos" w:hAnsi="Aptos" w:cs="Calibri"/>
                <w:color w:val="A6A6A6"/>
                <w:kern w:val="28"/>
                <w:sz w:val="18"/>
                <w:szCs w:val="18"/>
                <w:lang w:eastAsia="en-GB"/>
              </w:rPr>
              <w:t xml:space="preserve"> (%)</w:t>
            </w:r>
          </w:p>
        </w:tc>
        <w:tc>
          <w:tcPr>
            <w:tcW w:w="846" w:type="pct"/>
            <w:shd w:val="clear" w:color="auto" w:fill="FFFFFF"/>
            <w:noWrap/>
            <w:vAlign w:val="bottom"/>
          </w:tcPr>
          <w:p w14:paraId="3476E5C3" w14:textId="148EAEB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88.9</w:t>
            </w:r>
          </w:p>
        </w:tc>
        <w:tc>
          <w:tcPr>
            <w:tcW w:w="846" w:type="pct"/>
            <w:shd w:val="clear" w:color="auto" w:fill="FFFFFF"/>
            <w:noWrap/>
            <w:vAlign w:val="bottom"/>
          </w:tcPr>
          <w:p w14:paraId="505928EE" w14:textId="40D14F4A"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56.8</w:t>
            </w:r>
          </w:p>
        </w:tc>
        <w:tc>
          <w:tcPr>
            <w:tcW w:w="846" w:type="pct"/>
            <w:shd w:val="clear" w:color="auto" w:fill="FFFFFF"/>
            <w:noWrap/>
            <w:vAlign w:val="bottom"/>
          </w:tcPr>
          <w:p w14:paraId="07840A0E" w14:textId="38DBAC31"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30.4</w:t>
            </w:r>
          </w:p>
        </w:tc>
        <w:tc>
          <w:tcPr>
            <w:tcW w:w="847" w:type="pct"/>
            <w:shd w:val="clear" w:color="auto" w:fill="FFFFFF"/>
            <w:noWrap/>
            <w:vAlign w:val="bottom"/>
          </w:tcPr>
          <w:p w14:paraId="6F827B86" w14:textId="104A5F64"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65.4</w:t>
            </w:r>
          </w:p>
        </w:tc>
      </w:tr>
      <w:tr w:rsidR="006116F3" w:rsidRPr="00BE3DAF" w14:paraId="51093069" w14:textId="77777777" w:rsidTr="00C96B91">
        <w:trPr>
          <w:trHeight w:val="510"/>
        </w:trPr>
        <w:tc>
          <w:tcPr>
            <w:tcW w:w="1615" w:type="pct"/>
            <w:shd w:val="clear" w:color="auto" w:fill="FFFFFF"/>
            <w:vAlign w:val="center"/>
            <w:hideMark/>
          </w:tcPr>
          <w:p w14:paraId="01E33B1A" w14:textId="245F7F0A"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E3DAF">
              <w:rPr>
                <w:rFonts w:ascii="Aptos" w:hAnsi="Aptos" w:cs="Calibri"/>
                <w:color w:val="000000"/>
                <w:kern w:val="28"/>
                <w:sz w:val="18"/>
                <w:szCs w:val="18"/>
                <w:lang w:eastAsia="en-GB"/>
              </w:rPr>
              <w:t xml:space="preserve">Gender equality - Internet use </w:t>
            </w:r>
            <w:r w:rsidRPr="00BE3DAF">
              <w:rPr>
                <w:rFonts w:ascii="Aptos" w:hAnsi="Aptos" w:cs="Calibri"/>
                <w:color w:val="000000"/>
                <w:kern w:val="28"/>
                <w:sz w:val="18"/>
                <w:szCs w:val="18"/>
                <w:lang w:eastAsia="en-GB"/>
              </w:rPr>
              <w:br/>
            </w:r>
            <w:r w:rsidRPr="00BE3DAF">
              <w:rPr>
                <w:rFonts w:ascii="Aptos" w:hAnsi="Aptos" w:cs="Calibri"/>
                <w:color w:val="A6A6A6"/>
                <w:kern w:val="28"/>
                <w:sz w:val="18"/>
                <w:szCs w:val="18"/>
                <w:lang w:eastAsia="en-GB"/>
              </w:rPr>
              <w:t>(gender parity score)</w:t>
            </w:r>
          </w:p>
        </w:tc>
        <w:tc>
          <w:tcPr>
            <w:tcW w:w="846" w:type="pct"/>
            <w:shd w:val="clear" w:color="auto" w:fill="FFFFFF"/>
            <w:noWrap/>
            <w:vAlign w:val="bottom"/>
          </w:tcPr>
          <w:p w14:paraId="055EF771" w14:textId="5E699343"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0.96</w:t>
            </w:r>
          </w:p>
        </w:tc>
        <w:tc>
          <w:tcPr>
            <w:tcW w:w="846" w:type="pct"/>
            <w:shd w:val="clear" w:color="auto" w:fill="FFFFFF"/>
            <w:noWrap/>
            <w:vAlign w:val="bottom"/>
          </w:tcPr>
          <w:p w14:paraId="274756DD" w14:textId="13436BC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0.88</w:t>
            </w:r>
          </w:p>
        </w:tc>
        <w:tc>
          <w:tcPr>
            <w:tcW w:w="846" w:type="pct"/>
            <w:shd w:val="clear" w:color="auto" w:fill="FFFFFF"/>
            <w:noWrap/>
            <w:vAlign w:val="bottom"/>
          </w:tcPr>
          <w:p w14:paraId="76DC1837" w14:textId="1C8A5D21"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0.74</w:t>
            </w:r>
          </w:p>
        </w:tc>
        <w:tc>
          <w:tcPr>
            <w:tcW w:w="847" w:type="pct"/>
            <w:shd w:val="clear" w:color="auto" w:fill="FFFFFF"/>
            <w:noWrap/>
            <w:vAlign w:val="bottom"/>
          </w:tcPr>
          <w:p w14:paraId="7499F2EC" w14:textId="5E57F80B"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0.93</w:t>
            </w:r>
          </w:p>
        </w:tc>
      </w:tr>
      <w:tr w:rsidR="006116F3" w:rsidRPr="00BE3DAF" w14:paraId="10D0A118" w14:textId="77777777" w:rsidTr="00C96B91">
        <w:trPr>
          <w:trHeight w:val="510"/>
        </w:trPr>
        <w:tc>
          <w:tcPr>
            <w:tcW w:w="1615" w:type="pct"/>
            <w:shd w:val="clear" w:color="auto" w:fill="FFFFFF"/>
            <w:vAlign w:val="center"/>
            <w:hideMark/>
          </w:tcPr>
          <w:p w14:paraId="6892FC8A" w14:textId="7777777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E3DAF">
              <w:rPr>
                <w:rFonts w:ascii="Aptos" w:hAnsi="Aptos" w:cs="Calibri"/>
                <w:color w:val="000000"/>
                <w:kern w:val="28"/>
                <w:sz w:val="18"/>
                <w:szCs w:val="18"/>
                <w:lang w:eastAsia="en-GB"/>
              </w:rPr>
              <w:t>Share of individuals owning mobile phones</w:t>
            </w:r>
            <w:r w:rsidRPr="00BE3DAF">
              <w:rPr>
                <w:rFonts w:ascii="Aptos" w:hAnsi="Aptos" w:cs="Calibri"/>
                <w:color w:val="A6A6A6"/>
                <w:kern w:val="28"/>
                <w:sz w:val="18"/>
                <w:szCs w:val="18"/>
                <w:lang w:eastAsia="en-GB"/>
              </w:rPr>
              <w:t xml:space="preserve"> (%)</w:t>
            </w:r>
          </w:p>
        </w:tc>
        <w:tc>
          <w:tcPr>
            <w:tcW w:w="846" w:type="pct"/>
            <w:shd w:val="clear" w:color="auto" w:fill="FFFFFF"/>
            <w:noWrap/>
            <w:vAlign w:val="bottom"/>
          </w:tcPr>
          <w:p w14:paraId="69EF3683" w14:textId="0323786F"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91.6</w:t>
            </w:r>
          </w:p>
        </w:tc>
        <w:tc>
          <w:tcPr>
            <w:tcW w:w="846" w:type="pct"/>
            <w:shd w:val="clear" w:color="auto" w:fill="FFFFFF"/>
            <w:noWrap/>
            <w:vAlign w:val="bottom"/>
          </w:tcPr>
          <w:p w14:paraId="190B2D83" w14:textId="02CFEBB5"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73.7</w:t>
            </w:r>
          </w:p>
        </w:tc>
        <w:tc>
          <w:tcPr>
            <w:tcW w:w="846" w:type="pct"/>
            <w:shd w:val="clear" w:color="auto" w:fill="FFFFFF"/>
            <w:noWrap/>
            <w:vAlign w:val="bottom"/>
          </w:tcPr>
          <w:p w14:paraId="5CDDBFF9" w14:textId="7D9226C4"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57.6</w:t>
            </w:r>
          </w:p>
        </w:tc>
        <w:tc>
          <w:tcPr>
            <w:tcW w:w="847" w:type="pct"/>
            <w:shd w:val="clear" w:color="auto" w:fill="FFFFFF"/>
            <w:noWrap/>
            <w:vAlign w:val="bottom"/>
          </w:tcPr>
          <w:p w14:paraId="421A94F0" w14:textId="1A4DB3E9"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78.6</w:t>
            </w:r>
          </w:p>
        </w:tc>
      </w:tr>
      <w:tr w:rsidR="006116F3" w:rsidRPr="00BE3DAF" w14:paraId="31F71ECC" w14:textId="77777777" w:rsidTr="00C96B91">
        <w:trPr>
          <w:trHeight w:val="510"/>
        </w:trPr>
        <w:tc>
          <w:tcPr>
            <w:tcW w:w="1615" w:type="pct"/>
            <w:shd w:val="clear" w:color="auto" w:fill="FFFFFF"/>
            <w:vAlign w:val="center"/>
            <w:hideMark/>
          </w:tcPr>
          <w:p w14:paraId="2EC0CA65" w14:textId="7777777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E3DAF">
              <w:rPr>
                <w:rFonts w:ascii="Aptos" w:hAnsi="Aptos" w:cs="Calibri"/>
                <w:color w:val="000000"/>
                <w:kern w:val="28"/>
                <w:sz w:val="18"/>
                <w:szCs w:val="18"/>
                <w:lang w:eastAsia="en-GB"/>
              </w:rPr>
              <w:t xml:space="preserve">Mobile-broadband subscriptions </w:t>
            </w:r>
            <w:r w:rsidRPr="00BE3DAF">
              <w:rPr>
                <w:rFonts w:ascii="Aptos" w:hAnsi="Aptos" w:cs="Calibri"/>
                <w:color w:val="000000"/>
                <w:kern w:val="28"/>
                <w:sz w:val="18"/>
                <w:szCs w:val="18"/>
                <w:lang w:eastAsia="en-GB"/>
              </w:rPr>
              <w:br/>
            </w:r>
            <w:r w:rsidRPr="00BE3DAF">
              <w:rPr>
                <w:rFonts w:ascii="Aptos" w:hAnsi="Aptos" w:cs="Calibri"/>
                <w:color w:val="A6A6A6"/>
                <w:kern w:val="28"/>
                <w:sz w:val="18"/>
                <w:szCs w:val="18"/>
                <w:lang w:eastAsia="en-GB"/>
              </w:rPr>
              <w:t>(per 100 inhabitants)</w:t>
            </w:r>
          </w:p>
        </w:tc>
        <w:tc>
          <w:tcPr>
            <w:tcW w:w="846" w:type="pct"/>
            <w:shd w:val="clear" w:color="auto" w:fill="FFFFFF"/>
            <w:noWrap/>
            <w:vAlign w:val="bottom"/>
          </w:tcPr>
          <w:p w14:paraId="352152C5" w14:textId="6AE61DE3"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130.8</w:t>
            </w:r>
          </w:p>
        </w:tc>
        <w:tc>
          <w:tcPr>
            <w:tcW w:w="846" w:type="pct"/>
            <w:shd w:val="clear" w:color="auto" w:fill="FFFFFF"/>
            <w:noWrap/>
            <w:vAlign w:val="bottom"/>
          </w:tcPr>
          <w:p w14:paraId="5A710D62" w14:textId="19158D5F"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92.9</w:t>
            </w:r>
          </w:p>
        </w:tc>
        <w:tc>
          <w:tcPr>
            <w:tcW w:w="846" w:type="pct"/>
            <w:shd w:val="clear" w:color="auto" w:fill="FFFFFF"/>
            <w:noWrap/>
            <w:vAlign w:val="bottom"/>
          </w:tcPr>
          <w:p w14:paraId="3E1B3CD2" w14:textId="6ADD2B62"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47.1</w:t>
            </w:r>
          </w:p>
        </w:tc>
        <w:tc>
          <w:tcPr>
            <w:tcW w:w="847" w:type="pct"/>
            <w:shd w:val="clear" w:color="auto" w:fill="FFFFFF"/>
            <w:noWrap/>
            <w:vAlign w:val="bottom"/>
          </w:tcPr>
          <w:p w14:paraId="35F9246C" w14:textId="59581422"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89.9</w:t>
            </w:r>
          </w:p>
        </w:tc>
      </w:tr>
      <w:tr w:rsidR="006116F3" w:rsidRPr="00BE3DAF" w14:paraId="1096FC8C" w14:textId="77777777" w:rsidTr="00C96B91">
        <w:trPr>
          <w:trHeight w:val="510"/>
        </w:trPr>
        <w:tc>
          <w:tcPr>
            <w:tcW w:w="1615" w:type="pct"/>
            <w:shd w:val="clear" w:color="auto" w:fill="FFFFFF"/>
            <w:vAlign w:val="center"/>
            <w:hideMark/>
          </w:tcPr>
          <w:p w14:paraId="70655099" w14:textId="7777777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E3DAF">
              <w:rPr>
                <w:rFonts w:ascii="Aptos" w:hAnsi="Aptos" w:cs="Calibri"/>
                <w:color w:val="000000"/>
                <w:kern w:val="28"/>
                <w:sz w:val="18"/>
                <w:szCs w:val="18"/>
                <w:lang w:eastAsia="en-GB"/>
              </w:rPr>
              <w:t xml:space="preserve">Fixed-broadband subscriptions </w:t>
            </w:r>
            <w:r w:rsidRPr="00BE3DAF">
              <w:rPr>
                <w:rFonts w:ascii="Aptos" w:hAnsi="Aptos" w:cs="Calibri"/>
                <w:color w:val="000000"/>
                <w:kern w:val="28"/>
                <w:sz w:val="18"/>
                <w:szCs w:val="18"/>
                <w:lang w:eastAsia="en-GB"/>
              </w:rPr>
              <w:br/>
            </w:r>
            <w:r w:rsidRPr="00BE3DAF">
              <w:rPr>
                <w:rFonts w:ascii="Aptos" w:hAnsi="Aptos" w:cs="Calibri"/>
                <w:color w:val="A6A6A6"/>
                <w:kern w:val="28"/>
                <w:sz w:val="18"/>
                <w:szCs w:val="18"/>
                <w:lang w:eastAsia="en-GB"/>
              </w:rPr>
              <w:t>(per 100 inhabitants)</w:t>
            </w:r>
          </w:p>
        </w:tc>
        <w:tc>
          <w:tcPr>
            <w:tcW w:w="846" w:type="pct"/>
            <w:shd w:val="clear" w:color="auto" w:fill="FFFFFF"/>
            <w:noWrap/>
            <w:vAlign w:val="bottom"/>
          </w:tcPr>
          <w:p w14:paraId="79D1EB46" w14:textId="41D63F72"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24.1</w:t>
            </w:r>
          </w:p>
        </w:tc>
        <w:tc>
          <w:tcPr>
            <w:tcW w:w="846" w:type="pct"/>
            <w:shd w:val="clear" w:color="auto" w:fill="FFFFFF"/>
            <w:noWrap/>
            <w:vAlign w:val="bottom"/>
          </w:tcPr>
          <w:p w14:paraId="053BD9A4" w14:textId="534CC12B"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4.5</w:t>
            </w:r>
          </w:p>
        </w:tc>
        <w:tc>
          <w:tcPr>
            <w:tcW w:w="846" w:type="pct"/>
            <w:shd w:val="clear" w:color="auto" w:fill="FFFFFF"/>
            <w:noWrap/>
            <w:vAlign w:val="bottom"/>
          </w:tcPr>
          <w:p w14:paraId="641909C5" w14:textId="429B76C6"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0.7</w:t>
            </w:r>
          </w:p>
        </w:tc>
        <w:tc>
          <w:tcPr>
            <w:tcW w:w="847" w:type="pct"/>
            <w:shd w:val="clear" w:color="auto" w:fill="FFFFFF"/>
            <w:noWrap/>
            <w:vAlign w:val="bottom"/>
          </w:tcPr>
          <w:p w14:paraId="2F98B651" w14:textId="14D11C4F"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18.6</w:t>
            </w:r>
          </w:p>
        </w:tc>
      </w:tr>
      <w:tr w:rsidR="006116F3" w:rsidRPr="00BE3DAF" w14:paraId="28610658" w14:textId="77777777" w:rsidTr="00C96B91">
        <w:trPr>
          <w:trHeight w:val="479"/>
        </w:trPr>
        <w:tc>
          <w:tcPr>
            <w:tcW w:w="1615" w:type="pct"/>
            <w:shd w:val="clear" w:color="auto" w:fill="FFFFFF"/>
            <w:vAlign w:val="center"/>
            <w:hideMark/>
          </w:tcPr>
          <w:p w14:paraId="0B634667" w14:textId="7777777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8"/>
                <w:szCs w:val="18"/>
                <w:lang w:eastAsia="en-GB"/>
              </w:rPr>
            </w:pPr>
            <w:r w:rsidRPr="00BE3DAF">
              <w:rPr>
                <w:rFonts w:ascii="Aptos" w:hAnsi="Aptos" w:cs="Calibri"/>
                <w:color w:val="000000"/>
                <w:kern w:val="28"/>
                <w:sz w:val="18"/>
                <w:szCs w:val="18"/>
                <w:lang w:eastAsia="en-GB"/>
              </w:rPr>
              <w:t xml:space="preserve">Data-only mobile broadband prices </w:t>
            </w:r>
            <w:r w:rsidRPr="00BE3DAF">
              <w:rPr>
                <w:rFonts w:ascii="Aptos" w:hAnsi="Aptos" w:cs="Calibri"/>
                <w:color w:val="A6A6A6"/>
                <w:kern w:val="28"/>
                <w:sz w:val="18"/>
                <w:szCs w:val="18"/>
                <w:lang w:eastAsia="en-GB"/>
              </w:rPr>
              <w:br/>
              <w:t>(as a % of GNI per capita)</w:t>
            </w:r>
          </w:p>
        </w:tc>
        <w:tc>
          <w:tcPr>
            <w:tcW w:w="846" w:type="pct"/>
            <w:shd w:val="clear" w:color="auto" w:fill="FFFFFF"/>
            <w:noWrap/>
            <w:vAlign w:val="bottom"/>
          </w:tcPr>
          <w:p w14:paraId="7A909217" w14:textId="61284FD6"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0.5</w:t>
            </w:r>
          </w:p>
        </w:tc>
        <w:tc>
          <w:tcPr>
            <w:tcW w:w="846" w:type="pct"/>
            <w:shd w:val="clear" w:color="auto" w:fill="FFFFFF"/>
            <w:noWrap/>
            <w:vAlign w:val="bottom"/>
          </w:tcPr>
          <w:p w14:paraId="174170CC" w14:textId="628BB0A3"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2.4</w:t>
            </w:r>
          </w:p>
        </w:tc>
        <w:tc>
          <w:tcPr>
            <w:tcW w:w="846" w:type="pct"/>
            <w:shd w:val="clear" w:color="auto" w:fill="FFFFFF"/>
            <w:noWrap/>
            <w:vAlign w:val="bottom"/>
          </w:tcPr>
          <w:p w14:paraId="44910013" w14:textId="24044CA3"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6.4</w:t>
            </w:r>
          </w:p>
        </w:tc>
        <w:tc>
          <w:tcPr>
            <w:tcW w:w="847" w:type="pct"/>
            <w:shd w:val="clear" w:color="auto" w:fill="FFFFFF"/>
            <w:noWrap/>
            <w:vAlign w:val="bottom"/>
          </w:tcPr>
          <w:p w14:paraId="09BCBB10" w14:textId="66F648D4"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2.8</w:t>
            </w:r>
          </w:p>
        </w:tc>
      </w:tr>
      <w:tr w:rsidR="006116F3" w:rsidRPr="00BE3DAF" w14:paraId="3A5F7375" w14:textId="77777777" w:rsidTr="00C96B91">
        <w:trPr>
          <w:trHeight w:val="510"/>
        </w:trPr>
        <w:tc>
          <w:tcPr>
            <w:tcW w:w="1615" w:type="pct"/>
            <w:shd w:val="clear" w:color="auto" w:fill="FFFFFF"/>
            <w:vAlign w:val="center"/>
            <w:hideMark/>
          </w:tcPr>
          <w:p w14:paraId="2D3D13EB" w14:textId="77777777"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E3DAF">
              <w:rPr>
                <w:rFonts w:ascii="Aptos" w:hAnsi="Aptos" w:cs="Calibri"/>
                <w:color w:val="000000"/>
                <w:kern w:val="28"/>
                <w:sz w:val="18"/>
                <w:szCs w:val="18"/>
                <w:lang w:eastAsia="en-GB"/>
              </w:rPr>
              <w:t>Fixed broadband prices</w:t>
            </w:r>
            <w:r w:rsidRPr="00BE3DAF">
              <w:rPr>
                <w:rFonts w:ascii="Aptos" w:hAnsi="Aptos" w:cs="Calibri"/>
                <w:color w:val="000000"/>
                <w:kern w:val="28"/>
                <w:sz w:val="18"/>
                <w:szCs w:val="18"/>
                <w:lang w:eastAsia="en-GB"/>
              </w:rPr>
              <w:br/>
            </w:r>
            <w:r w:rsidRPr="00BE3DAF">
              <w:rPr>
                <w:rFonts w:ascii="Aptos" w:hAnsi="Aptos" w:cs="Calibri"/>
                <w:color w:val="A6A6A6"/>
                <w:kern w:val="28"/>
                <w:sz w:val="18"/>
                <w:szCs w:val="18"/>
                <w:lang w:eastAsia="en-GB"/>
              </w:rPr>
              <w:t>(as a % of GNI per capita)</w:t>
            </w:r>
          </w:p>
        </w:tc>
        <w:tc>
          <w:tcPr>
            <w:tcW w:w="846" w:type="pct"/>
            <w:shd w:val="clear" w:color="auto" w:fill="FFFFFF"/>
            <w:noWrap/>
            <w:vAlign w:val="bottom"/>
          </w:tcPr>
          <w:p w14:paraId="1B31EFD2" w14:textId="53FCC083"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1.1</w:t>
            </w:r>
          </w:p>
        </w:tc>
        <w:tc>
          <w:tcPr>
            <w:tcW w:w="846" w:type="pct"/>
            <w:shd w:val="clear" w:color="auto" w:fill="FFFFFF"/>
            <w:noWrap/>
            <w:vAlign w:val="bottom"/>
          </w:tcPr>
          <w:p w14:paraId="65CA0FC6" w14:textId="22723D61"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6.2</w:t>
            </w:r>
          </w:p>
        </w:tc>
        <w:tc>
          <w:tcPr>
            <w:tcW w:w="846" w:type="pct"/>
            <w:shd w:val="clear" w:color="auto" w:fill="FFFFFF"/>
            <w:noWrap/>
            <w:vAlign w:val="bottom"/>
          </w:tcPr>
          <w:p w14:paraId="13CBF985" w14:textId="13A97946"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E3DAF">
              <w:rPr>
                <w:rFonts w:ascii="Aptos" w:hAnsi="Aptos" w:cs="Calibri"/>
                <w:color w:val="000000"/>
                <w:sz w:val="18"/>
                <w:szCs w:val="18"/>
              </w:rPr>
              <w:t>24.6</w:t>
            </w:r>
          </w:p>
        </w:tc>
        <w:tc>
          <w:tcPr>
            <w:tcW w:w="847" w:type="pct"/>
            <w:shd w:val="clear" w:color="auto" w:fill="FFFFFF"/>
            <w:noWrap/>
            <w:vAlign w:val="bottom"/>
          </w:tcPr>
          <w:p w14:paraId="13302DF3" w14:textId="6B891AC0" w:rsidR="006116F3" w:rsidRPr="00BE3DAF"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E3DAF">
              <w:rPr>
                <w:rFonts w:ascii="Aptos" w:hAnsi="Aptos" w:cs="Calibri"/>
                <w:b/>
                <w:bCs/>
                <w:color w:val="000000"/>
                <w:sz w:val="18"/>
                <w:szCs w:val="18"/>
              </w:rPr>
              <w:t>1.3</w:t>
            </w:r>
          </w:p>
        </w:tc>
      </w:tr>
    </w:tbl>
    <w:p w14:paraId="7ADD2179" w14:textId="25C81CF9" w:rsidR="006C41B5" w:rsidRPr="00BE3DAF" w:rsidRDefault="006C41B5" w:rsidP="00B1004A">
      <w:pPr>
        <w:pStyle w:val="notetext"/>
      </w:pPr>
      <w:r w:rsidRPr="00BE3DAF">
        <w:t>Note: Group medians shown for data-only mobile broadband and fixed broadband prices as a % of GNI per capita.</w:t>
      </w:r>
    </w:p>
    <w:p w14:paraId="105A1439" w14:textId="77777777" w:rsidR="006C41B5" w:rsidRPr="00BE3DAF" w:rsidRDefault="006C41B5" w:rsidP="00B1004A">
      <w:pPr>
        <w:pStyle w:val="Sourcetext"/>
        <w:rPr>
          <w:highlight w:val="cyan"/>
        </w:rPr>
      </w:pPr>
      <w:r w:rsidRPr="00BE3DAF">
        <w:t>Source: ITU</w:t>
      </w:r>
    </w:p>
    <w:p w14:paraId="5E66AB54" w14:textId="77777777" w:rsidR="00C775FD" w:rsidRPr="00BE3DAF"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E3DAF">
        <w:rPr>
          <w:rFonts w:ascii="Aptos Display" w:eastAsia="Yu Gothic Light" w:hAnsi="Aptos Display"/>
          <w:color w:val="0F4761"/>
          <w:kern w:val="2"/>
          <w:sz w:val="32"/>
          <w:szCs w:val="32"/>
          <w14:ligatures w14:val="standardContextual"/>
        </w:rPr>
        <w:br w:type="page"/>
      </w:r>
    </w:p>
    <w:p w14:paraId="5E09C4E6" w14:textId="6D052060" w:rsidR="006C41B5" w:rsidRPr="00BE3DAF" w:rsidRDefault="006C41B5" w:rsidP="000C3666">
      <w:pPr>
        <w:pStyle w:val="Section"/>
      </w:pPr>
      <w:bookmarkStart w:id="21" w:name="_Toc189658586"/>
      <w:r w:rsidRPr="00BE3DAF">
        <w:lastRenderedPageBreak/>
        <w:t xml:space="preserve">Overview of data availability in </w:t>
      </w:r>
      <w:r w:rsidR="00091171" w:rsidRPr="00BE3DAF">
        <w:t>Asia and the Pacific</w:t>
      </w:r>
      <w:bookmarkEnd w:id="21"/>
    </w:p>
    <w:p w14:paraId="37D38BB0"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77777777" w:rsidR="006C41B5" w:rsidRPr="00BE3DAF"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The importance of data for the delivery of the Kigali Action Plan was acknowledged by the BDT’s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2CD37CBC" w14:textId="77777777" w:rsidR="00A927B5" w:rsidRPr="00BE3DAF" w:rsidRDefault="005C3080" w:rsidP="002C61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availability and quality of ICT statistics </w:t>
      </w:r>
      <w:r w:rsidR="00C452ED" w:rsidRPr="00BE3DAF">
        <w:rPr>
          <w:rFonts w:ascii="Aptos" w:eastAsia="Aptos" w:hAnsi="Aptos" w:cs="Arial"/>
          <w:kern w:val="2"/>
          <w:sz w:val="22"/>
          <w:szCs w:val="22"/>
          <w14:ligatures w14:val="standardContextual"/>
        </w:rPr>
        <w:t xml:space="preserve">vary </w:t>
      </w:r>
      <w:r w:rsidR="00C16850" w:rsidRPr="00BE3DAF">
        <w:rPr>
          <w:rFonts w:ascii="Aptos" w:eastAsia="Aptos" w:hAnsi="Aptos" w:cs="Arial"/>
          <w:kern w:val="2"/>
          <w:sz w:val="22"/>
          <w:szCs w:val="22"/>
          <w14:ligatures w14:val="standardContextual"/>
        </w:rPr>
        <w:t xml:space="preserve">significantly </w:t>
      </w:r>
      <w:r w:rsidR="00C452ED" w:rsidRPr="00BE3DAF">
        <w:rPr>
          <w:rFonts w:ascii="Aptos" w:eastAsia="Aptos" w:hAnsi="Aptos" w:cs="Arial"/>
          <w:kern w:val="2"/>
          <w:sz w:val="22"/>
          <w:szCs w:val="22"/>
          <w14:ligatures w14:val="standardContextual"/>
        </w:rPr>
        <w:t>across the</w:t>
      </w:r>
      <w:r w:rsidRPr="00BE3DAF">
        <w:rPr>
          <w:rFonts w:ascii="Aptos" w:eastAsia="Aptos" w:hAnsi="Aptos" w:cs="Arial"/>
          <w:kern w:val="2"/>
          <w:sz w:val="22"/>
          <w:szCs w:val="22"/>
          <w14:ligatures w14:val="standardContextual"/>
        </w:rPr>
        <w:t xml:space="preserve"> </w:t>
      </w:r>
      <w:r w:rsidR="00091171" w:rsidRPr="00BE3DAF">
        <w:rPr>
          <w:rFonts w:ascii="Aptos" w:eastAsia="Aptos" w:hAnsi="Aptos" w:cs="Arial"/>
          <w:kern w:val="2"/>
          <w:sz w:val="22"/>
          <w:szCs w:val="22"/>
          <w14:ligatures w14:val="standardContextual"/>
        </w:rPr>
        <w:t>Asia and the Pacific</w:t>
      </w:r>
      <w:r w:rsidR="00C452ED" w:rsidRPr="00BE3DAF">
        <w:rPr>
          <w:rFonts w:ascii="Aptos" w:eastAsia="Aptos" w:hAnsi="Aptos" w:cs="Arial"/>
          <w:kern w:val="2"/>
          <w:sz w:val="22"/>
          <w:szCs w:val="22"/>
          <w14:ligatures w14:val="standardContextual"/>
        </w:rPr>
        <w:t xml:space="preserve"> region</w:t>
      </w:r>
      <w:r w:rsidRPr="00BE3DAF">
        <w:rPr>
          <w:rFonts w:ascii="Aptos" w:eastAsia="Aptos" w:hAnsi="Aptos" w:cs="Arial"/>
          <w:kern w:val="2"/>
          <w:sz w:val="22"/>
          <w:szCs w:val="22"/>
          <w14:ligatures w14:val="standardContextual"/>
        </w:rPr>
        <w:t>, including both administrative indicators and those derived from household surveys.</w:t>
      </w:r>
      <w:r w:rsidR="00A927B5" w:rsidRPr="00BE3DAF">
        <w:rPr>
          <w:rFonts w:ascii="Aptos" w:eastAsia="Aptos" w:hAnsi="Aptos" w:cs="Arial"/>
          <w:kern w:val="2"/>
          <w:sz w:val="22"/>
          <w:szCs w:val="22"/>
          <w14:ligatures w14:val="standardContextual"/>
        </w:rPr>
        <w:t xml:space="preserve"> </w:t>
      </w:r>
    </w:p>
    <w:p w14:paraId="474A1BDD" w14:textId="59330CD9" w:rsidR="002C611C" w:rsidRPr="00BE3DAF" w:rsidRDefault="00DA7934" w:rsidP="002C61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On average, t</w:t>
      </w:r>
      <w:r w:rsidR="00B95295" w:rsidRPr="00BE3DAF">
        <w:rPr>
          <w:rFonts w:ascii="Aptos" w:eastAsia="Aptos" w:hAnsi="Aptos" w:cs="Arial"/>
          <w:kern w:val="2"/>
          <w:sz w:val="22"/>
          <w:szCs w:val="22"/>
          <w14:ligatures w14:val="standardContextual"/>
        </w:rPr>
        <w:t xml:space="preserve">wo-thirds of </w:t>
      </w:r>
      <w:r w:rsidR="006C41B5" w:rsidRPr="00BE3DAF">
        <w:rPr>
          <w:rFonts w:ascii="Aptos" w:eastAsia="Aptos" w:hAnsi="Aptos" w:cs="Arial"/>
          <w:kern w:val="2"/>
          <w:sz w:val="22"/>
          <w:szCs w:val="22"/>
          <w14:ligatures w14:val="standardContextual"/>
        </w:rPr>
        <w:t>a core set of 1</w:t>
      </w:r>
      <w:r w:rsidR="00050E9A" w:rsidRPr="00BE3DAF">
        <w:rPr>
          <w:rFonts w:ascii="Aptos" w:eastAsia="Aptos" w:hAnsi="Aptos" w:cs="Arial"/>
          <w:kern w:val="2"/>
          <w:sz w:val="22"/>
          <w:szCs w:val="22"/>
          <w14:ligatures w14:val="standardContextual"/>
        </w:rPr>
        <w:t>4</w:t>
      </w:r>
      <w:r w:rsidR="006C41B5" w:rsidRPr="00BE3DAF">
        <w:rPr>
          <w:rFonts w:ascii="Aptos" w:eastAsia="Aptos" w:hAnsi="Aptos" w:cs="Arial"/>
          <w:kern w:val="2"/>
          <w:sz w:val="22"/>
          <w:szCs w:val="22"/>
          <w14:ligatures w14:val="standardContextual"/>
        </w:rPr>
        <w:t xml:space="preserve"> administrative ICT indicators, typically collected by national regulatory authorities or ministries, is </w:t>
      </w:r>
      <w:r w:rsidR="00F865A8" w:rsidRPr="00BE3DAF">
        <w:rPr>
          <w:rFonts w:ascii="Aptos" w:eastAsia="Aptos" w:hAnsi="Aptos" w:cs="Arial"/>
          <w:kern w:val="2"/>
          <w:sz w:val="22"/>
          <w:szCs w:val="22"/>
          <w14:ligatures w14:val="standardContextual"/>
        </w:rPr>
        <w:t>availabl</w:t>
      </w:r>
      <w:r w:rsidR="003F0552" w:rsidRPr="00BE3DAF">
        <w:rPr>
          <w:rFonts w:ascii="Aptos" w:eastAsia="Aptos" w:hAnsi="Aptos" w:cs="Arial"/>
          <w:kern w:val="2"/>
          <w:sz w:val="22"/>
          <w:szCs w:val="22"/>
          <w14:ligatures w14:val="standardContextual"/>
        </w:rPr>
        <w:t>e</w:t>
      </w:r>
      <w:r w:rsidR="00D8430B" w:rsidRPr="00BE3DAF">
        <w:rPr>
          <w:rFonts w:ascii="Aptos" w:eastAsia="Aptos" w:hAnsi="Aptos" w:cs="Arial"/>
          <w:kern w:val="2"/>
          <w:sz w:val="22"/>
          <w:szCs w:val="22"/>
          <w14:ligatures w14:val="standardContextual"/>
        </w:rPr>
        <w:t xml:space="preserve"> in the region</w:t>
      </w:r>
      <w:r w:rsidR="00C7145A" w:rsidRPr="00BE3DAF">
        <w:rPr>
          <w:rFonts w:ascii="Aptos" w:eastAsia="Aptos" w:hAnsi="Aptos" w:cs="Arial"/>
          <w:kern w:val="2"/>
          <w:sz w:val="22"/>
          <w:szCs w:val="22"/>
          <w14:ligatures w14:val="standardContextual"/>
        </w:rPr>
        <w:t xml:space="preserve"> (see</w:t>
      </w:r>
      <w:r w:rsidR="0081086E" w:rsidRPr="00BE3DAF">
        <w:rPr>
          <w:rFonts w:ascii="Aptos" w:eastAsia="Aptos" w:hAnsi="Aptos" w:cs="Arial"/>
          <w:kern w:val="2"/>
          <w:sz w:val="22"/>
          <w:szCs w:val="22"/>
          <w14:ligatures w14:val="standardContextual"/>
        </w:rPr>
        <w:t xml:space="preserve"> indicator</w:t>
      </w:r>
      <w:r w:rsidR="00C7145A" w:rsidRPr="00BE3DAF">
        <w:rPr>
          <w:rFonts w:ascii="Aptos" w:eastAsia="Aptos" w:hAnsi="Aptos" w:cs="Arial"/>
          <w:kern w:val="2"/>
          <w:sz w:val="22"/>
          <w:szCs w:val="22"/>
          <w14:ligatures w14:val="standardContextual"/>
        </w:rPr>
        <w:t xml:space="preserve"> list in the note of the figure</w:t>
      </w:r>
      <w:r w:rsidR="00B02247" w:rsidRPr="00BE3DAF">
        <w:rPr>
          <w:rFonts w:ascii="Aptos" w:eastAsia="Aptos" w:hAnsi="Aptos" w:cs="Arial"/>
          <w:kern w:val="2"/>
          <w:sz w:val="22"/>
          <w:szCs w:val="22"/>
          <w14:ligatures w14:val="standardContextual"/>
        </w:rPr>
        <w:t xml:space="preserve"> below</w:t>
      </w:r>
      <w:r w:rsidR="00C7145A" w:rsidRPr="00BE3DAF">
        <w:rPr>
          <w:rFonts w:ascii="Aptos" w:eastAsia="Aptos" w:hAnsi="Aptos" w:cs="Arial"/>
          <w:kern w:val="2"/>
          <w:sz w:val="22"/>
          <w:szCs w:val="22"/>
          <w14:ligatures w14:val="standardContextual"/>
        </w:rPr>
        <w:t>)</w:t>
      </w:r>
      <w:r w:rsidR="00600367" w:rsidRPr="00BE3DAF">
        <w:rPr>
          <w:rFonts w:ascii="Aptos" w:eastAsia="Aptos" w:hAnsi="Aptos" w:cs="Arial"/>
          <w:kern w:val="2"/>
          <w:sz w:val="22"/>
          <w:szCs w:val="22"/>
          <w14:ligatures w14:val="standardContextual"/>
        </w:rPr>
        <w:t xml:space="preserve">. </w:t>
      </w:r>
      <w:r w:rsidR="004C71FA" w:rsidRPr="00BE3DAF">
        <w:rPr>
          <w:rFonts w:ascii="Aptos" w:eastAsia="Aptos" w:hAnsi="Aptos" w:cs="Arial"/>
          <w:kern w:val="2"/>
          <w:sz w:val="22"/>
          <w:szCs w:val="22"/>
          <w14:ligatures w14:val="standardContextual"/>
        </w:rPr>
        <w:t xml:space="preserve">Availability </w:t>
      </w:r>
      <w:r w:rsidR="005E5763" w:rsidRPr="00BE3DAF">
        <w:rPr>
          <w:rFonts w:ascii="Aptos" w:eastAsia="Aptos" w:hAnsi="Aptos" w:cs="Arial"/>
          <w:kern w:val="2"/>
          <w:sz w:val="22"/>
          <w:szCs w:val="22"/>
          <w14:ligatures w14:val="standardContextual"/>
        </w:rPr>
        <w:t xml:space="preserve">reaches </w:t>
      </w:r>
      <w:r w:rsidR="004C71FA" w:rsidRPr="00BE3DAF">
        <w:rPr>
          <w:rFonts w:ascii="Aptos" w:eastAsia="Aptos" w:hAnsi="Aptos" w:cs="Arial"/>
          <w:kern w:val="2"/>
          <w:sz w:val="22"/>
          <w:szCs w:val="22"/>
          <w14:ligatures w14:val="standardContextual"/>
        </w:rPr>
        <w:t xml:space="preserve">100 per cent </w:t>
      </w:r>
      <w:r w:rsidR="00244BFF" w:rsidRPr="00BE3DAF">
        <w:rPr>
          <w:rFonts w:ascii="Aptos" w:eastAsia="Aptos" w:hAnsi="Aptos" w:cs="Arial"/>
          <w:kern w:val="2"/>
          <w:sz w:val="22"/>
          <w:szCs w:val="22"/>
          <w14:ligatures w14:val="standardContextual"/>
        </w:rPr>
        <w:t xml:space="preserve">(i.e., recent data is available for the 14 indicators) in </w:t>
      </w:r>
      <w:r w:rsidR="00436ABC" w:rsidRPr="00BE3DAF">
        <w:rPr>
          <w:rFonts w:ascii="Aptos" w:eastAsia="Aptos" w:hAnsi="Aptos" w:cs="Arial"/>
          <w:kern w:val="2"/>
          <w:sz w:val="22"/>
          <w:szCs w:val="22"/>
          <w14:ligatures w14:val="standardContextual"/>
        </w:rPr>
        <w:t>10</w:t>
      </w:r>
      <w:r w:rsidR="008F08FC" w:rsidRPr="00BE3DAF">
        <w:rPr>
          <w:rFonts w:ascii="Aptos" w:eastAsia="Aptos" w:hAnsi="Aptos" w:cs="Arial"/>
          <w:kern w:val="2"/>
          <w:sz w:val="22"/>
          <w:szCs w:val="22"/>
          <w14:ligatures w14:val="standardContextual"/>
        </w:rPr>
        <w:t xml:space="preserve"> </w:t>
      </w:r>
      <w:r w:rsidR="00753DB3" w:rsidRPr="00BE3DAF">
        <w:rPr>
          <w:rFonts w:ascii="Aptos" w:eastAsia="Aptos" w:hAnsi="Aptos" w:cs="Arial"/>
          <w:kern w:val="2"/>
          <w:sz w:val="22"/>
          <w:szCs w:val="22"/>
          <w14:ligatures w14:val="standardContextual"/>
        </w:rPr>
        <w:t xml:space="preserve">countries, </w:t>
      </w:r>
      <w:r w:rsidR="00B02247" w:rsidRPr="00BE3DAF">
        <w:rPr>
          <w:rFonts w:ascii="Aptos" w:eastAsia="Aptos" w:hAnsi="Aptos" w:cs="Arial"/>
          <w:kern w:val="2"/>
          <w:sz w:val="22"/>
          <w:szCs w:val="22"/>
          <w14:ligatures w14:val="standardContextual"/>
        </w:rPr>
        <w:t xml:space="preserve">while </w:t>
      </w:r>
      <w:r w:rsidR="00043101" w:rsidRPr="00BE3DAF">
        <w:rPr>
          <w:rFonts w:ascii="Aptos" w:eastAsia="Aptos" w:hAnsi="Aptos" w:cs="Arial"/>
          <w:kern w:val="2"/>
          <w:sz w:val="22"/>
          <w:szCs w:val="22"/>
          <w14:ligatures w14:val="standardContextual"/>
        </w:rPr>
        <w:t>8</w:t>
      </w:r>
      <w:r w:rsidR="008F08FC" w:rsidRPr="00BE3DAF">
        <w:rPr>
          <w:rFonts w:ascii="Aptos" w:eastAsia="Aptos" w:hAnsi="Aptos" w:cs="Arial"/>
          <w:kern w:val="2"/>
          <w:sz w:val="22"/>
          <w:szCs w:val="22"/>
          <w14:ligatures w14:val="standardContextual"/>
        </w:rPr>
        <w:t xml:space="preserve"> countries </w:t>
      </w:r>
      <w:r w:rsidR="00B02247" w:rsidRPr="00BE3DAF">
        <w:rPr>
          <w:rFonts w:ascii="Aptos" w:eastAsia="Aptos" w:hAnsi="Aptos" w:cs="Arial"/>
          <w:kern w:val="2"/>
          <w:sz w:val="22"/>
          <w:szCs w:val="22"/>
          <w14:ligatures w14:val="standardContextual"/>
        </w:rPr>
        <w:t xml:space="preserve">are missing </w:t>
      </w:r>
      <w:r w:rsidR="00C57D32" w:rsidRPr="00BE3DAF">
        <w:rPr>
          <w:rFonts w:ascii="Aptos" w:eastAsia="Aptos" w:hAnsi="Aptos" w:cs="Arial"/>
          <w:kern w:val="2"/>
          <w:sz w:val="22"/>
          <w:szCs w:val="22"/>
          <w14:ligatures w14:val="standardContextual"/>
        </w:rPr>
        <w:t xml:space="preserve">only </w:t>
      </w:r>
      <w:r w:rsidR="008F08FC" w:rsidRPr="00BE3DAF">
        <w:rPr>
          <w:rFonts w:ascii="Aptos" w:eastAsia="Aptos" w:hAnsi="Aptos" w:cs="Arial"/>
          <w:kern w:val="2"/>
          <w:sz w:val="22"/>
          <w:szCs w:val="22"/>
          <w14:ligatures w14:val="standardContextual"/>
        </w:rPr>
        <w:t xml:space="preserve">one </w:t>
      </w:r>
      <w:r w:rsidR="00C57D32" w:rsidRPr="00BE3DAF">
        <w:rPr>
          <w:rFonts w:ascii="Aptos" w:eastAsia="Aptos" w:hAnsi="Aptos" w:cs="Arial"/>
          <w:kern w:val="2"/>
          <w:sz w:val="22"/>
          <w:szCs w:val="22"/>
          <w14:ligatures w14:val="standardContextual"/>
        </w:rPr>
        <w:t>indicator</w:t>
      </w:r>
      <w:r w:rsidR="008F08FC" w:rsidRPr="00BE3DAF">
        <w:rPr>
          <w:rFonts w:ascii="Aptos" w:eastAsia="Aptos" w:hAnsi="Aptos" w:cs="Arial"/>
          <w:kern w:val="2"/>
          <w:sz w:val="22"/>
          <w:szCs w:val="22"/>
          <w14:ligatures w14:val="standardContextual"/>
        </w:rPr>
        <w:t xml:space="preserve">. </w:t>
      </w:r>
      <w:r w:rsidR="00016FDD" w:rsidRPr="00BE3DAF">
        <w:rPr>
          <w:rFonts w:ascii="Aptos" w:eastAsia="Aptos" w:hAnsi="Aptos" w:cs="Arial"/>
          <w:kern w:val="2"/>
          <w:sz w:val="22"/>
          <w:szCs w:val="22"/>
          <w14:ligatures w14:val="standardContextual"/>
        </w:rPr>
        <w:t>At</w:t>
      </w:r>
      <w:r w:rsidR="004D6FF4" w:rsidRPr="00BE3DAF">
        <w:rPr>
          <w:rFonts w:ascii="Aptos" w:eastAsia="Aptos" w:hAnsi="Aptos" w:cs="Arial"/>
          <w:kern w:val="2"/>
          <w:sz w:val="22"/>
          <w:szCs w:val="22"/>
          <w14:ligatures w14:val="standardContextual"/>
        </w:rPr>
        <w:t xml:space="preserve"> t</w:t>
      </w:r>
      <w:r w:rsidR="00921B29" w:rsidRPr="00BE3DAF">
        <w:rPr>
          <w:rFonts w:ascii="Aptos" w:eastAsia="Aptos" w:hAnsi="Aptos" w:cs="Arial"/>
          <w:kern w:val="2"/>
          <w:sz w:val="22"/>
          <w:szCs w:val="22"/>
          <w14:ligatures w14:val="standardContextual"/>
        </w:rPr>
        <w:t>he</w:t>
      </w:r>
      <w:r w:rsidR="00E674BE" w:rsidRPr="00BE3DAF">
        <w:rPr>
          <w:rFonts w:ascii="Aptos" w:eastAsia="Aptos" w:hAnsi="Aptos" w:cs="Arial"/>
          <w:kern w:val="2"/>
          <w:sz w:val="22"/>
          <w:szCs w:val="22"/>
          <w14:ligatures w14:val="standardContextual"/>
        </w:rPr>
        <w:t xml:space="preserve"> </w:t>
      </w:r>
      <w:r w:rsidR="00016FDD" w:rsidRPr="00BE3DAF">
        <w:rPr>
          <w:rFonts w:ascii="Aptos" w:eastAsia="Aptos" w:hAnsi="Aptos" w:cs="Arial"/>
          <w:kern w:val="2"/>
          <w:sz w:val="22"/>
          <w:szCs w:val="22"/>
          <w14:ligatures w14:val="standardContextual"/>
        </w:rPr>
        <w:t xml:space="preserve">other </w:t>
      </w:r>
      <w:r w:rsidR="007D1430" w:rsidRPr="00BE3DAF">
        <w:rPr>
          <w:rFonts w:ascii="Aptos" w:eastAsia="Aptos" w:hAnsi="Aptos" w:cs="Arial"/>
          <w:kern w:val="2"/>
          <w:sz w:val="22"/>
          <w:szCs w:val="22"/>
          <w14:ligatures w14:val="standardContextual"/>
        </w:rPr>
        <w:t>end</w:t>
      </w:r>
      <w:r w:rsidR="00016FDD" w:rsidRPr="00BE3DAF">
        <w:rPr>
          <w:rFonts w:ascii="Aptos" w:eastAsia="Aptos" w:hAnsi="Aptos" w:cs="Arial"/>
          <w:kern w:val="2"/>
          <w:sz w:val="22"/>
          <w:szCs w:val="22"/>
          <w14:ligatures w14:val="standardContextual"/>
        </w:rPr>
        <w:t>,</w:t>
      </w:r>
      <w:r w:rsidR="00CB0534" w:rsidRPr="00BE3DAF">
        <w:rPr>
          <w:rFonts w:ascii="Aptos" w:eastAsia="Aptos" w:hAnsi="Aptos" w:cs="Arial"/>
          <w:kern w:val="2"/>
          <w:sz w:val="22"/>
          <w:szCs w:val="22"/>
          <w14:ligatures w14:val="standardContextual"/>
        </w:rPr>
        <w:t xml:space="preserve"> </w:t>
      </w:r>
      <w:r w:rsidR="009B2B57" w:rsidRPr="00BE3DAF">
        <w:rPr>
          <w:rFonts w:ascii="Aptos" w:eastAsia="Aptos" w:hAnsi="Aptos" w:cs="Arial"/>
          <w:kern w:val="2"/>
          <w:sz w:val="22"/>
          <w:szCs w:val="22"/>
          <w14:ligatures w14:val="standardContextual"/>
        </w:rPr>
        <w:t>13</w:t>
      </w:r>
      <w:r w:rsidR="007D1376" w:rsidRPr="00BE3DAF">
        <w:rPr>
          <w:rFonts w:ascii="Aptos" w:eastAsia="Aptos" w:hAnsi="Aptos" w:cs="Arial"/>
          <w:kern w:val="2"/>
          <w:sz w:val="22"/>
          <w:szCs w:val="22"/>
          <w14:ligatures w14:val="standardContextual"/>
        </w:rPr>
        <w:t xml:space="preserve"> c</w:t>
      </w:r>
      <w:r w:rsidR="000C383F" w:rsidRPr="00BE3DAF">
        <w:rPr>
          <w:rFonts w:ascii="Aptos" w:eastAsia="Aptos" w:hAnsi="Aptos" w:cs="Arial"/>
          <w:kern w:val="2"/>
          <w:sz w:val="22"/>
          <w:szCs w:val="22"/>
          <w14:ligatures w14:val="standardContextual"/>
        </w:rPr>
        <w:t xml:space="preserve">ountries </w:t>
      </w:r>
      <w:r w:rsidR="00926A05" w:rsidRPr="00BE3DAF">
        <w:rPr>
          <w:rFonts w:ascii="Aptos" w:eastAsia="Aptos" w:hAnsi="Aptos" w:cs="Arial"/>
          <w:kern w:val="2"/>
          <w:sz w:val="22"/>
          <w:szCs w:val="22"/>
          <w14:ligatures w14:val="standardContextual"/>
        </w:rPr>
        <w:t>collect</w:t>
      </w:r>
      <w:r w:rsidR="00FF4478" w:rsidRPr="00BE3DAF">
        <w:rPr>
          <w:rFonts w:ascii="Aptos" w:eastAsia="Aptos" w:hAnsi="Aptos" w:cs="Arial"/>
          <w:kern w:val="2"/>
          <w:sz w:val="22"/>
          <w:szCs w:val="22"/>
          <w14:ligatures w14:val="standardContextual"/>
        </w:rPr>
        <w:t xml:space="preserve"> less than half of the </w:t>
      </w:r>
      <w:r w:rsidR="00926A05" w:rsidRPr="00BE3DAF">
        <w:rPr>
          <w:rFonts w:ascii="Aptos" w:eastAsia="Aptos" w:hAnsi="Aptos" w:cs="Arial"/>
          <w:kern w:val="2"/>
          <w:sz w:val="22"/>
          <w:szCs w:val="22"/>
          <w14:ligatures w14:val="standardContextual"/>
        </w:rPr>
        <w:t xml:space="preserve">core set of administrative indicators, and </w:t>
      </w:r>
      <w:r w:rsidR="006032E2" w:rsidRPr="00BE3DAF">
        <w:rPr>
          <w:rFonts w:ascii="Aptos" w:eastAsia="Aptos" w:hAnsi="Aptos" w:cs="Arial"/>
          <w:kern w:val="2"/>
          <w:sz w:val="22"/>
          <w:szCs w:val="22"/>
          <w14:ligatures w14:val="standardContextual"/>
        </w:rPr>
        <w:t xml:space="preserve">9 </w:t>
      </w:r>
      <w:r w:rsidR="00A12D81" w:rsidRPr="00BE3DAF">
        <w:rPr>
          <w:rFonts w:ascii="Aptos" w:eastAsia="Aptos" w:hAnsi="Aptos" w:cs="Arial"/>
          <w:kern w:val="2"/>
          <w:sz w:val="22"/>
          <w:szCs w:val="22"/>
          <w14:ligatures w14:val="standardContextual"/>
        </w:rPr>
        <w:t xml:space="preserve">of them </w:t>
      </w:r>
      <w:r w:rsidR="007A2DF0" w:rsidRPr="00BE3DAF">
        <w:rPr>
          <w:rFonts w:ascii="Aptos" w:eastAsia="Aptos" w:hAnsi="Aptos" w:cs="Arial"/>
          <w:kern w:val="2"/>
          <w:sz w:val="22"/>
          <w:szCs w:val="22"/>
          <w14:ligatures w14:val="standardContextual"/>
        </w:rPr>
        <w:t>report data for</w:t>
      </w:r>
      <w:r w:rsidR="00A12D81" w:rsidRPr="00BE3DAF">
        <w:rPr>
          <w:rFonts w:ascii="Aptos" w:eastAsia="Aptos" w:hAnsi="Aptos" w:cs="Arial"/>
          <w:kern w:val="2"/>
          <w:sz w:val="22"/>
          <w:szCs w:val="22"/>
          <w14:ligatures w14:val="standardContextual"/>
        </w:rPr>
        <w:t xml:space="preserve"> 3 indicators</w:t>
      </w:r>
      <w:r w:rsidR="007A2DF0" w:rsidRPr="00BE3DAF">
        <w:rPr>
          <w:rFonts w:ascii="Aptos" w:eastAsia="Aptos" w:hAnsi="Aptos" w:cs="Arial"/>
          <w:kern w:val="2"/>
          <w:sz w:val="22"/>
          <w:szCs w:val="22"/>
          <w14:ligatures w14:val="standardContextual"/>
        </w:rPr>
        <w:t xml:space="preserve"> or </w:t>
      </w:r>
      <w:r w:rsidR="00CF5468" w:rsidRPr="00BE3DAF">
        <w:rPr>
          <w:rFonts w:ascii="Aptos" w:eastAsia="Aptos" w:hAnsi="Aptos" w:cs="Arial"/>
          <w:kern w:val="2"/>
          <w:sz w:val="22"/>
          <w:szCs w:val="22"/>
          <w14:ligatures w14:val="standardContextual"/>
        </w:rPr>
        <w:t>less</w:t>
      </w:r>
      <w:r w:rsidR="00A12D81" w:rsidRPr="00BE3DAF">
        <w:rPr>
          <w:rFonts w:ascii="Aptos" w:eastAsia="Aptos" w:hAnsi="Aptos" w:cs="Arial"/>
          <w:kern w:val="2"/>
          <w:sz w:val="22"/>
          <w:szCs w:val="22"/>
          <w14:ligatures w14:val="standardContextual"/>
        </w:rPr>
        <w:t xml:space="preserve">. </w:t>
      </w:r>
    </w:p>
    <w:p w14:paraId="02D998FF" w14:textId="137AABEA" w:rsidR="006C41B5" w:rsidRPr="00BE3DAF" w:rsidRDefault="004F09BE"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Data availability is generally good for the f</w:t>
      </w:r>
      <w:r w:rsidR="009E669B" w:rsidRPr="00BE3DAF">
        <w:rPr>
          <w:rFonts w:ascii="Aptos" w:eastAsia="Aptos" w:hAnsi="Aptos" w:cs="Arial"/>
          <w:kern w:val="2"/>
          <w:sz w:val="22"/>
          <w:szCs w:val="22"/>
          <w14:ligatures w14:val="standardContextual"/>
        </w:rPr>
        <w:t xml:space="preserve">ixed and mobile broadband subscription </w:t>
      </w:r>
      <w:r w:rsidR="0011440A" w:rsidRPr="00BE3DAF">
        <w:rPr>
          <w:rFonts w:ascii="Aptos" w:eastAsia="Aptos" w:hAnsi="Aptos" w:cs="Arial"/>
          <w:kern w:val="2"/>
          <w:sz w:val="22"/>
          <w:szCs w:val="22"/>
          <w14:ligatures w14:val="standardContextual"/>
        </w:rPr>
        <w:t xml:space="preserve">indicators </w:t>
      </w:r>
      <w:r w:rsidRPr="00BE3DAF">
        <w:rPr>
          <w:rFonts w:ascii="Aptos" w:eastAsia="Aptos" w:hAnsi="Aptos" w:cs="Arial"/>
          <w:kern w:val="2"/>
          <w:sz w:val="22"/>
          <w:szCs w:val="22"/>
          <w14:ligatures w14:val="standardContextual"/>
        </w:rPr>
        <w:t xml:space="preserve">as well as for </w:t>
      </w:r>
      <w:r w:rsidR="007519E7" w:rsidRPr="00BE3DAF">
        <w:rPr>
          <w:rFonts w:ascii="Aptos" w:eastAsia="Aptos" w:hAnsi="Aptos" w:cs="Arial"/>
          <w:kern w:val="2"/>
          <w:sz w:val="22"/>
          <w:szCs w:val="22"/>
          <w14:ligatures w14:val="standardContextual"/>
        </w:rPr>
        <w:t xml:space="preserve">3G and 4G </w:t>
      </w:r>
      <w:r w:rsidRPr="00BE3DAF">
        <w:rPr>
          <w:rFonts w:ascii="Aptos" w:eastAsia="Aptos" w:hAnsi="Aptos" w:cs="Arial"/>
          <w:kern w:val="2"/>
          <w:sz w:val="22"/>
          <w:szCs w:val="22"/>
          <w14:ligatures w14:val="standardContextual"/>
        </w:rPr>
        <w:t xml:space="preserve">mobile network coverage indicators. </w:t>
      </w:r>
      <w:r w:rsidR="00AE6243" w:rsidRPr="00BE3DAF">
        <w:rPr>
          <w:rFonts w:ascii="Aptos" w:eastAsia="Aptos" w:hAnsi="Aptos" w:cs="Arial"/>
          <w:kern w:val="2"/>
          <w:sz w:val="22"/>
          <w:szCs w:val="22"/>
          <w14:ligatures w14:val="standardContextual"/>
        </w:rPr>
        <w:t>Countries should focus their data collection and reporting on indicators for fixed broadband speed breakdown</w:t>
      </w:r>
      <w:r w:rsidR="00EE0FCB" w:rsidRPr="00BE3DAF">
        <w:rPr>
          <w:rFonts w:ascii="Aptos" w:eastAsia="Aptos" w:hAnsi="Aptos" w:cs="Arial"/>
          <w:kern w:val="2"/>
          <w:sz w:val="22"/>
          <w:szCs w:val="22"/>
          <w14:ligatures w14:val="standardContextual"/>
        </w:rPr>
        <w:t xml:space="preserve">, </w:t>
      </w:r>
      <w:r w:rsidR="004F0999" w:rsidRPr="00BE3DAF">
        <w:rPr>
          <w:rFonts w:ascii="Aptos" w:eastAsia="Aptos" w:hAnsi="Aptos" w:cs="Arial"/>
          <w:kern w:val="2"/>
          <w:sz w:val="22"/>
          <w:szCs w:val="22"/>
          <w14:ligatures w14:val="standardContextual"/>
        </w:rPr>
        <w:t xml:space="preserve">fixed and mobile broadband traffic, as well as </w:t>
      </w:r>
      <w:r w:rsidR="00AF06D1" w:rsidRPr="00BE3DAF">
        <w:rPr>
          <w:rFonts w:ascii="Aptos" w:eastAsia="Aptos" w:hAnsi="Aptos" w:cs="Arial"/>
          <w:kern w:val="2"/>
          <w:sz w:val="22"/>
          <w:szCs w:val="22"/>
          <w14:ligatures w14:val="standardContextual"/>
        </w:rPr>
        <w:t xml:space="preserve">for </w:t>
      </w:r>
      <w:r w:rsidR="005C6BBA" w:rsidRPr="00BE3DAF">
        <w:rPr>
          <w:rFonts w:ascii="Aptos" w:eastAsia="Aptos" w:hAnsi="Aptos" w:cs="Arial"/>
          <w:kern w:val="2"/>
          <w:sz w:val="22"/>
          <w:szCs w:val="22"/>
          <w14:ligatures w14:val="standardContextual"/>
        </w:rPr>
        <w:t>investment and revenue</w:t>
      </w:r>
      <w:r w:rsidR="00E948E4" w:rsidRPr="00BE3DAF">
        <w:rPr>
          <w:rFonts w:ascii="Aptos" w:eastAsia="Aptos" w:hAnsi="Aptos" w:cs="Arial"/>
          <w:kern w:val="2"/>
          <w:sz w:val="22"/>
          <w:szCs w:val="22"/>
          <w14:ligatures w14:val="standardContextual"/>
        </w:rPr>
        <w:t xml:space="preserve">, </w:t>
      </w:r>
      <w:r w:rsidR="00EE16CA" w:rsidRPr="00BE3DAF">
        <w:rPr>
          <w:rFonts w:ascii="Aptos" w:eastAsia="Aptos" w:hAnsi="Aptos" w:cs="Arial"/>
          <w:kern w:val="2"/>
          <w:sz w:val="22"/>
          <w:szCs w:val="22"/>
          <w14:ligatures w14:val="standardContextual"/>
        </w:rPr>
        <w:t>which are only available for hardly more than half</w:t>
      </w:r>
      <w:r w:rsidR="00E948E4" w:rsidRPr="00BE3DAF">
        <w:rPr>
          <w:rFonts w:ascii="Aptos" w:eastAsia="Aptos" w:hAnsi="Aptos" w:cs="Arial"/>
          <w:kern w:val="2"/>
          <w:sz w:val="22"/>
          <w:szCs w:val="22"/>
          <w14:ligatures w14:val="standardContextual"/>
        </w:rPr>
        <w:t xml:space="preserve"> </w:t>
      </w:r>
      <w:r w:rsidR="00AF06D1" w:rsidRPr="00BE3DAF">
        <w:rPr>
          <w:rFonts w:ascii="Aptos" w:eastAsia="Aptos" w:hAnsi="Aptos" w:cs="Arial"/>
          <w:kern w:val="2"/>
          <w:sz w:val="22"/>
          <w:szCs w:val="22"/>
          <w14:ligatures w14:val="standardContextual"/>
        </w:rPr>
        <w:t>of the countries</w:t>
      </w:r>
      <w:r w:rsidR="000C383F" w:rsidRPr="00BE3DAF">
        <w:rPr>
          <w:rFonts w:ascii="Aptos" w:eastAsia="Aptos" w:hAnsi="Aptos" w:cs="Arial"/>
          <w:kern w:val="2"/>
          <w:sz w:val="22"/>
          <w:szCs w:val="22"/>
          <w14:ligatures w14:val="standardContextual"/>
        </w:rPr>
        <w:t xml:space="preserve"> in</w:t>
      </w:r>
      <w:r w:rsidR="001C6085" w:rsidRPr="00BE3DAF">
        <w:rPr>
          <w:rFonts w:ascii="Aptos" w:eastAsia="Aptos" w:hAnsi="Aptos" w:cs="Arial"/>
          <w:kern w:val="2"/>
          <w:sz w:val="22"/>
          <w:szCs w:val="22"/>
          <w14:ligatures w14:val="standardContextual"/>
        </w:rPr>
        <w:t xml:space="preserve"> the </w:t>
      </w:r>
      <w:r w:rsidR="004C1427" w:rsidRPr="00BE3DAF">
        <w:rPr>
          <w:rFonts w:ascii="Aptos" w:eastAsia="Aptos" w:hAnsi="Aptos" w:cs="Arial"/>
          <w:kern w:val="2"/>
          <w:sz w:val="22"/>
          <w:szCs w:val="22"/>
          <w14:ligatures w14:val="standardContextual"/>
        </w:rPr>
        <w:t>region</w:t>
      </w:r>
      <w:r w:rsidR="001C6085" w:rsidRPr="00BE3DAF">
        <w:rPr>
          <w:rFonts w:ascii="Aptos" w:eastAsia="Aptos" w:hAnsi="Aptos" w:cs="Arial"/>
          <w:kern w:val="2"/>
          <w:sz w:val="22"/>
          <w:szCs w:val="22"/>
          <w14:ligatures w14:val="standardContextual"/>
        </w:rPr>
        <w:t>.</w:t>
      </w:r>
    </w:p>
    <w:p w14:paraId="70CF0F9A"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t>Percentage availability of selected administrative ICT indicators, 2022-2023</w:t>
      </w:r>
    </w:p>
    <w:p w14:paraId="08C58707" w14:textId="5F71D957" w:rsidR="001E5B86" w:rsidRPr="00BE3DAF" w:rsidRDefault="0036599C" w:rsidP="00B1004A">
      <w:pPr>
        <w:pStyle w:val="notetext"/>
      </w:pPr>
      <w:r w:rsidRPr="00BE3DAF">
        <w:rPr>
          <w:noProof/>
        </w:rPr>
        <w:drawing>
          <wp:inline distT="0" distB="0" distL="0" distR="0" wp14:anchorId="2DABC004" wp14:editId="189C3CA9">
            <wp:extent cx="6120765" cy="2856865"/>
            <wp:effectExtent l="0" t="0" r="0" b="635"/>
            <wp:docPr id="1616793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313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6120765" cy="2856865"/>
                    </a:xfrm>
                    <a:prstGeom prst="rect">
                      <a:avLst/>
                    </a:prstGeom>
                  </pic:spPr>
                </pic:pic>
              </a:graphicData>
            </a:graphic>
          </wp:inline>
        </w:drawing>
      </w:r>
      <w:r w:rsidR="001E5B86" w:rsidRPr="00BE3DAF">
        <w:t xml:space="preserve">Note: An indicator is considered available if at least one value is available for the period in question.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BE3DAF">
        <w:t xml:space="preserve">international bandwidth usage, </w:t>
      </w:r>
      <w:r w:rsidR="001E5B86" w:rsidRPr="00BE3DAF">
        <w:t xml:space="preserve">total telecommunication revenues and investment in telecommunication services. </w:t>
      </w:r>
    </w:p>
    <w:p w14:paraId="738A03AA" w14:textId="77777777" w:rsidR="006C41B5" w:rsidRPr="00BE3DAF" w:rsidRDefault="006C41B5" w:rsidP="00B1004A">
      <w:pPr>
        <w:pStyle w:val="Sourcetext"/>
        <w:rPr>
          <w:highlight w:val="cyan"/>
        </w:rPr>
      </w:pPr>
      <w:r w:rsidRPr="00BE3DAF">
        <w:t>Source: ITU</w:t>
      </w:r>
    </w:p>
    <w:p w14:paraId="0CCBD86D" w14:textId="6A3C94DF" w:rsidR="007D76DD" w:rsidRPr="00BE3DAF" w:rsidRDefault="007D76DD">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6DB961E0" w14:textId="20A72593" w:rsidR="007D76DD" w:rsidRPr="00BE3DAF" w:rsidRDefault="00D501BE" w:rsidP="007D76D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lastRenderedPageBreak/>
        <w:t>D</w:t>
      </w:r>
      <w:r w:rsidR="007D76DD" w:rsidRPr="00BE3DAF">
        <w:rPr>
          <w:rFonts w:ascii="Aptos" w:eastAsia="Aptos" w:hAnsi="Aptos" w:cs="Arial"/>
          <w:kern w:val="2"/>
          <w:sz w:val="22"/>
          <w:szCs w:val="22"/>
          <w14:ligatures w14:val="standardContextual"/>
        </w:rPr>
        <w:t xml:space="preserve">ata on ICT access and usage by households and individuals, usually derived from household surveys, remains limited. Only 14 countries in Asia and the Pacific have provided at least partial data </w:t>
      </w:r>
      <w:r w:rsidR="007D625A" w:rsidRPr="00BE3DAF">
        <w:rPr>
          <w:rFonts w:ascii="Aptos" w:eastAsia="Aptos" w:hAnsi="Aptos" w:cs="Arial"/>
          <w:kern w:val="2"/>
          <w:sz w:val="22"/>
          <w:szCs w:val="22"/>
          <w14:ligatures w14:val="standardContextual"/>
        </w:rPr>
        <w:t>for</w:t>
      </w:r>
      <w:r w:rsidR="007D76DD" w:rsidRPr="00BE3DAF">
        <w:rPr>
          <w:rFonts w:ascii="Aptos" w:eastAsia="Aptos" w:hAnsi="Aptos" w:cs="Arial"/>
          <w:kern w:val="2"/>
          <w:sz w:val="22"/>
          <w:szCs w:val="22"/>
          <w14:ligatures w14:val="standardContextual"/>
        </w:rPr>
        <w:t xml:space="preserve"> ICT household indicators for the period 2022-2023. Fourteen countries </w:t>
      </w:r>
      <w:r w:rsidR="009A6CAB" w:rsidRPr="00BE3DAF">
        <w:rPr>
          <w:rFonts w:ascii="Aptos" w:eastAsia="Aptos" w:hAnsi="Aptos" w:cs="Arial"/>
          <w:kern w:val="2"/>
          <w:sz w:val="22"/>
          <w:szCs w:val="22"/>
          <w14:ligatures w14:val="standardContextual"/>
        </w:rPr>
        <w:t xml:space="preserve">did not </w:t>
      </w:r>
      <w:r w:rsidR="007D76DD" w:rsidRPr="00BE3DAF">
        <w:rPr>
          <w:rFonts w:ascii="Aptos" w:eastAsia="Aptos" w:hAnsi="Aptos" w:cs="Arial"/>
          <w:kern w:val="2"/>
          <w:sz w:val="22"/>
          <w:szCs w:val="22"/>
          <w14:ligatures w14:val="standardContextual"/>
        </w:rPr>
        <w:t>provid</w:t>
      </w:r>
      <w:r w:rsidR="009A6CAB" w:rsidRPr="00BE3DAF">
        <w:rPr>
          <w:rFonts w:ascii="Aptos" w:eastAsia="Aptos" w:hAnsi="Aptos" w:cs="Arial"/>
          <w:kern w:val="2"/>
          <w:sz w:val="22"/>
          <w:szCs w:val="22"/>
          <w14:ligatures w14:val="standardContextual"/>
        </w:rPr>
        <w:t>e</w:t>
      </w:r>
      <w:r w:rsidR="007D76DD" w:rsidRPr="00BE3DAF">
        <w:rPr>
          <w:rFonts w:ascii="Aptos" w:eastAsia="Aptos" w:hAnsi="Aptos" w:cs="Arial"/>
          <w:kern w:val="2"/>
          <w:sz w:val="22"/>
          <w:szCs w:val="22"/>
          <w14:ligatures w14:val="standardContextual"/>
        </w:rPr>
        <w:t xml:space="preserve"> any data in the last ten years. </w:t>
      </w:r>
    </w:p>
    <w:p w14:paraId="7BECB566" w14:textId="74F44BFA" w:rsidR="007D76DD" w:rsidRPr="00BE3DAF" w:rsidRDefault="007D76DD" w:rsidP="007D76D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The issue is even more acute for data disaggregated by socio-economic attributes, which is often not available. </w:t>
      </w:r>
      <w:r w:rsidR="00BF5C4E" w:rsidRPr="00BE3DAF">
        <w:rPr>
          <w:rFonts w:ascii="Aptos" w:eastAsia="Aptos" w:hAnsi="Aptos" w:cs="Arial"/>
          <w:kern w:val="2"/>
          <w:sz w:val="22"/>
          <w:szCs w:val="22"/>
          <w14:ligatures w14:val="standardContextual"/>
        </w:rPr>
        <w:t>Only s</w:t>
      </w:r>
      <w:r w:rsidRPr="00BE3DAF">
        <w:rPr>
          <w:rFonts w:ascii="Aptos" w:eastAsia="Aptos" w:hAnsi="Aptos" w:cs="Arial"/>
          <w:kern w:val="2"/>
          <w:sz w:val="22"/>
          <w:szCs w:val="22"/>
          <w14:ligatures w14:val="standardContextual"/>
        </w:rPr>
        <w:t xml:space="preserve">ix </w:t>
      </w:r>
      <w:r w:rsidR="00BF5C4E" w:rsidRPr="00BE3DAF">
        <w:rPr>
          <w:rFonts w:ascii="Aptos" w:eastAsia="Aptos" w:hAnsi="Aptos" w:cs="Arial"/>
          <w:kern w:val="2"/>
          <w:sz w:val="22"/>
          <w:szCs w:val="22"/>
          <w14:ligatures w14:val="standardContextual"/>
        </w:rPr>
        <w:t>Asia-Pacific</w:t>
      </w:r>
      <w:r w:rsidRPr="00BE3DAF">
        <w:rPr>
          <w:rFonts w:ascii="Aptos" w:eastAsia="Aptos" w:hAnsi="Aptos" w:cs="Arial"/>
          <w:kern w:val="2"/>
          <w:sz w:val="22"/>
          <w:szCs w:val="22"/>
          <w14:ligatures w14:val="standardContextual"/>
        </w:rPr>
        <w:t xml:space="preserve"> countries have submitted recent data (2022 or more recent) for all six attributes of interest</w:t>
      </w:r>
      <w:r w:rsidR="00564783" w:rsidRPr="00BE3DAF">
        <w:rPr>
          <w:rFonts w:ascii="Aptos" w:eastAsia="Aptos" w:hAnsi="Aptos" w:cs="Arial"/>
          <w:kern w:val="2"/>
          <w:sz w:val="22"/>
          <w:szCs w:val="22"/>
          <w14:ligatures w14:val="standardContextual"/>
        </w:rPr>
        <w:t xml:space="preserve"> (</w:t>
      </w:r>
      <w:r w:rsidR="00141D3C" w:rsidRPr="00BE3DAF">
        <w:rPr>
          <w:rFonts w:ascii="Aptos" w:eastAsia="Aptos" w:hAnsi="Aptos" w:cs="Arial"/>
          <w:kern w:val="2"/>
          <w:sz w:val="22"/>
          <w:szCs w:val="22"/>
          <w14:ligatures w14:val="standardContextual"/>
        </w:rPr>
        <w:t xml:space="preserve">see </w:t>
      </w:r>
      <w:r w:rsidR="007F4FFA" w:rsidRPr="00BE3DAF">
        <w:rPr>
          <w:rFonts w:ascii="Aptos" w:eastAsia="Aptos" w:hAnsi="Aptos" w:cs="Arial"/>
          <w:kern w:val="2"/>
          <w:sz w:val="22"/>
          <w:szCs w:val="22"/>
          <w14:ligatures w14:val="standardContextual"/>
        </w:rPr>
        <w:t>t</w:t>
      </w:r>
      <w:r w:rsidR="00141D3C" w:rsidRPr="00BE3DAF">
        <w:rPr>
          <w:rFonts w:ascii="Aptos" w:eastAsia="Aptos" w:hAnsi="Aptos" w:cs="Arial"/>
          <w:kern w:val="2"/>
          <w:sz w:val="22"/>
          <w:szCs w:val="22"/>
          <w14:ligatures w14:val="standardContextual"/>
        </w:rPr>
        <w:t xml:space="preserve">able </w:t>
      </w:r>
      <w:r w:rsidR="007F4FFA" w:rsidRPr="00BE3DAF">
        <w:rPr>
          <w:rFonts w:ascii="Aptos" w:eastAsia="Aptos" w:hAnsi="Aptos" w:cs="Arial"/>
          <w:kern w:val="2"/>
          <w:sz w:val="22"/>
          <w:szCs w:val="22"/>
          <w14:ligatures w14:val="standardContextual"/>
        </w:rPr>
        <w:t>on next page)</w:t>
      </w:r>
      <w:r w:rsidRPr="00BE3DAF">
        <w:rPr>
          <w:rFonts w:ascii="Aptos" w:eastAsia="Aptos" w:hAnsi="Aptos" w:cs="Arial"/>
          <w:kern w:val="2"/>
          <w:sz w:val="22"/>
          <w:szCs w:val="22"/>
          <w14:ligatures w14:val="standardContextual"/>
        </w:rPr>
        <w:t xml:space="preserve">. Eight other countries have submitted recent data for at least one attribute. </w:t>
      </w:r>
    </w:p>
    <w:p w14:paraId="31282FAA" w14:textId="42F800F7" w:rsidR="009B1B8C" w:rsidRPr="00BE3DAF" w:rsidRDefault="007D76DD" w:rsidP="007D76D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Even when data is available, it may suffer from poor sample design, inadequate collection methods, or low response rates. Such shortcomings are likely to yield misleading results and may result in misguided policies. (For example, overestimation of ICT skills could lead policymakers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78FA3BCC" w14:textId="77777777" w:rsidR="006C41B5" w:rsidRPr="00BE3DAF"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E3DAF">
        <w:rPr>
          <w:rFonts w:ascii="AvenirNext LT Pro Light" w:eastAsia="Yu Gothic Light" w:hAnsi="AvenirNext LT Pro Light" w:cs="Calibri"/>
          <w:color w:val="0070C0"/>
          <w:spacing w:val="-10"/>
          <w:kern w:val="28"/>
        </w:rPr>
        <w:lastRenderedPageBreak/>
        <w:t>Latest year of submission of ICT household survey data, by socio-economic attribute</w:t>
      </w:r>
    </w:p>
    <w:p w14:paraId="4F52B673" w14:textId="77777777" w:rsidR="00C96B91" w:rsidRPr="00BE3DAF" w:rsidRDefault="00BE3FB6" w:rsidP="00AE71F1">
      <w:pPr>
        <w:pStyle w:val="Sourcetext"/>
      </w:pPr>
      <w:r w:rsidRPr="00BE3DAF">
        <w:rPr>
          <w:noProof/>
        </w:rPr>
        <w:drawing>
          <wp:inline distT="0" distB="0" distL="0" distR="0" wp14:anchorId="7977BDAF" wp14:editId="2F705C49">
            <wp:extent cx="5688000" cy="7825347"/>
            <wp:effectExtent l="0" t="0" r="8255" b="4445"/>
            <wp:docPr id="57235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88000" cy="7825347"/>
                    </a:xfrm>
                    <a:prstGeom prst="rect">
                      <a:avLst/>
                    </a:prstGeom>
                    <a:noFill/>
                    <a:ln>
                      <a:noFill/>
                    </a:ln>
                  </pic:spPr>
                </pic:pic>
              </a:graphicData>
            </a:graphic>
          </wp:inline>
        </w:drawing>
      </w:r>
      <w:r w:rsidRPr="00BE3DAF">
        <w:t xml:space="preserve"> </w:t>
      </w:r>
    </w:p>
    <w:p w14:paraId="7310A60A" w14:textId="0491255B" w:rsidR="00394925" w:rsidRPr="00BE3DAF" w:rsidRDefault="006C41B5" w:rsidP="00AE71F1">
      <w:pPr>
        <w:pStyle w:val="Sourcetext"/>
        <w:rPr>
          <w:rFonts w:ascii="Aptos Display" w:eastAsia="Yu Gothic Light" w:hAnsi="Aptos Display"/>
          <w:color w:val="0F4761"/>
          <w:sz w:val="40"/>
          <w:szCs w:val="40"/>
        </w:rPr>
      </w:pPr>
      <w:r w:rsidRPr="00BE3DAF">
        <w:t>Source: ITU</w:t>
      </w:r>
      <w:r w:rsidR="00394925" w:rsidRPr="00BE3DAF">
        <w:br w:type="page"/>
      </w:r>
    </w:p>
    <w:p w14:paraId="31D9AECE" w14:textId="721D8F55" w:rsidR="006C41B5" w:rsidRPr="00BE3DAF" w:rsidRDefault="006C41B5" w:rsidP="000C3666">
      <w:pPr>
        <w:pStyle w:val="Parttitle0"/>
      </w:pPr>
      <w:bookmarkStart w:id="22" w:name="_Toc189658587"/>
      <w:r w:rsidRPr="00BE3DAF">
        <w:lastRenderedPageBreak/>
        <w:t>Part 2</w:t>
      </w:r>
      <w:r w:rsidR="006731EB" w:rsidRPr="00BE3DAF">
        <w:t>.</w:t>
      </w:r>
      <w:r w:rsidRPr="00BE3DAF">
        <w:t xml:space="preserve"> BDT4Impact: Selected case studies from </w:t>
      </w:r>
      <w:r w:rsidR="00091171" w:rsidRPr="00BE3DAF">
        <w:t>Asia and the Pacific</w:t>
      </w:r>
      <w:bookmarkEnd w:id="22"/>
    </w:p>
    <w:p w14:paraId="4E3607D4" w14:textId="23845C19" w:rsidR="00877592" w:rsidRPr="00BE3DAF" w:rsidRDefault="003C6B13" w:rsidP="00877592">
      <w:pPr>
        <w:rPr>
          <w:rFonts w:ascii="Aptos" w:hAnsi="Aptos" w:cs="Calibri"/>
          <w:color w:val="2F2F2F"/>
          <w:sz w:val="22"/>
          <w:szCs w:val="22"/>
        </w:rPr>
      </w:pPr>
      <w:r w:rsidRPr="00BE3DAF">
        <w:rPr>
          <w:rFonts w:ascii="Aptos" w:hAnsi="Aptos" w:cs="Calibri"/>
          <w:color w:val="2F2F2F"/>
          <w:sz w:val="22"/>
          <w:szCs w:val="22"/>
        </w:rPr>
        <w:t xml:space="preserve">The second part of this document presents a selection of projects and initiatives supported by the ITU Telecommunication Development Bureau (BDT) in the Asia-Pacific region. </w:t>
      </w:r>
      <w:r w:rsidR="00877592" w:rsidRPr="00BE3DAF">
        <w:rPr>
          <w:rFonts w:ascii="Aptos" w:hAnsi="Aptos" w:cs="Calibri"/>
          <w:color w:val="2F2F2F"/>
          <w:sz w:val="22"/>
          <w:szCs w:val="22"/>
        </w:rPr>
        <w:t xml:space="preserve">For more </w:t>
      </w:r>
      <w:r w:rsidR="00F04EDA" w:rsidRPr="00BE3DAF">
        <w:rPr>
          <w:rFonts w:ascii="Aptos" w:hAnsi="Aptos" w:cs="Calibri"/>
          <w:color w:val="2F2F2F"/>
          <w:sz w:val="22"/>
          <w:szCs w:val="22"/>
        </w:rPr>
        <w:t xml:space="preserve">BDT </w:t>
      </w:r>
      <w:r w:rsidR="00877592" w:rsidRPr="00BE3DAF">
        <w:rPr>
          <w:rFonts w:ascii="Aptos" w:hAnsi="Aptos" w:cs="Calibri"/>
          <w:color w:val="2F2F2F"/>
          <w:sz w:val="22"/>
          <w:szCs w:val="22"/>
        </w:rPr>
        <w:t xml:space="preserve">impact stories, visit </w:t>
      </w:r>
      <w:hyperlink r:id="rId140" w:history="1">
        <w:r w:rsidR="00877592" w:rsidRPr="00BE3DAF">
          <w:rPr>
            <w:rStyle w:val="Hyperlink"/>
            <w:rFonts w:ascii="Aptos" w:hAnsi="Aptos" w:cs="Calibri"/>
            <w:sz w:val="22"/>
            <w:szCs w:val="22"/>
          </w:rPr>
          <w:t>https://www.itu.int/itu-d/sites/digital-impact-unlocked/all-stories/list/</w:t>
        </w:r>
      </w:hyperlink>
      <w:r w:rsidR="00877592" w:rsidRPr="00BE3DAF">
        <w:rPr>
          <w:rFonts w:ascii="Aptos" w:hAnsi="Aptos" w:cs="Calibri"/>
          <w:color w:val="2F2F2F"/>
          <w:sz w:val="22"/>
          <w:szCs w:val="22"/>
        </w:rPr>
        <w:t xml:space="preserve">. </w:t>
      </w:r>
    </w:p>
    <w:p w14:paraId="119E8841" w14:textId="77777777" w:rsidR="006A0A31" w:rsidRPr="00BE3DAF" w:rsidRDefault="006A0A31" w:rsidP="000637CE">
      <w:pPr>
        <w:pStyle w:val="Section"/>
      </w:pPr>
      <w:bookmarkStart w:id="23" w:name="_Toc189658588"/>
      <w:r w:rsidRPr="00BE3DAF">
        <w:t>Farmers in Papua New Guinea gain digital skills to boost their businesses</w:t>
      </w:r>
      <w:bookmarkEnd w:id="23"/>
    </w:p>
    <w:p w14:paraId="22CC2BC4" w14:textId="77777777" w:rsidR="006A0A31" w:rsidRPr="00BE3DAF" w:rsidRDefault="006A0A31" w:rsidP="00877592">
      <w:pPr>
        <w:rPr>
          <w:rFonts w:ascii="Aptos" w:eastAsia="Calibri" w:hAnsi="Aptos" w:cs="Calibri"/>
          <w:color w:val="2F2F2F"/>
          <w:sz w:val="22"/>
          <w:szCs w:val="22"/>
        </w:rPr>
      </w:pPr>
      <w:r w:rsidRPr="00BE3DAF">
        <w:rPr>
          <w:rFonts w:ascii="Aptos" w:hAnsi="Aptos" w:cs="Calibri"/>
          <w:color w:val="2F2F2F"/>
          <w:sz w:val="22"/>
          <w:szCs w:val="22"/>
        </w:rPr>
        <w:t xml:space="preserve">Deep in a Papua New Guinea rainforest, farmers are using newfound </w:t>
      </w:r>
      <w:hyperlink r:id="rId141" w:history="1">
        <w:r w:rsidRPr="00BE3DAF">
          <w:rPr>
            <w:rStyle w:val="Hyperlink"/>
            <w:rFonts w:ascii="Aptos" w:hAnsi="Aptos" w:cs="Calibri"/>
            <w:sz w:val="22"/>
            <w:szCs w:val="22"/>
          </w:rPr>
          <w:t>digital skills to increase the sales of their products</w:t>
        </w:r>
      </w:hyperlink>
      <w:r w:rsidRPr="00BE3DAF">
        <w:rPr>
          <w:rFonts w:ascii="Aptos" w:hAnsi="Aptos" w:cs="Calibri"/>
          <w:color w:val="2F2F2F"/>
          <w:sz w:val="22"/>
          <w:szCs w:val="22"/>
        </w:rPr>
        <w:t xml:space="preserve"> </w:t>
      </w:r>
      <w:r w:rsidRPr="00BE3DAF">
        <w:rPr>
          <w:rFonts w:ascii="Aptos" w:hAnsi="Aptos" w:cs="Calibri"/>
          <w:b/>
          <w:bCs/>
          <w:color w:val="2F2F2F"/>
          <w:sz w:val="22"/>
          <w:szCs w:val="22"/>
        </w:rPr>
        <w:t xml:space="preserve">– </w:t>
      </w:r>
      <w:r w:rsidRPr="00BE3DAF">
        <w:rPr>
          <w:rFonts w:ascii="Aptos" w:hAnsi="Aptos" w:cs="Calibri"/>
          <w:color w:val="2F2F2F"/>
          <w:sz w:val="22"/>
          <w:szCs w:val="22"/>
        </w:rPr>
        <w:t xml:space="preserve">from pure vanilla to fish to turmeric </w:t>
      </w:r>
      <w:r w:rsidRPr="00BE3DAF">
        <w:rPr>
          <w:rFonts w:ascii="Aptos" w:hAnsi="Aptos" w:cs="Calibri"/>
          <w:b/>
          <w:bCs/>
          <w:color w:val="2F2F2F"/>
          <w:sz w:val="22"/>
          <w:szCs w:val="22"/>
        </w:rPr>
        <w:t>–</w:t>
      </w:r>
      <w:r w:rsidRPr="00BE3DAF">
        <w:rPr>
          <w:rFonts w:ascii="Aptos" w:hAnsi="Aptos" w:cs="Calibri"/>
          <w:color w:val="2F2F2F"/>
          <w:sz w:val="22"/>
          <w:szCs w:val="22"/>
        </w:rPr>
        <w:t xml:space="preserve"> and bring greater prosperity to their communities.</w:t>
      </w:r>
    </w:p>
    <w:p w14:paraId="5D671804" w14:textId="77777777" w:rsidR="006A0A31" w:rsidRPr="00BE3DAF" w:rsidRDefault="006A0A31" w:rsidP="00877592">
      <w:pPr>
        <w:rPr>
          <w:rFonts w:ascii="Aptos" w:eastAsia="Calibri" w:hAnsi="Aptos" w:cs="Calibri"/>
          <w:color w:val="2F2F2F"/>
          <w:sz w:val="22"/>
          <w:szCs w:val="22"/>
        </w:rPr>
      </w:pPr>
      <w:r w:rsidRPr="00BE3DAF">
        <w:rPr>
          <w:rFonts w:ascii="Aptos" w:hAnsi="Aptos" w:cs="Calibri"/>
          <w:color w:val="2F2F2F"/>
          <w:sz w:val="22"/>
          <w:szCs w:val="22"/>
        </w:rPr>
        <w:t>Since 2020, more than 1,260 Papua New Guinea farmers have learned to conduct e-commerce, advertise online and find new markets, thanks to the EU-funded Support to Rural Entrepreneurship, Investment and Trade in Papua New Guinea Programme, a joint programme with FAO, ILO, ITU, UNCDF and UNDP.</w:t>
      </w:r>
    </w:p>
    <w:p w14:paraId="4B9C4C8D" w14:textId="77777777" w:rsidR="006A0A31" w:rsidRPr="00BE3DAF" w:rsidRDefault="006A0A31" w:rsidP="00877592">
      <w:pPr>
        <w:rPr>
          <w:rFonts w:ascii="Aptos" w:eastAsia="Calibri" w:hAnsi="Aptos" w:cs="Calibri"/>
          <w:color w:val="2F2F2F"/>
          <w:sz w:val="22"/>
          <w:szCs w:val="22"/>
        </w:rPr>
      </w:pPr>
      <w:r w:rsidRPr="00BE3DAF">
        <w:rPr>
          <w:rFonts w:ascii="Aptos" w:hAnsi="Aptos" w:cs="Calibri"/>
          <w:color w:val="2F2F2F"/>
          <w:sz w:val="22"/>
          <w:szCs w:val="22"/>
        </w:rPr>
        <w:t xml:space="preserve">“Farmers are very excited to learn about basic computing,” </w:t>
      </w:r>
      <w:hyperlink r:id="rId142" w:history="1">
        <w:r w:rsidRPr="00BE3DAF">
          <w:rPr>
            <w:rStyle w:val="Hyperlink"/>
            <w:rFonts w:ascii="Aptos" w:hAnsi="Aptos" w:cs="Calibri"/>
            <w:sz w:val="22"/>
            <w:szCs w:val="22"/>
          </w:rPr>
          <w:t>West Sepik farmer and teacher</w:t>
        </w:r>
      </w:hyperlink>
      <w:r w:rsidRPr="00BE3DAF">
        <w:rPr>
          <w:rFonts w:ascii="Aptos" w:hAnsi="Aptos" w:cs="Calibri"/>
          <w:color w:val="2F2F2F"/>
          <w:sz w:val="22"/>
          <w:szCs w:val="22"/>
        </w:rPr>
        <w:t xml:space="preserve"> Joseph Wotom said. “I believe it will bring increased cash right into the village and boost the living standard.”</w:t>
      </w:r>
    </w:p>
    <w:p w14:paraId="790F8060" w14:textId="77777777" w:rsidR="006A0A31" w:rsidRPr="00BE3DAF" w:rsidRDefault="006A0A31" w:rsidP="00877592">
      <w:pPr>
        <w:rPr>
          <w:rFonts w:ascii="Aptos" w:eastAsia="Calibri" w:hAnsi="Aptos" w:cs="Calibri"/>
          <w:color w:val="2F2F2F"/>
          <w:sz w:val="22"/>
          <w:szCs w:val="22"/>
        </w:rPr>
      </w:pPr>
      <w:r w:rsidRPr="00BE3DAF">
        <w:rPr>
          <w:rFonts w:ascii="Aptos" w:hAnsi="Aptos" w:cs="Calibri"/>
          <w:color w:val="2F2F2F"/>
          <w:sz w:val="22"/>
          <w:szCs w:val="22"/>
        </w:rPr>
        <w:t>East Sepik farmer Jenelyn Mamba created a website to find new buyers for her village’s vanilla beans after participating in the Programme’s five-day course. She is one of the first dried vanilla exporters to Australia, New Zealand and the United States of America.</w:t>
      </w:r>
    </w:p>
    <w:p w14:paraId="03158B61" w14:textId="77777777" w:rsidR="006A0A31" w:rsidRPr="00BE3DAF" w:rsidRDefault="006A0A31" w:rsidP="00877592">
      <w:pPr>
        <w:rPr>
          <w:rFonts w:ascii="Aptos" w:eastAsia="Calibri" w:hAnsi="Aptos" w:cs="Calibri"/>
          <w:color w:val="2F2F2F"/>
          <w:sz w:val="22"/>
          <w:szCs w:val="22"/>
        </w:rPr>
      </w:pPr>
      <w:r w:rsidRPr="00BE3DAF">
        <w:rPr>
          <w:rFonts w:ascii="Aptos" w:hAnsi="Aptos" w:cs="Calibri"/>
          <w:color w:val="2F2F2F"/>
          <w:sz w:val="22"/>
          <w:szCs w:val="22"/>
        </w:rPr>
        <w:t>“As a girl in the community, I feel that the trainings have really equipped me with the skills to actively participate,” Ms. Mamba said.</w:t>
      </w:r>
    </w:p>
    <w:p w14:paraId="07478F9E"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The Programme has set up seven hubs to promote connectivity and plans to establish five more.</w:t>
      </w:r>
    </w:p>
    <w:p w14:paraId="1845629F" w14:textId="77777777" w:rsidR="006A0A31" w:rsidRPr="00BE3DAF" w:rsidRDefault="006A0A31" w:rsidP="000637CE">
      <w:pPr>
        <w:pStyle w:val="Section"/>
      </w:pPr>
      <w:bookmarkStart w:id="24" w:name="_Toc189658589"/>
      <w:r w:rsidRPr="00BE3DAF">
        <w:t>Smart Village Gokina reaps the rewards of digital transformation</w:t>
      </w:r>
      <w:bookmarkEnd w:id="24"/>
    </w:p>
    <w:p w14:paraId="4B835873"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 xml:space="preserve">Pakistan launched its </w:t>
      </w:r>
      <w:hyperlink r:id="rId143" w:history="1">
        <w:r w:rsidRPr="00BE3DAF">
          <w:rPr>
            <w:rStyle w:val="Hyperlink"/>
            <w:rFonts w:ascii="Aptos" w:hAnsi="Aptos" w:cs="Calibri"/>
            <w:sz w:val="22"/>
            <w:szCs w:val="22"/>
          </w:rPr>
          <w:t>first Smart Village in 2023 in Gokina</w:t>
        </w:r>
      </w:hyperlink>
      <w:r w:rsidRPr="00BE3DAF">
        <w:rPr>
          <w:rFonts w:ascii="Aptos" w:hAnsi="Aptos" w:cs="Calibri"/>
          <w:color w:val="2F2F2F"/>
          <w:sz w:val="22"/>
          <w:szCs w:val="22"/>
        </w:rPr>
        <w:t>, and the success of the project has sparked enthusiasm for expanding the model to more villages in the country.</w:t>
      </w:r>
    </w:p>
    <w:p w14:paraId="56B57328"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Gokina’s example showed how digital transformation can help a village overcome challenges like poor access to job opportunities, health care, education, and more, said Ali Asghar, Senior Joint Secretary, Ministry of Information Technology and Telecommunications (MoITT).</w:t>
      </w:r>
    </w:p>
    <w:p w14:paraId="13D7D765"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“Through the platforms provided by the Ministry of IT and ITU, we provide the facilities and services for e-health, for e-education and for e-agriculture, and for entrepreneurship and digital training skills,” Mr. Asghar said. “The rural community, especially the women and girls in rural areas, will be the major beneficiaries of this project because of the digital services provided at their doorstep.”</w:t>
      </w:r>
    </w:p>
    <w:p w14:paraId="6DFB86B8"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 xml:space="preserve">The ITU Smart Villages initiative in Pakistan is being implemented with MoITT / USF Pakistan and is supported by ITU and Huawei projects. Implementing partners include TeleTaleem, Sahat Kehani, and Baidari. </w:t>
      </w:r>
    </w:p>
    <w:p w14:paraId="0541B886" w14:textId="77777777" w:rsidR="006A0A31" w:rsidRPr="00BE3DAF" w:rsidRDefault="006A0A31" w:rsidP="0031633E">
      <w:pPr>
        <w:pStyle w:val="Section"/>
        <w:spacing w:after="160"/>
      </w:pPr>
      <w:bookmarkStart w:id="25" w:name="_Toc189658590"/>
      <w:r w:rsidRPr="00BE3DAF">
        <w:t>Workshop in Mongolia delves into regional digital infrastructure challenges</w:t>
      </w:r>
      <w:bookmarkEnd w:id="25"/>
    </w:p>
    <w:p w14:paraId="413C8EC8"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 xml:space="preserve">The challenges of developing countries – especially those which are landlocked – in building resilient digital infrastructure was the subject of a </w:t>
      </w:r>
      <w:hyperlink r:id="rId144" w:history="1">
        <w:r w:rsidRPr="00BE3DAF">
          <w:rPr>
            <w:rStyle w:val="Hyperlink"/>
            <w:rFonts w:ascii="Aptos" w:hAnsi="Aptos" w:cs="Calibri"/>
            <w:sz w:val="22"/>
            <w:szCs w:val="22"/>
          </w:rPr>
          <w:t>workshop in Ulaanbaatar, Mongolia</w:t>
        </w:r>
      </w:hyperlink>
      <w:r w:rsidRPr="00BE3DAF">
        <w:rPr>
          <w:rFonts w:ascii="Aptos" w:hAnsi="Aptos" w:cs="Calibri"/>
          <w:color w:val="2F2F2F"/>
          <w:sz w:val="22"/>
          <w:szCs w:val="22"/>
        </w:rPr>
        <w:t>, conducted in October 2024 by ITU’s Telecommunication Development Bureau and the International Think Tank for Landlocked Developing Countries.</w:t>
      </w:r>
    </w:p>
    <w:p w14:paraId="331F0E9D"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sz w:val="22"/>
          <w:szCs w:val="22"/>
        </w:rPr>
        <w:lastRenderedPageBreak/>
        <w:t>T</w:t>
      </w:r>
      <w:r w:rsidRPr="00BE3DAF">
        <w:rPr>
          <w:rFonts w:ascii="Aptos" w:hAnsi="Aptos" w:cs="Calibri"/>
          <w:color w:val="2F2F2F"/>
          <w:sz w:val="22"/>
          <w:szCs w:val="22"/>
        </w:rPr>
        <w:t>he integration of upcoming non-terrestrial networks, direct-to-device services, and other new satellite technologies into digital infrastructure development is essential for building a resilient and inclusive digital ecosystem. The workshop examined ways that satellite and space services can support affordable, resilient and universal connectivity, emphasizing the need to overcome connectivity challenges and advance sustainable development in the Asia and the Pacific region.</w:t>
      </w:r>
      <w:r w:rsidRPr="00BE3DAF">
        <w:rPr>
          <w:rFonts w:ascii="Aptos" w:hAnsi="Aptos" w:cs="Calibri"/>
          <w:sz w:val="22"/>
          <w:szCs w:val="22"/>
        </w:rPr>
        <w:t xml:space="preserve"> </w:t>
      </w:r>
    </w:p>
    <w:p w14:paraId="5E327A01" w14:textId="77777777" w:rsidR="006A0A31" w:rsidRPr="00BE3DAF" w:rsidRDefault="006A0A31" w:rsidP="0031633E">
      <w:pPr>
        <w:pStyle w:val="Default"/>
        <w:spacing w:after="160" w:line="259" w:lineRule="auto"/>
        <w:rPr>
          <w:rFonts w:ascii="Aptos" w:eastAsia="Calibri" w:hAnsi="Aptos" w:cs="Calibri"/>
          <w:color w:val="2F2F2F"/>
          <w:sz w:val="22"/>
          <w:szCs w:val="22"/>
        </w:rPr>
      </w:pPr>
      <w:r w:rsidRPr="00BE3DAF">
        <w:rPr>
          <w:rFonts w:ascii="Aptos" w:hAnsi="Aptos" w:cs="Calibri"/>
          <w:color w:val="2F2F2F"/>
          <w:sz w:val="22"/>
          <w:szCs w:val="22"/>
        </w:rPr>
        <w:t>Participants looked at case studies from ten countries, including Azerbaijan, Bangladesh, Bhutan, Cambodia, Indonesia, Laos, Malaysia, Nepal, Pakistan, and Sri Lanka. The event was supported by the Department of Infrastructure, Transport, Regional Development, Communications and the Arts of Australia, Mongolia’s Ministry of Digital Development, Innovation and communication (MDDIC), and its Communications and Regulatory Commission (CRC).</w:t>
      </w:r>
    </w:p>
    <w:p w14:paraId="20A616D8" w14:textId="77777777" w:rsidR="006A0A31" w:rsidRPr="00BE3DAF" w:rsidRDefault="006A0A31" w:rsidP="0031633E">
      <w:pPr>
        <w:pStyle w:val="Default"/>
        <w:spacing w:before="0" w:after="160" w:line="259" w:lineRule="auto"/>
        <w:rPr>
          <w:rFonts w:ascii="Aptos" w:eastAsia="Calibri" w:hAnsi="Aptos" w:cs="Calibri"/>
          <w:color w:val="2F2F2F"/>
          <w:sz w:val="22"/>
          <w:szCs w:val="22"/>
        </w:rPr>
      </w:pPr>
      <w:r w:rsidRPr="00BE3DAF">
        <w:rPr>
          <w:rFonts w:ascii="Aptos" w:hAnsi="Aptos" w:cs="Calibri"/>
          <w:color w:val="2F2F2F"/>
          <w:sz w:val="22"/>
          <w:szCs w:val="22"/>
        </w:rPr>
        <w:t>The event featured sessions related to national satellite regulations and space policies, as well as a segment on Partner2Connect, where new pledges were presented from Mongolia for the first time.</w:t>
      </w:r>
    </w:p>
    <w:p w14:paraId="0633A1A6" w14:textId="77777777" w:rsidR="00C55F28" w:rsidRDefault="00C55F28" w:rsidP="00D00B29">
      <w:pPr>
        <w:pStyle w:val="Heading2Aptos"/>
        <w:rPr>
          <w:lang w:val="en-US"/>
        </w:rPr>
      </w:pPr>
      <w:bookmarkStart w:id="26" w:name="_Toc189658592"/>
      <w:r w:rsidRPr="006422C8">
        <w:rPr>
          <w:lang w:val="en-US"/>
        </w:rPr>
        <w:t>ASEAN Digital Ministers focus on interoperable Digital Government Infrastructure</w:t>
      </w:r>
    </w:p>
    <w:p w14:paraId="5CC2B289" w14:textId="77777777" w:rsidR="00D00B29" w:rsidRDefault="00C55F28" w:rsidP="00C55F28">
      <w:pPr>
        <w:pStyle w:val="Default"/>
        <w:rPr>
          <w:rFonts w:ascii="Calibri" w:hAnsi="Calibri" w:cs="Calibri"/>
          <w:color w:val="2F2F2F"/>
          <w:lang w:val="en-AE"/>
        </w:rPr>
      </w:pPr>
      <w:r w:rsidRPr="006422C8">
        <w:rPr>
          <w:rFonts w:ascii="Calibri" w:hAnsi="Calibri" w:cs="Calibri"/>
          <w:color w:val="2F2F2F"/>
          <w:lang w:val="en-AE"/>
        </w:rPr>
        <w:t xml:space="preserve">The </w:t>
      </w:r>
      <w:hyperlink r:id="rId145" w:history="1">
        <w:r w:rsidRPr="006422C8">
          <w:rPr>
            <w:rStyle w:val="Hyperlink"/>
            <w:rFonts w:ascii="Calibri" w:hAnsi="Calibri" w:cs="Calibri"/>
            <w:lang w:val="en-AE"/>
          </w:rPr>
          <w:t>ADGMIN (ASEAN Digital Ministers) Meeting</w:t>
        </w:r>
      </w:hyperlink>
      <w:r w:rsidRPr="006422C8">
        <w:rPr>
          <w:rFonts w:ascii="Calibri" w:hAnsi="Calibri" w:cs="Calibri"/>
          <w:color w:val="2F2F2F"/>
          <w:lang w:val="en-AE"/>
        </w:rPr>
        <w:t xml:space="preserve"> held in Bangkok in January 2025 endorsed the ‘ASEAN Digital Government Technical Framework’ developed under the aegis of ASEAN-ITU Priority Cooperation Areas (2024-2026) to strengthen cooperation between ASEAN and ITU. A physical workshop was hosted in Brunei in October 2024, where in consultation with the ASEAN Member States, the technical framework was developed. </w:t>
      </w:r>
    </w:p>
    <w:p w14:paraId="27D5B126" w14:textId="65D7879E" w:rsidR="00C55F28" w:rsidRPr="00D00B29" w:rsidRDefault="00C55F28" w:rsidP="00D00B29">
      <w:pPr>
        <w:pStyle w:val="Default"/>
        <w:rPr>
          <w:rFonts w:ascii="Calibri" w:hAnsi="Calibri" w:cs="Calibri"/>
          <w:color w:val="2F2F2F"/>
          <w:lang w:val="en-AE"/>
        </w:rPr>
      </w:pPr>
      <w:r w:rsidRPr="006422C8">
        <w:rPr>
          <w:rFonts w:ascii="Calibri" w:hAnsi="Calibri" w:cs="Calibri"/>
          <w:color w:val="2F2F2F"/>
          <w:lang w:val="en-AE"/>
        </w:rPr>
        <w:t>The interoperability framework is envisaged to provide a strategic blueprint for ASEAN Member States to establish and enhance interoperability within their digital government services. The framework elaborated on technical and technological aspects of interoperability, addressing infrastructure, data exchange protocols, privacy, security, and semantic consistency.</w:t>
      </w:r>
    </w:p>
    <w:p w14:paraId="4BF9C024" w14:textId="77777777" w:rsidR="00C55F28" w:rsidRPr="006422C8" w:rsidRDefault="00C55F28" w:rsidP="00C55F28">
      <w:pPr>
        <w:pStyle w:val="Default"/>
        <w:rPr>
          <w:rFonts w:ascii="Calibri" w:hAnsi="Calibri" w:cs="Calibri"/>
          <w:color w:val="2F2F2F"/>
          <w:lang w:val="en-AE"/>
        </w:rPr>
      </w:pPr>
      <w:r w:rsidRPr="006422C8">
        <w:rPr>
          <w:rFonts w:ascii="Calibri" w:hAnsi="Calibri" w:cs="Calibri"/>
          <w:color w:val="2F2F2F"/>
          <w:lang w:val="en-AE"/>
        </w:rPr>
        <w:t>The ADGMIN meeting encouraged ASEAN Member States to take the opportunity of ITU resources and technical assistance to accelerate digital transformation in the region. The Meeting also extended its deep appreciation on the occasion of ITU’s 160th anniversary in 2025 reflecting its remarkable journey since 1865.</w:t>
      </w:r>
    </w:p>
    <w:p w14:paraId="501932A4" w14:textId="77777777" w:rsidR="006A0A31" w:rsidRPr="00BE3DAF" w:rsidRDefault="006A0A31" w:rsidP="0031633E">
      <w:pPr>
        <w:pStyle w:val="Section"/>
        <w:spacing w:after="160"/>
      </w:pPr>
      <w:r w:rsidRPr="00BE3DAF">
        <w:t>Leaders focus on digital inclusion as a component of healthy aging</w:t>
      </w:r>
      <w:bookmarkEnd w:id="26"/>
    </w:p>
    <w:p w14:paraId="54DA2FE8" w14:textId="77777777" w:rsidR="006A0A31" w:rsidRPr="00BE3DAF" w:rsidRDefault="006A0A31" w:rsidP="0031633E">
      <w:pPr>
        <w:spacing w:after="160" w:line="259" w:lineRule="auto"/>
        <w:rPr>
          <w:rFonts w:ascii="Aptos" w:hAnsi="Aptos" w:cs="Calibri"/>
          <w:sz w:val="22"/>
          <w:szCs w:val="22"/>
        </w:rPr>
      </w:pPr>
      <w:r w:rsidRPr="00BE3DAF">
        <w:rPr>
          <w:rFonts w:ascii="Aptos" w:hAnsi="Aptos" w:cs="Calibri"/>
          <w:sz w:val="22"/>
          <w:szCs w:val="22"/>
        </w:rPr>
        <w:t xml:space="preserve">The ITU Regional Office for Asia and the Pacific organized an </w:t>
      </w:r>
      <w:hyperlink r:id="rId146" w:history="1">
        <w:r w:rsidRPr="00BE3DAF">
          <w:rPr>
            <w:rStyle w:val="Hyperlink"/>
            <w:rFonts w:ascii="Aptos" w:hAnsi="Aptos" w:cs="Calibri"/>
            <w:sz w:val="22"/>
            <w:szCs w:val="22"/>
          </w:rPr>
          <w:t>information session</w:t>
        </w:r>
      </w:hyperlink>
      <w:r w:rsidRPr="00BE3DAF">
        <w:rPr>
          <w:rFonts w:ascii="Aptos" w:hAnsi="Aptos" w:cs="Calibri"/>
          <w:sz w:val="22"/>
          <w:szCs w:val="22"/>
        </w:rPr>
        <w:t xml:space="preserve"> in Thailand that stressed the importance of information and communications technology for healthy aging.</w:t>
      </w:r>
    </w:p>
    <w:p w14:paraId="5606D391" w14:textId="77777777"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color w:val="0D0D0D"/>
          <w:sz w:val="22"/>
          <w:szCs w:val="22"/>
          <w:shd w:val="clear" w:color="auto" w:fill="FFFFFF"/>
        </w:rPr>
        <w:t>Representatives from government and UN agencies, academia and non-governmental organizations gathered for the hybrid event, which featured presentations and discussions on providing the country’s growing population of older people with the digital skills and tools they need to be engaged, empowered citizens.</w:t>
      </w:r>
    </w:p>
    <w:p w14:paraId="19B7150B" w14:textId="77777777" w:rsidR="006A0A31" w:rsidRPr="00BE3DAF" w:rsidRDefault="006A0A31" w:rsidP="0031633E">
      <w:pPr>
        <w:spacing w:after="160" w:line="259" w:lineRule="auto"/>
        <w:rPr>
          <w:rFonts w:ascii="Aptos" w:hAnsi="Aptos" w:cs="Calibri"/>
          <w:sz w:val="22"/>
          <w:szCs w:val="22"/>
        </w:rPr>
      </w:pPr>
      <w:r w:rsidRPr="00BE3DAF">
        <w:rPr>
          <w:rFonts w:ascii="Aptos" w:hAnsi="Aptos" w:cs="Calibri"/>
          <w:color w:val="0D0D0D"/>
          <w:sz w:val="22"/>
          <w:szCs w:val="22"/>
          <w:shd w:val="clear" w:color="auto" w:fill="FFFFFF"/>
        </w:rPr>
        <w:t>Participants also examined Thailand’s demographic trends and sought to better understand the challenges older people face in the country. The session noted that many older people have found themselves left behind in the wake of the world’s post-pandemic digital transformation.</w:t>
      </w:r>
    </w:p>
    <w:p w14:paraId="188671B7" w14:textId="77777777" w:rsidR="006A0A31" w:rsidRPr="00BE3DAF" w:rsidRDefault="006A0A31" w:rsidP="0031633E">
      <w:pPr>
        <w:spacing w:after="160" w:line="259" w:lineRule="auto"/>
        <w:rPr>
          <w:rFonts w:ascii="Aptos" w:hAnsi="Aptos" w:cs="Calibri"/>
          <w:sz w:val="22"/>
          <w:szCs w:val="22"/>
        </w:rPr>
      </w:pPr>
      <w:r w:rsidRPr="00BE3DAF">
        <w:rPr>
          <w:rFonts w:ascii="Aptos" w:hAnsi="Aptos" w:cs="Calibri"/>
          <w:color w:val="0D0D0D"/>
          <w:sz w:val="22"/>
          <w:szCs w:val="22"/>
          <w:shd w:val="clear" w:color="auto" w:fill="FFFFFF"/>
        </w:rPr>
        <w:t xml:space="preserve">Thailand is one of the world’s fastest-aging countries. Organizers said that the digital realm offers many opportunities for aging gracefully and becoming more active, less-vulnerable community members. </w:t>
      </w:r>
    </w:p>
    <w:p w14:paraId="41E9E731" w14:textId="77777777"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sz w:val="22"/>
          <w:szCs w:val="22"/>
        </w:rPr>
        <w:lastRenderedPageBreak/>
        <w:t xml:space="preserve">The event was organized by ITU and </w:t>
      </w:r>
      <w:r w:rsidRPr="00BE3DAF">
        <w:rPr>
          <w:rFonts w:ascii="Aptos" w:hAnsi="Aptos" w:cs="Calibri"/>
          <w:color w:val="0D0D0D"/>
          <w:sz w:val="22"/>
          <w:szCs w:val="22"/>
          <w:shd w:val="clear" w:color="auto" w:fill="FFFFFF"/>
        </w:rPr>
        <w:t>Thailand’s Ministry of Digital Economy and Society</w:t>
      </w:r>
      <w:r w:rsidRPr="00BE3DAF">
        <w:rPr>
          <w:rFonts w:ascii="Aptos" w:hAnsi="Aptos" w:cs="Calibri"/>
          <w:sz w:val="22"/>
          <w:szCs w:val="22"/>
        </w:rPr>
        <w:t xml:space="preserve">, with partners </w:t>
      </w:r>
      <w:r w:rsidRPr="00BE3DAF">
        <w:rPr>
          <w:rFonts w:ascii="Aptos" w:hAnsi="Aptos" w:cs="Calibri"/>
          <w:color w:val="0D0D0D"/>
          <w:sz w:val="22"/>
          <w:szCs w:val="22"/>
          <w:shd w:val="clear" w:color="auto" w:fill="FFFFFF"/>
        </w:rPr>
        <w:t>Jutendo University of Japan and the World Health Organization.</w:t>
      </w:r>
    </w:p>
    <w:p w14:paraId="635139A1" w14:textId="77777777" w:rsidR="006A0A31" w:rsidRPr="00BE3DAF" w:rsidRDefault="006A0A31" w:rsidP="0031633E">
      <w:pPr>
        <w:pStyle w:val="Section"/>
        <w:spacing w:after="160"/>
      </w:pPr>
      <w:bookmarkStart w:id="27" w:name="_Toc189658593"/>
      <w:r w:rsidRPr="00BE3DAF">
        <w:t>Innovation Centre in New Delhi unites stakeholders, enables digital advancements across sectors</w:t>
      </w:r>
      <w:bookmarkEnd w:id="27"/>
      <w:r w:rsidRPr="00BE3DAF">
        <w:t xml:space="preserve"> </w:t>
      </w:r>
    </w:p>
    <w:p w14:paraId="6EA14E1F" w14:textId="77777777"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color w:val="0D0D0D"/>
          <w:sz w:val="22"/>
          <w:szCs w:val="22"/>
          <w:shd w:val="clear" w:color="auto" w:fill="FFFFFF"/>
        </w:rPr>
        <w:t xml:space="preserve">ITU’s </w:t>
      </w:r>
      <w:hyperlink r:id="rId147" w:history="1">
        <w:r w:rsidRPr="00BE3DAF">
          <w:rPr>
            <w:rStyle w:val="Hyperlink"/>
            <w:rFonts w:ascii="Aptos" w:hAnsi="Aptos" w:cs="Calibri"/>
            <w:sz w:val="22"/>
            <w:szCs w:val="22"/>
            <w:shd w:val="clear" w:color="auto" w:fill="FFFFFF"/>
          </w:rPr>
          <w:t>new Area Office and Innovation Centre in India’s capital</w:t>
        </w:r>
      </w:hyperlink>
      <w:r w:rsidRPr="00BE3DAF">
        <w:rPr>
          <w:rFonts w:ascii="Aptos" w:hAnsi="Aptos" w:cs="Calibri"/>
          <w:color w:val="0D0D0D"/>
          <w:sz w:val="22"/>
          <w:szCs w:val="22"/>
          <w:shd w:val="clear" w:color="auto" w:fill="FFFFFF"/>
        </w:rPr>
        <w:t xml:space="preserve"> is serving as a hub for promoting advanced technologies in the region and beyond.</w:t>
      </w:r>
    </w:p>
    <w:p w14:paraId="350DECDF" w14:textId="77777777"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color w:val="0D0D0D"/>
          <w:sz w:val="22"/>
          <w:szCs w:val="22"/>
          <w:shd w:val="clear" w:color="auto" w:fill="FFFFFF"/>
        </w:rPr>
        <w:t xml:space="preserve">Inaugurated in 2023, the Centre has been bringing together government, industry, academia and others in an entrepreneurial environment so that digital technology advancements can reach communities that need them most in sectors such as agriculture, health, and education. </w:t>
      </w:r>
    </w:p>
    <w:p w14:paraId="5AA92F1A" w14:textId="5DD8013B"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color w:val="0D0D0D"/>
          <w:sz w:val="22"/>
          <w:szCs w:val="22"/>
          <w:shd w:val="clear" w:color="auto" w:fill="FFFFFF"/>
        </w:rPr>
        <w:t xml:space="preserve">The Centre also serves as a platform for the exchange of ideas, success stories, innovative solutions and global </w:t>
      </w:r>
      <w:r w:rsidR="00A46AA3" w:rsidRPr="00BE3DAF">
        <w:rPr>
          <w:rFonts w:ascii="Aptos" w:hAnsi="Aptos" w:cs="Calibri"/>
          <w:color w:val="0D0D0D"/>
          <w:sz w:val="22"/>
          <w:szCs w:val="22"/>
          <w:shd w:val="clear" w:color="auto" w:fill="FFFFFF"/>
        </w:rPr>
        <w:t>endeavours</w:t>
      </w:r>
      <w:r w:rsidRPr="00BE3DAF">
        <w:rPr>
          <w:rFonts w:ascii="Aptos" w:hAnsi="Aptos" w:cs="Calibri"/>
          <w:color w:val="0D0D0D"/>
          <w:sz w:val="22"/>
          <w:szCs w:val="22"/>
          <w:shd w:val="clear" w:color="auto" w:fill="FFFFFF"/>
        </w:rPr>
        <w:t>. It is pursuing four objectives: strategic foresight, open technology innovation, the growth of small and medium enterprises and entrepreneurship, and policy experimentation.</w:t>
      </w:r>
    </w:p>
    <w:p w14:paraId="14D94324" w14:textId="77777777"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color w:val="0D0D0D"/>
          <w:sz w:val="22"/>
          <w:szCs w:val="22"/>
          <w:shd w:val="clear" w:color="auto" w:fill="FFFFFF"/>
        </w:rPr>
        <w:t>Officials in India noted that the Innovation Centre is the first of its kind under the auspices of ITU and that it will play an important role in the development of new telecommunication technologies.</w:t>
      </w:r>
    </w:p>
    <w:p w14:paraId="65034D38" w14:textId="77777777" w:rsidR="006A0A31" w:rsidRPr="00BE3DAF" w:rsidRDefault="006A0A31" w:rsidP="0031633E">
      <w:pPr>
        <w:spacing w:after="160" w:line="259" w:lineRule="auto"/>
        <w:rPr>
          <w:rFonts w:ascii="Aptos" w:hAnsi="Aptos" w:cs="Calibri"/>
          <w:color w:val="0D0D0D"/>
          <w:sz w:val="22"/>
          <w:szCs w:val="22"/>
          <w:shd w:val="clear" w:color="auto" w:fill="FFFFFF"/>
        </w:rPr>
      </w:pPr>
      <w:r w:rsidRPr="00BE3DAF">
        <w:rPr>
          <w:rFonts w:ascii="Aptos" w:hAnsi="Aptos" w:cs="Calibri"/>
          <w:color w:val="0D0D0D"/>
          <w:sz w:val="22"/>
          <w:szCs w:val="22"/>
          <w:shd w:val="clear" w:color="auto" w:fill="FFFFFF"/>
        </w:rPr>
        <w:t>The facility is in the Centre for Development of Telematics, and the office is funded by the Government of India.</w:t>
      </w:r>
    </w:p>
    <w:p w14:paraId="4B8D96EC" w14:textId="7EC8E037" w:rsidR="00E03647" w:rsidRPr="00BE3DAF" w:rsidRDefault="00E03647" w:rsidP="003949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br w:type="page"/>
      </w:r>
    </w:p>
    <w:p w14:paraId="3EEF5D22" w14:textId="6C155758" w:rsidR="006C41B5" w:rsidRPr="00BE3DAF" w:rsidRDefault="006C41B5" w:rsidP="000C3666">
      <w:pPr>
        <w:pStyle w:val="Parttitle0"/>
      </w:pPr>
      <w:bookmarkStart w:id="28" w:name="_Toc189658594"/>
      <w:r w:rsidRPr="00BE3DAF">
        <w:lastRenderedPageBreak/>
        <w:t>Annex</w:t>
      </w:r>
      <w:r w:rsidR="00DC4955" w:rsidRPr="00BE3DAF">
        <w:t>:</w:t>
      </w:r>
      <w:r w:rsidRPr="00BE3DAF">
        <w:t xml:space="preserve"> Data resources</w:t>
      </w:r>
      <w:bookmarkEnd w:id="28"/>
      <w:r w:rsidRPr="00BE3DAF">
        <w:t xml:space="preserve"> </w:t>
      </w:r>
    </w:p>
    <w:p w14:paraId="68ABB30D" w14:textId="52ADB99C" w:rsidR="009F1CDD" w:rsidRPr="00BE3DAF"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BE3DAF">
        <w:rPr>
          <w:rFonts w:ascii="Aptos" w:eastAsia="Aptos" w:hAnsi="Aptos" w:cs="Arial"/>
          <w:kern w:val="2"/>
          <w:sz w:val="22"/>
          <w:szCs w:val="22"/>
          <w14:ligatures w14:val="standardContextual"/>
        </w:rPr>
        <w:t xml:space="preserve">To ensure up-to-date information, and enhance readability, all data presented in this </w:t>
      </w:r>
      <w:r w:rsidR="00202F61" w:rsidRPr="00BE3DAF">
        <w:rPr>
          <w:rFonts w:ascii="Aptos" w:eastAsia="Aptos" w:hAnsi="Aptos" w:cs="Arial"/>
          <w:kern w:val="2"/>
          <w:sz w:val="22"/>
          <w:szCs w:val="22"/>
          <w14:ligatures w14:val="standardContextual"/>
        </w:rPr>
        <w:t>document</w:t>
      </w:r>
      <w:r w:rsidRPr="00BE3DAF">
        <w:rPr>
          <w:rFonts w:ascii="Aptos" w:eastAsia="Aptos" w:hAnsi="Aptos" w:cs="Arial"/>
          <w:kern w:val="2"/>
          <w:sz w:val="22"/>
          <w:szCs w:val="22"/>
          <w14:ligatures w14:val="standardContextual"/>
        </w:rPr>
        <w:t xml:space="preserve"> are available for download as Excel files:</w:t>
      </w:r>
    </w:p>
    <w:p w14:paraId="67232335" w14:textId="0602CE63" w:rsidR="005430F0" w:rsidRPr="00BE3DAF" w:rsidRDefault="005430F0" w:rsidP="003F2687">
      <w:pPr>
        <w:pStyle w:val="ListParagraph"/>
        <w:numPr>
          <w:ilvl w:val="0"/>
          <w:numId w:val="27"/>
        </w:numPr>
        <w:rPr>
          <w:rFonts w:ascii="Aptos" w:hAnsi="Aptos"/>
          <w:sz w:val="22"/>
          <w:szCs w:val="22"/>
        </w:rPr>
      </w:pPr>
      <w:hyperlink r:id="rId148" w:history="1">
        <w:r w:rsidRPr="00BE3DAF">
          <w:rPr>
            <w:rStyle w:val="Hyperlink"/>
            <w:rFonts w:ascii="Aptos" w:hAnsi="Aptos"/>
            <w:sz w:val="22"/>
            <w:szCs w:val="22"/>
          </w:rPr>
          <w:t>Country-level data</w:t>
        </w:r>
      </w:hyperlink>
      <w:r w:rsidRPr="00BE3DAF">
        <w:rPr>
          <w:rFonts w:ascii="Aptos" w:hAnsi="Aptos"/>
          <w:sz w:val="22"/>
          <w:szCs w:val="22"/>
        </w:rPr>
        <w:t xml:space="preserve"> organized by tabs corresponding to the sections of this </w:t>
      </w:r>
      <w:r w:rsidR="00202F61" w:rsidRPr="00BE3DAF">
        <w:rPr>
          <w:rFonts w:ascii="Aptos" w:hAnsi="Aptos"/>
          <w:sz w:val="22"/>
          <w:szCs w:val="22"/>
        </w:rPr>
        <w:t>document</w:t>
      </w:r>
      <w:r w:rsidRPr="00BE3DAF">
        <w:rPr>
          <w:rFonts w:ascii="Aptos" w:hAnsi="Aptos"/>
          <w:sz w:val="22"/>
          <w:szCs w:val="22"/>
        </w:rPr>
        <w:t xml:space="preserve"> (URL: </w:t>
      </w:r>
      <w:hyperlink r:id="rId149" w:history="1">
        <w:r w:rsidR="009307AA" w:rsidRPr="00BE3DAF">
          <w:rPr>
            <w:rStyle w:val="Hyperlink"/>
            <w:rFonts w:ascii="Aptos" w:eastAsia="Aptos" w:hAnsi="Aptos"/>
            <w:sz w:val="22"/>
            <w:szCs w:val="22"/>
          </w:rPr>
          <w:t>https://www.itu.int/en/ITU-D/Statistics/Documents/facts/rpm_asp_pub_2025_data.xlsx</w:t>
        </w:r>
      </w:hyperlink>
      <w:r w:rsidR="00326380" w:rsidRPr="00BE3DAF">
        <w:rPr>
          <w:rFonts w:ascii="Aptos" w:hAnsi="Aptos"/>
          <w:sz w:val="22"/>
          <w:szCs w:val="22"/>
        </w:rPr>
        <w:t>).</w:t>
      </w:r>
      <w:r w:rsidRPr="00BE3DAF">
        <w:rPr>
          <w:rFonts w:ascii="Aptos" w:hAnsi="Aptos"/>
          <w:sz w:val="22"/>
          <w:szCs w:val="22"/>
        </w:rPr>
        <w:t xml:space="preserve"> Country level data were extracted from the </w:t>
      </w:r>
      <w:hyperlink r:id="rId150" w:history="1">
        <w:r w:rsidRPr="00BE3DAF">
          <w:rPr>
            <w:rStyle w:val="Hyperlink"/>
            <w:rFonts w:ascii="Aptos" w:hAnsi="Aptos"/>
            <w:sz w:val="22"/>
            <w:szCs w:val="22"/>
          </w:rPr>
          <w:t>ITU DataHub</w:t>
        </w:r>
      </w:hyperlink>
      <w:r w:rsidRPr="00BE3DAF">
        <w:rPr>
          <w:rFonts w:ascii="Aptos" w:hAnsi="Aptos"/>
          <w:sz w:val="22"/>
          <w:szCs w:val="22"/>
        </w:rPr>
        <w:t xml:space="preserve">, reflecting the </w:t>
      </w:r>
      <w:r w:rsidR="00ED6F1D" w:rsidRPr="00BE3DAF">
        <w:rPr>
          <w:rFonts w:ascii="Aptos" w:hAnsi="Aptos"/>
          <w:sz w:val="22"/>
          <w:szCs w:val="22"/>
        </w:rPr>
        <w:t>February</w:t>
      </w:r>
      <w:r w:rsidRPr="00BE3DAF">
        <w:rPr>
          <w:rFonts w:ascii="Aptos" w:hAnsi="Aptos"/>
          <w:sz w:val="22"/>
          <w:szCs w:val="22"/>
        </w:rPr>
        <w:t xml:space="preserve"> 2025 data release.</w:t>
      </w:r>
    </w:p>
    <w:p w14:paraId="4A0A93A0" w14:textId="3FD9062B" w:rsidR="005430F0" w:rsidRPr="00BE3DAF" w:rsidRDefault="005430F0" w:rsidP="003F2687">
      <w:pPr>
        <w:pStyle w:val="ListParagraph"/>
        <w:numPr>
          <w:ilvl w:val="0"/>
          <w:numId w:val="27"/>
        </w:numPr>
        <w:rPr>
          <w:rFonts w:ascii="Aptos" w:hAnsi="Aptos"/>
          <w:sz w:val="22"/>
          <w:szCs w:val="22"/>
        </w:rPr>
      </w:pPr>
      <w:hyperlink r:id="rId151" w:history="1">
        <w:r w:rsidRPr="00BE3DAF">
          <w:rPr>
            <w:rStyle w:val="Hyperlink"/>
            <w:rFonts w:ascii="Aptos" w:hAnsi="Aptos"/>
            <w:sz w:val="22"/>
            <w:szCs w:val="22"/>
          </w:rPr>
          <w:t>Regional and global estimates</w:t>
        </w:r>
      </w:hyperlink>
      <w:r w:rsidRPr="00BE3DAF">
        <w:rPr>
          <w:rFonts w:ascii="Aptos" w:hAnsi="Aptos"/>
          <w:sz w:val="22"/>
          <w:szCs w:val="22"/>
        </w:rPr>
        <w:t xml:space="preserve">, as compiled for </w:t>
      </w:r>
      <w:hyperlink r:id="rId152" w:history="1">
        <w:r w:rsidRPr="00BE3DAF">
          <w:rPr>
            <w:rStyle w:val="Hyperlink"/>
            <w:rFonts w:ascii="Aptos" w:hAnsi="Aptos"/>
            <w:sz w:val="22"/>
            <w:szCs w:val="22"/>
          </w:rPr>
          <w:t>Facts and Figures 2024</w:t>
        </w:r>
      </w:hyperlink>
      <w:r w:rsidR="00065473" w:rsidRPr="00BE3DAF">
        <w:t xml:space="preserve"> </w:t>
      </w:r>
      <w:r w:rsidRPr="00BE3DAF">
        <w:rPr>
          <w:rFonts w:ascii="Aptos" w:hAnsi="Aptos"/>
          <w:sz w:val="22"/>
          <w:szCs w:val="22"/>
        </w:rPr>
        <w:t>(URL:</w:t>
      </w:r>
      <w:r w:rsidR="003F2687" w:rsidRPr="00BE3DAF">
        <w:rPr>
          <w:rFonts w:ascii="Aptos" w:hAnsi="Aptos"/>
          <w:sz w:val="22"/>
          <w:szCs w:val="22"/>
        </w:rPr>
        <w:t xml:space="preserve"> </w:t>
      </w:r>
      <w:hyperlink r:id="rId153" w:history="1">
        <w:r w:rsidR="00055877" w:rsidRPr="00BE3DAF">
          <w:rPr>
            <w:rStyle w:val="Hyperlink"/>
            <w:rFonts w:ascii="Aptos" w:hAnsi="Aptos"/>
            <w:sz w:val="22"/>
            <w:szCs w:val="22"/>
          </w:rPr>
          <w:t>https://www.itu.int/en/ITU-D/Statistics/Documents/facts/ITU_regional_global_Key_ICT_indicator_aggregates_Nov_2024.xlsx</w:t>
        </w:r>
      </w:hyperlink>
      <w:r w:rsidRPr="00BE3DAF">
        <w:rPr>
          <w:rFonts w:ascii="Aptos" w:hAnsi="Aptos"/>
          <w:sz w:val="22"/>
          <w:szCs w:val="22"/>
        </w:rPr>
        <w:t>).</w:t>
      </w:r>
    </w:p>
    <w:p w14:paraId="5B29B2A3" w14:textId="44B526A7" w:rsidR="00923CF1" w:rsidRPr="00BE3DAF" w:rsidRDefault="00923CF1" w:rsidP="003F2687">
      <w:pPr>
        <w:tabs>
          <w:tab w:val="clear" w:pos="794"/>
          <w:tab w:val="clear" w:pos="1191"/>
          <w:tab w:val="clear" w:pos="1588"/>
          <w:tab w:val="clear" w:pos="1985"/>
        </w:tabs>
        <w:overflowPunct/>
        <w:autoSpaceDE/>
        <w:autoSpaceDN/>
        <w:adjustRightInd/>
        <w:spacing w:before="0" w:after="160" w:line="259" w:lineRule="auto"/>
        <w:textAlignment w:val="auto"/>
        <w:rPr>
          <w:rFonts w:ascii="Aptos" w:hAnsi="Aptos"/>
          <w:sz w:val="22"/>
          <w:szCs w:val="22"/>
        </w:rPr>
      </w:pPr>
    </w:p>
    <w:sectPr w:rsidR="00923CF1" w:rsidRPr="00BE3DAF" w:rsidSect="008C7A35">
      <w:headerReference w:type="default" r:id="rId154"/>
      <w:footerReference w:type="first" r:id="rId155"/>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803EC" w14:textId="77777777" w:rsidR="00072023" w:rsidRDefault="00072023">
      <w:r>
        <w:separator/>
      </w:r>
    </w:p>
    <w:p w14:paraId="686B3E63" w14:textId="77777777" w:rsidR="00072023" w:rsidRDefault="00072023"/>
  </w:endnote>
  <w:endnote w:type="continuationSeparator" w:id="0">
    <w:p w14:paraId="7E5B6CE8" w14:textId="77777777" w:rsidR="00072023" w:rsidRDefault="00072023">
      <w:r>
        <w:continuationSeparator/>
      </w:r>
    </w:p>
    <w:p w14:paraId="146DF0C0" w14:textId="77777777" w:rsidR="00072023" w:rsidRDefault="00072023"/>
  </w:endnote>
  <w:endnote w:type="continuationNotice" w:id="1">
    <w:p w14:paraId="69527D10" w14:textId="77777777" w:rsidR="00072023" w:rsidRDefault="00072023">
      <w:pPr>
        <w:spacing w:before="0"/>
      </w:pPr>
    </w:p>
    <w:p w14:paraId="1C94BD56" w14:textId="77777777" w:rsidR="00072023" w:rsidRDefault="00072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Helvetica Neue">
    <w:altName w:val="Sylfaen"/>
    <w:charset w:val="00"/>
    <w:family w:val="roman"/>
    <w:pitch w:val="default"/>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3E025546"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1" w:name="OrgName"/>
      <w:bookmarkEnd w:id="31"/>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2" w:name="PhoneNo"/>
      <w:bookmarkEnd w:id="32"/>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3" w:name="Email"/>
      <w:bookmarkEnd w:id="33"/>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5DC75" w14:textId="77777777" w:rsidR="00072023" w:rsidRDefault="00072023">
      <w:r>
        <w:t>____________________</w:t>
      </w:r>
    </w:p>
  </w:footnote>
  <w:footnote w:type="continuationSeparator" w:id="0">
    <w:p w14:paraId="4987D617" w14:textId="77777777" w:rsidR="00072023" w:rsidRDefault="00072023">
      <w:r>
        <w:continuationSeparator/>
      </w:r>
    </w:p>
    <w:p w14:paraId="7B2CFECD" w14:textId="77777777" w:rsidR="00072023" w:rsidRDefault="00072023"/>
  </w:footnote>
  <w:footnote w:type="continuationNotice" w:id="1">
    <w:p w14:paraId="683798E6" w14:textId="77777777" w:rsidR="00072023" w:rsidRDefault="00072023">
      <w:pPr>
        <w:spacing w:before="0"/>
      </w:pPr>
    </w:p>
    <w:p w14:paraId="37F19F80" w14:textId="77777777" w:rsidR="00072023" w:rsidRDefault="00072023"/>
  </w:footnote>
  <w:footnote w:id="2">
    <w:p w14:paraId="67833FAC" w14:textId="12E0A834" w:rsidR="006C41B5" w:rsidRPr="00EF36CD" w:rsidRDefault="006C41B5" w:rsidP="00EF36CD">
      <w:pPr>
        <w:pStyle w:val="FootnoteText"/>
      </w:pPr>
      <w:r w:rsidRPr="0022019A">
        <w:rPr>
          <w:rStyle w:val="FootnoteReference"/>
        </w:rPr>
        <w:footnoteRef/>
      </w:r>
      <w:r w:rsidRPr="00EF36CD">
        <w:t xml:space="preserve"> As of </w:t>
      </w:r>
      <w:r w:rsidR="00845458">
        <w:t>February</w:t>
      </w:r>
      <w:r w:rsidR="005C04DE">
        <w:t xml:space="preserve"> </w:t>
      </w:r>
      <w:r w:rsidRPr="00EF36CD">
        <w:t>202</w:t>
      </w:r>
      <w:r w:rsidR="005C04DE">
        <w:t>5</w:t>
      </w:r>
      <w:r w:rsidRPr="00EF36CD">
        <w:t xml:space="preserve">, the </w:t>
      </w:r>
      <w:r w:rsidR="00845458">
        <w:t>A</w:t>
      </w:r>
      <w:r w:rsidR="00B51B01">
        <w:t>sia and the Pacific</w:t>
      </w:r>
      <w:r w:rsidR="005C04DE">
        <w:t xml:space="preserve"> </w:t>
      </w:r>
      <w:r w:rsidRPr="00EF36CD">
        <w:t xml:space="preserve">region, as defined by ITU, consists of the </w:t>
      </w:r>
      <w:r w:rsidRPr="00D70412">
        <w:t xml:space="preserve">following </w:t>
      </w:r>
      <w:r w:rsidR="005C04DE" w:rsidRPr="00D70412">
        <w:t>4</w:t>
      </w:r>
      <w:r w:rsidR="00EB3764" w:rsidRPr="00D70412">
        <w:t>1</w:t>
      </w:r>
      <w:r w:rsidRPr="00EF36CD">
        <w:t xml:space="preserve"> economies:</w:t>
      </w:r>
      <w:r w:rsidR="00E624B0" w:rsidRPr="00E624B0">
        <w:t xml:space="preserve"> </w:t>
      </w:r>
      <w:r w:rsidR="00C5449E" w:rsidRPr="00C5449E">
        <w:t>Afghanistan; Australia; Bangladesh; Bhutan; Brunei Darussalam; Cambodia; China; Dem. People’s Rep. of Korea; Fiji; Hong Kong, China; India; Indonesia; Iran (Islamic Republic of); Japan; Kiribati; Korea (Rep. of); Lao P.D.R.; Macao, China; Malaysia; Maldives; Marshall Islands; Micronesia; Mongolia; Myanmar; Nauru; Nepal (Republic of); New Zealand; Pakistan; Palau; Papua New Guinea; Philippines; Samoa; Singapore; Solomon Islands; Sri Lanka; Thailand; Timor-Leste; Tonga; Tuvalu; Vanuatu; and Viet Nam</w:t>
      </w:r>
      <w:r w:rsidR="009F0F3D">
        <w:t>.</w:t>
      </w:r>
    </w:p>
  </w:footnote>
  <w:footnote w:id="3">
    <w:p w14:paraId="3848875A" w14:textId="77777777" w:rsidR="008B6ACD" w:rsidRPr="009848E5" w:rsidRDefault="008B6ACD" w:rsidP="008B6ACD">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 per cent.</w:t>
      </w:r>
    </w:p>
  </w:footnote>
  <w:footnote w:id="4">
    <w:p w14:paraId="76ABA8D9" w14:textId="62DF5E91" w:rsidR="006C41B5" w:rsidRPr="004B35BA" w:rsidRDefault="006C41B5" w:rsidP="006C41B5">
      <w:pPr>
        <w:pStyle w:val="FootnoteText"/>
      </w:pPr>
      <w:r w:rsidRPr="00473D49">
        <w:rPr>
          <w:rStyle w:val="FootnoteReference"/>
        </w:rPr>
        <w:footnoteRef/>
      </w:r>
      <w:r w:rsidRPr="00473D49">
        <w:t xml:space="preserve"> In this document, for </w:t>
      </w:r>
      <w:r w:rsidR="00F84005" w:rsidRPr="00473D49">
        <w:t>f</w:t>
      </w:r>
      <w:r w:rsidRPr="00473D49">
        <w:t>igures reporting economy-level data, all economies are shown</w:t>
      </w:r>
      <w:r w:rsidR="006B3CD4" w:rsidRPr="00473D49">
        <w:t xml:space="preserve">. Countries are sorted </w:t>
      </w:r>
      <w:r w:rsidR="00950342" w:rsidRPr="00473D49">
        <w:t>by value</w:t>
      </w:r>
      <w:r w:rsidR="006B3CD4" w:rsidRPr="00473D49">
        <w:t xml:space="preserve"> of the indicator</w:t>
      </w:r>
      <w:r w:rsidRPr="00473D49">
        <w:t>. A data point is only shown if it is for the year 2020 or later, otherwise it is marked as not available (N/A)</w:t>
      </w:r>
      <w:r w:rsidR="00C25642" w:rsidRPr="00473D49">
        <w:t>, or excluded altogether</w:t>
      </w:r>
      <w:r w:rsidR="00DB0377" w:rsidRPr="00473D49">
        <w:t xml:space="preserve"> (</w:t>
      </w:r>
      <w:r w:rsidR="007863F9" w:rsidRPr="00473D49">
        <w:t xml:space="preserve">when </w:t>
      </w:r>
      <w:r w:rsidR="00DB0D63" w:rsidRPr="00473D49">
        <w:t>data are not available for many countries</w:t>
      </w:r>
      <w:r w:rsidR="00DB0377" w:rsidRPr="00473D49">
        <w:t>)</w:t>
      </w:r>
      <w:r w:rsidRPr="00473D49">
        <w:t xml:space="preserve">. In addition, a marker shows the data point for the year 2018, if available. Data are extracted from the </w:t>
      </w:r>
      <w:hyperlink r:id="rId1" w:history="1">
        <w:r w:rsidRPr="00473D49">
          <w:rPr>
            <w:rStyle w:val="Hyperlink"/>
          </w:rPr>
          <w:t>ITU DataHub</w:t>
        </w:r>
      </w:hyperlink>
      <w:r w:rsidR="00293F8B" w:rsidRPr="00473D49">
        <w:t>,</w:t>
      </w:r>
      <w:r w:rsidRPr="00473D49">
        <w:t xml:space="preserve"> based on the data release of </w:t>
      </w:r>
      <w:r w:rsidR="001F6818">
        <w:t>February</w:t>
      </w:r>
      <w:r w:rsidR="00B5694F" w:rsidRPr="00473D49">
        <w:t xml:space="preserve"> 2025</w:t>
      </w:r>
      <w:r w:rsidRPr="00473D49">
        <w:t xml:space="preserve">. Since country-level data are available for the year 2023 at best, for comparison purposes, the regional average for the year 2023 is reported as well, as published in </w:t>
      </w:r>
      <w:hyperlink r:id="rId2" w:history="1">
        <w:r w:rsidRPr="00473D49">
          <w:rPr>
            <w:rStyle w:val="Hyperlink"/>
          </w:rPr>
          <w:t>Facts and Figures 2024</w:t>
        </w:r>
      </w:hyperlink>
      <w:r w:rsidRPr="00473D49">
        <w:t xml:space="preserve">. To save space in these </w:t>
      </w:r>
      <w:r w:rsidR="00F84005" w:rsidRPr="00473D49">
        <w:t>f</w:t>
      </w:r>
      <w:r w:rsidRPr="00473D49">
        <w:t xml:space="preserve">igures, </w:t>
      </w:r>
      <w:r w:rsidR="0054775F" w:rsidRPr="00473D49">
        <w:t>“</w:t>
      </w:r>
      <w:r w:rsidR="004F075E" w:rsidRPr="00473D49">
        <w:t>DPR Korea</w:t>
      </w:r>
      <w:r w:rsidR="0054775F" w:rsidRPr="00473D49">
        <w:t>”</w:t>
      </w:r>
      <w:r w:rsidR="00F84005" w:rsidRPr="00473D49">
        <w:t xml:space="preserve"> is used instead of </w:t>
      </w:r>
      <w:r w:rsidR="0054775F" w:rsidRPr="00473D49">
        <w:t>“</w:t>
      </w:r>
      <w:r w:rsidR="00E324EC" w:rsidRPr="00473D49">
        <w:t>Dem. People’s Rep. of Korea</w:t>
      </w:r>
      <w:r w:rsidR="0054775F" w:rsidRPr="00473D49">
        <w:t>”</w:t>
      </w:r>
      <w:r w:rsidR="00E324EC" w:rsidRPr="00473D49">
        <w:t xml:space="preserve"> and “Iran”</w:t>
      </w:r>
      <w:r w:rsidR="006A1D3A" w:rsidRPr="00473D49">
        <w:t xml:space="preserve"> instead of “</w:t>
      </w:r>
      <w:r w:rsidR="0073596A" w:rsidRPr="00473D49">
        <w:t>Iran (Islamic Republic of)</w:t>
      </w:r>
      <w:r w:rsidR="006A1D3A" w:rsidRPr="00473D49">
        <w:t>”</w:t>
      </w:r>
      <w:r w:rsidRPr="00473D49">
        <w:t>.</w:t>
      </w:r>
    </w:p>
  </w:footnote>
  <w:footnote w:id="5">
    <w:p w14:paraId="63389ABC" w14:textId="77777777" w:rsidR="00AC2C25" w:rsidRPr="005B254D" w:rsidRDefault="00AC2C25" w:rsidP="00AC2C25">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6">
    <w:p w14:paraId="05299E94" w14:textId="30CE403D" w:rsidR="00E9428B" w:rsidRPr="00E9428B" w:rsidRDefault="00E9428B">
      <w:pPr>
        <w:pStyle w:val="FootnoteText"/>
      </w:pPr>
      <w:r>
        <w:rPr>
          <w:rStyle w:val="FootnoteReference"/>
        </w:rPr>
        <w:footnoteRef/>
      </w:r>
      <w:r>
        <w:t xml:space="preserve"> </w:t>
      </w:r>
      <w:r w:rsidR="0009059A" w:rsidRPr="0009059A">
        <w:t>Considering only those countries for which data was available for all years from 2018 to 2024</w:t>
      </w:r>
      <w:r w:rsidR="0009059A">
        <w:t>.</w:t>
      </w:r>
    </w:p>
  </w:footnote>
  <w:footnote w:id="7">
    <w:p w14:paraId="3404B038" w14:textId="77777777" w:rsidR="007C19BF" w:rsidRPr="005E14BE" w:rsidRDefault="007C19BF" w:rsidP="007C19BF">
      <w:pPr>
        <w:pStyle w:val="FootnoteText"/>
      </w:pPr>
      <w:r>
        <w:rPr>
          <w:rStyle w:val="FootnoteReference"/>
        </w:rPr>
        <w:footnoteRef/>
      </w:r>
      <w:r>
        <w:t xml:space="preserve"> For a complete definition, see ISIC Rev. 4 class 61.</w:t>
      </w:r>
    </w:p>
  </w:footnote>
  <w:footnote w:id="8">
    <w:p w14:paraId="58D1A98E" w14:textId="77777777" w:rsidR="0010744B" w:rsidRPr="008648EC" w:rsidRDefault="0010744B" w:rsidP="0010744B">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Expenditure on research and development, annual fees for operating licences and the use of radio spectrum, and investment in telecommunication software or equipment for internal use are excluded.</w:t>
      </w:r>
    </w:p>
  </w:footnote>
  <w:footnote w:id="9">
    <w:p w14:paraId="23287AF8" w14:textId="10E8CEF3" w:rsidR="00F53AF6" w:rsidRPr="00F53AF6" w:rsidRDefault="00F53AF6">
      <w:pPr>
        <w:pStyle w:val="FootnoteText"/>
      </w:pPr>
      <w:r>
        <w:rPr>
          <w:rStyle w:val="FootnoteReference"/>
        </w:rPr>
        <w:footnoteRef/>
      </w:r>
      <w:r>
        <w:t xml:space="preserve"> </w:t>
      </w:r>
      <w:r w:rsidR="00294580">
        <w:t>D</w:t>
      </w:r>
      <w:r w:rsidRPr="00F53AF6">
        <w:t xml:space="preserve">ata </w:t>
      </w:r>
      <w:r w:rsidR="00294580">
        <w:t xml:space="preserve">for </w:t>
      </w:r>
      <w:r w:rsidR="00294580" w:rsidRPr="00F53AF6">
        <w:t xml:space="preserve">DPR Korea </w:t>
      </w:r>
      <w:r w:rsidRPr="00F53AF6">
        <w:t>is based on desk research</w:t>
      </w:r>
      <w:r w:rsidR="00294580">
        <w:t xml:space="preserve">, as the country </w:t>
      </w:r>
      <w:r w:rsidR="00294580" w:rsidRPr="00F53AF6">
        <w:t xml:space="preserve">did not provide </w:t>
      </w:r>
      <w:r w:rsidR="00294580">
        <w:t xml:space="preserve">any </w:t>
      </w:r>
      <w:r w:rsidR="00294580" w:rsidRPr="00F53AF6">
        <w:t>input</w:t>
      </w:r>
      <w:r w:rsidR="00294580">
        <w:t>s</w:t>
      </w:r>
      <w:r w:rsidRPr="00F53AF6">
        <w:t>.</w:t>
      </w:r>
    </w:p>
  </w:footnote>
  <w:footnote w:id="10">
    <w:p w14:paraId="18BD457F" w14:textId="10FA342B" w:rsidR="00A7753B" w:rsidRPr="005641AC" w:rsidRDefault="00A7753B">
      <w:pPr>
        <w:pStyle w:val="FootnoteText"/>
      </w:pPr>
      <w:r>
        <w:rPr>
          <w:rStyle w:val="FootnoteReference"/>
        </w:rPr>
        <w:footnoteRef/>
      </w:r>
      <w:r w:rsidRPr="005641AC">
        <w:t xml:space="preserve"> </w:t>
      </w:r>
      <w:r w:rsidR="00C310E0">
        <w:t xml:space="preserve">Including </w:t>
      </w:r>
      <w:r w:rsidR="00F26E97" w:rsidRPr="005641AC">
        <w:t>Indonesia</w:t>
      </w:r>
      <w:r w:rsidR="00C310E0">
        <w:t xml:space="preserve">, </w:t>
      </w:r>
      <w:r w:rsidR="00923625">
        <w:t>where</w:t>
      </w:r>
      <w:r w:rsidR="00923625" w:rsidRPr="00923625">
        <w:t xml:space="preserve"> </w:t>
      </w:r>
      <w:r w:rsidR="00923625">
        <w:t>the e-waste regulatory framework was strengthened after publication of the Global E-waste Monitor</w:t>
      </w:r>
      <w:r w:rsidR="00424BE8">
        <w:t>.</w:t>
      </w:r>
    </w:p>
  </w:footnote>
  <w:footnote w:id="11">
    <w:p w14:paraId="30DB88F6" w14:textId="7971C7A3" w:rsidR="001A0A6D" w:rsidRPr="001A0A6D" w:rsidRDefault="001A0A6D">
      <w:pPr>
        <w:pStyle w:val="FootnoteText"/>
      </w:pPr>
      <w:r>
        <w:rPr>
          <w:rStyle w:val="FootnoteReference"/>
        </w:rPr>
        <w:footnoteRef/>
      </w:r>
      <w:r>
        <w:t xml:space="preserve"> </w:t>
      </w:r>
      <w:r w:rsidR="00C310E0">
        <w:t xml:space="preserve">Including </w:t>
      </w:r>
      <w:r>
        <w:t>Singapore</w:t>
      </w:r>
      <w:r w:rsidR="00C310E0">
        <w:t>, which</w:t>
      </w:r>
      <w:r>
        <w:t xml:space="preserve"> </w:t>
      </w:r>
      <w:r w:rsidR="00923625">
        <w:t xml:space="preserve">begun the process of adopting an </w:t>
      </w:r>
      <w:r w:rsidR="00923625" w:rsidRPr="008E4B73">
        <w:t>EPR framework</w:t>
      </w:r>
      <w:r w:rsidR="00923625" w:rsidRPr="005641AC">
        <w:t xml:space="preserve"> af</w:t>
      </w:r>
      <w:r w:rsidR="00923625">
        <w:t>ter publication of the Global E-waste Monitor</w:t>
      </w:r>
      <w:r w:rsidR="008E4B73">
        <w:t>.</w:t>
      </w:r>
    </w:p>
  </w:footnote>
  <w:footnote w:id="12">
    <w:p w14:paraId="00E4F770" w14:textId="7CE86498" w:rsidR="00AC1C2E" w:rsidRPr="007F6AD2" w:rsidRDefault="00AC1C2E" w:rsidP="00AC1C2E">
      <w:pPr>
        <w:pStyle w:val="FootnoteText"/>
      </w:pPr>
      <w:r w:rsidRPr="008648EC">
        <w:rPr>
          <w:rStyle w:val="FootnoteReference"/>
        </w:rPr>
        <w:footnoteRef/>
      </w:r>
      <w:r w:rsidRPr="008648EC">
        <w:rPr>
          <w:sz w:val="16"/>
          <w:szCs w:val="16"/>
        </w:rPr>
        <w:t xml:space="preserve"> </w:t>
      </w:r>
      <w:r w:rsidR="00CD4AE0">
        <w:t>Papua New Guinea</w:t>
      </w:r>
      <w:r w:rsidRPr="00853BEA">
        <w:t xml:space="preserve"> is not included in the three groups due to substantial differences in connectivity with others in the region.</w:t>
      </w:r>
      <w:r w:rsidR="00330BB7">
        <w:t xml:space="preserve"> </w:t>
      </w:r>
      <w:r w:rsidR="00AA20FA">
        <w:t xml:space="preserve">The </w:t>
      </w:r>
      <w:r w:rsidR="00330BB7" w:rsidRPr="00C02B4A">
        <w:t>Dem</w:t>
      </w:r>
      <w:r w:rsidR="00AA20FA">
        <w:t>ocratic</w:t>
      </w:r>
      <w:r w:rsidR="00330BB7" w:rsidRPr="00C02B4A">
        <w:t xml:space="preserve"> People's Rep</w:t>
      </w:r>
      <w:r w:rsidR="00AA20FA">
        <w:t>ublic</w:t>
      </w:r>
      <w:r w:rsidR="00330BB7" w:rsidRPr="00C02B4A">
        <w:t xml:space="preserve"> of Korea is excluded </w:t>
      </w:r>
      <w:r w:rsidR="00112879" w:rsidRPr="00C02B4A">
        <w:t>because of insufficient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79E5BA22" w:rsidR="00721657" w:rsidRPr="009542BB"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CO"/>
      </w:rPr>
    </w:pPr>
    <w:r w:rsidRPr="004D495C">
      <w:rPr>
        <w:sz w:val="22"/>
        <w:szCs w:val="22"/>
      </w:rPr>
      <w:tab/>
    </w:r>
    <w:r w:rsidRPr="009542BB">
      <w:rPr>
        <w:sz w:val="22"/>
        <w:szCs w:val="22"/>
        <w:lang w:val="es-CO"/>
      </w:rPr>
      <w:t>ITU-D/</w:t>
    </w:r>
    <w:bookmarkStart w:id="29" w:name="DocRef2"/>
    <w:bookmarkEnd w:id="29"/>
    <w:r w:rsidRPr="009542BB">
      <w:rPr>
        <w:sz w:val="22"/>
        <w:szCs w:val="22"/>
        <w:lang w:val="es-CO"/>
      </w:rPr>
      <w:t>RPM-</w:t>
    </w:r>
    <w:r w:rsidR="00670782" w:rsidRPr="009542BB">
      <w:rPr>
        <w:sz w:val="22"/>
        <w:szCs w:val="22"/>
        <w:lang w:val="es-CO"/>
      </w:rPr>
      <w:t>ASP</w:t>
    </w:r>
    <w:r w:rsidRPr="009542BB">
      <w:rPr>
        <w:sz w:val="22"/>
        <w:szCs w:val="22"/>
        <w:lang w:val="es-CO"/>
      </w:rPr>
      <w:t>25/</w:t>
    </w:r>
    <w:bookmarkStart w:id="30" w:name="DocNo2"/>
    <w:bookmarkEnd w:id="30"/>
    <w:r w:rsidR="008B1F4F" w:rsidRPr="000B613A">
      <w:rPr>
        <w:sz w:val="22"/>
        <w:szCs w:val="22"/>
        <w:lang w:val="es-CO"/>
      </w:rPr>
      <w:t>3</w:t>
    </w:r>
    <w:r w:rsidRPr="000B613A">
      <w:rPr>
        <w:sz w:val="22"/>
        <w:szCs w:val="22"/>
        <w:lang w:val="es-CO"/>
      </w:rPr>
      <w:t>-</w:t>
    </w:r>
    <w:r w:rsidRPr="009542BB">
      <w:rPr>
        <w:sz w:val="22"/>
        <w:szCs w:val="22"/>
        <w:lang w:val="es-CO"/>
      </w:rPr>
      <w:t>E</w:t>
    </w:r>
    <w:r w:rsidRPr="009542BB">
      <w:rPr>
        <w:sz w:val="22"/>
        <w:szCs w:val="22"/>
        <w:lang w:val="es-CO"/>
      </w:rPr>
      <w:tab/>
      <w:t xml:space="preserve">Page </w:t>
    </w:r>
    <w:r w:rsidRPr="004D495C">
      <w:rPr>
        <w:sz w:val="22"/>
        <w:szCs w:val="22"/>
      </w:rPr>
      <w:fldChar w:fldCharType="begin"/>
    </w:r>
    <w:r w:rsidRPr="009542BB">
      <w:rPr>
        <w:sz w:val="22"/>
        <w:szCs w:val="22"/>
        <w:lang w:val="es-CO"/>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p w14:paraId="043B312B" w14:textId="77777777" w:rsidR="00721657" w:rsidRPr="00AE1662" w:rsidRDefault="00721657">
    <w:pP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0078F"/>
    <w:multiLevelType w:val="hybridMultilevel"/>
    <w:tmpl w:val="61661CF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9"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E02BE"/>
    <w:multiLevelType w:val="hybridMultilevel"/>
    <w:tmpl w:val="A2F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3"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A30B9A"/>
    <w:multiLevelType w:val="hybridMultilevel"/>
    <w:tmpl w:val="82B24D2A"/>
    <w:lvl w:ilvl="0" w:tplc="CC4E73DA">
      <w:start w:val="1"/>
      <w:numFmt w:val="decimal"/>
      <w:lvlText w:val="%1."/>
      <w:lvlJc w:val="left"/>
      <w:pPr>
        <w:ind w:left="1440" w:hanging="360"/>
      </w:pPr>
    </w:lvl>
    <w:lvl w:ilvl="1" w:tplc="F2D464A0">
      <w:start w:val="1"/>
      <w:numFmt w:val="decimal"/>
      <w:lvlText w:val="%2."/>
      <w:lvlJc w:val="left"/>
      <w:pPr>
        <w:ind w:left="1440" w:hanging="360"/>
      </w:pPr>
    </w:lvl>
    <w:lvl w:ilvl="2" w:tplc="EDA4311A">
      <w:start w:val="1"/>
      <w:numFmt w:val="decimal"/>
      <w:lvlText w:val="%3."/>
      <w:lvlJc w:val="left"/>
      <w:pPr>
        <w:ind w:left="1440" w:hanging="360"/>
      </w:pPr>
    </w:lvl>
    <w:lvl w:ilvl="3" w:tplc="FB40716C">
      <w:start w:val="1"/>
      <w:numFmt w:val="decimal"/>
      <w:lvlText w:val="%4."/>
      <w:lvlJc w:val="left"/>
      <w:pPr>
        <w:ind w:left="1440" w:hanging="360"/>
      </w:pPr>
    </w:lvl>
    <w:lvl w:ilvl="4" w:tplc="BAF03760">
      <w:start w:val="1"/>
      <w:numFmt w:val="decimal"/>
      <w:lvlText w:val="%5."/>
      <w:lvlJc w:val="left"/>
      <w:pPr>
        <w:ind w:left="1440" w:hanging="360"/>
      </w:pPr>
    </w:lvl>
    <w:lvl w:ilvl="5" w:tplc="CC8228C8">
      <w:start w:val="1"/>
      <w:numFmt w:val="decimal"/>
      <w:lvlText w:val="%6."/>
      <w:lvlJc w:val="left"/>
      <w:pPr>
        <w:ind w:left="1440" w:hanging="360"/>
      </w:pPr>
    </w:lvl>
    <w:lvl w:ilvl="6" w:tplc="DD6037BC">
      <w:start w:val="1"/>
      <w:numFmt w:val="decimal"/>
      <w:lvlText w:val="%7."/>
      <w:lvlJc w:val="left"/>
      <w:pPr>
        <w:ind w:left="1440" w:hanging="360"/>
      </w:pPr>
    </w:lvl>
    <w:lvl w:ilvl="7" w:tplc="B0ECD8E6">
      <w:start w:val="1"/>
      <w:numFmt w:val="decimal"/>
      <w:lvlText w:val="%8."/>
      <w:lvlJc w:val="left"/>
      <w:pPr>
        <w:ind w:left="1440" w:hanging="360"/>
      </w:pPr>
    </w:lvl>
    <w:lvl w:ilvl="8" w:tplc="9F1EE0FA">
      <w:start w:val="1"/>
      <w:numFmt w:val="decimal"/>
      <w:lvlText w:val="%9."/>
      <w:lvlJc w:val="left"/>
      <w:pPr>
        <w:ind w:left="1440" w:hanging="360"/>
      </w:pPr>
    </w:lvl>
  </w:abstractNum>
  <w:abstractNum w:abstractNumId="28"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2"/>
  </w:num>
  <w:num w:numId="2" w16cid:durableId="1011488485">
    <w:abstractNumId w:val="3"/>
  </w:num>
  <w:num w:numId="3" w16cid:durableId="379672316">
    <w:abstractNumId w:val="26"/>
  </w:num>
  <w:num w:numId="4" w16cid:durableId="916474732">
    <w:abstractNumId w:val="15"/>
  </w:num>
  <w:num w:numId="5" w16cid:durableId="2130976733">
    <w:abstractNumId w:val="5"/>
  </w:num>
  <w:num w:numId="6" w16cid:durableId="2086758874">
    <w:abstractNumId w:val="7"/>
  </w:num>
  <w:num w:numId="7" w16cid:durableId="77137904">
    <w:abstractNumId w:val="1"/>
  </w:num>
  <w:num w:numId="8" w16cid:durableId="716323517">
    <w:abstractNumId w:val="18"/>
  </w:num>
  <w:num w:numId="9" w16cid:durableId="1225752095">
    <w:abstractNumId w:val="13"/>
  </w:num>
  <w:num w:numId="10" w16cid:durableId="883297556">
    <w:abstractNumId w:val="17"/>
  </w:num>
  <w:num w:numId="11" w16cid:durableId="442192808">
    <w:abstractNumId w:val="0"/>
  </w:num>
  <w:num w:numId="12" w16cid:durableId="1424957440">
    <w:abstractNumId w:val="25"/>
  </w:num>
  <w:num w:numId="13" w16cid:durableId="701516163">
    <w:abstractNumId w:val="10"/>
  </w:num>
  <w:num w:numId="14" w16cid:durableId="2094156602">
    <w:abstractNumId w:val="12"/>
  </w:num>
  <w:num w:numId="15" w16cid:durableId="1488085533">
    <w:abstractNumId w:val="19"/>
  </w:num>
  <w:num w:numId="16" w16cid:durableId="279066685">
    <w:abstractNumId w:val="16"/>
  </w:num>
  <w:num w:numId="17" w16cid:durableId="1044404833">
    <w:abstractNumId w:val="23"/>
  </w:num>
  <w:num w:numId="18" w16cid:durableId="742020862">
    <w:abstractNumId w:val="4"/>
  </w:num>
  <w:num w:numId="19" w16cid:durableId="1496990626">
    <w:abstractNumId w:val="20"/>
  </w:num>
  <w:num w:numId="20" w16cid:durableId="1870334765">
    <w:abstractNumId w:val="29"/>
  </w:num>
  <w:num w:numId="21" w16cid:durableId="623275208">
    <w:abstractNumId w:val="2"/>
  </w:num>
  <w:num w:numId="22" w16cid:durableId="1001547698">
    <w:abstractNumId w:val="24"/>
  </w:num>
  <w:num w:numId="23" w16cid:durableId="626356522">
    <w:abstractNumId w:val="8"/>
  </w:num>
  <w:num w:numId="24" w16cid:durableId="1719889230">
    <w:abstractNumId w:val="11"/>
  </w:num>
  <w:num w:numId="25" w16cid:durableId="136803954">
    <w:abstractNumId w:val="14"/>
  </w:num>
  <w:num w:numId="26" w16cid:durableId="926767242">
    <w:abstractNumId w:val="28"/>
  </w:num>
  <w:num w:numId="27" w16cid:durableId="11691014">
    <w:abstractNumId w:val="6"/>
  </w:num>
  <w:num w:numId="28" w16cid:durableId="1211457253">
    <w:abstractNumId w:val="21"/>
  </w:num>
  <w:num w:numId="29" w16cid:durableId="1043092031">
    <w:abstractNumId w:val="27"/>
  </w:num>
  <w:num w:numId="30" w16cid:durableId="671563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123A"/>
    <w:rsid w:val="0000125E"/>
    <w:rsid w:val="00001612"/>
    <w:rsid w:val="00001648"/>
    <w:rsid w:val="000018FC"/>
    <w:rsid w:val="000019BA"/>
    <w:rsid w:val="00001B79"/>
    <w:rsid w:val="00001C85"/>
    <w:rsid w:val="00002716"/>
    <w:rsid w:val="00002870"/>
    <w:rsid w:val="0000318F"/>
    <w:rsid w:val="00003C43"/>
    <w:rsid w:val="000049A0"/>
    <w:rsid w:val="00004E90"/>
    <w:rsid w:val="0000508A"/>
    <w:rsid w:val="0000509B"/>
    <w:rsid w:val="00005305"/>
    <w:rsid w:val="00005332"/>
    <w:rsid w:val="00005791"/>
    <w:rsid w:val="00005DA8"/>
    <w:rsid w:val="0000730D"/>
    <w:rsid w:val="00007A31"/>
    <w:rsid w:val="00010827"/>
    <w:rsid w:val="000108B8"/>
    <w:rsid w:val="00010A46"/>
    <w:rsid w:val="00010E3C"/>
    <w:rsid w:val="0001159D"/>
    <w:rsid w:val="00011644"/>
    <w:rsid w:val="000118D6"/>
    <w:rsid w:val="00012710"/>
    <w:rsid w:val="00012F29"/>
    <w:rsid w:val="0001449F"/>
    <w:rsid w:val="00014843"/>
    <w:rsid w:val="00014E01"/>
    <w:rsid w:val="00015089"/>
    <w:rsid w:val="000152EE"/>
    <w:rsid w:val="0001558B"/>
    <w:rsid w:val="00016612"/>
    <w:rsid w:val="000167FC"/>
    <w:rsid w:val="00016FDD"/>
    <w:rsid w:val="000173B6"/>
    <w:rsid w:val="00017C0B"/>
    <w:rsid w:val="00020340"/>
    <w:rsid w:val="000206C9"/>
    <w:rsid w:val="00021196"/>
    <w:rsid w:val="00021991"/>
    <w:rsid w:val="000222B9"/>
    <w:rsid w:val="000224D4"/>
    <w:rsid w:val="00023004"/>
    <w:rsid w:val="000234C8"/>
    <w:rsid w:val="00024010"/>
    <w:rsid w:val="000240A4"/>
    <w:rsid w:val="0002453E"/>
    <w:rsid w:val="00024DC0"/>
    <w:rsid w:val="0002520B"/>
    <w:rsid w:val="00025BAC"/>
    <w:rsid w:val="0002708B"/>
    <w:rsid w:val="000279A5"/>
    <w:rsid w:val="00027A16"/>
    <w:rsid w:val="000302FE"/>
    <w:rsid w:val="00030397"/>
    <w:rsid w:val="00030F9E"/>
    <w:rsid w:val="000314C1"/>
    <w:rsid w:val="000318F3"/>
    <w:rsid w:val="00031C8E"/>
    <w:rsid w:val="00031D32"/>
    <w:rsid w:val="0003226C"/>
    <w:rsid w:val="00032A2F"/>
    <w:rsid w:val="00032F52"/>
    <w:rsid w:val="00033DF6"/>
    <w:rsid w:val="00035936"/>
    <w:rsid w:val="00035AB1"/>
    <w:rsid w:val="00035E77"/>
    <w:rsid w:val="00035EC1"/>
    <w:rsid w:val="000366BD"/>
    <w:rsid w:val="00036B28"/>
    <w:rsid w:val="00036C01"/>
    <w:rsid w:val="00037128"/>
    <w:rsid w:val="00037A9E"/>
    <w:rsid w:val="00037BAD"/>
    <w:rsid w:val="00037F91"/>
    <w:rsid w:val="000406D0"/>
    <w:rsid w:val="00040F7F"/>
    <w:rsid w:val="00041089"/>
    <w:rsid w:val="0004147F"/>
    <w:rsid w:val="000414C9"/>
    <w:rsid w:val="00041EBB"/>
    <w:rsid w:val="0004218D"/>
    <w:rsid w:val="0004241F"/>
    <w:rsid w:val="0004287F"/>
    <w:rsid w:val="00042A29"/>
    <w:rsid w:val="00042F56"/>
    <w:rsid w:val="00043101"/>
    <w:rsid w:val="000439E1"/>
    <w:rsid w:val="00043A23"/>
    <w:rsid w:val="00043A75"/>
    <w:rsid w:val="00043E74"/>
    <w:rsid w:val="00044260"/>
    <w:rsid w:val="00044952"/>
    <w:rsid w:val="00044970"/>
    <w:rsid w:val="00044B88"/>
    <w:rsid w:val="00045A22"/>
    <w:rsid w:val="00045C64"/>
    <w:rsid w:val="000462B6"/>
    <w:rsid w:val="00046D33"/>
    <w:rsid w:val="00047AA1"/>
    <w:rsid w:val="00047C94"/>
    <w:rsid w:val="0005012B"/>
    <w:rsid w:val="000501E2"/>
    <w:rsid w:val="000502C1"/>
    <w:rsid w:val="00050E9A"/>
    <w:rsid w:val="00051072"/>
    <w:rsid w:val="00051C91"/>
    <w:rsid w:val="00052025"/>
    <w:rsid w:val="000520C8"/>
    <w:rsid w:val="000520CB"/>
    <w:rsid w:val="0005225A"/>
    <w:rsid w:val="00052391"/>
    <w:rsid w:val="00052661"/>
    <w:rsid w:val="000529F1"/>
    <w:rsid w:val="000533BC"/>
    <w:rsid w:val="00053671"/>
    <w:rsid w:val="000539F1"/>
    <w:rsid w:val="00054747"/>
    <w:rsid w:val="00054EC6"/>
    <w:rsid w:val="00055877"/>
    <w:rsid w:val="0005592D"/>
    <w:rsid w:val="00055A2A"/>
    <w:rsid w:val="00057015"/>
    <w:rsid w:val="000578CF"/>
    <w:rsid w:val="00060029"/>
    <w:rsid w:val="00060C15"/>
    <w:rsid w:val="000610FB"/>
    <w:rsid w:val="000615C1"/>
    <w:rsid w:val="00061675"/>
    <w:rsid w:val="00062054"/>
    <w:rsid w:val="000623FC"/>
    <w:rsid w:val="000628C0"/>
    <w:rsid w:val="00063010"/>
    <w:rsid w:val="00063125"/>
    <w:rsid w:val="000637CE"/>
    <w:rsid w:val="00063ADB"/>
    <w:rsid w:val="00064828"/>
    <w:rsid w:val="00065473"/>
    <w:rsid w:val="0006574A"/>
    <w:rsid w:val="00065D2B"/>
    <w:rsid w:val="00066C91"/>
    <w:rsid w:val="000673A9"/>
    <w:rsid w:val="0006763D"/>
    <w:rsid w:val="00067D7C"/>
    <w:rsid w:val="00070B5C"/>
    <w:rsid w:val="00071E79"/>
    <w:rsid w:val="00072023"/>
    <w:rsid w:val="000726F1"/>
    <w:rsid w:val="00072857"/>
    <w:rsid w:val="000729FD"/>
    <w:rsid w:val="00072DF0"/>
    <w:rsid w:val="0007363A"/>
    <w:rsid w:val="000737EF"/>
    <w:rsid w:val="00073887"/>
    <w:rsid w:val="000743AA"/>
    <w:rsid w:val="000749C3"/>
    <w:rsid w:val="00075C45"/>
    <w:rsid w:val="00075C97"/>
    <w:rsid w:val="000764E7"/>
    <w:rsid w:val="00076DC2"/>
    <w:rsid w:val="0007732F"/>
    <w:rsid w:val="000774A9"/>
    <w:rsid w:val="00077A96"/>
    <w:rsid w:val="00077BCE"/>
    <w:rsid w:val="00077E53"/>
    <w:rsid w:val="00077EA7"/>
    <w:rsid w:val="00080736"/>
    <w:rsid w:val="0008073E"/>
    <w:rsid w:val="000808E9"/>
    <w:rsid w:val="00080C96"/>
    <w:rsid w:val="00080EEC"/>
    <w:rsid w:val="00081C5B"/>
    <w:rsid w:val="000821D6"/>
    <w:rsid w:val="00082403"/>
    <w:rsid w:val="00082420"/>
    <w:rsid w:val="00082D7B"/>
    <w:rsid w:val="00083E90"/>
    <w:rsid w:val="000842C9"/>
    <w:rsid w:val="00084378"/>
    <w:rsid w:val="00084621"/>
    <w:rsid w:val="00085060"/>
    <w:rsid w:val="00085697"/>
    <w:rsid w:val="00086B26"/>
    <w:rsid w:val="00086E65"/>
    <w:rsid w:val="0008709E"/>
    <w:rsid w:val="000870E0"/>
    <w:rsid w:val="000872B6"/>
    <w:rsid w:val="00087452"/>
    <w:rsid w:val="000879BB"/>
    <w:rsid w:val="00087F13"/>
    <w:rsid w:val="00090555"/>
    <w:rsid w:val="0009059A"/>
    <w:rsid w:val="000905F4"/>
    <w:rsid w:val="0009076F"/>
    <w:rsid w:val="00091171"/>
    <w:rsid w:val="00091616"/>
    <w:rsid w:val="00091A71"/>
    <w:rsid w:val="0009225C"/>
    <w:rsid w:val="00092D49"/>
    <w:rsid w:val="00094033"/>
    <w:rsid w:val="00094392"/>
    <w:rsid w:val="000943CD"/>
    <w:rsid w:val="00094477"/>
    <w:rsid w:val="0009500A"/>
    <w:rsid w:val="00095D69"/>
    <w:rsid w:val="00096051"/>
    <w:rsid w:val="00096E66"/>
    <w:rsid w:val="0009792B"/>
    <w:rsid w:val="00097BB9"/>
    <w:rsid w:val="00097E3A"/>
    <w:rsid w:val="000A01C8"/>
    <w:rsid w:val="000A0400"/>
    <w:rsid w:val="000A17C4"/>
    <w:rsid w:val="000A18C8"/>
    <w:rsid w:val="000A237B"/>
    <w:rsid w:val="000A32B1"/>
    <w:rsid w:val="000A34CE"/>
    <w:rsid w:val="000A36A4"/>
    <w:rsid w:val="000A381C"/>
    <w:rsid w:val="000A3F4B"/>
    <w:rsid w:val="000A4643"/>
    <w:rsid w:val="000A4AC2"/>
    <w:rsid w:val="000A52F9"/>
    <w:rsid w:val="000A536D"/>
    <w:rsid w:val="000A5DB3"/>
    <w:rsid w:val="000A61A4"/>
    <w:rsid w:val="000A6F78"/>
    <w:rsid w:val="000B068B"/>
    <w:rsid w:val="000B1146"/>
    <w:rsid w:val="000B16CA"/>
    <w:rsid w:val="000B2133"/>
    <w:rsid w:val="000B2352"/>
    <w:rsid w:val="000B2FAF"/>
    <w:rsid w:val="000B331B"/>
    <w:rsid w:val="000B3336"/>
    <w:rsid w:val="000B3D87"/>
    <w:rsid w:val="000B3D94"/>
    <w:rsid w:val="000B4196"/>
    <w:rsid w:val="000B4829"/>
    <w:rsid w:val="000B4A6D"/>
    <w:rsid w:val="000B5321"/>
    <w:rsid w:val="000B57C7"/>
    <w:rsid w:val="000B613A"/>
    <w:rsid w:val="000B680C"/>
    <w:rsid w:val="000B6EBD"/>
    <w:rsid w:val="000B7169"/>
    <w:rsid w:val="000B79E2"/>
    <w:rsid w:val="000C014D"/>
    <w:rsid w:val="000C062F"/>
    <w:rsid w:val="000C090B"/>
    <w:rsid w:val="000C0EC0"/>
    <w:rsid w:val="000C13EA"/>
    <w:rsid w:val="000C2347"/>
    <w:rsid w:val="000C2549"/>
    <w:rsid w:val="000C2E7B"/>
    <w:rsid w:val="000C3364"/>
    <w:rsid w:val="000C3666"/>
    <w:rsid w:val="000C383F"/>
    <w:rsid w:val="000C41E8"/>
    <w:rsid w:val="000C43EC"/>
    <w:rsid w:val="000C4953"/>
    <w:rsid w:val="000C6ABE"/>
    <w:rsid w:val="000C6BEE"/>
    <w:rsid w:val="000C6E9E"/>
    <w:rsid w:val="000C6EC8"/>
    <w:rsid w:val="000C77A9"/>
    <w:rsid w:val="000C7B84"/>
    <w:rsid w:val="000C7CAF"/>
    <w:rsid w:val="000C7D8E"/>
    <w:rsid w:val="000D082D"/>
    <w:rsid w:val="000D0FD5"/>
    <w:rsid w:val="000D175D"/>
    <w:rsid w:val="000D1BEC"/>
    <w:rsid w:val="000D213A"/>
    <w:rsid w:val="000D261B"/>
    <w:rsid w:val="000D2F72"/>
    <w:rsid w:val="000D3808"/>
    <w:rsid w:val="000D40F6"/>
    <w:rsid w:val="000D44B9"/>
    <w:rsid w:val="000D468F"/>
    <w:rsid w:val="000D4830"/>
    <w:rsid w:val="000D4EB3"/>
    <w:rsid w:val="000D4F3A"/>
    <w:rsid w:val="000D4F47"/>
    <w:rsid w:val="000D500E"/>
    <w:rsid w:val="000D50C4"/>
    <w:rsid w:val="000D50FC"/>
    <w:rsid w:val="000D58A3"/>
    <w:rsid w:val="000D5CA9"/>
    <w:rsid w:val="000D61B5"/>
    <w:rsid w:val="000D69FD"/>
    <w:rsid w:val="000D6A7C"/>
    <w:rsid w:val="000D6BFC"/>
    <w:rsid w:val="000D7428"/>
    <w:rsid w:val="000D7933"/>
    <w:rsid w:val="000E068E"/>
    <w:rsid w:val="000E07E1"/>
    <w:rsid w:val="000E12B5"/>
    <w:rsid w:val="000E1547"/>
    <w:rsid w:val="000E174E"/>
    <w:rsid w:val="000E18B6"/>
    <w:rsid w:val="000E1CAB"/>
    <w:rsid w:val="000E1E72"/>
    <w:rsid w:val="000E252E"/>
    <w:rsid w:val="000E28F1"/>
    <w:rsid w:val="000E2A36"/>
    <w:rsid w:val="000E2B6F"/>
    <w:rsid w:val="000E2F14"/>
    <w:rsid w:val="000E3079"/>
    <w:rsid w:val="000E3443"/>
    <w:rsid w:val="000E3508"/>
    <w:rsid w:val="000E35C1"/>
    <w:rsid w:val="000E3740"/>
    <w:rsid w:val="000E3AA8"/>
    <w:rsid w:val="000E3ABF"/>
    <w:rsid w:val="000E3ED4"/>
    <w:rsid w:val="000E3F9C"/>
    <w:rsid w:val="000E5238"/>
    <w:rsid w:val="000E5E08"/>
    <w:rsid w:val="000E65EE"/>
    <w:rsid w:val="000E67EC"/>
    <w:rsid w:val="000E6C63"/>
    <w:rsid w:val="000E6FE0"/>
    <w:rsid w:val="000E7493"/>
    <w:rsid w:val="000E7574"/>
    <w:rsid w:val="000F02A2"/>
    <w:rsid w:val="000F05A5"/>
    <w:rsid w:val="000F11CC"/>
    <w:rsid w:val="000F1550"/>
    <w:rsid w:val="000F15A9"/>
    <w:rsid w:val="000F2190"/>
    <w:rsid w:val="000F24F7"/>
    <w:rsid w:val="000F251B"/>
    <w:rsid w:val="000F26FB"/>
    <w:rsid w:val="000F28E5"/>
    <w:rsid w:val="000F2AC7"/>
    <w:rsid w:val="000F33B3"/>
    <w:rsid w:val="000F3DBC"/>
    <w:rsid w:val="000F4329"/>
    <w:rsid w:val="000F518A"/>
    <w:rsid w:val="000F55AD"/>
    <w:rsid w:val="000F55F2"/>
    <w:rsid w:val="000F5C1F"/>
    <w:rsid w:val="000F5FE8"/>
    <w:rsid w:val="000F6644"/>
    <w:rsid w:val="000F6F7D"/>
    <w:rsid w:val="000F7C97"/>
    <w:rsid w:val="000F7DC6"/>
    <w:rsid w:val="000F7F60"/>
    <w:rsid w:val="000F7FAA"/>
    <w:rsid w:val="001005B2"/>
    <w:rsid w:val="00100833"/>
    <w:rsid w:val="00100945"/>
    <w:rsid w:val="00100B58"/>
    <w:rsid w:val="00100C20"/>
    <w:rsid w:val="0010124E"/>
    <w:rsid w:val="001016E9"/>
    <w:rsid w:val="00101DD2"/>
    <w:rsid w:val="001026E5"/>
    <w:rsid w:val="0010274C"/>
    <w:rsid w:val="00102F40"/>
    <w:rsid w:val="00102F72"/>
    <w:rsid w:val="00102F9D"/>
    <w:rsid w:val="00103209"/>
    <w:rsid w:val="001035CE"/>
    <w:rsid w:val="00103EAB"/>
    <w:rsid w:val="001042B1"/>
    <w:rsid w:val="0010444F"/>
    <w:rsid w:val="00104BDA"/>
    <w:rsid w:val="001053E6"/>
    <w:rsid w:val="00106F19"/>
    <w:rsid w:val="0010744B"/>
    <w:rsid w:val="001074F8"/>
    <w:rsid w:val="00107C82"/>
    <w:rsid w:val="00107E85"/>
    <w:rsid w:val="00110640"/>
    <w:rsid w:val="00110914"/>
    <w:rsid w:val="00110B67"/>
    <w:rsid w:val="00110ECF"/>
    <w:rsid w:val="00110F23"/>
    <w:rsid w:val="00111369"/>
    <w:rsid w:val="001117ED"/>
    <w:rsid w:val="001119E5"/>
    <w:rsid w:val="00111E7D"/>
    <w:rsid w:val="0011253B"/>
    <w:rsid w:val="0011260F"/>
    <w:rsid w:val="00112879"/>
    <w:rsid w:val="00113461"/>
    <w:rsid w:val="00113562"/>
    <w:rsid w:val="00113E3C"/>
    <w:rsid w:val="00113E5B"/>
    <w:rsid w:val="00113EE8"/>
    <w:rsid w:val="0011440A"/>
    <w:rsid w:val="0011455A"/>
    <w:rsid w:val="00114834"/>
    <w:rsid w:val="00114A65"/>
    <w:rsid w:val="00114F3A"/>
    <w:rsid w:val="001179CA"/>
    <w:rsid w:val="00120FCA"/>
    <w:rsid w:val="001212EE"/>
    <w:rsid w:val="00121846"/>
    <w:rsid w:val="0012289D"/>
    <w:rsid w:val="00122C86"/>
    <w:rsid w:val="001232B8"/>
    <w:rsid w:val="001236B2"/>
    <w:rsid w:val="0012381C"/>
    <w:rsid w:val="0012436C"/>
    <w:rsid w:val="001244B4"/>
    <w:rsid w:val="00124A18"/>
    <w:rsid w:val="0012502F"/>
    <w:rsid w:val="001259CC"/>
    <w:rsid w:val="00125DB4"/>
    <w:rsid w:val="00125E3C"/>
    <w:rsid w:val="00125F72"/>
    <w:rsid w:val="001269EE"/>
    <w:rsid w:val="001270AE"/>
    <w:rsid w:val="0012721C"/>
    <w:rsid w:val="00127E12"/>
    <w:rsid w:val="001308AD"/>
    <w:rsid w:val="001312BA"/>
    <w:rsid w:val="001315E5"/>
    <w:rsid w:val="00131607"/>
    <w:rsid w:val="001318E2"/>
    <w:rsid w:val="001321F4"/>
    <w:rsid w:val="001327DD"/>
    <w:rsid w:val="00132A4D"/>
    <w:rsid w:val="00132DB8"/>
    <w:rsid w:val="00133061"/>
    <w:rsid w:val="00133300"/>
    <w:rsid w:val="00133984"/>
    <w:rsid w:val="00133DCA"/>
    <w:rsid w:val="0013414D"/>
    <w:rsid w:val="00134891"/>
    <w:rsid w:val="00134A03"/>
    <w:rsid w:val="00134A65"/>
    <w:rsid w:val="00134BFA"/>
    <w:rsid w:val="00134C6F"/>
    <w:rsid w:val="001350D7"/>
    <w:rsid w:val="001355D7"/>
    <w:rsid w:val="001357EF"/>
    <w:rsid w:val="0013591E"/>
    <w:rsid w:val="00135F19"/>
    <w:rsid w:val="001362A6"/>
    <w:rsid w:val="00136818"/>
    <w:rsid w:val="00136B1E"/>
    <w:rsid w:val="00136CA3"/>
    <w:rsid w:val="00136DEA"/>
    <w:rsid w:val="00137B41"/>
    <w:rsid w:val="00140FDB"/>
    <w:rsid w:val="00141699"/>
    <w:rsid w:val="00141D3C"/>
    <w:rsid w:val="00142261"/>
    <w:rsid w:val="001423E1"/>
    <w:rsid w:val="0014265F"/>
    <w:rsid w:val="00142765"/>
    <w:rsid w:val="00142F27"/>
    <w:rsid w:val="00143527"/>
    <w:rsid w:val="00143CF3"/>
    <w:rsid w:val="00143DF3"/>
    <w:rsid w:val="00144D06"/>
    <w:rsid w:val="00146DCB"/>
    <w:rsid w:val="00147000"/>
    <w:rsid w:val="0014735B"/>
    <w:rsid w:val="00147E80"/>
    <w:rsid w:val="0015013B"/>
    <w:rsid w:val="0015045F"/>
    <w:rsid w:val="001505A7"/>
    <w:rsid w:val="00150D79"/>
    <w:rsid w:val="00151571"/>
    <w:rsid w:val="001520A6"/>
    <w:rsid w:val="0015272F"/>
    <w:rsid w:val="00152929"/>
    <w:rsid w:val="00152E69"/>
    <w:rsid w:val="00153952"/>
    <w:rsid w:val="001539C5"/>
    <w:rsid w:val="00153FEF"/>
    <w:rsid w:val="00154673"/>
    <w:rsid w:val="00154B90"/>
    <w:rsid w:val="00155D3C"/>
    <w:rsid w:val="0015660F"/>
    <w:rsid w:val="00156E88"/>
    <w:rsid w:val="00157AD3"/>
    <w:rsid w:val="00160752"/>
    <w:rsid w:val="00160BFB"/>
    <w:rsid w:val="0016124B"/>
    <w:rsid w:val="00161F2D"/>
    <w:rsid w:val="001625E7"/>
    <w:rsid w:val="00162636"/>
    <w:rsid w:val="00162711"/>
    <w:rsid w:val="00162734"/>
    <w:rsid w:val="00162A26"/>
    <w:rsid w:val="00162A3B"/>
    <w:rsid w:val="00163091"/>
    <w:rsid w:val="00163665"/>
    <w:rsid w:val="0016393D"/>
    <w:rsid w:val="001639DF"/>
    <w:rsid w:val="00163EB8"/>
    <w:rsid w:val="00163FEF"/>
    <w:rsid w:val="001645CB"/>
    <w:rsid w:val="0016499C"/>
    <w:rsid w:val="0016519D"/>
    <w:rsid w:val="0016527F"/>
    <w:rsid w:val="00165378"/>
    <w:rsid w:val="00165769"/>
    <w:rsid w:val="00165B3D"/>
    <w:rsid w:val="00166305"/>
    <w:rsid w:val="0016669A"/>
    <w:rsid w:val="00166FE9"/>
    <w:rsid w:val="001671E5"/>
    <w:rsid w:val="00167218"/>
    <w:rsid w:val="001672AC"/>
    <w:rsid w:val="0016730C"/>
    <w:rsid w:val="0016741D"/>
    <w:rsid w:val="00167545"/>
    <w:rsid w:val="00170013"/>
    <w:rsid w:val="00170030"/>
    <w:rsid w:val="001703C6"/>
    <w:rsid w:val="00171534"/>
    <w:rsid w:val="001717BC"/>
    <w:rsid w:val="0017190E"/>
    <w:rsid w:val="00171EFC"/>
    <w:rsid w:val="001723B1"/>
    <w:rsid w:val="001729A9"/>
    <w:rsid w:val="00172C91"/>
    <w:rsid w:val="00172FE0"/>
    <w:rsid w:val="00173285"/>
    <w:rsid w:val="0017347A"/>
    <w:rsid w:val="00173781"/>
    <w:rsid w:val="001741CB"/>
    <w:rsid w:val="00174A1A"/>
    <w:rsid w:val="00174A70"/>
    <w:rsid w:val="001753F5"/>
    <w:rsid w:val="00175ADF"/>
    <w:rsid w:val="00175CAE"/>
    <w:rsid w:val="00176025"/>
    <w:rsid w:val="001765D7"/>
    <w:rsid w:val="00176762"/>
    <w:rsid w:val="00177236"/>
    <w:rsid w:val="00177827"/>
    <w:rsid w:val="001803A3"/>
    <w:rsid w:val="001804A7"/>
    <w:rsid w:val="00180F48"/>
    <w:rsid w:val="00180F69"/>
    <w:rsid w:val="001828DB"/>
    <w:rsid w:val="00183098"/>
    <w:rsid w:val="00183A69"/>
    <w:rsid w:val="00183F7F"/>
    <w:rsid w:val="00183FDB"/>
    <w:rsid w:val="0018436F"/>
    <w:rsid w:val="00184398"/>
    <w:rsid w:val="00184719"/>
    <w:rsid w:val="00184DA4"/>
    <w:rsid w:val="001850FE"/>
    <w:rsid w:val="00185135"/>
    <w:rsid w:val="00185324"/>
    <w:rsid w:val="001867C4"/>
    <w:rsid w:val="00187159"/>
    <w:rsid w:val="0018742A"/>
    <w:rsid w:val="00187724"/>
    <w:rsid w:val="00187AFB"/>
    <w:rsid w:val="00187EAD"/>
    <w:rsid w:val="0019037C"/>
    <w:rsid w:val="001905A9"/>
    <w:rsid w:val="001905FA"/>
    <w:rsid w:val="00191273"/>
    <w:rsid w:val="001912D4"/>
    <w:rsid w:val="00191403"/>
    <w:rsid w:val="00192169"/>
    <w:rsid w:val="00192257"/>
    <w:rsid w:val="0019226A"/>
    <w:rsid w:val="001922BF"/>
    <w:rsid w:val="001924AB"/>
    <w:rsid w:val="0019257A"/>
    <w:rsid w:val="0019287E"/>
    <w:rsid w:val="0019303F"/>
    <w:rsid w:val="00193115"/>
    <w:rsid w:val="00193969"/>
    <w:rsid w:val="001942A7"/>
    <w:rsid w:val="00194A8F"/>
    <w:rsid w:val="00194C8B"/>
    <w:rsid w:val="00194EBE"/>
    <w:rsid w:val="0019539B"/>
    <w:rsid w:val="0019574B"/>
    <w:rsid w:val="0019587B"/>
    <w:rsid w:val="00195F38"/>
    <w:rsid w:val="00196049"/>
    <w:rsid w:val="001963CB"/>
    <w:rsid w:val="001967C1"/>
    <w:rsid w:val="00196E2F"/>
    <w:rsid w:val="00197B05"/>
    <w:rsid w:val="001A0208"/>
    <w:rsid w:val="001A06A4"/>
    <w:rsid w:val="001A0A6D"/>
    <w:rsid w:val="001A0CF3"/>
    <w:rsid w:val="001A15F2"/>
    <w:rsid w:val="001A163D"/>
    <w:rsid w:val="001A1E1E"/>
    <w:rsid w:val="001A210D"/>
    <w:rsid w:val="001A21CE"/>
    <w:rsid w:val="001A22FA"/>
    <w:rsid w:val="001A2919"/>
    <w:rsid w:val="001A2995"/>
    <w:rsid w:val="001A38D5"/>
    <w:rsid w:val="001A41B9"/>
    <w:rsid w:val="001A4306"/>
    <w:rsid w:val="001A441E"/>
    <w:rsid w:val="001A4859"/>
    <w:rsid w:val="001A4B04"/>
    <w:rsid w:val="001A4FB0"/>
    <w:rsid w:val="001A4FF6"/>
    <w:rsid w:val="001A6121"/>
    <w:rsid w:val="001A6733"/>
    <w:rsid w:val="001A6910"/>
    <w:rsid w:val="001A6FA2"/>
    <w:rsid w:val="001B1FD2"/>
    <w:rsid w:val="001B255E"/>
    <w:rsid w:val="001B282C"/>
    <w:rsid w:val="001B2A1A"/>
    <w:rsid w:val="001B2A46"/>
    <w:rsid w:val="001B341E"/>
    <w:rsid w:val="001B357F"/>
    <w:rsid w:val="001B3B90"/>
    <w:rsid w:val="001B4016"/>
    <w:rsid w:val="001B46D0"/>
    <w:rsid w:val="001B46EC"/>
    <w:rsid w:val="001B49B4"/>
    <w:rsid w:val="001B5217"/>
    <w:rsid w:val="001B5974"/>
    <w:rsid w:val="001B6A21"/>
    <w:rsid w:val="001B6DE8"/>
    <w:rsid w:val="001B7078"/>
    <w:rsid w:val="001B734E"/>
    <w:rsid w:val="001B75B8"/>
    <w:rsid w:val="001B7621"/>
    <w:rsid w:val="001B7795"/>
    <w:rsid w:val="001B7ADA"/>
    <w:rsid w:val="001C117E"/>
    <w:rsid w:val="001C11D1"/>
    <w:rsid w:val="001C12BC"/>
    <w:rsid w:val="001C17DE"/>
    <w:rsid w:val="001C2610"/>
    <w:rsid w:val="001C3444"/>
    <w:rsid w:val="001C3702"/>
    <w:rsid w:val="001C38F4"/>
    <w:rsid w:val="001C3BE6"/>
    <w:rsid w:val="001C4267"/>
    <w:rsid w:val="001C443B"/>
    <w:rsid w:val="001C454D"/>
    <w:rsid w:val="001C4656"/>
    <w:rsid w:val="001C46BC"/>
    <w:rsid w:val="001C5782"/>
    <w:rsid w:val="001C57B9"/>
    <w:rsid w:val="001C6085"/>
    <w:rsid w:val="001C6270"/>
    <w:rsid w:val="001C64A6"/>
    <w:rsid w:val="001C6F7F"/>
    <w:rsid w:val="001C749B"/>
    <w:rsid w:val="001D00E8"/>
    <w:rsid w:val="001D018C"/>
    <w:rsid w:val="001D037E"/>
    <w:rsid w:val="001D0476"/>
    <w:rsid w:val="001D04A7"/>
    <w:rsid w:val="001D0DC6"/>
    <w:rsid w:val="001D1031"/>
    <w:rsid w:val="001D161B"/>
    <w:rsid w:val="001D1B34"/>
    <w:rsid w:val="001D1BC1"/>
    <w:rsid w:val="001D1E06"/>
    <w:rsid w:val="001D31BA"/>
    <w:rsid w:val="001D32B8"/>
    <w:rsid w:val="001D32C8"/>
    <w:rsid w:val="001D3653"/>
    <w:rsid w:val="001D3D40"/>
    <w:rsid w:val="001D4053"/>
    <w:rsid w:val="001D417A"/>
    <w:rsid w:val="001D4185"/>
    <w:rsid w:val="001D51DF"/>
    <w:rsid w:val="001D5B5A"/>
    <w:rsid w:val="001D5F05"/>
    <w:rsid w:val="001D648E"/>
    <w:rsid w:val="001D7865"/>
    <w:rsid w:val="001D7896"/>
    <w:rsid w:val="001D78E3"/>
    <w:rsid w:val="001D7AEF"/>
    <w:rsid w:val="001D7B4A"/>
    <w:rsid w:val="001D7CF6"/>
    <w:rsid w:val="001E01E0"/>
    <w:rsid w:val="001E0979"/>
    <w:rsid w:val="001E0A46"/>
    <w:rsid w:val="001E31C6"/>
    <w:rsid w:val="001E3CED"/>
    <w:rsid w:val="001E47B2"/>
    <w:rsid w:val="001E486F"/>
    <w:rsid w:val="001E4FAB"/>
    <w:rsid w:val="001E5829"/>
    <w:rsid w:val="001E5837"/>
    <w:rsid w:val="001E5B07"/>
    <w:rsid w:val="001E5B86"/>
    <w:rsid w:val="001E5D41"/>
    <w:rsid w:val="001E69F1"/>
    <w:rsid w:val="001E6E4C"/>
    <w:rsid w:val="001E751F"/>
    <w:rsid w:val="001E771F"/>
    <w:rsid w:val="001E77A4"/>
    <w:rsid w:val="001F04FC"/>
    <w:rsid w:val="001F1708"/>
    <w:rsid w:val="001F1A7B"/>
    <w:rsid w:val="001F23E6"/>
    <w:rsid w:val="001F28D1"/>
    <w:rsid w:val="001F2C75"/>
    <w:rsid w:val="001F2CD1"/>
    <w:rsid w:val="001F300F"/>
    <w:rsid w:val="001F4238"/>
    <w:rsid w:val="001F5B1E"/>
    <w:rsid w:val="001F64C1"/>
    <w:rsid w:val="001F6818"/>
    <w:rsid w:val="001F6D9D"/>
    <w:rsid w:val="001F7677"/>
    <w:rsid w:val="001F7CC8"/>
    <w:rsid w:val="001F7D35"/>
    <w:rsid w:val="001F7F6E"/>
    <w:rsid w:val="00200356"/>
    <w:rsid w:val="002005DA"/>
    <w:rsid w:val="00200A38"/>
    <w:rsid w:val="00200A46"/>
    <w:rsid w:val="00200F0F"/>
    <w:rsid w:val="00201A0A"/>
    <w:rsid w:val="002020EF"/>
    <w:rsid w:val="00202A2E"/>
    <w:rsid w:val="00202ADD"/>
    <w:rsid w:val="00202C34"/>
    <w:rsid w:val="00202E79"/>
    <w:rsid w:val="00202F61"/>
    <w:rsid w:val="00203A56"/>
    <w:rsid w:val="002041D2"/>
    <w:rsid w:val="002046EF"/>
    <w:rsid w:val="00204DEE"/>
    <w:rsid w:val="00205836"/>
    <w:rsid w:val="00205D4A"/>
    <w:rsid w:val="00205F62"/>
    <w:rsid w:val="002062F8"/>
    <w:rsid w:val="00206956"/>
    <w:rsid w:val="00206CE5"/>
    <w:rsid w:val="00207CED"/>
    <w:rsid w:val="00207F0B"/>
    <w:rsid w:val="00207FC0"/>
    <w:rsid w:val="002104C7"/>
    <w:rsid w:val="00210521"/>
    <w:rsid w:val="002106E9"/>
    <w:rsid w:val="00210AFB"/>
    <w:rsid w:val="00210D39"/>
    <w:rsid w:val="00210E9E"/>
    <w:rsid w:val="002110C6"/>
    <w:rsid w:val="002112B3"/>
    <w:rsid w:val="00211AA5"/>
    <w:rsid w:val="00211B6F"/>
    <w:rsid w:val="0021250C"/>
    <w:rsid w:val="00213103"/>
    <w:rsid w:val="002134F6"/>
    <w:rsid w:val="00213821"/>
    <w:rsid w:val="0021440D"/>
    <w:rsid w:val="00214F4E"/>
    <w:rsid w:val="00215A5B"/>
    <w:rsid w:val="00215C23"/>
    <w:rsid w:val="00216392"/>
    <w:rsid w:val="002163A3"/>
    <w:rsid w:val="00216539"/>
    <w:rsid w:val="0021692A"/>
    <w:rsid w:val="002173A6"/>
    <w:rsid w:val="00217CC3"/>
    <w:rsid w:val="00217F67"/>
    <w:rsid w:val="00217F9C"/>
    <w:rsid w:val="00220199"/>
    <w:rsid w:val="0022019A"/>
    <w:rsid w:val="002204D3"/>
    <w:rsid w:val="002206AD"/>
    <w:rsid w:val="002208C3"/>
    <w:rsid w:val="00220AB6"/>
    <w:rsid w:val="00220CC3"/>
    <w:rsid w:val="00220D80"/>
    <w:rsid w:val="00220E96"/>
    <w:rsid w:val="0022120F"/>
    <w:rsid w:val="002216B0"/>
    <w:rsid w:val="0022176A"/>
    <w:rsid w:val="00222699"/>
    <w:rsid w:val="002226D5"/>
    <w:rsid w:val="00222749"/>
    <w:rsid w:val="00222750"/>
    <w:rsid w:val="00222AF7"/>
    <w:rsid w:val="00222C48"/>
    <w:rsid w:val="00222D80"/>
    <w:rsid w:val="002230A7"/>
    <w:rsid w:val="0022331E"/>
    <w:rsid w:val="0022351F"/>
    <w:rsid w:val="00223CDD"/>
    <w:rsid w:val="0022502B"/>
    <w:rsid w:val="00225675"/>
    <w:rsid w:val="002265A3"/>
    <w:rsid w:val="002272D2"/>
    <w:rsid w:val="0022754A"/>
    <w:rsid w:val="00227D5C"/>
    <w:rsid w:val="00230A62"/>
    <w:rsid w:val="002315C6"/>
    <w:rsid w:val="0023179C"/>
    <w:rsid w:val="002317CB"/>
    <w:rsid w:val="00231E3E"/>
    <w:rsid w:val="00232368"/>
    <w:rsid w:val="00232DEE"/>
    <w:rsid w:val="0023317F"/>
    <w:rsid w:val="002341E4"/>
    <w:rsid w:val="0023484B"/>
    <w:rsid w:val="00234C96"/>
    <w:rsid w:val="002354B3"/>
    <w:rsid w:val="00235BA4"/>
    <w:rsid w:val="00235E6F"/>
    <w:rsid w:val="00236560"/>
    <w:rsid w:val="00236592"/>
    <w:rsid w:val="0023662E"/>
    <w:rsid w:val="00237A88"/>
    <w:rsid w:val="00237C8D"/>
    <w:rsid w:val="00237E37"/>
    <w:rsid w:val="00240660"/>
    <w:rsid w:val="002410D5"/>
    <w:rsid w:val="002411A4"/>
    <w:rsid w:val="002415ED"/>
    <w:rsid w:val="0024165B"/>
    <w:rsid w:val="0024175B"/>
    <w:rsid w:val="00241EB3"/>
    <w:rsid w:val="00242481"/>
    <w:rsid w:val="00242E9D"/>
    <w:rsid w:val="00243261"/>
    <w:rsid w:val="00243B84"/>
    <w:rsid w:val="00244234"/>
    <w:rsid w:val="002443A3"/>
    <w:rsid w:val="00244BFF"/>
    <w:rsid w:val="00245D0F"/>
    <w:rsid w:val="00246390"/>
    <w:rsid w:val="00247013"/>
    <w:rsid w:val="00250E88"/>
    <w:rsid w:val="00251260"/>
    <w:rsid w:val="00251404"/>
    <w:rsid w:val="00251972"/>
    <w:rsid w:val="00251ACD"/>
    <w:rsid w:val="00251EDE"/>
    <w:rsid w:val="002525D6"/>
    <w:rsid w:val="002525FE"/>
    <w:rsid w:val="00252648"/>
    <w:rsid w:val="002527C8"/>
    <w:rsid w:val="0025281E"/>
    <w:rsid w:val="00252BCE"/>
    <w:rsid w:val="00253463"/>
    <w:rsid w:val="0025380C"/>
    <w:rsid w:val="00253917"/>
    <w:rsid w:val="00253C23"/>
    <w:rsid w:val="002548C3"/>
    <w:rsid w:val="002553CD"/>
    <w:rsid w:val="0025785F"/>
    <w:rsid w:val="00257AC9"/>
    <w:rsid w:val="00257ACD"/>
    <w:rsid w:val="00257AFD"/>
    <w:rsid w:val="00257C6E"/>
    <w:rsid w:val="00257F8E"/>
    <w:rsid w:val="0026006E"/>
    <w:rsid w:val="002606AC"/>
    <w:rsid w:val="0026079B"/>
    <w:rsid w:val="002607E0"/>
    <w:rsid w:val="00260FCF"/>
    <w:rsid w:val="0026141C"/>
    <w:rsid w:val="00261743"/>
    <w:rsid w:val="00261783"/>
    <w:rsid w:val="002617A4"/>
    <w:rsid w:val="00261DD7"/>
    <w:rsid w:val="00262663"/>
    <w:rsid w:val="00262908"/>
    <w:rsid w:val="00263DFE"/>
    <w:rsid w:val="002650F4"/>
    <w:rsid w:val="00265A2E"/>
    <w:rsid w:val="00265BCE"/>
    <w:rsid w:val="00267CB6"/>
    <w:rsid w:val="00267F33"/>
    <w:rsid w:val="00270263"/>
    <w:rsid w:val="00270351"/>
    <w:rsid w:val="00270E8F"/>
    <w:rsid w:val="00270F21"/>
    <w:rsid w:val="002712E0"/>
    <w:rsid w:val="002714B0"/>
    <w:rsid w:val="002715FD"/>
    <w:rsid w:val="00271BF8"/>
    <w:rsid w:val="00271DFF"/>
    <w:rsid w:val="002728A7"/>
    <w:rsid w:val="002745CB"/>
    <w:rsid w:val="00274A1E"/>
    <w:rsid w:val="00274FAB"/>
    <w:rsid w:val="00275163"/>
    <w:rsid w:val="00275365"/>
    <w:rsid w:val="0027560D"/>
    <w:rsid w:val="00275C4B"/>
    <w:rsid w:val="0027645B"/>
    <w:rsid w:val="00276605"/>
    <w:rsid w:val="002767CC"/>
    <w:rsid w:val="00276C93"/>
    <w:rsid w:val="002770B1"/>
    <w:rsid w:val="00277591"/>
    <w:rsid w:val="00282756"/>
    <w:rsid w:val="00282829"/>
    <w:rsid w:val="00282AE3"/>
    <w:rsid w:val="00282FFC"/>
    <w:rsid w:val="002832CC"/>
    <w:rsid w:val="00283508"/>
    <w:rsid w:val="002835F8"/>
    <w:rsid w:val="00284C62"/>
    <w:rsid w:val="0028506D"/>
    <w:rsid w:val="002859B2"/>
    <w:rsid w:val="00285A77"/>
    <w:rsid w:val="00285B33"/>
    <w:rsid w:val="002867ED"/>
    <w:rsid w:val="00286AFD"/>
    <w:rsid w:val="00286C50"/>
    <w:rsid w:val="00287667"/>
    <w:rsid w:val="0028795D"/>
    <w:rsid w:val="00287A3C"/>
    <w:rsid w:val="00290538"/>
    <w:rsid w:val="00290908"/>
    <w:rsid w:val="00290F23"/>
    <w:rsid w:val="00291229"/>
    <w:rsid w:val="0029138F"/>
    <w:rsid w:val="00291410"/>
    <w:rsid w:val="00291553"/>
    <w:rsid w:val="00291991"/>
    <w:rsid w:val="00291E17"/>
    <w:rsid w:val="00292A66"/>
    <w:rsid w:val="00292B1B"/>
    <w:rsid w:val="00293BA9"/>
    <w:rsid w:val="00293F8B"/>
    <w:rsid w:val="00293FCE"/>
    <w:rsid w:val="00294580"/>
    <w:rsid w:val="002949CB"/>
    <w:rsid w:val="0029524C"/>
    <w:rsid w:val="00295303"/>
    <w:rsid w:val="00295618"/>
    <w:rsid w:val="002958F6"/>
    <w:rsid w:val="00295D84"/>
    <w:rsid w:val="00296CB4"/>
    <w:rsid w:val="002978DB"/>
    <w:rsid w:val="002A08D4"/>
    <w:rsid w:val="002A0F3B"/>
    <w:rsid w:val="002A215F"/>
    <w:rsid w:val="002A2515"/>
    <w:rsid w:val="002A261D"/>
    <w:rsid w:val="002A275A"/>
    <w:rsid w:val="002A2FC6"/>
    <w:rsid w:val="002A346A"/>
    <w:rsid w:val="002A3F25"/>
    <w:rsid w:val="002A3F35"/>
    <w:rsid w:val="002A3FE5"/>
    <w:rsid w:val="002A497F"/>
    <w:rsid w:val="002A4D1B"/>
    <w:rsid w:val="002A4D21"/>
    <w:rsid w:val="002A4DA1"/>
    <w:rsid w:val="002A4EE5"/>
    <w:rsid w:val="002A5BBF"/>
    <w:rsid w:val="002A6911"/>
    <w:rsid w:val="002A7257"/>
    <w:rsid w:val="002A7B79"/>
    <w:rsid w:val="002B01DF"/>
    <w:rsid w:val="002B06E3"/>
    <w:rsid w:val="002B0E05"/>
    <w:rsid w:val="002B0F72"/>
    <w:rsid w:val="002B0FA0"/>
    <w:rsid w:val="002B11D5"/>
    <w:rsid w:val="002B1717"/>
    <w:rsid w:val="002B195E"/>
    <w:rsid w:val="002B198C"/>
    <w:rsid w:val="002B1C44"/>
    <w:rsid w:val="002B2168"/>
    <w:rsid w:val="002B2B05"/>
    <w:rsid w:val="002B439A"/>
    <w:rsid w:val="002B4426"/>
    <w:rsid w:val="002B4B2C"/>
    <w:rsid w:val="002B5019"/>
    <w:rsid w:val="002B555B"/>
    <w:rsid w:val="002B5836"/>
    <w:rsid w:val="002B5CBA"/>
    <w:rsid w:val="002B5F5A"/>
    <w:rsid w:val="002B5F6F"/>
    <w:rsid w:val="002B65B5"/>
    <w:rsid w:val="002B6738"/>
    <w:rsid w:val="002B73DD"/>
    <w:rsid w:val="002B762C"/>
    <w:rsid w:val="002C003E"/>
    <w:rsid w:val="002C008E"/>
    <w:rsid w:val="002C0D84"/>
    <w:rsid w:val="002C0FF5"/>
    <w:rsid w:val="002C18AC"/>
    <w:rsid w:val="002C1A95"/>
    <w:rsid w:val="002C1EC7"/>
    <w:rsid w:val="002C3015"/>
    <w:rsid w:val="002C4342"/>
    <w:rsid w:val="002C452F"/>
    <w:rsid w:val="002C4ABA"/>
    <w:rsid w:val="002C4E6D"/>
    <w:rsid w:val="002C5CF8"/>
    <w:rsid w:val="002C611C"/>
    <w:rsid w:val="002C65F0"/>
    <w:rsid w:val="002C7411"/>
    <w:rsid w:val="002C7B02"/>
    <w:rsid w:val="002C7EA3"/>
    <w:rsid w:val="002D0346"/>
    <w:rsid w:val="002D1A20"/>
    <w:rsid w:val="002D20AE"/>
    <w:rsid w:val="002D223D"/>
    <w:rsid w:val="002D24AB"/>
    <w:rsid w:val="002D3677"/>
    <w:rsid w:val="002D3727"/>
    <w:rsid w:val="002D3B50"/>
    <w:rsid w:val="002D415D"/>
    <w:rsid w:val="002D416F"/>
    <w:rsid w:val="002D498E"/>
    <w:rsid w:val="002D4A8E"/>
    <w:rsid w:val="002D5DD5"/>
    <w:rsid w:val="002D6860"/>
    <w:rsid w:val="002D6C61"/>
    <w:rsid w:val="002D7744"/>
    <w:rsid w:val="002E018A"/>
    <w:rsid w:val="002E0AAB"/>
    <w:rsid w:val="002E1B97"/>
    <w:rsid w:val="002E1FB2"/>
    <w:rsid w:val="002E2104"/>
    <w:rsid w:val="002E22C6"/>
    <w:rsid w:val="002E2B17"/>
    <w:rsid w:val="002E2CFD"/>
    <w:rsid w:val="002E2DAC"/>
    <w:rsid w:val="002E2E1D"/>
    <w:rsid w:val="002E360E"/>
    <w:rsid w:val="002E3F21"/>
    <w:rsid w:val="002E586C"/>
    <w:rsid w:val="002E59BA"/>
    <w:rsid w:val="002E5EDF"/>
    <w:rsid w:val="002E5F29"/>
    <w:rsid w:val="002E604D"/>
    <w:rsid w:val="002E68D4"/>
    <w:rsid w:val="002E6963"/>
    <w:rsid w:val="002E6A4A"/>
    <w:rsid w:val="002E6B2D"/>
    <w:rsid w:val="002E6F8F"/>
    <w:rsid w:val="002E7021"/>
    <w:rsid w:val="002E7EEF"/>
    <w:rsid w:val="002F00E5"/>
    <w:rsid w:val="002F0559"/>
    <w:rsid w:val="002F05D8"/>
    <w:rsid w:val="002F0C0A"/>
    <w:rsid w:val="002F151B"/>
    <w:rsid w:val="002F1BEB"/>
    <w:rsid w:val="002F1F20"/>
    <w:rsid w:val="002F24FE"/>
    <w:rsid w:val="002F2D05"/>
    <w:rsid w:val="002F2DE0"/>
    <w:rsid w:val="002F3B72"/>
    <w:rsid w:val="002F3CEE"/>
    <w:rsid w:val="002F5190"/>
    <w:rsid w:val="002F54EE"/>
    <w:rsid w:val="002F5E25"/>
    <w:rsid w:val="002F5F34"/>
    <w:rsid w:val="002F609A"/>
    <w:rsid w:val="002F6F1E"/>
    <w:rsid w:val="002F6FA0"/>
    <w:rsid w:val="002F7306"/>
    <w:rsid w:val="002F739E"/>
    <w:rsid w:val="00300307"/>
    <w:rsid w:val="00300796"/>
    <w:rsid w:val="00300870"/>
    <w:rsid w:val="00300ADF"/>
    <w:rsid w:val="00301206"/>
    <w:rsid w:val="0030164D"/>
    <w:rsid w:val="00301AE4"/>
    <w:rsid w:val="00301B41"/>
    <w:rsid w:val="003020F5"/>
    <w:rsid w:val="00302143"/>
    <w:rsid w:val="00302CE1"/>
    <w:rsid w:val="0030353C"/>
    <w:rsid w:val="003042BF"/>
    <w:rsid w:val="00304575"/>
    <w:rsid w:val="003046DD"/>
    <w:rsid w:val="00304BA3"/>
    <w:rsid w:val="00304CC2"/>
    <w:rsid w:val="003050E9"/>
    <w:rsid w:val="00306724"/>
    <w:rsid w:val="00306B5F"/>
    <w:rsid w:val="00307769"/>
    <w:rsid w:val="00307F07"/>
    <w:rsid w:val="00310045"/>
    <w:rsid w:val="003108C1"/>
    <w:rsid w:val="003108F5"/>
    <w:rsid w:val="00311953"/>
    <w:rsid w:val="00311A4D"/>
    <w:rsid w:val="00311E9F"/>
    <w:rsid w:val="00312027"/>
    <w:rsid w:val="003123DF"/>
    <w:rsid w:val="003125C3"/>
    <w:rsid w:val="00312856"/>
    <w:rsid w:val="003128B8"/>
    <w:rsid w:val="00312AE6"/>
    <w:rsid w:val="003135C8"/>
    <w:rsid w:val="003137B6"/>
    <w:rsid w:val="003138E9"/>
    <w:rsid w:val="0031473D"/>
    <w:rsid w:val="0031482C"/>
    <w:rsid w:val="00314A98"/>
    <w:rsid w:val="00314C02"/>
    <w:rsid w:val="00315155"/>
    <w:rsid w:val="00315260"/>
    <w:rsid w:val="00315EB7"/>
    <w:rsid w:val="00316164"/>
    <w:rsid w:val="0031633E"/>
    <w:rsid w:val="00316F8E"/>
    <w:rsid w:val="00317440"/>
    <w:rsid w:val="00317D1A"/>
    <w:rsid w:val="003201D1"/>
    <w:rsid w:val="0032065E"/>
    <w:rsid w:val="00320786"/>
    <w:rsid w:val="00320FDD"/>
    <w:rsid w:val="003211FF"/>
    <w:rsid w:val="003214C1"/>
    <w:rsid w:val="0032189A"/>
    <w:rsid w:val="00322D20"/>
    <w:rsid w:val="00322D63"/>
    <w:rsid w:val="00322F3B"/>
    <w:rsid w:val="003232EC"/>
    <w:rsid w:val="00323693"/>
    <w:rsid w:val="00323FE8"/>
    <w:rsid w:val="003242AB"/>
    <w:rsid w:val="0032579F"/>
    <w:rsid w:val="00325868"/>
    <w:rsid w:val="00326380"/>
    <w:rsid w:val="0032670F"/>
    <w:rsid w:val="0032683E"/>
    <w:rsid w:val="00326B38"/>
    <w:rsid w:val="00326BD8"/>
    <w:rsid w:val="00326DBB"/>
    <w:rsid w:val="0032721F"/>
    <w:rsid w:val="00327247"/>
    <w:rsid w:val="0032774B"/>
    <w:rsid w:val="003278A9"/>
    <w:rsid w:val="00327A9D"/>
    <w:rsid w:val="00330382"/>
    <w:rsid w:val="00330968"/>
    <w:rsid w:val="00330BB7"/>
    <w:rsid w:val="00330E20"/>
    <w:rsid w:val="00330FE0"/>
    <w:rsid w:val="00331009"/>
    <w:rsid w:val="0033104B"/>
    <w:rsid w:val="0033130E"/>
    <w:rsid w:val="00331670"/>
    <w:rsid w:val="003318E7"/>
    <w:rsid w:val="0033269C"/>
    <w:rsid w:val="00332D8C"/>
    <w:rsid w:val="00333131"/>
    <w:rsid w:val="003354C2"/>
    <w:rsid w:val="00335529"/>
    <w:rsid w:val="00335931"/>
    <w:rsid w:val="00335AD7"/>
    <w:rsid w:val="00335DB1"/>
    <w:rsid w:val="00336D91"/>
    <w:rsid w:val="00337735"/>
    <w:rsid w:val="003407FA"/>
    <w:rsid w:val="00340A23"/>
    <w:rsid w:val="0034123F"/>
    <w:rsid w:val="00342B40"/>
    <w:rsid w:val="00342BCD"/>
    <w:rsid w:val="00342EE8"/>
    <w:rsid w:val="00343696"/>
    <w:rsid w:val="003436BD"/>
    <w:rsid w:val="00343764"/>
    <w:rsid w:val="003437BC"/>
    <w:rsid w:val="0034386C"/>
    <w:rsid w:val="0034404A"/>
    <w:rsid w:val="00344371"/>
    <w:rsid w:val="00344388"/>
    <w:rsid w:val="00344764"/>
    <w:rsid w:val="00345285"/>
    <w:rsid w:val="00346555"/>
    <w:rsid w:val="00346BEB"/>
    <w:rsid w:val="00346C24"/>
    <w:rsid w:val="003470D2"/>
    <w:rsid w:val="00350394"/>
    <w:rsid w:val="003506FE"/>
    <w:rsid w:val="00350950"/>
    <w:rsid w:val="00350A8D"/>
    <w:rsid w:val="00351543"/>
    <w:rsid w:val="003517BA"/>
    <w:rsid w:val="00351C59"/>
    <w:rsid w:val="00351C79"/>
    <w:rsid w:val="00351FE2"/>
    <w:rsid w:val="00352228"/>
    <w:rsid w:val="003522A9"/>
    <w:rsid w:val="00352D9A"/>
    <w:rsid w:val="00353690"/>
    <w:rsid w:val="0035383E"/>
    <w:rsid w:val="0035505E"/>
    <w:rsid w:val="00355066"/>
    <w:rsid w:val="0035516C"/>
    <w:rsid w:val="0035530A"/>
    <w:rsid w:val="00355673"/>
    <w:rsid w:val="00355916"/>
    <w:rsid w:val="00355A0D"/>
    <w:rsid w:val="00355A4C"/>
    <w:rsid w:val="003563C3"/>
    <w:rsid w:val="0035752E"/>
    <w:rsid w:val="00357C35"/>
    <w:rsid w:val="003604FB"/>
    <w:rsid w:val="00360B73"/>
    <w:rsid w:val="003610EF"/>
    <w:rsid w:val="003619CC"/>
    <w:rsid w:val="003626D3"/>
    <w:rsid w:val="003627C3"/>
    <w:rsid w:val="00362FCA"/>
    <w:rsid w:val="00363113"/>
    <w:rsid w:val="00363525"/>
    <w:rsid w:val="00364161"/>
    <w:rsid w:val="00364F91"/>
    <w:rsid w:val="003652FE"/>
    <w:rsid w:val="0036531C"/>
    <w:rsid w:val="0036599C"/>
    <w:rsid w:val="003673F2"/>
    <w:rsid w:val="003674F9"/>
    <w:rsid w:val="00367B06"/>
    <w:rsid w:val="003716E0"/>
    <w:rsid w:val="00371EBA"/>
    <w:rsid w:val="00372345"/>
    <w:rsid w:val="00374A82"/>
    <w:rsid w:val="00374B19"/>
    <w:rsid w:val="00374DD4"/>
    <w:rsid w:val="00375F8A"/>
    <w:rsid w:val="00376929"/>
    <w:rsid w:val="0037700B"/>
    <w:rsid w:val="003771FD"/>
    <w:rsid w:val="003777F8"/>
    <w:rsid w:val="00377D0A"/>
    <w:rsid w:val="003806B8"/>
    <w:rsid w:val="00380B71"/>
    <w:rsid w:val="00381980"/>
    <w:rsid w:val="0038317D"/>
    <w:rsid w:val="0038365A"/>
    <w:rsid w:val="003837E3"/>
    <w:rsid w:val="003848B4"/>
    <w:rsid w:val="00385864"/>
    <w:rsid w:val="00385D35"/>
    <w:rsid w:val="00385D51"/>
    <w:rsid w:val="00386408"/>
    <w:rsid w:val="00386497"/>
    <w:rsid w:val="003867E6"/>
    <w:rsid w:val="00386936"/>
    <w:rsid w:val="003869C2"/>
    <w:rsid w:val="00386A89"/>
    <w:rsid w:val="00386BAA"/>
    <w:rsid w:val="003872CD"/>
    <w:rsid w:val="0038760B"/>
    <w:rsid w:val="0039060B"/>
    <w:rsid w:val="0039181D"/>
    <w:rsid w:val="00391B26"/>
    <w:rsid w:val="00391B98"/>
    <w:rsid w:val="00392A29"/>
    <w:rsid w:val="003939D4"/>
    <w:rsid w:val="00394925"/>
    <w:rsid w:val="00394A30"/>
    <w:rsid w:val="00395AC8"/>
    <w:rsid w:val="00395C8A"/>
    <w:rsid w:val="00396362"/>
    <w:rsid w:val="00396409"/>
    <w:rsid w:val="0039648E"/>
    <w:rsid w:val="0039673E"/>
    <w:rsid w:val="00396AD2"/>
    <w:rsid w:val="00396C5B"/>
    <w:rsid w:val="003A0468"/>
    <w:rsid w:val="003A0C71"/>
    <w:rsid w:val="003A1337"/>
    <w:rsid w:val="003A1D83"/>
    <w:rsid w:val="003A2702"/>
    <w:rsid w:val="003A27BF"/>
    <w:rsid w:val="003A32F6"/>
    <w:rsid w:val="003A3B54"/>
    <w:rsid w:val="003A4023"/>
    <w:rsid w:val="003A46A4"/>
    <w:rsid w:val="003A4E67"/>
    <w:rsid w:val="003A586F"/>
    <w:rsid w:val="003A5AFE"/>
    <w:rsid w:val="003A5D5F"/>
    <w:rsid w:val="003A60B6"/>
    <w:rsid w:val="003A6436"/>
    <w:rsid w:val="003A667C"/>
    <w:rsid w:val="003A6D81"/>
    <w:rsid w:val="003A6DAA"/>
    <w:rsid w:val="003A73AE"/>
    <w:rsid w:val="003A7FFE"/>
    <w:rsid w:val="003B0A63"/>
    <w:rsid w:val="003B107F"/>
    <w:rsid w:val="003B2F06"/>
    <w:rsid w:val="003B3448"/>
    <w:rsid w:val="003B3779"/>
    <w:rsid w:val="003B3E19"/>
    <w:rsid w:val="003B3E9E"/>
    <w:rsid w:val="003B3FE1"/>
    <w:rsid w:val="003B40A4"/>
    <w:rsid w:val="003B4E79"/>
    <w:rsid w:val="003B50E1"/>
    <w:rsid w:val="003B51CB"/>
    <w:rsid w:val="003B525B"/>
    <w:rsid w:val="003B585C"/>
    <w:rsid w:val="003B65AB"/>
    <w:rsid w:val="003B7585"/>
    <w:rsid w:val="003B7653"/>
    <w:rsid w:val="003B7A09"/>
    <w:rsid w:val="003B7B0A"/>
    <w:rsid w:val="003C04B9"/>
    <w:rsid w:val="003C1278"/>
    <w:rsid w:val="003C1746"/>
    <w:rsid w:val="003C1D27"/>
    <w:rsid w:val="003C2838"/>
    <w:rsid w:val="003C2AA9"/>
    <w:rsid w:val="003C4729"/>
    <w:rsid w:val="003C58BF"/>
    <w:rsid w:val="003C5B0C"/>
    <w:rsid w:val="003C6255"/>
    <w:rsid w:val="003C6B13"/>
    <w:rsid w:val="003C750F"/>
    <w:rsid w:val="003C7EF3"/>
    <w:rsid w:val="003D014E"/>
    <w:rsid w:val="003D03C4"/>
    <w:rsid w:val="003D1643"/>
    <w:rsid w:val="003D280E"/>
    <w:rsid w:val="003D292B"/>
    <w:rsid w:val="003D2EE4"/>
    <w:rsid w:val="003D3132"/>
    <w:rsid w:val="003D32C4"/>
    <w:rsid w:val="003D33DA"/>
    <w:rsid w:val="003D3634"/>
    <w:rsid w:val="003D3711"/>
    <w:rsid w:val="003D389A"/>
    <w:rsid w:val="003D3CEE"/>
    <w:rsid w:val="003D3E09"/>
    <w:rsid w:val="003D42D9"/>
    <w:rsid w:val="003D451D"/>
    <w:rsid w:val="003D4CCA"/>
    <w:rsid w:val="003D5046"/>
    <w:rsid w:val="003D50C6"/>
    <w:rsid w:val="003D589C"/>
    <w:rsid w:val="003D6261"/>
    <w:rsid w:val="003D6AC0"/>
    <w:rsid w:val="003D741E"/>
    <w:rsid w:val="003E06B1"/>
    <w:rsid w:val="003E0849"/>
    <w:rsid w:val="003E187D"/>
    <w:rsid w:val="003E20E4"/>
    <w:rsid w:val="003E272F"/>
    <w:rsid w:val="003E2BE1"/>
    <w:rsid w:val="003E2D6B"/>
    <w:rsid w:val="003E3C22"/>
    <w:rsid w:val="003E47C6"/>
    <w:rsid w:val="003E4ED7"/>
    <w:rsid w:val="003E5436"/>
    <w:rsid w:val="003E5B06"/>
    <w:rsid w:val="003E5B0B"/>
    <w:rsid w:val="003E726E"/>
    <w:rsid w:val="003E7307"/>
    <w:rsid w:val="003E754B"/>
    <w:rsid w:val="003E79F4"/>
    <w:rsid w:val="003F0277"/>
    <w:rsid w:val="003F0545"/>
    <w:rsid w:val="003F0552"/>
    <w:rsid w:val="003F0A9F"/>
    <w:rsid w:val="003F0E57"/>
    <w:rsid w:val="003F1F2C"/>
    <w:rsid w:val="003F2687"/>
    <w:rsid w:val="003F2DD8"/>
    <w:rsid w:val="003F319A"/>
    <w:rsid w:val="003F387C"/>
    <w:rsid w:val="003F3EA9"/>
    <w:rsid w:val="003F3F2D"/>
    <w:rsid w:val="003F4534"/>
    <w:rsid w:val="003F4B19"/>
    <w:rsid w:val="003F4E3D"/>
    <w:rsid w:val="003F4F61"/>
    <w:rsid w:val="003F50B2"/>
    <w:rsid w:val="003F5C35"/>
    <w:rsid w:val="003F5C50"/>
    <w:rsid w:val="003F6838"/>
    <w:rsid w:val="003F73E1"/>
    <w:rsid w:val="003F764B"/>
    <w:rsid w:val="003F785E"/>
    <w:rsid w:val="003F7BEA"/>
    <w:rsid w:val="004008AD"/>
    <w:rsid w:val="00400CA3"/>
    <w:rsid w:val="00400CCF"/>
    <w:rsid w:val="004012FF"/>
    <w:rsid w:val="004015ED"/>
    <w:rsid w:val="00401711"/>
    <w:rsid w:val="00401B1B"/>
    <w:rsid w:val="00401BFF"/>
    <w:rsid w:val="00402773"/>
    <w:rsid w:val="00402AEE"/>
    <w:rsid w:val="004032B8"/>
    <w:rsid w:val="0040334F"/>
    <w:rsid w:val="00404179"/>
    <w:rsid w:val="004042F9"/>
    <w:rsid w:val="00404424"/>
    <w:rsid w:val="00404450"/>
    <w:rsid w:val="00404AAE"/>
    <w:rsid w:val="00404BAC"/>
    <w:rsid w:val="00404C03"/>
    <w:rsid w:val="00404DAB"/>
    <w:rsid w:val="00406C27"/>
    <w:rsid w:val="00407156"/>
    <w:rsid w:val="004071A8"/>
    <w:rsid w:val="0040729B"/>
    <w:rsid w:val="004076EE"/>
    <w:rsid w:val="004078FE"/>
    <w:rsid w:val="00410613"/>
    <w:rsid w:val="0041156B"/>
    <w:rsid w:val="00411818"/>
    <w:rsid w:val="00411825"/>
    <w:rsid w:val="004118F6"/>
    <w:rsid w:val="00412207"/>
    <w:rsid w:val="00412294"/>
    <w:rsid w:val="004122C5"/>
    <w:rsid w:val="00412760"/>
    <w:rsid w:val="00412BC3"/>
    <w:rsid w:val="00412E8A"/>
    <w:rsid w:val="00413060"/>
    <w:rsid w:val="004132EF"/>
    <w:rsid w:val="00413789"/>
    <w:rsid w:val="00413B78"/>
    <w:rsid w:val="00414152"/>
    <w:rsid w:val="004145C9"/>
    <w:rsid w:val="004146FD"/>
    <w:rsid w:val="0041652E"/>
    <w:rsid w:val="004167D6"/>
    <w:rsid w:val="00416DDE"/>
    <w:rsid w:val="00417421"/>
    <w:rsid w:val="0041748E"/>
    <w:rsid w:val="004177E2"/>
    <w:rsid w:val="00417AB5"/>
    <w:rsid w:val="00417BC1"/>
    <w:rsid w:val="004203C2"/>
    <w:rsid w:val="00420720"/>
    <w:rsid w:val="004210D2"/>
    <w:rsid w:val="00421175"/>
    <w:rsid w:val="004212F2"/>
    <w:rsid w:val="004212FD"/>
    <w:rsid w:val="004213E1"/>
    <w:rsid w:val="00422F75"/>
    <w:rsid w:val="004238D2"/>
    <w:rsid w:val="004244E2"/>
    <w:rsid w:val="00424BE8"/>
    <w:rsid w:val="00425089"/>
    <w:rsid w:val="004253FD"/>
    <w:rsid w:val="00425445"/>
    <w:rsid w:val="004258E8"/>
    <w:rsid w:val="00425A38"/>
    <w:rsid w:val="004261F8"/>
    <w:rsid w:val="004268F1"/>
    <w:rsid w:val="00426C11"/>
    <w:rsid w:val="0043008B"/>
    <w:rsid w:val="004303C2"/>
    <w:rsid w:val="00430951"/>
    <w:rsid w:val="00431799"/>
    <w:rsid w:val="004318B7"/>
    <w:rsid w:val="00431D0D"/>
    <w:rsid w:val="00431DCB"/>
    <w:rsid w:val="00432329"/>
    <w:rsid w:val="00432BA2"/>
    <w:rsid w:val="00432F0D"/>
    <w:rsid w:val="00432FBE"/>
    <w:rsid w:val="00433F81"/>
    <w:rsid w:val="004344E7"/>
    <w:rsid w:val="00434C39"/>
    <w:rsid w:val="00435632"/>
    <w:rsid w:val="0043564C"/>
    <w:rsid w:val="0043619E"/>
    <w:rsid w:val="004361C2"/>
    <w:rsid w:val="004368A8"/>
    <w:rsid w:val="00436ABC"/>
    <w:rsid w:val="00436C1D"/>
    <w:rsid w:val="004373B5"/>
    <w:rsid w:val="0043740B"/>
    <w:rsid w:val="00437D71"/>
    <w:rsid w:val="00440053"/>
    <w:rsid w:val="00440257"/>
    <w:rsid w:val="0044042B"/>
    <w:rsid w:val="004412A3"/>
    <w:rsid w:val="0044158E"/>
    <w:rsid w:val="00441716"/>
    <w:rsid w:val="00441B49"/>
    <w:rsid w:val="0044233B"/>
    <w:rsid w:val="0044255E"/>
    <w:rsid w:val="00442A21"/>
    <w:rsid w:val="004435ED"/>
    <w:rsid w:val="00443800"/>
    <w:rsid w:val="00443CD8"/>
    <w:rsid w:val="0044411E"/>
    <w:rsid w:val="004441FF"/>
    <w:rsid w:val="0044447C"/>
    <w:rsid w:val="004447AF"/>
    <w:rsid w:val="004459DF"/>
    <w:rsid w:val="00445CF7"/>
    <w:rsid w:val="00446A06"/>
    <w:rsid w:val="00446B47"/>
    <w:rsid w:val="004470E3"/>
    <w:rsid w:val="00447AAE"/>
    <w:rsid w:val="00447E6E"/>
    <w:rsid w:val="00450B3A"/>
    <w:rsid w:val="00450BD2"/>
    <w:rsid w:val="00451003"/>
    <w:rsid w:val="00451A26"/>
    <w:rsid w:val="00453435"/>
    <w:rsid w:val="00453D8A"/>
    <w:rsid w:val="00453E32"/>
    <w:rsid w:val="00454142"/>
    <w:rsid w:val="00454744"/>
    <w:rsid w:val="00455170"/>
    <w:rsid w:val="0045541F"/>
    <w:rsid w:val="00455CCA"/>
    <w:rsid w:val="00456765"/>
    <w:rsid w:val="00456E25"/>
    <w:rsid w:val="00457475"/>
    <w:rsid w:val="004575C8"/>
    <w:rsid w:val="004575FD"/>
    <w:rsid w:val="00457DFB"/>
    <w:rsid w:val="00460089"/>
    <w:rsid w:val="00460B1C"/>
    <w:rsid w:val="00460C50"/>
    <w:rsid w:val="00460F76"/>
    <w:rsid w:val="0046141C"/>
    <w:rsid w:val="00461ADD"/>
    <w:rsid w:val="00461BD9"/>
    <w:rsid w:val="00461F9D"/>
    <w:rsid w:val="00462208"/>
    <w:rsid w:val="0046300E"/>
    <w:rsid w:val="00463089"/>
    <w:rsid w:val="0046311A"/>
    <w:rsid w:val="004635C3"/>
    <w:rsid w:val="00463B96"/>
    <w:rsid w:val="00464383"/>
    <w:rsid w:val="004644F6"/>
    <w:rsid w:val="004646A7"/>
    <w:rsid w:val="00464FA5"/>
    <w:rsid w:val="0046570E"/>
    <w:rsid w:val="00466116"/>
    <w:rsid w:val="00466398"/>
    <w:rsid w:val="00466C50"/>
    <w:rsid w:val="00466C83"/>
    <w:rsid w:val="00470D06"/>
    <w:rsid w:val="004710FD"/>
    <w:rsid w:val="004712A4"/>
    <w:rsid w:val="00472AE2"/>
    <w:rsid w:val="00472B16"/>
    <w:rsid w:val="00472FD8"/>
    <w:rsid w:val="0047306D"/>
    <w:rsid w:val="00473107"/>
    <w:rsid w:val="00473425"/>
    <w:rsid w:val="0047345E"/>
    <w:rsid w:val="00473791"/>
    <w:rsid w:val="00473D49"/>
    <w:rsid w:val="0047483C"/>
    <w:rsid w:val="00474FB1"/>
    <w:rsid w:val="0047509F"/>
    <w:rsid w:val="00475305"/>
    <w:rsid w:val="00475529"/>
    <w:rsid w:val="00475959"/>
    <w:rsid w:val="0047619F"/>
    <w:rsid w:val="00476559"/>
    <w:rsid w:val="004765C0"/>
    <w:rsid w:val="00476E48"/>
    <w:rsid w:val="004771A7"/>
    <w:rsid w:val="00480259"/>
    <w:rsid w:val="00480A9A"/>
    <w:rsid w:val="00480C7C"/>
    <w:rsid w:val="00481637"/>
    <w:rsid w:val="004818ED"/>
    <w:rsid w:val="00481DE9"/>
    <w:rsid w:val="00481F48"/>
    <w:rsid w:val="00482C12"/>
    <w:rsid w:val="00483C5E"/>
    <w:rsid w:val="0048462A"/>
    <w:rsid w:val="00484698"/>
    <w:rsid w:val="00484B2D"/>
    <w:rsid w:val="00484CEF"/>
    <w:rsid w:val="004851FF"/>
    <w:rsid w:val="0048530E"/>
    <w:rsid w:val="004854C3"/>
    <w:rsid w:val="00485BDE"/>
    <w:rsid w:val="0048691C"/>
    <w:rsid w:val="00486D44"/>
    <w:rsid w:val="00487121"/>
    <w:rsid w:val="004871EF"/>
    <w:rsid w:val="004901D6"/>
    <w:rsid w:val="004902C0"/>
    <w:rsid w:val="004908A7"/>
    <w:rsid w:val="00490C57"/>
    <w:rsid w:val="00490C76"/>
    <w:rsid w:val="0049128B"/>
    <w:rsid w:val="00491391"/>
    <w:rsid w:val="0049151B"/>
    <w:rsid w:val="00491705"/>
    <w:rsid w:val="0049170C"/>
    <w:rsid w:val="0049178E"/>
    <w:rsid w:val="0049289A"/>
    <w:rsid w:val="00493388"/>
    <w:rsid w:val="00493B31"/>
    <w:rsid w:val="00493B49"/>
    <w:rsid w:val="00493DC7"/>
    <w:rsid w:val="00493E1D"/>
    <w:rsid w:val="00494808"/>
    <w:rsid w:val="00494AA6"/>
    <w:rsid w:val="0049502C"/>
    <w:rsid w:val="00495501"/>
    <w:rsid w:val="0049585A"/>
    <w:rsid w:val="00495BBA"/>
    <w:rsid w:val="00495D95"/>
    <w:rsid w:val="004969FE"/>
    <w:rsid w:val="00496E74"/>
    <w:rsid w:val="00497035"/>
    <w:rsid w:val="0049748F"/>
    <w:rsid w:val="0049769E"/>
    <w:rsid w:val="00497CE0"/>
    <w:rsid w:val="004A070A"/>
    <w:rsid w:val="004A076E"/>
    <w:rsid w:val="004A1F72"/>
    <w:rsid w:val="004A21C4"/>
    <w:rsid w:val="004A2336"/>
    <w:rsid w:val="004A301E"/>
    <w:rsid w:val="004A320E"/>
    <w:rsid w:val="004A331C"/>
    <w:rsid w:val="004A385A"/>
    <w:rsid w:val="004A38CB"/>
    <w:rsid w:val="004A3E7F"/>
    <w:rsid w:val="004A43CB"/>
    <w:rsid w:val="004A4E9C"/>
    <w:rsid w:val="004A51BF"/>
    <w:rsid w:val="004A5431"/>
    <w:rsid w:val="004A6867"/>
    <w:rsid w:val="004A6CE1"/>
    <w:rsid w:val="004A766C"/>
    <w:rsid w:val="004A7857"/>
    <w:rsid w:val="004B11BE"/>
    <w:rsid w:val="004B1A3C"/>
    <w:rsid w:val="004B1E20"/>
    <w:rsid w:val="004B2A6D"/>
    <w:rsid w:val="004B3E0A"/>
    <w:rsid w:val="004B441D"/>
    <w:rsid w:val="004B465A"/>
    <w:rsid w:val="004B4830"/>
    <w:rsid w:val="004B58B4"/>
    <w:rsid w:val="004B592E"/>
    <w:rsid w:val="004B616B"/>
    <w:rsid w:val="004B6A0D"/>
    <w:rsid w:val="004B6B6C"/>
    <w:rsid w:val="004B6E3C"/>
    <w:rsid w:val="004B79C3"/>
    <w:rsid w:val="004B7C25"/>
    <w:rsid w:val="004B7DEF"/>
    <w:rsid w:val="004C0402"/>
    <w:rsid w:val="004C0C19"/>
    <w:rsid w:val="004C0E53"/>
    <w:rsid w:val="004C1427"/>
    <w:rsid w:val="004C15CC"/>
    <w:rsid w:val="004C2666"/>
    <w:rsid w:val="004C2D88"/>
    <w:rsid w:val="004C3540"/>
    <w:rsid w:val="004C3C60"/>
    <w:rsid w:val="004C4830"/>
    <w:rsid w:val="004C4A3E"/>
    <w:rsid w:val="004C4F47"/>
    <w:rsid w:val="004C5EC9"/>
    <w:rsid w:val="004C618A"/>
    <w:rsid w:val="004C62B8"/>
    <w:rsid w:val="004C6E7D"/>
    <w:rsid w:val="004C7016"/>
    <w:rsid w:val="004C71FA"/>
    <w:rsid w:val="004C79E9"/>
    <w:rsid w:val="004C7AFA"/>
    <w:rsid w:val="004D1EDF"/>
    <w:rsid w:val="004D1FDD"/>
    <w:rsid w:val="004D2587"/>
    <w:rsid w:val="004D25F7"/>
    <w:rsid w:val="004D276A"/>
    <w:rsid w:val="004D27FB"/>
    <w:rsid w:val="004D29FD"/>
    <w:rsid w:val="004D2CC3"/>
    <w:rsid w:val="004D35CB"/>
    <w:rsid w:val="004D3A06"/>
    <w:rsid w:val="004D3F4A"/>
    <w:rsid w:val="004D45E8"/>
    <w:rsid w:val="004D4CAA"/>
    <w:rsid w:val="004D4FE9"/>
    <w:rsid w:val="004D523A"/>
    <w:rsid w:val="004D52EF"/>
    <w:rsid w:val="004D6FF4"/>
    <w:rsid w:val="004D7DAB"/>
    <w:rsid w:val="004E0437"/>
    <w:rsid w:val="004E04A5"/>
    <w:rsid w:val="004E0D82"/>
    <w:rsid w:val="004E13AD"/>
    <w:rsid w:val="004E168B"/>
    <w:rsid w:val="004E17EB"/>
    <w:rsid w:val="004E1B41"/>
    <w:rsid w:val="004E1E1A"/>
    <w:rsid w:val="004E20E5"/>
    <w:rsid w:val="004E2836"/>
    <w:rsid w:val="004E2B62"/>
    <w:rsid w:val="004E2BE6"/>
    <w:rsid w:val="004E2EDF"/>
    <w:rsid w:val="004E3CFE"/>
    <w:rsid w:val="004E4579"/>
    <w:rsid w:val="004E4CE0"/>
    <w:rsid w:val="004E5473"/>
    <w:rsid w:val="004E54DE"/>
    <w:rsid w:val="004E5A6F"/>
    <w:rsid w:val="004E64EA"/>
    <w:rsid w:val="004E6E24"/>
    <w:rsid w:val="004E7828"/>
    <w:rsid w:val="004F0511"/>
    <w:rsid w:val="004F075E"/>
    <w:rsid w:val="004F0999"/>
    <w:rsid w:val="004F09BE"/>
    <w:rsid w:val="004F0BA8"/>
    <w:rsid w:val="004F1193"/>
    <w:rsid w:val="004F18EC"/>
    <w:rsid w:val="004F1BCF"/>
    <w:rsid w:val="004F212A"/>
    <w:rsid w:val="004F2262"/>
    <w:rsid w:val="004F2361"/>
    <w:rsid w:val="004F2642"/>
    <w:rsid w:val="004F266D"/>
    <w:rsid w:val="004F38BB"/>
    <w:rsid w:val="004F442E"/>
    <w:rsid w:val="004F46AA"/>
    <w:rsid w:val="004F4F8E"/>
    <w:rsid w:val="004F568E"/>
    <w:rsid w:val="004F58E2"/>
    <w:rsid w:val="004F5E3E"/>
    <w:rsid w:val="004F6056"/>
    <w:rsid w:val="004F6195"/>
    <w:rsid w:val="004F6A70"/>
    <w:rsid w:val="004F6F9A"/>
    <w:rsid w:val="004F77C6"/>
    <w:rsid w:val="0050000D"/>
    <w:rsid w:val="00500642"/>
    <w:rsid w:val="00500AD7"/>
    <w:rsid w:val="00500CF9"/>
    <w:rsid w:val="00501030"/>
    <w:rsid w:val="00501B50"/>
    <w:rsid w:val="00501BB3"/>
    <w:rsid w:val="0050289C"/>
    <w:rsid w:val="005028B3"/>
    <w:rsid w:val="005028BA"/>
    <w:rsid w:val="00502ABF"/>
    <w:rsid w:val="0050387B"/>
    <w:rsid w:val="005040F1"/>
    <w:rsid w:val="00504482"/>
    <w:rsid w:val="00504D00"/>
    <w:rsid w:val="00504DB0"/>
    <w:rsid w:val="005050C3"/>
    <w:rsid w:val="005061E6"/>
    <w:rsid w:val="005064EC"/>
    <w:rsid w:val="005078A4"/>
    <w:rsid w:val="00507C35"/>
    <w:rsid w:val="00507DC9"/>
    <w:rsid w:val="00507FFC"/>
    <w:rsid w:val="005100EA"/>
    <w:rsid w:val="00510125"/>
    <w:rsid w:val="00510714"/>
    <w:rsid w:val="00510735"/>
    <w:rsid w:val="00510C14"/>
    <w:rsid w:val="00510F54"/>
    <w:rsid w:val="00511FDC"/>
    <w:rsid w:val="00511FF3"/>
    <w:rsid w:val="005123B3"/>
    <w:rsid w:val="0051391D"/>
    <w:rsid w:val="00513E86"/>
    <w:rsid w:val="00514811"/>
    <w:rsid w:val="00514D2F"/>
    <w:rsid w:val="00515433"/>
    <w:rsid w:val="00515A0C"/>
    <w:rsid w:val="00515E31"/>
    <w:rsid w:val="005167F4"/>
    <w:rsid w:val="00516A9C"/>
    <w:rsid w:val="005173A6"/>
    <w:rsid w:val="00517785"/>
    <w:rsid w:val="00517AD9"/>
    <w:rsid w:val="005202CB"/>
    <w:rsid w:val="005204C0"/>
    <w:rsid w:val="005206EB"/>
    <w:rsid w:val="00520E6F"/>
    <w:rsid w:val="00521FB3"/>
    <w:rsid w:val="00522A5F"/>
    <w:rsid w:val="00522B64"/>
    <w:rsid w:val="005239C0"/>
    <w:rsid w:val="00523C86"/>
    <w:rsid w:val="00524C48"/>
    <w:rsid w:val="00524D65"/>
    <w:rsid w:val="00525539"/>
    <w:rsid w:val="00525DC5"/>
    <w:rsid w:val="005262AD"/>
    <w:rsid w:val="00526AF8"/>
    <w:rsid w:val="00526B35"/>
    <w:rsid w:val="00526E18"/>
    <w:rsid w:val="005270BE"/>
    <w:rsid w:val="005271CC"/>
    <w:rsid w:val="0052764B"/>
    <w:rsid w:val="00527CE9"/>
    <w:rsid w:val="00527D3F"/>
    <w:rsid w:val="0053003E"/>
    <w:rsid w:val="005302B0"/>
    <w:rsid w:val="00530526"/>
    <w:rsid w:val="005316BA"/>
    <w:rsid w:val="005323D8"/>
    <w:rsid w:val="00532695"/>
    <w:rsid w:val="0053322F"/>
    <w:rsid w:val="005346F7"/>
    <w:rsid w:val="00534B86"/>
    <w:rsid w:val="005353DB"/>
    <w:rsid w:val="00535629"/>
    <w:rsid w:val="00536130"/>
    <w:rsid w:val="005362F4"/>
    <w:rsid w:val="00537260"/>
    <w:rsid w:val="005374A1"/>
    <w:rsid w:val="005374E0"/>
    <w:rsid w:val="00537520"/>
    <w:rsid w:val="005410A1"/>
    <w:rsid w:val="00542207"/>
    <w:rsid w:val="005430C3"/>
    <w:rsid w:val="005430F0"/>
    <w:rsid w:val="00543890"/>
    <w:rsid w:val="0054420E"/>
    <w:rsid w:val="00544212"/>
    <w:rsid w:val="005445B3"/>
    <w:rsid w:val="0054499A"/>
    <w:rsid w:val="00544CE5"/>
    <w:rsid w:val="00544D1B"/>
    <w:rsid w:val="00545828"/>
    <w:rsid w:val="00545AC3"/>
    <w:rsid w:val="00545DC0"/>
    <w:rsid w:val="00545F6C"/>
    <w:rsid w:val="005460D4"/>
    <w:rsid w:val="00546A15"/>
    <w:rsid w:val="005470D9"/>
    <w:rsid w:val="0054775F"/>
    <w:rsid w:val="005477D9"/>
    <w:rsid w:val="00547F19"/>
    <w:rsid w:val="005505EB"/>
    <w:rsid w:val="00550FBA"/>
    <w:rsid w:val="0055252F"/>
    <w:rsid w:val="00552998"/>
    <w:rsid w:val="0055455D"/>
    <w:rsid w:val="00554937"/>
    <w:rsid w:val="00554ABD"/>
    <w:rsid w:val="00554E41"/>
    <w:rsid w:val="00554FF3"/>
    <w:rsid w:val="00555323"/>
    <w:rsid w:val="005553E8"/>
    <w:rsid w:val="005558AB"/>
    <w:rsid w:val="005562D2"/>
    <w:rsid w:val="0055630A"/>
    <w:rsid w:val="00556538"/>
    <w:rsid w:val="005569C6"/>
    <w:rsid w:val="00557006"/>
    <w:rsid w:val="0055720C"/>
    <w:rsid w:val="005572CE"/>
    <w:rsid w:val="005574D8"/>
    <w:rsid w:val="00557874"/>
    <w:rsid w:val="00557C24"/>
    <w:rsid w:val="00557F9A"/>
    <w:rsid w:val="005601C4"/>
    <w:rsid w:val="00561796"/>
    <w:rsid w:val="00562AAF"/>
    <w:rsid w:val="00562BED"/>
    <w:rsid w:val="00562D7D"/>
    <w:rsid w:val="00563230"/>
    <w:rsid w:val="005632DD"/>
    <w:rsid w:val="00563F4A"/>
    <w:rsid w:val="005641AC"/>
    <w:rsid w:val="0056423B"/>
    <w:rsid w:val="00564783"/>
    <w:rsid w:val="005649D4"/>
    <w:rsid w:val="00564C39"/>
    <w:rsid w:val="00565714"/>
    <w:rsid w:val="005658D0"/>
    <w:rsid w:val="0056644E"/>
    <w:rsid w:val="0056689E"/>
    <w:rsid w:val="00566BDC"/>
    <w:rsid w:val="00566C6A"/>
    <w:rsid w:val="00566CA6"/>
    <w:rsid w:val="00567CCA"/>
    <w:rsid w:val="00570040"/>
    <w:rsid w:val="0057027C"/>
    <w:rsid w:val="00570833"/>
    <w:rsid w:val="005708DE"/>
    <w:rsid w:val="0057164A"/>
    <w:rsid w:val="0057279A"/>
    <w:rsid w:val="00573424"/>
    <w:rsid w:val="005737E7"/>
    <w:rsid w:val="00573D09"/>
    <w:rsid w:val="0057402F"/>
    <w:rsid w:val="005743C1"/>
    <w:rsid w:val="0057477B"/>
    <w:rsid w:val="00574C5A"/>
    <w:rsid w:val="00574F49"/>
    <w:rsid w:val="00575CF9"/>
    <w:rsid w:val="005761B7"/>
    <w:rsid w:val="005764B8"/>
    <w:rsid w:val="005766ED"/>
    <w:rsid w:val="00577331"/>
    <w:rsid w:val="005775D3"/>
    <w:rsid w:val="00577C64"/>
    <w:rsid w:val="005801A9"/>
    <w:rsid w:val="00580E10"/>
    <w:rsid w:val="00581064"/>
    <w:rsid w:val="00581252"/>
    <w:rsid w:val="00581653"/>
    <w:rsid w:val="00581DDE"/>
    <w:rsid w:val="00582029"/>
    <w:rsid w:val="00582641"/>
    <w:rsid w:val="00582AB7"/>
    <w:rsid w:val="00582D05"/>
    <w:rsid w:val="0058350E"/>
    <w:rsid w:val="005844F2"/>
    <w:rsid w:val="00584836"/>
    <w:rsid w:val="005849D6"/>
    <w:rsid w:val="005849FD"/>
    <w:rsid w:val="00584CC2"/>
    <w:rsid w:val="00585149"/>
    <w:rsid w:val="00585367"/>
    <w:rsid w:val="005855E4"/>
    <w:rsid w:val="00585663"/>
    <w:rsid w:val="0058571E"/>
    <w:rsid w:val="00585810"/>
    <w:rsid w:val="005858FD"/>
    <w:rsid w:val="00585EE1"/>
    <w:rsid w:val="00586323"/>
    <w:rsid w:val="0058634D"/>
    <w:rsid w:val="005867B4"/>
    <w:rsid w:val="00586DD6"/>
    <w:rsid w:val="00586DE6"/>
    <w:rsid w:val="00586EBE"/>
    <w:rsid w:val="005871A1"/>
    <w:rsid w:val="0058737E"/>
    <w:rsid w:val="0058783E"/>
    <w:rsid w:val="005878EB"/>
    <w:rsid w:val="00590023"/>
    <w:rsid w:val="00591442"/>
    <w:rsid w:val="005917C9"/>
    <w:rsid w:val="005920D2"/>
    <w:rsid w:val="005920D7"/>
    <w:rsid w:val="0059217C"/>
    <w:rsid w:val="00592348"/>
    <w:rsid w:val="00592518"/>
    <w:rsid w:val="00592CC2"/>
    <w:rsid w:val="00592E87"/>
    <w:rsid w:val="00592FDF"/>
    <w:rsid w:val="0059363C"/>
    <w:rsid w:val="00594007"/>
    <w:rsid w:val="0059420B"/>
    <w:rsid w:val="00594C4D"/>
    <w:rsid w:val="00595085"/>
    <w:rsid w:val="0059533F"/>
    <w:rsid w:val="00595DB9"/>
    <w:rsid w:val="00595F9A"/>
    <w:rsid w:val="00596B4C"/>
    <w:rsid w:val="00597665"/>
    <w:rsid w:val="005976F8"/>
    <w:rsid w:val="005A0518"/>
    <w:rsid w:val="005A0773"/>
    <w:rsid w:val="005A0A68"/>
    <w:rsid w:val="005A0ACB"/>
    <w:rsid w:val="005A0C11"/>
    <w:rsid w:val="005A13AC"/>
    <w:rsid w:val="005A1740"/>
    <w:rsid w:val="005A1A03"/>
    <w:rsid w:val="005A2453"/>
    <w:rsid w:val="005A2505"/>
    <w:rsid w:val="005A2E36"/>
    <w:rsid w:val="005A3271"/>
    <w:rsid w:val="005A33B0"/>
    <w:rsid w:val="005A3C1C"/>
    <w:rsid w:val="005A3FDC"/>
    <w:rsid w:val="005A406D"/>
    <w:rsid w:val="005A4481"/>
    <w:rsid w:val="005A45B7"/>
    <w:rsid w:val="005A4AB8"/>
    <w:rsid w:val="005A4F5C"/>
    <w:rsid w:val="005A58A6"/>
    <w:rsid w:val="005A5A21"/>
    <w:rsid w:val="005A5A38"/>
    <w:rsid w:val="005A5B60"/>
    <w:rsid w:val="005A727C"/>
    <w:rsid w:val="005A7543"/>
    <w:rsid w:val="005A7696"/>
    <w:rsid w:val="005A76A0"/>
    <w:rsid w:val="005A7AEE"/>
    <w:rsid w:val="005B0061"/>
    <w:rsid w:val="005B0C9B"/>
    <w:rsid w:val="005B0DDF"/>
    <w:rsid w:val="005B0E74"/>
    <w:rsid w:val="005B11E3"/>
    <w:rsid w:val="005B15A4"/>
    <w:rsid w:val="005B1ACC"/>
    <w:rsid w:val="005B21F1"/>
    <w:rsid w:val="005B2295"/>
    <w:rsid w:val="005B2B24"/>
    <w:rsid w:val="005B2E46"/>
    <w:rsid w:val="005B33BE"/>
    <w:rsid w:val="005B37A8"/>
    <w:rsid w:val="005B3972"/>
    <w:rsid w:val="005B3BEF"/>
    <w:rsid w:val="005B44AC"/>
    <w:rsid w:val="005B4D80"/>
    <w:rsid w:val="005B6435"/>
    <w:rsid w:val="005B65E9"/>
    <w:rsid w:val="005B664B"/>
    <w:rsid w:val="005B7930"/>
    <w:rsid w:val="005B7BDA"/>
    <w:rsid w:val="005C04DE"/>
    <w:rsid w:val="005C08C4"/>
    <w:rsid w:val="005C0CDA"/>
    <w:rsid w:val="005C1491"/>
    <w:rsid w:val="005C1560"/>
    <w:rsid w:val="005C1B22"/>
    <w:rsid w:val="005C1EB5"/>
    <w:rsid w:val="005C203F"/>
    <w:rsid w:val="005C2501"/>
    <w:rsid w:val="005C2DC2"/>
    <w:rsid w:val="005C304A"/>
    <w:rsid w:val="005C3080"/>
    <w:rsid w:val="005C30A0"/>
    <w:rsid w:val="005C3D69"/>
    <w:rsid w:val="005C4361"/>
    <w:rsid w:val="005C4689"/>
    <w:rsid w:val="005C4A49"/>
    <w:rsid w:val="005C5FEB"/>
    <w:rsid w:val="005C647F"/>
    <w:rsid w:val="005C6A28"/>
    <w:rsid w:val="005C6BBA"/>
    <w:rsid w:val="005C6CD0"/>
    <w:rsid w:val="005C6FC4"/>
    <w:rsid w:val="005C78E9"/>
    <w:rsid w:val="005C7B17"/>
    <w:rsid w:val="005C7C98"/>
    <w:rsid w:val="005D0ABC"/>
    <w:rsid w:val="005D0CE9"/>
    <w:rsid w:val="005D0F9C"/>
    <w:rsid w:val="005D12D3"/>
    <w:rsid w:val="005D1A67"/>
    <w:rsid w:val="005D1C6D"/>
    <w:rsid w:val="005D1E6D"/>
    <w:rsid w:val="005D25FB"/>
    <w:rsid w:val="005D2605"/>
    <w:rsid w:val="005D2C3A"/>
    <w:rsid w:val="005D37FB"/>
    <w:rsid w:val="005D3C4A"/>
    <w:rsid w:val="005D3C81"/>
    <w:rsid w:val="005D4061"/>
    <w:rsid w:val="005D4573"/>
    <w:rsid w:val="005D47B9"/>
    <w:rsid w:val="005D4FF2"/>
    <w:rsid w:val="005D5023"/>
    <w:rsid w:val="005D527B"/>
    <w:rsid w:val="005D55A4"/>
    <w:rsid w:val="005D57C8"/>
    <w:rsid w:val="005D5B63"/>
    <w:rsid w:val="005D63D1"/>
    <w:rsid w:val="005D6841"/>
    <w:rsid w:val="005D6AE1"/>
    <w:rsid w:val="005D70BA"/>
    <w:rsid w:val="005D7309"/>
    <w:rsid w:val="005D7761"/>
    <w:rsid w:val="005D7CD3"/>
    <w:rsid w:val="005E0278"/>
    <w:rsid w:val="005E0334"/>
    <w:rsid w:val="005E05D1"/>
    <w:rsid w:val="005E090D"/>
    <w:rsid w:val="005E1724"/>
    <w:rsid w:val="005E1877"/>
    <w:rsid w:val="005E18A9"/>
    <w:rsid w:val="005E1B10"/>
    <w:rsid w:val="005E1F81"/>
    <w:rsid w:val="005E2D6F"/>
    <w:rsid w:val="005E2EBF"/>
    <w:rsid w:val="005E2FFB"/>
    <w:rsid w:val="005E38FF"/>
    <w:rsid w:val="005E3CA0"/>
    <w:rsid w:val="005E3DE0"/>
    <w:rsid w:val="005E44B1"/>
    <w:rsid w:val="005E50BC"/>
    <w:rsid w:val="005E538D"/>
    <w:rsid w:val="005E5763"/>
    <w:rsid w:val="005E6077"/>
    <w:rsid w:val="005E63FF"/>
    <w:rsid w:val="005E661D"/>
    <w:rsid w:val="005E67B0"/>
    <w:rsid w:val="005E687F"/>
    <w:rsid w:val="005E6E59"/>
    <w:rsid w:val="005E6F46"/>
    <w:rsid w:val="005E7047"/>
    <w:rsid w:val="005E716B"/>
    <w:rsid w:val="005E71B9"/>
    <w:rsid w:val="005E777F"/>
    <w:rsid w:val="005E7A0A"/>
    <w:rsid w:val="005E7B5E"/>
    <w:rsid w:val="005F020F"/>
    <w:rsid w:val="005F127B"/>
    <w:rsid w:val="005F1701"/>
    <w:rsid w:val="005F1AE6"/>
    <w:rsid w:val="005F1CA7"/>
    <w:rsid w:val="005F1ECF"/>
    <w:rsid w:val="005F229F"/>
    <w:rsid w:val="005F2309"/>
    <w:rsid w:val="005F23E3"/>
    <w:rsid w:val="005F249C"/>
    <w:rsid w:val="005F305B"/>
    <w:rsid w:val="005F31C7"/>
    <w:rsid w:val="005F4015"/>
    <w:rsid w:val="005F417C"/>
    <w:rsid w:val="005F43DD"/>
    <w:rsid w:val="005F4430"/>
    <w:rsid w:val="005F469E"/>
    <w:rsid w:val="005F4969"/>
    <w:rsid w:val="005F4C71"/>
    <w:rsid w:val="005F51A9"/>
    <w:rsid w:val="005F5566"/>
    <w:rsid w:val="005F5B35"/>
    <w:rsid w:val="005F5EDF"/>
    <w:rsid w:val="005F5EFE"/>
    <w:rsid w:val="005F6BE1"/>
    <w:rsid w:val="005F6F7D"/>
    <w:rsid w:val="005F735A"/>
    <w:rsid w:val="005F7416"/>
    <w:rsid w:val="005F74ED"/>
    <w:rsid w:val="005F7C55"/>
    <w:rsid w:val="00600367"/>
    <w:rsid w:val="00600813"/>
    <w:rsid w:val="00600C11"/>
    <w:rsid w:val="0060111E"/>
    <w:rsid w:val="00601582"/>
    <w:rsid w:val="00601946"/>
    <w:rsid w:val="00602266"/>
    <w:rsid w:val="006022D1"/>
    <w:rsid w:val="00602B93"/>
    <w:rsid w:val="006032E2"/>
    <w:rsid w:val="0060462C"/>
    <w:rsid w:val="00604B41"/>
    <w:rsid w:val="00605050"/>
    <w:rsid w:val="00605EBE"/>
    <w:rsid w:val="006067EB"/>
    <w:rsid w:val="00606820"/>
    <w:rsid w:val="00606B89"/>
    <w:rsid w:val="006079B5"/>
    <w:rsid w:val="00607AD1"/>
    <w:rsid w:val="00610765"/>
    <w:rsid w:val="0061096C"/>
    <w:rsid w:val="006110C5"/>
    <w:rsid w:val="00611225"/>
    <w:rsid w:val="006116F3"/>
    <w:rsid w:val="00611EAF"/>
    <w:rsid w:val="006124FA"/>
    <w:rsid w:val="006129DC"/>
    <w:rsid w:val="00612B5B"/>
    <w:rsid w:val="00612B8D"/>
    <w:rsid w:val="00612ECA"/>
    <w:rsid w:val="00613829"/>
    <w:rsid w:val="006144BF"/>
    <w:rsid w:val="006147BC"/>
    <w:rsid w:val="006147F5"/>
    <w:rsid w:val="00614DC0"/>
    <w:rsid w:val="00614DDA"/>
    <w:rsid w:val="00615308"/>
    <w:rsid w:val="00615A70"/>
    <w:rsid w:val="00615AEA"/>
    <w:rsid w:val="00615F28"/>
    <w:rsid w:val="00617735"/>
    <w:rsid w:val="0062044A"/>
    <w:rsid w:val="00620573"/>
    <w:rsid w:val="0062192F"/>
    <w:rsid w:val="0062288D"/>
    <w:rsid w:val="0062299F"/>
    <w:rsid w:val="00622A1E"/>
    <w:rsid w:val="00622D42"/>
    <w:rsid w:val="00623451"/>
    <w:rsid w:val="006237BE"/>
    <w:rsid w:val="00623F30"/>
    <w:rsid w:val="00624094"/>
    <w:rsid w:val="00624B02"/>
    <w:rsid w:val="00624B44"/>
    <w:rsid w:val="00625B6E"/>
    <w:rsid w:val="00625FB8"/>
    <w:rsid w:val="006261BD"/>
    <w:rsid w:val="00626289"/>
    <w:rsid w:val="00626661"/>
    <w:rsid w:val="00627225"/>
    <w:rsid w:val="006274C3"/>
    <w:rsid w:val="00630417"/>
    <w:rsid w:val="006305D5"/>
    <w:rsid w:val="00630D20"/>
    <w:rsid w:val="0063119E"/>
    <w:rsid w:val="00631CA5"/>
    <w:rsid w:val="006326CC"/>
    <w:rsid w:val="00632DEA"/>
    <w:rsid w:val="0063473E"/>
    <w:rsid w:val="00635EDB"/>
    <w:rsid w:val="00635EED"/>
    <w:rsid w:val="006402C4"/>
    <w:rsid w:val="006407B7"/>
    <w:rsid w:val="006408A1"/>
    <w:rsid w:val="00640B8E"/>
    <w:rsid w:val="0064107C"/>
    <w:rsid w:val="006410E1"/>
    <w:rsid w:val="0064154A"/>
    <w:rsid w:val="006420D1"/>
    <w:rsid w:val="006420F2"/>
    <w:rsid w:val="0064262C"/>
    <w:rsid w:val="00642C3C"/>
    <w:rsid w:val="00642EA4"/>
    <w:rsid w:val="006433FD"/>
    <w:rsid w:val="00643A03"/>
    <w:rsid w:val="00643A45"/>
    <w:rsid w:val="00643A79"/>
    <w:rsid w:val="00643EF5"/>
    <w:rsid w:val="00644785"/>
    <w:rsid w:val="00644EF4"/>
    <w:rsid w:val="00645DB0"/>
    <w:rsid w:val="00645F8C"/>
    <w:rsid w:val="006461F0"/>
    <w:rsid w:val="006465D1"/>
    <w:rsid w:val="00646A60"/>
    <w:rsid w:val="00646DD5"/>
    <w:rsid w:val="0064734E"/>
    <w:rsid w:val="006478BC"/>
    <w:rsid w:val="00650137"/>
    <w:rsid w:val="006509D7"/>
    <w:rsid w:val="00651561"/>
    <w:rsid w:val="00651CE8"/>
    <w:rsid w:val="006523CE"/>
    <w:rsid w:val="00652EA5"/>
    <w:rsid w:val="0065322F"/>
    <w:rsid w:val="0065342D"/>
    <w:rsid w:val="00653462"/>
    <w:rsid w:val="00653664"/>
    <w:rsid w:val="0065521B"/>
    <w:rsid w:val="006555F2"/>
    <w:rsid w:val="00655869"/>
    <w:rsid w:val="006567DF"/>
    <w:rsid w:val="00656897"/>
    <w:rsid w:val="00657464"/>
    <w:rsid w:val="00657589"/>
    <w:rsid w:val="00660195"/>
    <w:rsid w:val="00660ABD"/>
    <w:rsid w:val="00661731"/>
    <w:rsid w:val="00661CFA"/>
    <w:rsid w:val="0066299B"/>
    <w:rsid w:val="006635A3"/>
    <w:rsid w:val="006636D8"/>
    <w:rsid w:val="00663E78"/>
    <w:rsid w:val="00664451"/>
    <w:rsid w:val="006646A1"/>
    <w:rsid w:val="006653D6"/>
    <w:rsid w:val="00665973"/>
    <w:rsid w:val="00665C96"/>
    <w:rsid w:val="0066654A"/>
    <w:rsid w:val="00667089"/>
    <w:rsid w:val="00667B1B"/>
    <w:rsid w:val="00667D2D"/>
    <w:rsid w:val="00670411"/>
    <w:rsid w:val="00670782"/>
    <w:rsid w:val="0067098E"/>
    <w:rsid w:val="00671314"/>
    <w:rsid w:val="0067161F"/>
    <w:rsid w:val="00671738"/>
    <w:rsid w:val="00671EF6"/>
    <w:rsid w:val="0067205B"/>
    <w:rsid w:val="00672592"/>
    <w:rsid w:val="00672D28"/>
    <w:rsid w:val="00672D43"/>
    <w:rsid w:val="00672EB5"/>
    <w:rsid w:val="006731EB"/>
    <w:rsid w:val="00673F7C"/>
    <w:rsid w:val="006741BD"/>
    <w:rsid w:val="006744A9"/>
    <w:rsid w:val="006748F8"/>
    <w:rsid w:val="006749F5"/>
    <w:rsid w:val="00674E65"/>
    <w:rsid w:val="00674F34"/>
    <w:rsid w:val="006751FC"/>
    <w:rsid w:val="00675F7D"/>
    <w:rsid w:val="00675FF6"/>
    <w:rsid w:val="00676041"/>
    <w:rsid w:val="00676BCC"/>
    <w:rsid w:val="006775EB"/>
    <w:rsid w:val="0067788F"/>
    <w:rsid w:val="00677BBF"/>
    <w:rsid w:val="00680453"/>
    <w:rsid w:val="00680489"/>
    <w:rsid w:val="00680533"/>
    <w:rsid w:val="00681A17"/>
    <w:rsid w:val="00681D0E"/>
    <w:rsid w:val="0068275E"/>
    <w:rsid w:val="006828A9"/>
    <w:rsid w:val="00683856"/>
    <w:rsid w:val="00683C32"/>
    <w:rsid w:val="00683EB2"/>
    <w:rsid w:val="00684156"/>
    <w:rsid w:val="006843F6"/>
    <w:rsid w:val="00684816"/>
    <w:rsid w:val="00684C3D"/>
    <w:rsid w:val="00684DBC"/>
    <w:rsid w:val="00684EA9"/>
    <w:rsid w:val="006852DD"/>
    <w:rsid w:val="00685FDE"/>
    <w:rsid w:val="006860C4"/>
    <w:rsid w:val="00686B32"/>
    <w:rsid w:val="00687CBF"/>
    <w:rsid w:val="006909A7"/>
    <w:rsid w:val="00690BB2"/>
    <w:rsid w:val="006916B1"/>
    <w:rsid w:val="00691AF7"/>
    <w:rsid w:val="00691C35"/>
    <w:rsid w:val="00692A8F"/>
    <w:rsid w:val="00692B82"/>
    <w:rsid w:val="00692C4A"/>
    <w:rsid w:val="00693459"/>
    <w:rsid w:val="0069390E"/>
    <w:rsid w:val="00693D09"/>
    <w:rsid w:val="00694CFD"/>
    <w:rsid w:val="00694E3F"/>
    <w:rsid w:val="00694FD2"/>
    <w:rsid w:val="00695116"/>
    <w:rsid w:val="0069537D"/>
    <w:rsid w:val="00695F0C"/>
    <w:rsid w:val="006961FB"/>
    <w:rsid w:val="0069625A"/>
    <w:rsid w:val="00696B44"/>
    <w:rsid w:val="006971B5"/>
    <w:rsid w:val="006971B8"/>
    <w:rsid w:val="00697471"/>
    <w:rsid w:val="006975EE"/>
    <w:rsid w:val="006A07F7"/>
    <w:rsid w:val="006A09E8"/>
    <w:rsid w:val="006A0A31"/>
    <w:rsid w:val="006A0C66"/>
    <w:rsid w:val="006A0D3F"/>
    <w:rsid w:val="006A0EF6"/>
    <w:rsid w:val="006A14E8"/>
    <w:rsid w:val="006A1885"/>
    <w:rsid w:val="006A1D3A"/>
    <w:rsid w:val="006A1DE0"/>
    <w:rsid w:val="006A1FC5"/>
    <w:rsid w:val="006A23EC"/>
    <w:rsid w:val="006A37CE"/>
    <w:rsid w:val="006A4882"/>
    <w:rsid w:val="006A4A56"/>
    <w:rsid w:val="006A4A79"/>
    <w:rsid w:val="006A4C05"/>
    <w:rsid w:val="006A4E26"/>
    <w:rsid w:val="006A541B"/>
    <w:rsid w:val="006A646A"/>
    <w:rsid w:val="006A64BC"/>
    <w:rsid w:val="006A6549"/>
    <w:rsid w:val="006A6ABF"/>
    <w:rsid w:val="006A6EF6"/>
    <w:rsid w:val="006A7710"/>
    <w:rsid w:val="006A77FA"/>
    <w:rsid w:val="006A7A61"/>
    <w:rsid w:val="006A7B4B"/>
    <w:rsid w:val="006A7BAC"/>
    <w:rsid w:val="006A7BF7"/>
    <w:rsid w:val="006B11E4"/>
    <w:rsid w:val="006B1E59"/>
    <w:rsid w:val="006B206D"/>
    <w:rsid w:val="006B20F0"/>
    <w:rsid w:val="006B226F"/>
    <w:rsid w:val="006B259C"/>
    <w:rsid w:val="006B2E4A"/>
    <w:rsid w:val="006B2FFB"/>
    <w:rsid w:val="006B305D"/>
    <w:rsid w:val="006B3478"/>
    <w:rsid w:val="006B3996"/>
    <w:rsid w:val="006B3B8D"/>
    <w:rsid w:val="006B3CD4"/>
    <w:rsid w:val="006B3D0F"/>
    <w:rsid w:val="006B3E64"/>
    <w:rsid w:val="006B4C07"/>
    <w:rsid w:val="006B4FB3"/>
    <w:rsid w:val="006B503E"/>
    <w:rsid w:val="006B521A"/>
    <w:rsid w:val="006B5A64"/>
    <w:rsid w:val="006B5EFF"/>
    <w:rsid w:val="006B665F"/>
    <w:rsid w:val="006B677B"/>
    <w:rsid w:val="006B67F9"/>
    <w:rsid w:val="006B726A"/>
    <w:rsid w:val="006B75BD"/>
    <w:rsid w:val="006B7C65"/>
    <w:rsid w:val="006C075B"/>
    <w:rsid w:val="006C0801"/>
    <w:rsid w:val="006C0D6E"/>
    <w:rsid w:val="006C106A"/>
    <w:rsid w:val="006C10A2"/>
    <w:rsid w:val="006C1A79"/>
    <w:rsid w:val="006C1F18"/>
    <w:rsid w:val="006C207C"/>
    <w:rsid w:val="006C2373"/>
    <w:rsid w:val="006C26B5"/>
    <w:rsid w:val="006C2704"/>
    <w:rsid w:val="006C3AA7"/>
    <w:rsid w:val="006C409D"/>
    <w:rsid w:val="006C41B5"/>
    <w:rsid w:val="006C6139"/>
    <w:rsid w:val="006C6581"/>
    <w:rsid w:val="006C6951"/>
    <w:rsid w:val="006C6AC3"/>
    <w:rsid w:val="006C6E02"/>
    <w:rsid w:val="006C6F2B"/>
    <w:rsid w:val="006C772C"/>
    <w:rsid w:val="006C79C2"/>
    <w:rsid w:val="006D00F9"/>
    <w:rsid w:val="006D02BE"/>
    <w:rsid w:val="006D089D"/>
    <w:rsid w:val="006D1BEE"/>
    <w:rsid w:val="006D21B9"/>
    <w:rsid w:val="006D3F12"/>
    <w:rsid w:val="006D40D5"/>
    <w:rsid w:val="006D449E"/>
    <w:rsid w:val="006D489F"/>
    <w:rsid w:val="006D49D9"/>
    <w:rsid w:val="006D4EA0"/>
    <w:rsid w:val="006D506C"/>
    <w:rsid w:val="006D526B"/>
    <w:rsid w:val="006D5E18"/>
    <w:rsid w:val="006D63CD"/>
    <w:rsid w:val="006D64B1"/>
    <w:rsid w:val="006D6BF2"/>
    <w:rsid w:val="006D7087"/>
    <w:rsid w:val="006E0006"/>
    <w:rsid w:val="006E07B5"/>
    <w:rsid w:val="006E12EB"/>
    <w:rsid w:val="006E13A8"/>
    <w:rsid w:val="006E1AE5"/>
    <w:rsid w:val="006E1E80"/>
    <w:rsid w:val="006E226E"/>
    <w:rsid w:val="006E2988"/>
    <w:rsid w:val="006E37A2"/>
    <w:rsid w:val="006E39BC"/>
    <w:rsid w:val="006E408B"/>
    <w:rsid w:val="006E40AD"/>
    <w:rsid w:val="006E452C"/>
    <w:rsid w:val="006E5561"/>
    <w:rsid w:val="006E558E"/>
    <w:rsid w:val="006E5831"/>
    <w:rsid w:val="006E5D26"/>
    <w:rsid w:val="006E655D"/>
    <w:rsid w:val="006E69EC"/>
    <w:rsid w:val="006E6AAF"/>
    <w:rsid w:val="006E72D0"/>
    <w:rsid w:val="006E74FE"/>
    <w:rsid w:val="006F009A"/>
    <w:rsid w:val="006F04BD"/>
    <w:rsid w:val="006F0751"/>
    <w:rsid w:val="006F0883"/>
    <w:rsid w:val="006F0B00"/>
    <w:rsid w:val="006F0C9E"/>
    <w:rsid w:val="006F0D1B"/>
    <w:rsid w:val="006F117F"/>
    <w:rsid w:val="006F209E"/>
    <w:rsid w:val="006F24AF"/>
    <w:rsid w:val="006F33D2"/>
    <w:rsid w:val="006F3D93"/>
    <w:rsid w:val="006F4263"/>
    <w:rsid w:val="006F4547"/>
    <w:rsid w:val="006F4997"/>
    <w:rsid w:val="006F4BE3"/>
    <w:rsid w:val="006F50B2"/>
    <w:rsid w:val="007007D5"/>
    <w:rsid w:val="00700CC1"/>
    <w:rsid w:val="00700E65"/>
    <w:rsid w:val="00701127"/>
    <w:rsid w:val="0070114D"/>
    <w:rsid w:val="00701966"/>
    <w:rsid w:val="007019B1"/>
    <w:rsid w:val="00702358"/>
    <w:rsid w:val="00702571"/>
    <w:rsid w:val="00703131"/>
    <w:rsid w:val="007036DC"/>
    <w:rsid w:val="0070445F"/>
    <w:rsid w:val="0070464E"/>
    <w:rsid w:val="007052E1"/>
    <w:rsid w:val="00705478"/>
    <w:rsid w:val="00706440"/>
    <w:rsid w:val="0070651A"/>
    <w:rsid w:val="00706620"/>
    <w:rsid w:val="0070687B"/>
    <w:rsid w:val="00706C50"/>
    <w:rsid w:val="00706D6A"/>
    <w:rsid w:val="00706EAE"/>
    <w:rsid w:val="007079DA"/>
    <w:rsid w:val="00707A2A"/>
    <w:rsid w:val="007103FD"/>
    <w:rsid w:val="0071041C"/>
    <w:rsid w:val="007106F0"/>
    <w:rsid w:val="00710757"/>
    <w:rsid w:val="00710CFE"/>
    <w:rsid w:val="0071115F"/>
    <w:rsid w:val="00712266"/>
    <w:rsid w:val="007138D5"/>
    <w:rsid w:val="007142DD"/>
    <w:rsid w:val="00714A9A"/>
    <w:rsid w:val="00715C14"/>
    <w:rsid w:val="00716A1A"/>
    <w:rsid w:val="0071703D"/>
    <w:rsid w:val="007170B7"/>
    <w:rsid w:val="00717363"/>
    <w:rsid w:val="007173C1"/>
    <w:rsid w:val="00717E13"/>
    <w:rsid w:val="00721657"/>
    <w:rsid w:val="00722F24"/>
    <w:rsid w:val="00723598"/>
    <w:rsid w:val="00723E6C"/>
    <w:rsid w:val="00724418"/>
    <w:rsid w:val="00724DC9"/>
    <w:rsid w:val="00725319"/>
    <w:rsid w:val="007254C9"/>
    <w:rsid w:val="00726C4E"/>
    <w:rsid w:val="00726D57"/>
    <w:rsid w:val="00726E7F"/>
    <w:rsid w:val="0072774E"/>
    <w:rsid w:val="007279A8"/>
    <w:rsid w:val="00727B1A"/>
    <w:rsid w:val="00727CC0"/>
    <w:rsid w:val="00727D9B"/>
    <w:rsid w:val="00731615"/>
    <w:rsid w:val="00731632"/>
    <w:rsid w:val="007320F0"/>
    <w:rsid w:val="0073354B"/>
    <w:rsid w:val="00733A9F"/>
    <w:rsid w:val="00734226"/>
    <w:rsid w:val="00734BAB"/>
    <w:rsid w:val="00734E9E"/>
    <w:rsid w:val="0073596A"/>
    <w:rsid w:val="00735B40"/>
    <w:rsid w:val="00735DCC"/>
    <w:rsid w:val="00736BBB"/>
    <w:rsid w:val="00736D0A"/>
    <w:rsid w:val="0073798F"/>
    <w:rsid w:val="00737D29"/>
    <w:rsid w:val="007404B6"/>
    <w:rsid w:val="00740A2F"/>
    <w:rsid w:val="00740F6B"/>
    <w:rsid w:val="00741337"/>
    <w:rsid w:val="007416AD"/>
    <w:rsid w:val="00741D36"/>
    <w:rsid w:val="00741D4C"/>
    <w:rsid w:val="00742AE8"/>
    <w:rsid w:val="00742F2B"/>
    <w:rsid w:val="00743D1D"/>
    <w:rsid w:val="00744277"/>
    <w:rsid w:val="00744EF2"/>
    <w:rsid w:val="00745827"/>
    <w:rsid w:val="007458E3"/>
    <w:rsid w:val="00746785"/>
    <w:rsid w:val="00746B9B"/>
    <w:rsid w:val="00746CB2"/>
    <w:rsid w:val="007470BE"/>
    <w:rsid w:val="007475B3"/>
    <w:rsid w:val="00747F7D"/>
    <w:rsid w:val="00750B12"/>
    <w:rsid w:val="00750DEE"/>
    <w:rsid w:val="00751197"/>
    <w:rsid w:val="007516E1"/>
    <w:rsid w:val="007519E7"/>
    <w:rsid w:val="007519F5"/>
    <w:rsid w:val="00751CE1"/>
    <w:rsid w:val="00751CEC"/>
    <w:rsid w:val="00751D0A"/>
    <w:rsid w:val="00752258"/>
    <w:rsid w:val="007523BF"/>
    <w:rsid w:val="007529E1"/>
    <w:rsid w:val="00752A7B"/>
    <w:rsid w:val="00753089"/>
    <w:rsid w:val="00753C3A"/>
    <w:rsid w:val="00753D79"/>
    <w:rsid w:val="00753DB3"/>
    <w:rsid w:val="00753FAE"/>
    <w:rsid w:val="007543EA"/>
    <w:rsid w:val="00754D41"/>
    <w:rsid w:val="00755E23"/>
    <w:rsid w:val="00756642"/>
    <w:rsid w:val="00756954"/>
    <w:rsid w:val="00756C8F"/>
    <w:rsid w:val="00756C9C"/>
    <w:rsid w:val="00756F18"/>
    <w:rsid w:val="00757755"/>
    <w:rsid w:val="00757777"/>
    <w:rsid w:val="00757979"/>
    <w:rsid w:val="00757BF6"/>
    <w:rsid w:val="00760B05"/>
    <w:rsid w:val="00760E48"/>
    <w:rsid w:val="00761F14"/>
    <w:rsid w:val="0076272A"/>
    <w:rsid w:val="00762880"/>
    <w:rsid w:val="007628A9"/>
    <w:rsid w:val="00762AD6"/>
    <w:rsid w:val="00762E02"/>
    <w:rsid w:val="00763584"/>
    <w:rsid w:val="0076432A"/>
    <w:rsid w:val="00764554"/>
    <w:rsid w:val="007648AE"/>
    <w:rsid w:val="00765573"/>
    <w:rsid w:val="00765827"/>
    <w:rsid w:val="00765FC9"/>
    <w:rsid w:val="00766356"/>
    <w:rsid w:val="00766BFC"/>
    <w:rsid w:val="00766C13"/>
    <w:rsid w:val="00766D0B"/>
    <w:rsid w:val="00766DB0"/>
    <w:rsid w:val="00767104"/>
    <w:rsid w:val="007678B1"/>
    <w:rsid w:val="007679F3"/>
    <w:rsid w:val="00770299"/>
    <w:rsid w:val="00770346"/>
    <w:rsid w:val="007703E2"/>
    <w:rsid w:val="00770CC3"/>
    <w:rsid w:val="00771316"/>
    <w:rsid w:val="0077185C"/>
    <w:rsid w:val="00771B44"/>
    <w:rsid w:val="00771BF1"/>
    <w:rsid w:val="00772025"/>
    <w:rsid w:val="0077203B"/>
    <w:rsid w:val="00772290"/>
    <w:rsid w:val="00772B5D"/>
    <w:rsid w:val="00772ED9"/>
    <w:rsid w:val="00773ABD"/>
    <w:rsid w:val="00774E29"/>
    <w:rsid w:val="007759F7"/>
    <w:rsid w:val="00775F26"/>
    <w:rsid w:val="00775FA3"/>
    <w:rsid w:val="00776B32"/>
    <w:rsid w:val="00776B34"/>
    <w:rsid w:val="00776B71"/>
    <w:rsid w:val="00777265"/>
    <w:rsid w:val="00777450"/>
    <w:rsid w:val="007805E7"/>
    <w:rsid w:val="00781079"/>
    <w:rsid w:val="007810AF"/>
    <w:rsid w:val="00781433"/>
    <w:rsid w:val="007814AC"/>
    <w:rsid w:val="007816FB"/>
    <w:rsid w:val="00782091"/>
    <w:rsid w:val="007821B9"/>
    <w:rsid w:val="0078222A"/>
    <w:rsid w:val="00782B29"/>
    <w:rsid w:val="007834CA"/>
    <w:rsid w:val="00784594"/>
    <w:rsid w:val="00784700"/>
    <w:rsid w:val="00784AB3"/>
    <w:rsid w:val="00785352"/>
    <w:rsid w:val="00785E0C"/>
    <w:rsid w:val="007862C6"/>
    <w:rsid w:val="007863F9"/>
    <w:rsid w:val="007867ED"/>
    <w:rsid w:val="00786B4E"/>
    <w:rsid w:val="00787D48"/>
    <w:rsid w:val="00790544"/>
    <w:rsid w:val="0079092F"/>
    <w:rsid w:val="00790C09"/>
    <w:rsid w:val="00791074"/>
    <w:rsid w:val="007917D4"/>
    <w:rsid w:val="00791EDA"/>
    <w:rsid w:val="00792112"/>
    <w:rsid w:val="00792168"/>
    <w:rsid w:val="0079270A"/>
    <w:rsid w:val="00792920"/>
    <w:rsid w:val="00792976"/>
    <w:rsid w:val="0079299D"/>
    <w:rsid w:val="00792B1E"/>
    <w:rsid w:val="00792CF5"/>
    <w:rsid w:val="00793795"/>
    <w:rsid w:val="00793B46"/>
    <w:rsid w:val="00793CEA"/>
    <w:rsid w:val="00794692"/>
    <w:rsid w:val="00795294"/>
    <w:rsid w:val="00795719"/>
    <w:rsid w:val="0079595C"/>
    <w:rsid w:val="00795A13"/>
    <w:rsid w:val="00795D13"/>
    <w:rsid w:val="0079624F"/>
    <w:rsid w:val="00796822"/>
    <w:rsid w:val="00796A5A"/>
    <w:rsid w:val="00797BA8"/>
    <w:rsid w:val="007A0BD3"/>
    <w:rsid w:val="007A0E15"/>
    <w:rsid w:val="007A1B82"/>
    <w:rsid w:val="007A1F36"/>
    <w:rsid w:val="007A22C6"/>
    <w:rsid w:val="007A243E"/>
    <w:rsid w:val="007A28E5"/>
    <w:rsid w:val="007A2D72"/>
    <w:rsid w:val="007A2DF0"/>
    <w:rsid w:val="007A30C9"/>
    <w:rsid w:val="007A32BD"/>
    <w:rsid w:val="007A3335"/>
    <w:rsid w:val="007A3743"/>
    <w:rsid w:val="007A38F4"/>
    <w:rsid w:val="007A3B49"/>
    <w:rsid w:val="007A43E0"/>
    <w:rsid w:val="007A45B5"/>
    <w:rsid w:val="007A48F7"/>
    <w:rsid w:val="007A4E50"/>
    <w:rsid w:val="007A58DA"/>
    <w:rsid w:val="007A605A"/>
    <w:rsid w:val="007A665A"/>
    <w:rsid w:val="007A6901"/>
    <w:rsid w:val="007A6B4E"/>
    <w:rsid w:val="007A75BD"/>
    <w:rsid w:val="007A7A66"/>
    <w:rsid w:val="007A7D13"/>
    <w:rsid w:val="007A7EB6"/>
    <w:rsid w:val="007B07BB"/>
    <w:rsid w:val="007B0A61"/>
    <w:rsid w:val="007B10E2"/>
    <w:rsid w:val="007B18A7"/>
    <w:rsid w:val="007B1E2B"/>
    <w:rsid w:val="007B250E"/>
    <w:rsid w:val="007B349B"/>
    <w:rsid w:val="007B3513"/>
    <w:rsid w:val="007B3F03"/>
    <w:rsid w:val="007B4003"/>
    <w:rsid w:val="007B411C"/>
    <w:rsid w:val="007B5109"/>
    <w:rsid w:val="007B5B7D"/>
    <w:rsid w:val="007B5DFF"/>
    <w:rsid w:val="007B60F1"/>
    <w:rsid w:val="007B7825"/>
    <w:rsid w:val="007C0513"/>
    <w:rsid w:val="007C07B4"/>
    <w:rsid w:val="007C0A4E"/>
    <w:rsid w:val="007C18F8"/>
    <w:rsid w:val="007C19BF"/>
    <w:rsid w:val="007C1CF3"/>
    <w:rsid w:val="007C27FC"/>
    <w:rsid w:val="007C2D80"/>
    <w:rsid w:val="007C3260"/>
    <w:rsid w:val="007C3572"/>
    <w:rsid w:val="007C4E1E"/>
    <w:rsid w:val="007C51FF"/>
    <w:rsid w:val="007C525E"/>
    <w:rsid w:val="007C6360"/>
    <w:rsid w:val="007C6C08"/>
    <w:rsid w:val="007C6F4E"/>
    <w:rsid w:val="007C727F"/>
    <w:rsid w:val="007D0453"/>
    <w:rsid w:val="007D09F5"/>
    <w:rsid w:val="007D0B85"/>
    <w:rsid w:val="007D0BDC"/>
    <w:rsid w:val="007D0D16"/>
    <w:rsid w:val="007D1376"/>
    <w:rsid w:val="007D1430"/>
    <w:rsid w:val="007D14A1"/>
    <w:rsid w:val="007D1C46"/>
    <w:rsid w:val="007D3136"/>
    <w:rsid w:val="007D319E"/>
    <w:rsid w:val="007D3E4D"/>
    <w:rsid w:val="007D3F5D"/>
    <w:rsid w:val="007D410E"/>
    <w:rsid w:val="007D50E4"/>
    <w:rsid w:val="007D510C"/>
    <w:rsid w:val="007D5278"/>
    <w:rsid w:val="007D5C93"/>
    <w:rsid w:val="007D5F22"/>
    <w:rsid w:val="007D6039"/>
    <w:rsid w:val="007D625A"/>
    <w:rsid w:val="007D62B1"/>
    <w:rsid w:val="007D682B"/>
    <w:rsid w:val="007D70EE"/>
    <w:rsid w:val="007D714E"/>
    <w:rsid w:val="007D7438"/>
    <w:rsid w:val="007D76DD"/>
    <w:rsid w:val="007E0F81"/>
    <w:rsid w:val="007E10D3"/>
    <w:rsid w:val="007E1802"/>
    <w:rsid w:val="007E1C40"/>
    <w:rsid w:val="007E1CA6"/>
    <w:rsid w:val="007E2DC5"/>
    <w:rsid w:val="007E2EF2"/>
    <w:rsid w:val="007E33F9"/>
    <w:rsid w:val="007E3AC6"/>
    <w:rsid w:val="007E446D"/>
    <w:rsid w:val="007E4EAC"/>
    <w:rsid w:val="007E5161"/>
    <w:rsid w:val="007E53C2"/>
    <w:rsid w:val="007E560A"/>
    <w:rsid w:val="007E5CB5"/>
    <w:rsid w:val="007E6A5F"/>
    <w:rsid w:val="007E6E2D"/>
    <w:rsid w:val="007E72EC"/>
    <w:rsid w:val="007E7A40"/>
    <w:rsid w:val="007E7A5E"/>
    <w:rsid w:val="007F1063"/>
    <w:rsid w:val="007F1CC7"/>
    <w:rsid w:val="007F1FA4"/>
    <w:rsid w:val="007F20EF"/>
    <w:rsid w:val="007F284C"/>
    <w:rsid w:val="007F29D0"/>
    <w:rsid w:val="007F29D7"/>
    <w:rsid w:val="007F3377"/>
    <w:rsid w:val="007F3949"/>
    <w:rsid w:val="007F3C20"/>
    <w:rsid w:val="007F4233"/>
    <w:rsid w:val="007F4329"/>
    <w:rsid w:val="007F4C85"/>
    <w:rsid w:val="007F4E6C"/>
    <w:rsid w:val="007F4FFA"/>
    <w:rsid w:val="007F570D"/>
    <w:rsid w:val="007F57F7"/>
    <w:rsid w:val="007F5D0C"/>
    <w:rsid w:val="007F67E6"/>
    <w:rsid w:val="007F6C2C"/>
    <w:rsid w:val="007F7466"/>
    <w:rsid w:val="007F78E9"/>
    <w:rsid w:val="008000C2"/>
    <w:rsid w:val="008006E0"/>
    <w:rsid w:val="00800912"/>
    <w:rsid w:val="00800C3A"/>
    <w:rsid w:val="0080201C"/>
    <w:rsid w:val="00802617"/>
    <w:rsid w:val="008027AC"/>
    <w:rsid w:val="008028CE"/>
    <w:rsid w:val="0080332E"/>
    <w:rsid w:val="008034AE"/>
    <w:rsid w:val="008038BB"/>
    <w:rsid w:val="00803C3F"/>
    <w:rsid w:val="008059F7"/>
    <w:rsid w:val="008074CA"/>
    <w:rsid w:val="00807582"/>
    <w:rsid w:val="008076E2"/>
    <w:rsid w:val="00807CE9"/>
    <w:rsid w:val="0081086E"/>
    <w:rsid w:val="008109C3"/>
    <w:rsid w:val="00811294"/>
    <w:rsid w:val="008113BE"/>
    <w:rsid w:val="008120A3"/>
    <w:rsid w:val="0081268F"/>
    <w:rsid w:val="00813125"/>
    <w:rsid w:val="00813203"/>
    <w:rsid w:val="008136E9"/>
    <w:rsid w:val="008141E0"/>
    <w:rsid w:val="008149C2"/>
    <w:rsid w:val="00814D5F"/>
    <w:rsid w:val="00815007"/>
    <w:rsid w:val="00815A0F"/>
    <w:rsid w:val="0081610C"/>
    <w:rsid w:val="00816318"/>
    <w:rsid w:val="00816718"/>
    <w:rsid w:val="00816EE1"/>
    <w:rsid w:val="00816F88"/>
    <w:rsid w:val="008179F8"/>
    <w:rsid w:val="00817C35"/>
    <w:rsid w:val="0082065B"/>
    <w:rsid w:val="008209C9"/>
    <w:rsid w:val="00820CF5"/>
    <w:rsid w:val="00820E17"/>
    <w:rsid w:val="00821164"/>
    <w:rsid w:val="008215E7"/>
    <w:rsid w:val="0082168F"/>
    <w:rsid w:val="00821996"/>
    <w:rsid w:val="00821CF6"/>
    <w:rsid w:val="00822323"/>
    <w:rsid w:val="008223A5"/>
    <w:rsid w:val="00822444"/>
    <w:rsid w:val="008237D2"/>
    <w:rsid w:val="00823D33"/>
    <w:rsid w:val="00823FDA"/>
    <w:rsid w:val="0082419A"/>
    <w:rsid w:val="00824425"/>
    <w:rsid w:val="00824656"/>
    <w:rsid w:val="00825987"/>
    <w:rsid w:val="0082618C"/>
    <w:rsid w:val="0082649E"/>
    <w:rsid w:val="00826A3E"/>
    <w:rsid w:val="00826F68"/>
    <w:rsid w:val="00827BC6"/>
    <w:rsid w:val="008300AD"/>
    <w:rsid w:val="00830D0D"/>
    <w:rsid w:val="00830E62"/>
    <w:rsid w:val="0083171E"/>
    <w:rsid w:val="00831F1F"/>
    <w:rsid w:val="00832BC7"/>
    <w:rsid w:val="00833024"/>
    <w:rsid w:val="0083480F"/>
    <w:rsid w:val="00834F4B"/>
    <w:rsid w:val="00835154"/>
    <w:rsid w:val="00835A7B"/>
    <w:rsid w:val="00835B79"/>
    <w:rsid w:val="00835CCF"/>
    <w:rsid w:val="00835CE2"/>
    <w:rsid w:val="0083684D"/>
    <w:rsid w:val="00837254"/>
    <w:rsid w:val="0083727D"/>
    <w:rsid w:val="00837DEA"/>
    <w:rsid w:val="00841702"/>
    <w:rsid w:val="008419B1"/>
    <w:rsid w:val="00841A58"/>
    <w:rsid w:val="00841F3A"/>
    <w:rsid w:val="00841F9E"/>
    <w:rsid w:val="0084274F"/>
    <w:rsid w:val="00842CD4"/>
    <w:rsid w:val="0084363C"/>
    <w:rsid w:val="00843C3A"/>
    <w:rsid w:val="00844519"/>
    <w:rsid w:val="00844781"/>
    <w:rsid w:val="00844A56"/>
    <w:rsid w:val="00844DC5"/>
    <w:rsid w:val="0084527F"/>
    <w:rsid w:val="00845458"/>
    <w:rsid w:val="00845A2E"/>
    <w:rsid w:val="00845B11"/>
    <w:rsid w:val="00845DA7"/>
    <w:rsid w:val="0084618D"/>
    <w:rsid w:val="00846200"/>
    <w:rsid w:val="0084673C"/>
    <w:rsid w:val="00847469"/>
    <w:rsid w:val="00850319"/>
    <w:rsid w:val="00850524"/>
    <w:rsid w:val="0085067C"/>
    <w:rsid w:val="00850943"/>
    <w:rsid w:val="00850EDE"/>
    <w:rsid w:val="008510F8"/>
    <w:rsid w:val="008511EA"/>
    <w:rsid w:val="00851900"/>
    <w:rsid w:val="00851F73"/>
    <w:rsid w:val="00852081"/>
    <w:rsid w:val="0085251D"/>
    <w:rsid w:val="008529A8"/>
    <w:rsid w:val="00852CDF"/>
    <w:rsid w:val="00852D1F"/>
    <w:rsid w:val="00853995"/>
    <w:rsid w:val="008539DA"/>
    <w:rsid w:val="00853A3C"/>
    <w:rsid w:val="00853C8A"/>
    <w:rsid w:val="00854BC4"/>
    <w:rsid w:val="00854DE7"/>
    <w:rsid w:val="00855EE6"/>
    <w:rsid w:val="0085635B"/>
    <w:rsid w:val="00856769"/>
    <w:rsid w:val="008567DE"/>
    <w:rsid w:val="00856ABE"/>
    <w:rsid w:val="008572F7"/>
    <w:rsid w:val="00857EF1"/>
    <w:rsid w:val="0086065F"/>
    <w:rsid w:val="008608B7"/>
    <w:rsid w:val="00860EB3"/>
    <w:rsid w:val="008614B0"/>
    <w:rsid w:val="00861FA7"/>
    <w:rsid w:val="008621D7"/>
    <w:rsid w:val="0086265F"/>
    <w:rsid w:val="00863C81"/>
    <w:rsid w:val="0086482D"/>
    <w:rsid w:val="00864EF9"/>
    <w:rsid w:val="008657D6"/>
    <w:rsid w:val="00866291"/>
    <w:rsid w:val="00867409"/>
    <w:rsid w:val="00867822"/>
    <w:rsid w:val="00867BDD"/>
    <w:rsid w:val="00867F58"/>
    <w:rsid w:val="00870000"/>
    <w:rsid w:val="008703BE"/>
    <w:rsid w:val="008703E6"/>
    <w:rsid w:val="0087247D"/>
    <w:rsid w:val="00872703"/>
    <w:rsid w:val="00872B6E"/>
    <w:rsid w:val="00872DF9"/>
    <w:rsid w:val="00873330"/>
    <w:rsid w:val="00874278"/>
    <w:rsid w:val="0087443C"/>
    <w:rsid w:val="00874AF1"/>
    <w:rsid w:val="00874C0D"/>
    <w:rsid w:val="00874DFD"/>
    <w:rsid w:val="00874F40"/>
    <w:rsid w:val="00875447"/>
    <w:rsid w:val="00876704"/>
    <w:rsid w:val="0087698A"/>
    <w:rsid w:val="00877042"/>
    <w:rsid w:val="008774BA"/>
    <w:rsid w:val="00877592"/>
    <w:rsid w:val="0088009B"/>
    <w:rsid w:val="008800CA"/>
    <w:rsid w:val="00880118"/>
    <w:rsid w:val="008802F9"/>
    <w:rsid w:val="0088080C"/>
    <w:rsid w:val="00881B9C"/>
    <w:rsid w:val="0088223B"/>
    <w:rsid w:val="008823B9"/>
    <w:rsid w:val="00883086"/>
    <w:rsid w:val="0088343E"/>
    <w:rsid w:val="00883501"/>
    <w:rsid w:val="008837FD"/>
    <w:rsid w:val="00883E0C"/>
    <w:rsid w:val="00884121"/>
    <w:rsid w:val="00884180"/>
    <w:rsid w:val="00884672"/>
    <w:rsid w:val="00885158"/>
    <w:rsid w:val="00885314"/>
    <w:rsid w:val="008859C7"/>
    <w:rsid w:val="00886E85"/>
    <w:rsid w:val="00887532"/>
    <w:rsid w:val="0088778B"/>
    <w:rsid w:val="008879FD"/>
    <w:rsid w:val="00887B33"/>
    <w:rsid w:val="00887E66"/>
    <w:rsid w:val="00890308"/>
    <w:rsid w:val="0089050E"/>
    <w:rsid w:val="00890B50"/>
    <w:rsid w:val="0089146F"/>
    <w:rsid w:val="0089167D"/>
    <w:rsid w:val="00891755"/>
    <w:rsid w:val="00892007"/>
    <w:rsid w:val="008922CD"/>
    <w:rsid w:val="0089256D"/>
    <w:rsid w:val="0089288C"/>
    <w:rsid w:val="00892AC1"/>
    <w:rsid w:val="00892D30"/>
    <w:rsid w:val="00893D1A"/>
    <w:rsid w:val="008942E8"/>
    <w:rsid w:val="008945A4"/>
    <w:rsid w:val="0089475E"/>
    <w:rsid w:val="00894B9D"/>
    <w:rsid w:val="00894C37"/>
    <w:rsid w:val="00894DCC"/>
    <w:rsid w:val="00894F5A"/>
    <w:rsid w:val="0089505A"/>
    <w:rsid w:val="00895123"/>
    <w:rsid w:val="00895245"/>
    <w:rsid w:val="00896216"/>
    <w:rsid w:val="00896CC6"/>
    <w:rsid w:val="0089703F"/>
    <w:rsid w:val="00897A5F"/>
    <w:rsid w:val="00897AFF"/>
    <w:rsid w:val="00897F5D"/>
    <w:rsid w:val="008A00EA"/>
    <w:rsid w:val="008A016D"/>
    <w:rsid w:val="008A0319"/>
    <w:rsid w:val="008A042D"/>
    <w:rsid w:val="008A1815"/>
    <w:rsid w:val="008A199E"/>
    <w:rsid w:val="008A1F08"/>
    <w:rsid w:val="008A221F"/>
    <w:rsid w:val="008A27B2"/>
    <w:rsid w:val="008A3A89"/>
    <w:rsid w:val="008A3BF7"/>
    <w:rsid w:val="008A3F93"/>
    <w:rsid w:val="008A46C4"/>
    <w:rsid w:val="008A487B"/>
    <w:rsid w:val="008A4B82"/>
    <w:rsid w:val="008A5C4C"/>
    <w:rsid w:val="008A5E6D"/>
    <w:rsid w:val="008A6236"/>
    <w:rsid w:val="008A651C"/>
    <w:rsid w:val="008A6567"/>
    <w:rsid w:val="008A66EE"/>
    <w:rsid w:val="008A6843"/>
    <w:rsid w:val="008A6BA0"/>
    <w:rsid w:val="008A6CBB"/>
    <w:rsid w:val="008A6DE6"/>
    <w:rsid w:val="008A6E1C"/>
    <w:rsid w:val="008A72FD"/>
    <w:rsid w:val="008A73A0"/>
    <w:rsid w:val="008A73FB"/>
    <w:rsid w:val="008B06E7"/>
    <w:rsid w:val="008B0811"/>
    <w:rsid w:val="008B10E9"/>
    <w:rsid w:val="008B1168"/>
    <w:rsid w:val="008B14BA"/>
    <w:rsid w:val="008B1F4F"/>
    <w:rsid w:val="008B2EDF"/>
    <w:rsid w:val="008B322C"/>
    <w:rsid w:val="008B41AB"/>
    <w:rsid w:val="008B47C7"/>
    <w:rsid w:val="008B54CB"/>
    <w:rsid w:val="008B5A3D"/>
    <w:rsid w:val="008B5D48"/>
    <w:rsid w:val="008B5D83"/>
    <w:rsid w:val="008B5F43"/>
    <w:rsid w:val="008B64A0"/>
    <w:rsid w:val="008B6ACD"/>
    <w:rsid w:val="008B78E4"/>
    <w:rsid w:val="008C00E1"/>
    <w:rsid w:val="008C035A"/>
    <w:rsid w:val="008C0452"/>
    <w:rsid w:val="008C0C83"/>
    <w:rsid w:val="008C1243"/>
    <w:rsid w:val="008C17CD"/>
    <w:rsid w:val="008C1B1A"/>
    <w:rsid w:val="008C2499"/>
    <w:rsid w:val="008C291E"/>
    <w:rsid w:val="008C2C40"/>
    <w:rsid w:val="008C33A8"/>
    <w:rsid w:val="008C3664"/>
    <w:rsid w:val="008C390F"/>
    <w:rsid w:val="008C39AD"/>
    <w:rsid w:val="008C4010"/>
    <w:rsid w:val="008C4317"/>
    <w:rsid w:val="008C4FDF"/>
    <w:rsid w:val="008C4FF7"/>
    <w:rsid w:val="008C504E"/>
    <w:rsid w:val="008C5A7C"/>
    <w:rsid w:val="008C5C56"/>
    <w:rsid w:val="008C5CF0"/>
    <w:rsid w:val="008C5DCF"/>
    <w:rsid w:val="008C60A3"/>
    <w:rsid w:val="008C6597"/>
    <w:rsid w:val="008C685B"/>
    <w:rsid w:val="008C6B1F"/>
    <w:rsid w:val="008C6D74"/>
    <w:rsid w:val="008C7A35"/>
    <w:rsid w:val="008D00C9"/>
    <w:rsid w:val="008D0363"/>
    <w:rsid w:val="008D1093"/>
    <w:rsid w:val="008D1244"/>
    <w:rsid w:val="008D1CCB"/>
    <w:rsid w:val="008D2C10"/>
    <w:rsid w:val="008D2F95"/>
    <w:rsid w:val="008D38FC"/>
    <w:rsid w:val="008D4391"/>
    <w:rsid w:val="008D44CD"/>
    <w:rsid w:val="008D4B44"/>
    <w:rsid w:val="008D4DAE"/>
    <w:rsid w:val="008D4EB9"/>
    <w:rsid w:val="008D5E4F"/>
    <w:rsid w:val="008D67D8"/>
    <w:rsid w:val="008D6AD6"/>
    <w:rsid w:val="008D6D21"/>
    <w:rsid w:val="008D7090"/>
    <w:rsid w:val="008D7D3E"/>
    <w:rsid w:val="008E00F0"/>
    <w:rsid w:val="008E0C54"/>
    <w:rsid w:val="008E0DEE"/>
    <w:rsid w:val="008E1604"/>
    <w:rsid w:val="008E1C64"/>
    <w:rsid w:val="008E1D69"/>
    <w:rsid w:val="008E298A"/>
    <w:rsid w:val="008E2C10"/>
    <w:rsid w:val="008E34F0"/>
    <w:rsid w:val="008E405D"/>
    <w:rsid w:val="008E45E4"/>
    <w:rsid w:val="008E4B73"/>
    <w:rsid w:val="008E4C62"/>
    <w:rsid w:val="008E52F4"/>
    <w:rsid w:val="008E56C6"/>
    <w:rsid w:val="008E5B19"/>
    <w:rsid w:val="008E5D22"/>
    <w:rsid w:val="008E6635"/>
    <w:rsid w:val="008E6D28"/>
    <w:rsid w:val="008E6DFB"/>
    <w:rsid w:val="008E705B"/>
    <w:rsid w:val="008E714E"/>
    <w:rsid w:val="008E71C9"/>
    <w:rsid w:val="008E743A"/>
    <w:rsid w:val="008E7696"/>
    <w:rsid w:val="008F0172"/>
    <w:rsid w:val="008F0577"/>
    <w:rsid w:val="008F06EA"/>
    <w:rsid w:val="008F08FC"/>
    <w:rsid w:val="008F0AE8"/>
    <w:rsid w:val="008F109F"/>
    <w:rsid w:val="008F12D3"/>
    <w:rsid w:val="008F14F5"/>
    <w:rsid w:val="008F1C84"/>
    <w:rsid w:val="008F272E"/>
    <w:rsid w:val="008F2FC9"/>
    <w:rsid w:val="008F342F"/>
    <w:rsid w:val="008F394E"/>
    <w:rsid w:val="008F3F5F"/>
    <w:rsid w:val="008F4175"/>
    <w:rsid w:val="008F58CA"/>
    <w:rsid w:val="008F71C1"/>
    <w:rsid w:val="008F7311"/>
    <w:rsid w:val="008F7675"/>
    <w:rsid w:val="008F7DF4"/>
    <w:rsid w:val="008F7F1C"/>
    <w:rsid w:val="00900052"/>
    <w:rsid w:val="009000D5"/>
    <w:rsid w:val="00901710"/>
    <w:rsid w:val="00901F76"/>
    <w:rsid w:val="0090284E"/>
    <w:rsid w:val="00902D34"/>
    <w:rsid w:val="00902D41"/>
    <w:rsid w:val="00902E14"/>
    <w:rsid w:val="00902F49"/>
    <w:rsid w:val="00904000"/>
    <w:rsid w:val="00904230"/>
    <w:rsid w:val="00904F17"/>
    <w:rsid w:val="0090627A"/>
    <w:rsid w:val="009068AC"/>
    <w:rsid w:val="00907022"/>
    <w:rsid w:val="009103A6"/>
    <w:rsid w:val="00910ED1"/>
    <w:rsid w:val="00911C12"/>
    <w:rsid w:val="00911C5F"/>
    <w:rsid w:val="00911F6F"/>
    <w:rsid w:val="00911F78"/>
    <w:rsid w:val="009120A3"/>
    <w:rsid w:val="00913241"/>
    <w:rsid w:val="009133C2"/>
    <w:rsid w:val="00913F7B"/>
    <w:rsid w:val="00914004"/>
    <w:rsid w:val="00914076"/>
    <w:rsid w:val="00914385"/>
    <w:rsid w:val="0091485D"/>
    <w:rsid w:val="00915EB5"/>
    <w:rsid w:val="009165DD"/>
    <w:rsid w:val="0091685C"/>
    <w:rsid w:val="00916D5D"/>
    <w:rsid w:val="009170C5"/>
    <w:rsid w:val="009175CC"/>
    <w:rsid w:val="0092013F"/>
    <w:rsid w:val="00920618"/>
    <w:rsid w:val="009209F6"/>
    <w:rsid w:val="009216B1"/>
    <w:rsid w:val="00921B29"/>
    <w:rsid w:val="00921DCC"/>
    <w:rsid w:val="00922462"/>
    <w:rsid w:val="00922C1D"/>
    <w:rsid w:val="00922EC1"/>
    <w:rsid w:val="0092331E"/>
    <w:rsid w:val="00923625"/>
    <w:rsid w:val="0092371A"/>
    <w:rsid w:val="00923CF1"/>
    <w:rsid w:val="009255E4"/>
    <w:rsid w:val="00926323"/>
    <w:rsid w:val="00926A05"/>
    <w:rsid w:val="009301F1"/>
    <w:rsid w:val="00930508"/>
    <w:rsid w:val="009305F7"/>
    <w:rsid w:val="009307AA"/>
    <w:rsid w:val="009307DF"/>
    <w:rsid w:val="009309DC"/>
    <w:rsid w:val="00931012"/>
    <w:rsid w:val="0093111C"/>
    <w:rsid w:val="00932BE3"/>
    <w:rsid w:val="00933BCB"/>
    <w:rsid w:val="00934375"/>
    <w:rsid w:val="00934557"/>
    <w:rsid w:val="009349FF"/>
    <w:rsid w:val="00934B67"/>
    <w:rsid w:val="009359B8"/>
    <w:rsid w:val="00935B2A"/>
    <w:rsid w:val="00935CEC"/>
    <w:rsid w:val="00935FF0"/>
    <w:rsid w:val="009361E3"/>
    <w:rsid w:val="00936E1D"/>
    <w:rsid w:val="009370F7"/>
    <w:rsid w:val="00937858"/>
    <w:rsid w:val="009400E3"/>
    <w:rsid w:val="00940AE3"/>
    <w:rsid w:val="00941111"/>
    <w:rsid w:val="00942023"/>
    <w:rsid w:val="00942051"/>
    <w:rsid w:val="00942D8E"/>
    <w:rsid w:val="00942E12"/>
    <w:rsid w:val="009431F8"/>
    <w:rsid w:val="00943359"/>
    <w:rsid w:val="00943C20"/>
    <w:rsid w:val="00943D8A"/>
    <w:rsid w:val="009446AE"/>
    <w:rsid w:val="00944A8E"/>
    <w:rsid w:val="00945876"/>
    <w:rsid w:val="00947408"/>
    <w:rsid w:val="00947A35"/>
    <w:rsid w:val="00947D2B"/>
    <w:rsid w:val="00947E81"/>
    <w:rsid w:val="00947FE6"/>
    <w:rsid w:val="00950342"/>
    <w:rsid w:val="009504D2"/>
    <w:rsid w:val="00951822"/>
    <w:rsid w:val="00951834"/>
    <w:rsid w:val="00951D26"/>
    <w:rsid w:val="0095221A"/>
    <w:rsid w:val="00952667"/>
    <w:rsid w:val="00952B81"/>
    <w:rsid w:val="00952C89"/>
    <w:rsid w:val="009531C6"/>
    <w:rsid w:val="009542BB"/>
    <w:rsid w:val="009545AE"/>
    <w:rsid w:val="00955992"/>
    <w:rsid w:val="009563AF"/>
    <w:rsid w:val="009564F3"/>
    <w:rsid w:val="00956EA8"/>
    <w:rsid w:val="00957261"/>
    <w:rsid w:val="0096027A"/>
    <w:rsid w:val="00960D8E"/>
    <w:rsid w:val="009616F3"/>
    <w:rsid w:val="00961797"/>
    <w:rsid w:val="009617C2"/>
    <w:rsid w:val="00961975"/>
    <w:rsid w:val="00961E29"/>
    <w:rsid w:val="0096201B"/>
    <w:rsid w:val="00962081"/>
    <w:rsid w:val="00962AB8"/>
    <w:rsid w:val="00962B29"/>
    <w:rsid w:val="00962B89"/>
    <w:rsid w:val="00962E80"/>
    <w:rsid w:val="009631F5"/>
    <w:rsid w:val="00963B53"/>
    <w:rsid w:val="009641EA"/>
    <w:rsid w:val="009644D0"/>
    <w:rsid w:val="00964D13"/>
    <w:rsid w:val="00964E18"/>
    <w:rsid w:val="00965327"/>
    <w:rsid w:val="00965B71"/>
    <w:rsid w:val="00965D6C"/>
    <w:rsid w:val="009660F0"/>
    <w:rsid w:val="00966510"/>
    <w:rsid w:val="00966675"/>
    <w:rsid w:val="00966C74"/>
    <w:rsid w:val="00966CB5"/>
    <w:rsid w:val="0096723C"/>
    <w:rsid w:val="009674E4"/>
    <w:rsid w:val="009711ED"/>
    <w:rsid w:val="00971E28"/>
    <w:rsid w:val="009731E1"/>
    <w:rsid w:val="009736F1"/>
    <w:rsid w:val="00973770"/>
    <w:rsid w:val="00974587"/>
    <w:rsid w:val="00974B73"/>
    <w:rsid w:val="00974F5F"/>
    <w:rsid w:val="0097542A"/>
    <w:rsid w:val="00975786"/>
    <w:rsid w:val="00975F85"/>
    <w:rsid w:val="009762A8"/>
    <w:rsid w:val="0097650C"/>
    <w:rsid w:val="009766DF"/>
    <w:rsid w:val="00976B8A"/>
    <w:rsid w:val="00977160"/>
    <w:rsid w:val="009810A6"/>
    <w:rsid w:val="00981422"/>
    <w:rsid w:val="00981676"/>
    <w:rsid w:val="00981CB7"/>
    <w:rsid w:val="00982360"/>
    <w:rsid w:val="00982F7A"/>
    <w:rsid w:val="00983539"/>
    <w:rsid w:val="00983E1F"/>
    <w:rsid w:val="00983FFA"/>
    <w:rsid w:val="009842AD"/>
    <w:rsid w:val="00984691"/>
    <w:rsid w:val="009848E5"/>
    <w:rsid w:val="00984962"/>
    <w:rsid w:val="00985047"/>
    <w:rsid w:val="00985911"/>
    <w:rsid w:val="00985F8C"/>
    <w:rsid w:val="009869B0"/>
    <w:rsid w:val="00986A70"/>
    <w:rsid w:val="0098756A"/>
    <w:rsid w:val="009875A5"/>
    <w:rsid w:val="00987787"/>
    <w:rsid w:val="00987DF1"/>
    <w:rsid w:val="009901F5"/>
    <w:rsid w:val="009914C3"/>
    <w:rsid w:val="009916AB"/>
    <w:rsid w:val="00991C68"/>
    <w:rsid w:val="00991D4A"/>
    <w:rsid w:val="00992B28"/>
    <w:rsid w:val="00992BE6"/>
    <w:rsid w:val="00992C0C"/>
    <w:rsid w:val="009935BE"/>
    <w:rsid w:val="00993632"/>
    <w:rsid w:val="009936FC"/>
    <w:rsid w:val="0099398A"/>
    <w:rsid w:val="00993D8D"/>
    <w:rsid w:val="00993F46"/>
    <w:rsid w:val="00994223"/>
    <w:rsid w:val="0099432F"/>
    <w:rsid w:val="00994A64"/>
    <w:rsid w:val="00994D99"/>
    <w:rsid w:val="00995508"/>
    <w:rsid w:val="00995713"/>
    <w:rsid w:val="00995A97"/>
    <w:rsid w:val="00996D7B"/>
    <w:rsid w:val="00997358"/>
    <w:rsid w:val="00997E84"/>
    <w:rsid w:val="009A00E5"/>
    <w:rsid w:val="009A1660"/>
    <w:rsid w:val="009A1905"/>
    <w:rsid w:val="009A2146"/>
    <w:rsid w:val="009A2602"/>
    <w:rsid w:val="009A303D"/>
    <w:rsid w:val="009A377F"/>
    <w:rsid w:val="009A452B"/>
    <w:rsid w:val="009A45CF"/>
    <w:rsid w:val="009A4B7C"/>
    <w:rsid w:val="009A4FCB"/>
    <w:rsid w:val="009A516A"/>
    <w:rsid w:val="009A537D"/>
    <w:rsid w:val="009A54FF"/>
    <w:rsid w:val="009A57D4"/>
    <w:rsid w:val="009A62E1"/>
    <w:rsid w:val="009A67B5"/>
    <w:rsid w:val="009A6CAB"/>
    <w:rsid w:val="009A78EC"/>
    <w:rsid w:val="009A7C8E"/>
    <w:rsid w:val="009B050C"/>
    <w:rsid w:val="009B087F"/>
    <w:rsid w:val="009B0C9D"/>
    <w:rsid w:val="009B1B8C"/>
    <w:rsid w:val="009B1C54"/>
    <w:rsid w:val="009B1D10"/>
    <w:rsid w:val="009B2AF4"/>
    <w:rsid w:val="009B2B57"/>
    <w:rsid w:val="009B2F75"/>
    <w:rsid w:val="009B307F"/>
    <w:rsid w:val="009B344A"/>
    <w:rsid w:val="009B3675"/>
    <w:rsid w:val="009B4138"/>
    <w:rsid w:val="009B5F3E"/>
    <w:rsid w:val="009B65CB"/>
    <w:rsid w:val="009B695D"/>
    <w:rsid w:val="009B70BA"/>
    <w:rsid w:val="009B7ACF"/>
    <w:rsid w:val="009C08E3"/>
    <w:rsid w:val="009C0E58"/>
    <w:rsid w:val="009C110B"/>
    <w:rsid w:val="009C1250"/>
    <w:rsid w:val="009C191A"/>
    <w:rsid w:val="009C305D"/>
    <w:rsid w:val="009C3A8A"/>
    <w:rsid w:val="009C4138"/>
    <w:rsid w:val="009C45E0"/>
    <w:rsid w:val="009C4700"/>
    <w:rsid w:val="009C4C4E"/>
    <w:rsid w:val="009C5441"/>
    <w:rsid w:val="009C593A"/>
    <w:rsid w:val="009C6266"/>
    <w:rsid w:val="009C64E5"/>
    <w:rsid w:val="009C6511"/>
    <w:rsid w:val="009C6846"/>
    <w:rsid w:val="009C6AB8"/>
    <w:rsid w:val="009C6E11"/>
    <w:rsid w:val="009C6F15"/>
    <w:rsid w:val="009C7156"/>
    <w:rsid w:val="009C73AB"/>
    <w:rsid w:val="009C76F0"/>
    <w:rsid w:val="009C7713"/>
    <w:rsid w:val="009C7B69"/>
    <w:rsid w:val="009C7D65"/>
    <w:rsid w:val="009D0D44"/>
    <w:rsid w:val="009D0D66"/>
    <w:rsid w:val="009D119F"/>
    <w:rsid w:val="009D1368"/>
    <w:rsid w:val="009D1DD1"/>
    <w:rsid w:val="009D2EAD"/>
    <w:rsid w:val="009D3174"/>
    <w:rsid w:val="009D3434"/>
    <w:rsid w:val="009D34A0"/>
    <w:rsid w:val="009D36FC"/>
    <w:rsid w:val="009D3718"/>
    <w:rsid w:val="009D3B85"/>
    <w:rsid w:val="009D3C7F"/>
    <w:rsid w:val="009D3DC3"/>
    <w:rsid w:val="009D3E48"/>
    <w:rsid w:val="009D3F87"/>
    <w:rsid w:val="009D4254"/>
    <w:rsid w:val="009D43D2"/>
    <w:rsid w:val="009D49A2"/>
    <w:rsid w:val="009D5527"/>
    <w:rsid w:val="009D5A85"/>
    <w:rsid w:val="009D660C"/>
    <w:rsid w:val="009D6659"/>
    <w:rsid w:val="009D67B0"/>
    <w:rsid w:val="009D6919"/>
    <w:rsid w:val="009D6BAA"/>
    <w:rsid w:val="009D72C7"/>
    <w:rsid w:val="009E1DFD"/>
    <w:rsid w:val="009E219F"/>
    <w:rsid w:val="009E2222"/>
    <w:rsid w:val="009E26B3"/>
    <w:rsid w:val="009E27EA"/>
    <w:rsid w:val="009E31F3"/>
    <w:rsid w:val="009E338A"/>
    <w:rsid w:val="009E35A9"/>
    <w:rsid w:val="009E519E"/>
    <w:rsid w:val="009E599A"/>
    <w:rsid w:val="009E635F"/>
    <w:rsid w:val="009E669B"/>
    <w:rsid w:val="009E6997"/>
    <w:rsid w:val="009E6C5F"/>
    <w:rsid w:val="009E79C0"/>
    <w:rsid w:val="009E7A0D"/>
    <w:rsid w:val="009E7F54"/>
    <w:rsid w:val="009F0160"/>
    <w:rsid w:val="009F0F3D"/>
    <w:rsid w:val="009F1A7F"/>
    <w:rsid w:val="009F1CDD"/>
    <w:rsid w:val="009F1F7F"/>
    <w:rsid w:val="009F26CA"/>
    <w:rsid w:val="009F27A9"/>
    <w:rsid w:val="009F3940"/>
    <w:rsid w:val="009F3B02"/>
    <w:rsid w:val="009F3EB2"/>
    <w:rsid w:val="009F41F1"/>
    <w:rsid w:val="009F4B93"/>
    <w:rsid w:val="009F55FC"/>
    <w:rsid w:val="009F5BEC"/>
    <w:rsid w:val="009F6142"/>
    <w:rsid w:val="009F61FB"/>
    <w:rsid w:val="009F6AA8"/>
    <w:rsid w:val="009F6E9F"/>
    <w:rsid w:val="009F6EB1"/>
    <w:rsid w:val="009F73B1"/>
    <w:rsid w:val="009F75FC"/>
    <w:rsid w:val="009F7688"/>
    <w:rsid w:val="00A00AC7"/>
    <w:rsid w:val="00A00E88"/>
    <w:rsid w:val="00A00F02"/>
    <w:rsid w:val="00A01576"/>
    <w:rsid w:val="00A0203D"/>
    <w:rsid w:val="00A02269"/>
    <w:rsid w:val="00A02F74"/>
    <w:rsid w:val="00A03139"/>
    <w:rsid w:val="00A039D8"/>
    <w:rsid w:val="00A04066"/>
    <w:rsid w:val="00A04854"/>
    <w:rsid w:val="00A04ABA"/>
    <w:rsid w:val="00A05498"/>
    <w:rsid w:val="00A06179"/>
    <w:rsid w:val="00A066F6"/>
    <w:rsid w:val="00A06742"/>
    <w:rsid w:val="00A06776"/>
    <w:rsid w:val="00A06C93"/>
    <w:rsid w:val="00A06F37"/>
    <w:rsid w:val="00A072FE"/>
    <w:rsid w:val="00A0741F"/>
    <w:rsid w:val="00A07D7D"/>
    <w:rsid w:val="00A103D2"/>
    <w:rsid w:val="00A10498"/>
    <w:rsid w:val="00A10714"/>
    <w:rsid w:val="00A11CF1"/>
    <w:rsid w:val="00A11D05"/>
    <w:rsid w:val="00A121C5"/>
    <w:rsid w:val="00A127BD"/>
    <w:rsid w:val="00A12970"/>
    <w:rsid w:val="00A12D81"/>
    <w:rsid w:val="00A130EC"/>
    <w:rsid w:val="00A13162"/>
    <w:rsid w:val="00A13C4F"/>
    <w:rsid w:val="00A14093"/>
    <w:rsid w:val="00A14269"/>
    <w:rsid w:val="00A14AD1"/>
    <w:rsid w:val="00A15C85"/>
    <w:rsid w:val="00A15ED4"/>
    <w:rsid w:val="00A16B4F"/>
    <w:rsid w:val="00A16CC9"/>
    <w:rsid w:val="00A1771B"/>
    <w:rsid w:val="00A177FE"/>
    <w:rsid w:val="00A17B64"/>
    <w:rsid w:val="00A17DBB"/>
    <w:rsid w:val="00A17F91"/>
    <w:rsid w:val="00A20267"/>
    <w:rsid w:val="00A20868"/>
    <w:rsid w:val="00A20BF3"/>
    <w:rsid w:val="00A20CFD"/>
    <w:rsid w:val="00A217F8"/>
    <w:rsid w:val="00A221D2"/>
    <w:rsid w:val="00A225C6"/>
    <w:rsid w:val="00A22778"/>
    <w:rsid w:val="00A233A3"/>
    <w:rsid w:val="00A23411"/>
    <w:rsid w:val="00A24A1B"/>
    <w:rsid w:val="00A253A5"/>
    <w:rsid w:val="00A256F0"/>
    <w:rsid w:val="00A25AEC"/>
    <w:rsid w:val="00A25D94"/>
    <w:rsid w:val="00A25F41"/>
    <w:rsid w:val="00A2613A"/>
    <w:rsid w:val="00A26975"/>
    <w:rsid w:val="00A269DE"/>
    <w:rsid w:val="00A27AB5"/>
    <w:rsid w:val="00A27BE0"/>
    <w:rsid w:val="00A27D41"/>
    <w:rsid w:val="00A27F99"/>
    <w:rsid w:val="00A3087E"/>
    <w:rsid w:val="00A30B7D"/>
    <w:rsid w:val="00A30CAC"/>
    <w:rsid w:val="00A3158C"/>
    <w:rsid w:val="00A32DF3"/>
    <w:rsid w:val="00A33038"/>
    <w:rsid w:val="00A3395A"/>
    <w:rsid w:val="00A33A6C"/>
    <w:rsid w:val="00A33E32"/>
    <w:rsid w:val="00A34584"/>
    <w:rsid w:val="00A34823"/>
    <w:rsid w:val="00A34875"/>
    <w:rsid w:val="00A34C71"/>
    <w:rsid w:val="00A358D5"/>
    <w:rsid w:val="00A3592E"/>
    <w:rsid w:val="00A35E20"/>
    <w:rsid w:val="00A36226"/>
    <w:rsid w:val="00A366E9"/>
    <w:rsid w:val="00A369B9"/>
    <w:rsid w:val="00A36F6D"/>
    <w:rsid w:val="00A37C4E"/>
    <w:rsid w:val="00A37F12"/>
    <w:rsid w:val="00A4048B"/>
    <w:rsid w:val="00A408EA"/>
    <w:rsid w:val="00A40A79"/>
    <w:rsid w:val="00A40B3B"/>
    <w:rsid w:val="00A40C7C"/>
    <w:rsid w:val="00A40ED3"/>
    <w:rsid w:val="00A418C6"/>
    <w:rsid w:val="00A41FA4"/>
    <w:rsid w:val="00A42935"/>
    <w:rsid w:val="00A434D5"/>
    <w:rsid w:val="00A43CB7"/>
    <w:rsid w:val="00A4579F"/>
    <w:rsid w:val="00A45930"/>
    <w:rsid w:val="00A459EB"/>
    <w:rsid w:val="00A45EE8"/>
    <w:rsid w:val="00A46AA3"/>
    <w:rsid w:val="00A46F48"/>
    <w:rsid w:val="00A471A5"/>
    <w:rsid w:val="00A47330"/>
    <w:rsid w:val="00A47C0D"/>
    <w:rsid w:val="00A50272"/>
    <w:rsid w:val="00A50701"/>
    <w:rsid w:val="00A507A3"/>
    <w:rsid w:val="00A508E4"/>
    <w:rsid w:val="00A50CA0"/>
    <w:rsid w:val="00A50DA8"/>
    <w:rsid w:val="00A512A9"/>
    <w:rsid w:val="00A5181C"/>
    <w:rsid w:val="00A525CC"/>
    <w:rsid w:val="00A525E8"/>
    <w:rsid w:val="00A526DD"/>
    <w:rsid w:val="00A529AB"/>
    <w:rsid w:val="00A52A60"/>
    <w:rsid w:val="00A52CBE"/>
    <w:rsid w:val="00A52DF1"/>
    <w:rsid w:val="00A531A7"/>
    <w:rsid w:val="00A5333B"/>
    <w:rsid w:val="00A535A3"/>
    <w:rsid w:val="00A53621"/>
    <w:rsid w:val="00A53E7C"/>
    <w:rsid w:val="00A54292"/>
    <w:rsid w:val="00A55310"/>
    <w:rsid w:val="00A55377"/>
    <w:rsid w:val="00A55609"/>
    <w:rsid w:val="00A55803"/>
    <w:rsid w:val="00A559D5"/>
    <w:rsid w:val="00A56078"/>
    <w:rsid w:val="00A56247"/>
    <w:rsid w:val="00A60087"/>
    <w:rsid w:val="00A6050A"/>
    <w:rsid w:val="00A60F6A"/>
    <w:rsid w:val="00A616EC"/>
    <w:rsid w:val="00A617B3"/>
    <w:rsid w:val="00A618CD"/>
    <w:rsid w:val="00A61CB2"/>
    <w:rsid w:val="00A6262A"/>
    <w:rsid w:val="00A62642"/>
    <w:rsid w:val="00A62752"/>
    <w:rsid w:val="00A627FC"/>
    <w:rsid w:val="00A63469"/>
    <w:rsid w:val="00A63859"/>
    <w:rsid w:val="00A639EB"/>
    <w:rsid w:val="00A64398"/>
    <w:rsid w:val="00A66891"/>
    <w:rsid w:val="00A66A1B"/>
    <w:rsid w:val="00A66C55"/>
    <w:rsid w:val="00A6744F"/>
    <w:rsid w:val="00A6778B"/>
    <w:rsid w:val="00A67981"/>
    <w:rsid w:val="00A67EE4"/>
    <w:rsid w:val="00A702B0"/>
    <w:rsid w:val="00A705E8"/>
    <w:rsid w:val="00A7094F"/>
    <w:rsid w:val="00A70DFE"/>
    <w:rsid w:val="00A71199"/>
    <w:rsid w:val="00A71DF5"/>
    <w:rsid w:val="00A72013"/>
    <w:rsid w:val="00A72149"/>
    <w:rsid w:val="00A721F4"/>
    <w:rsid w:val="00A73605"/>
    <w:rsid w:val="00A74EAB"/>
    <w:rsid w:val="00A75651"/>
    <w:rsid w:val="00A76187"/>
    <w:rsid w:val="00A7656C"/>
    <w:rsid w:val="00A768EC"/>
    <w:rsid w:val="00A7753B"/>
    <w:rsid w:val="00A77B50"/>
    <w:rsid w:val="00A80C4A"/>
    <w:rsid w:val="00A81328"/>
    <w:rsid w:val="00A81464"/>
    <w:rsid w:val="00A81DD6"/>
    <w:rsid w:val="00A82187"/>
    <w:rsid w:val="00A834F7"/>
    <w:rsid w:val="00A83508"/>
    <w:rsid w:val="00A837AC"/>
    <w:rsid w:val="00A84067"/>
    <w:rsid w:val="00A84FCF"/>
    <w:rsid w:val="00A8530C"/>
    <w:rsid w:val="00A85315"/>
    <w:rsid w:val="00A857FC"/>
    <w:rsid w:val="00A85CBA"/>
    <w:rsid w:val="00A87810"/>
    <w:rsid w:val="00A87FE9"/>
    <w:rsid w:val="00A90194"/>
    <w:rsid w:val="00A902A0"/>
    <w:rsid w:val="00A91146"/>
    <w:rsid w:val="00A91BC9"/>
    <w:rsid w:val="00A927B5"/>
    <w:rsid w:val="00A92880"/>
    <w:rsid w:val="00A929DF"/>
    <w:rsid w:val="00A92A36"/>
    <w:rsid w:val="00A92AA4"/>
    <w:rsid w:val="00A93454"/>
    <w:rsid w:val="00A9392C"/>
    <w:rsid w:val="00A94082"/>
    <w:rsid w:val="00A940BB"/>
    <w:rsid w:val="00A94250"/>
    <w:rsid w:val="00A9462B"/>
    <w:rsid w:val="00A94965"/>
    <w:rsid w:val="00A953BE"/>
    <w:rsid w:val="00A95501"/>
    <w:rsid w:val="00A959EF"/>
    <w:rsid w:val="00A95C33"/>
    <w:rsid w:val="00A96818"/>
    <w:rsid w:val="00A96C66"/>
    <w:rsid w:val="00A96FC9"/>
    <w:rsid w:val="00A972BD"/>
    <w:rsid w:val="00A977D3"/>
    <w:rsid w:val="00A97952"/>
    <w:rsid w:val="00A97C25"/>
    <w:rsid w:val="00A97D59"/>
    <w:rsid w:val="00AA0214"/>
    <w:rsid w:val="00AA03A3"/>
    <w:rsid w:val="00AA0648"/>
    <w:rsid w:val="00AA0963"/>
    <w:rsid w:val="00AA0E8B"/>
    <w:rsid w:val="00AA0EAD"/>
    <w:rsid w:val="00AA12D4"/>
    <w:rsid w:val="00AA1454"/>
    <w:rsid w:val="00AA1700"/>
    <w:rsid w:val="00AA207C"/>
    <w:rsid w:val="00AA20FA"/>
    <w:rsid w:val="00AA338A"/>
    <w:rsid w:val="00AA3C30"/>
    <w:rsid w:val="00AA3E09"/>
    <w:rsid w:val="00AA41BC"/>
    <w:rsid w:val="00AA41EA"/>
    <w:rsid w:val="00AA4BEF"/>
    <w:rsid w:val="00AA5197"/>
    <w:rsid w:val="00AA611D"/>
    <w:rsid w:val="00AA6C3C"/>
    <w:rsid w:val="00AA7D30"/>
    <w:rsid w:val="00AB03B0"/>
    <w:rsid w:val="00AB12ED"/>
    <w:rsid w:val="00AB1659"/>
    <w:rsid w:val="00AB18FB"/>
    <w:rsid w:val="00AB1C24"/>
    <w:rsid w:val="00AB1D00"/>
    <w:rsid w:val="00AB2480"/>
    <w:rsid w:val="00AB34C3"/>
    <w:rsid w:val="00AB3912"/>
    <w:rsid w:val="00AB39F4"/>
    <w:rsid w:val="00AB3AD1"/>
    <w:rsid w:val="00AB4962"/>
    <w:rsid w:val="00AB5187"/>
    <w:rsid w:val="00AB56CB"/>
    <w:rsid w:val="00AB57D7"/>
    <w:rsid w:val="00AB5A4B"/>
    <w:rsid w:val="00AB640D"/>
    <w:rsid w:val="00AB64AC"/>
    <w:rsid w:val="00AB6513"/>
    <w:rsid w:val="00AB734E"/>
    <w:rsid w:val="00AB740F"/>
    <w:rsid w:val="00AC0440"/>
    <w:rsid w:val="00AC076A"/>
    <w:rsid w:val="00AC091C"/>
    <w:rsid w:val="00AC13FB"/>
    <w:rsid w:val="00AC1C2E"/>
    <w:rsid w:val="00AC1F74"/>
    <w:rsid w:val="00AC200F"/>
    <w:rsid w:val="00AC207B"/>
    <w:rsid w:val="00AC239D"/>
    <w:rsid w:val="00AC25E2"/>
    <w:rsid w:val="00AC2C25"/>
    <w:rsid w:val="00AC2FCB"/>
    <w:rsid w:val="00AC3165"/>
    <w:rsid w:val="00AC35E6"/>
    <w:rsid w:val="00AC3BB3"/>
    <w:rsid w:val="00AC3D13"/>
    <w:rsid w:val="00AC46DF"/>
    <w:rsid w:val="00AC493D"/>
    <w:rsid w:val="00AC4FF2"/>
    <w:rsid w:val="00AC5555"/>
    <w:rsid w:val="00AC55D0"/>
    <w:rsid w:val="00AC5786"/>
    <w:rsid w:val="00AC5FCD"/>
    <w:rsid w:val="00AC604D"/>
    <w:rsid w:val="00AC6668"/>
    <w:rsid w:val="00AC6F14"/>
    <w:rsid w:val="00AC70CB"/>
    <w:rsid w:val="00AC7221"/>
    <w:rsid w:val="00AC7C4C"/>
    <w:rsid w:val="00AC7D65"/>
    <w:rsid w:val="00AD0490"/>
    <w:rsid w:val="00AD09AE"/>
    <w:rsid w:val="00AD18D3"/>
    <w:rsid w:val="00AD1C66"/>
    <w:rsid w:val="00AD2D79"/>
    <w:rsid w:val="00AD3611"/>
    <w:rsid w:val="00AD39E9"/>
    <w:rsid w:val="00AD3B05"/>
    <w:rsid w:val="00AD3FDD"/>
    <w:rsid w:val="00AD43E8"/>
    <w:rsid w:val="00AD4677"/>
    <w:rsid w:val="00AD47C8"/>
    <w:rsid w:val="00AD4B7B"/>
    <w:rsid w:val="00AD4D3C"/>
    <w:rsid w:val="00AD5081"/>
    <w:rsid w:val="00AD50AC"/>
    <w:rsid w:val="00AD5103"/>
    <w:rsid w:val="00AD511B"/>
    <w:rsid w:val="00AD70B8"/>
    <w:rsid w:val="00AD751A"/>
    <w:rsid w:val="00AD75C6"/>
    <w:rsid w:val="00AD7B83"/>
    <w:rsid w:val="00AE0487"/>
    <w:rsid w:val="00AE07FB"/>
    <w:rsid w:val="00AE0F20"/>
    <w:rsid w:val="00AE1662"/>
    <w:rsid w:val="00AE201C"/>
    <w:rsid w:val="00AE2107"/>
    <w:rsid w:val="00AE2338"/>
    <w:rsid w:val="00AE2BDC"/>
    <w:rsid w:val="00AE3955"/>
    <w:rsid w:val="00AE3A56"/>
    <w:rsid w:val="00AE41D2"/>
    <w:rsid w:val="00AE4205"/>
    <w:rsid w:val="00AE42A0"/>
    <w:rsid w:val="00AE4502"/>
    <w:rsid w:val="00AE450A"/>
    <w:rsid w:val="00AE524B"/>
    <w:rsid w:val="00AE5961"/>
    <w:rsid w:val="00AE5D37"/>
    <w:rsid w:val="00AE6243"/>
    <w:rsid w:val="00AE6E58"/>
    <w:rsid w:val="00AE71F1"/>
    <w:rsid w:val="00AE7AB1"/>
    <w:rsid w:val="00AE7EA7"/>
    <w:rsid w:val="00AF045A"/>
    <w:rsid w:val="00AF06D1"/>
    <w:rsid w:val="00AF0745"/>
    <w:rsid w:val="00AF1DE3"/>
    <w:rsid w:val="00AF1E73"/>
    <w:rsid w:val="00AF20A7"/>
    <w:rsid w:val="00AF2DE1"/>
    <w:rsid w:val="00AF348B"/>
    <w:rsid w:val="00AF357D"/>
    <w:rsid w:val="00AF390E"/>
    <w:rsid w:val="00AF4090"/>
    <w:rsid w:val="00AF443A"/>
    <w:rsid w:val="00AF4971"/>
    <w:rsid w:val="00AF4991"/>
    <w:rsid w:val="00AF4BBE"/>
    <w:rsid w:val="00AF5276"/>
    <w:rsid w:val="00AF532A"/>
    <w:rsid w:val="00AF5909"/>
    <w:rsid w:val="00AF5B3D"/>
    <w:rsid w:val="00AF758D"/>
    <w:rsid w:val="00AF7C86"/>
    <w:rsid w:val="00B01046"/>
    <w:rsid w:val="00B01293"/>
    <w:rsid w:val="00B013AF"/>
    <w:rsid w:val="00B016E1"/>
    <w:rsid w:val="00B02247"/>
    <w:rsid w:val="00B0299A"/>
    <w:rsid w:val="00B02F23"/>
    <w:rsid w:val="00B03564"/>
    <w:rsid w:val="00B03D77"/>
    <w:rsid w:val="00B03E28"/>
    <w:rsid w:val="00B04CB3"/>
    <w:rsid w:val="00B04F2F"/>
    <w:rsid w:val="00B0563D"/>
    <w:rsid w:val="00B05B2F"/>
    <w:rsid w:val="00B063AA"/>
    <w:rsid w:val="00B06DE2"/>
    <w:rsid w:val="00B06E0D"/>
    <w:rsid w:val="00B075CB"/>
    <w:rsid w:val="00B0773C"/>
    <w:rsid w:val="00B07C7D"/>
    <w:rsid w:val="00B07EE7"/>
    <w:rsid w:val="00B1004A"/>
    <w:rsid w:val="00B10E5B"/>
    <w:rsid w:val="00B11E9D"/>
    <w:rsid w:val="00B123A4"/>
    <w:rsid w:val="00B125B9"/>
    <w:rsid w:val="00B12B08"/>
    <w:rsid w:val="00B12DCC"/>
    <w:rsid w:val="00B13462"/>
    <w:rsid w:val="00B135DC"/>
    <w:rsid w:val="00B1379A"/>
    <w:rsid w:val="00B137C4"/>
    <w:rsid w:val="00B13E02"/>
    <w:rsid w:val="00B13EDB"/>
    <w:rsid w:val="00B13F1D"/>
    <w:rsid w:val="00B143A4"/>
    <w:rsid w:val="00B152FF"/>
    <w:rsid w:val="00B153D2"/>
    <w:rsid w:val="00B16621"/>
    <w:rsid w:val="00B16EAF"/>
    <w:rsid w:val="00B170A5"/>
    <w:rsid w:val="00B17347"/>
    <w:rsid w:val="00B17A23"/>
    <w:rsid w:val="00B17B39"/>
    <w:rsid w:val="00B201C6"/>
    <w:rsid w:val="00B20636"/>
    <w:rsid w:val="00B21476"/>
    <w:rsid w:val="00B23BCE"/>
    <w:rsid w:val="00B24DC9"/>
    <w:rsid w:val="00B25001"/>
    <w:rsid w:val="00B25339"/>
    <w:rsid w:val="00B25407"/>
    <w:rsid w:val="00B258CD"/>
    <w:rsid w:val="00B25F10"/>
    <w:rsid w:val="00B26292"/>
    <w:rsid w:val="00B26FF5"/>
    <w:rsid w:val="00B27233"/>
    <w:rsid w:val="00B30228"/>
    <w:rsid w:val="00B30D5E"/>
    <w:rsid w:val="00B310A4"/>
    <w:rsid w:val="00B310A8"/>
    <w:rsid w:val="00B310F9"/>
    <w:rsid w:val="00B31171"/>
    <w:rsid w:val="00B31875"/>
    <w:rsid w:val="00B31D36"/>
    <w:rsid w:val="00B321AC"/>
    <w:rsid w:val="00B32374"/>
    <w:rsid w:val="00B32768"/>
    <w:rsid w:val="00B32C4B"/>
    <w:rsid w:val="00B3339D"/>
    <w:rsid w:val="00B34008"/>
    <w:rsid w:val="00B341E0"/>
    <w:rsid w:val="00B34696"/>
    <w:rsid w:val="00B34E71"/>
    <w:rsid w:val="00B35C0D"/>
    <w:rsid w:val="00B35E62"/>
    <w:rsid w:val="00B36A06"/>
    <w:rsid w:val="00B37866"/>
    <w:rsid w:val="00B37891"/>
    <w:rsid w:val="00B37B02"/>
    <w:rsid w:val="00B4054D"/>
    <w:rsid w:val="00B4072D"/>
    <w:rsid w:val="00B40915"/>
    <w:rsid w:val="00B40B54"/>
    <w:rsid w:val="00B40BF9"/>
    <w:rsid w:val="00B412FB"/>
    <w:rsid w:val="00B413C8"/>
    <w:rsid w:val="00B416B1"/>
    <w:rsid w:val="00B41F47"/>
    <w:rsid w:val="00B4215D"/>
    <w:rsid w:val="00B42539"/>
    <w:rsid w:val="00B43204"/>
    <w:rsid w:val="00B43C2F"/>
    <w:rsid w:val="00B43EE5"/>
    <w:rsid w:val="00B44397"/>
    <w:rsid w:val="00B44733"/>
    <w:rsid w:val="00B44BBE"/>
    <w:rsid w:val="00B44E72"/>
    <w:rsid w:val="00B4576B"/>
    <w:rsid w:val="00B45B79"/>
    <w:rsid w:val="00B46350"/>
    <w:rsid w:val="00B46394"/>
    <w:rsid w:val="00B467AA"/>
    <w:rsid w:val="00B468FA"/>
    <w:rsid w:val="00B46949"/>
    <w:rsid w:val="00B46DF3"/>
    <w:rsid w:val="00B46FBE"/>
    <w:rsid w:val="00B47582"/>
    <w:rsid w:val="00B47F40"/>
    <w:rsid w:val="00B506C1"/>
    <w:rsid w:val="00B50947"/>
    <w:rsid w:val="00B5163E"/>
    <w:rsid w:val="00B51B01"/>
    <w:rsid w:val="00B5206B"/>
    <w:rsid w:val="00B531CB"/>
    <w:rsid w:val="00B5348D"/>
    <w:rsid w:val="00B53A3D"/>
    <w:rsid w:val="00B53C3F"/>
    <w:rsid w:val="00B5407C"/>
    <w:rsid w:val="00B542A7"/>
    <w:rsid w:val="00B54C2D"/>
    <w:rsid w:val="00B54FF9"/>
    <w:rsid w:val="00B550C7"/>
    <w:rsid w:val="00B55619"/>
    <w:rsid w:val="00B5574C"/>
    <w:rsid w:val="00B55889"/>
    <w:rsid w:val="00B55AE5"/>
    <w:rsid w:val="00B55C28"/>
    <w:rsid w:val="00B5694F"/>
    <w:rsid w:val="00B56D6F"/>
    <w:rsid w:val="00B57050"/>
    <w:rsid w:val="00B57118"/>
    <w:rsid w:val="00B57897"/>
    <w:rsid w:val="00B5794F"/>
    <w:rsid w:val="00B57F7E"/>
    <w:rsid w:val="00B609F9"/>
    <w:rsid w:val="00B60CD9"/>
    <w:rsid w:val="00B60F31"/>
    <w:rsid w:val="00B618AF"/>
    <w:rsid w:val="00B61DFA"/>
    <w:rsid w:val="00B62011"/>
    <w:rsid w:val="00B62CD5"/>
    <w:rsid w:val="00B6365E"/>
    <w:rsid w:val="00B6393D"/>
    <w:rsid w:val="00B63FFC"/>
    <w:rsid w:val="00B64269"/>
    <w:rsid w:val="00B64561"/>
    <w:rsid w:val="00B648C7"/>
    <w:rsid w:val="00B64EF9"/>
    <w:rsid w:val="00B64FEE"/>
    <w:rsid w:val="00B6592D"/>
    <w:rsid w:val="00B66DD1"/>
    <w:rsid w:val="00B66E8F"/>
    <w:rsid w:val="00B66FF0"/>
    <w:rsid w:val="00B67035"/>
    <w:rsid w:val="00B67ABC"/>
    <w:rsid w:val="00B67EE8"/>
    <w:rsid w:val="00B7017E"/>
    <w:rsid w:val="00B71205"/>
    <w:rsid w:val="00B716F7"/>
    <w:rsid w:val="00B71FD8"/>
    <w:rsid w:val="00B727CE"/>
    <w:rsid w:val="00B72D36"/>
    <w:rsid w:val="00B736C8"/>
    <w:rsid w:val="00B73B3E"/>
    <w:rsid w:val="00B7437E"/>
    <w:rsid w:val="00B75206"/>
    <w:rsid w:val="00B76012"/>
    <w:rsid w:val="00B761F2"/>
    <w:rsid w:val="00B76258"/>
    <w:rsid w:val="00B77395"/>
    <w:rsid w:val="00B7782A"/>
    <w:rsid w:val="00B778D1"/>
    <w:rsid w:val="00B80157"/>
    <w:rsid w:val="00B80490"/>
    <w:rsid w:val="00B81626"/>
    <w:rsid w:val="00B81985"/>
    <w:rsid w:val="00B81F48"/>
    <w:rsid w:val="00B82143"/>
    <w:rsid w:val="00B821EA"/>
    <w:rsid w:val="00B824C1"/>
    <w:rsid w:val="00B82CBD"/>
    <w:rsid w:val="00B839B4"/>
    <w:rsid w:val="00B839C0"/>
    <w:rsid w:val="00B83B18"/>
    <w:rsid w:val="00B83D5E"/>
    <w:rsid w:val="00B84084"/>
    <w:rsid w:val="00B8418D"/>
    <w:rsid w:val="00B845A0"/>
    <w:rsid w:val="00B845AD"/>
    <w:rsid w:val="00B845D1"/>
    <w:rsid w:val="00B8460A"/>
    <w:rsid w:val="00B84BB0"/>
    <w:rsid w:val="00B84FDC"/>
    <w:rsid w:val="00B854B2"/>
    <w:rsid w:val="00B86289"/>
    <w:rsid w:val="00B863FA"/>
    <w:rsid w:val="00B8650D"/>
    <w:rsid w:val="00B8706B"/>
    <w:rsid w:val="00B87151"/>
    <w:rsid w:val="00B8751D"/>
    <w:rsid w:val="00B879B4"/>
    <w:rsid w:val="00B902A0"/>
    <w:rsid w:val="00B90A72"/>
    <w:rsid w:val="00B90B87"/>
    <w:rsid w:val="00B90CB7"/>
    <w:rsid w:val="00B90F07"/>
    <w:rsid w:val="00B912C6"/>
    <w:rsid w:val="00B91B52"/>
    <w:rsid w:val="00B92095"/>
    <w:rsid w:val="00B922D9"/>
    <w:rsid w:val="00B9249E"/>
    <w:rsid w:val="00B92613"/>
    <w:rsid w:val="00B92711"/>
    <w:rsid w:val="00B92C43"/>
    <w:rsid w:val="00B9343F"/>
    <w:rsid w:val="00B93ACE"/>
    <w:rsid w:val="00B95295"/>
    <w:rsid w:val="00B95308"/>
    <w:rsid w:val="00B9587D"/>
    <w:rsid w:val="00B959C6"/>
    <w:rsid w:val="00B95CD2"/>
    <w:rsid w:val="00B95E99"/>
    <w:rsid w:val="00B96346"/>
    <w:rsid w:val="00B96F8B"/>
    <w:rsid w:val="00B970D0"/>
    <w:rsid w:val="00B97912"/>
    <w:rsid w:val="00B9796A"/>
    <w:rsid w:val="00B97BB9"/>
    <w:rsid w:val="00B97C98"/>
    <w:rsid w:val="00BA0009"/>
    <w:rsid w:val="00BA0029"/>
    <w:rsid w:val="00BA013A"/>
    <w:rsid w:val="00BA0ABA"/>
    <w:rsid w:val="00BA0BB3"/>
    <w:rsid w:val="00BA0C34"/>
    <w:rsid w:val="00BA11AD"/>
    <w:rsid w:val="00BA1848"/>
    <w:rsid w:val="00BA1DEF"/>
    <w:rsid w:val="00BA263A"/>
    <w:rsid w:val="00BA3283"/>
    <w:rsid w:val="00BA3298"/>
    <w:rsid w:val="00BA43D3"/>
    <w:rsid w:val="00BA4467"/>
    <w:rsid w:val="00BA4B2D"/>
    <w:rsid w:val="00BA7C82"/>
    <w:rsid w:val="00BB0009"/>
    <w:rsid w:val="00BB02B5"/>
    <w:rsid w:val="00BB1863"/>
    <w:rsid w:val="00BB1BAE"/>
    <w:rsid w:val="00BB25EE"/>
    <w:rsid w:val="00BB28A8"/>
    <w:rsid w:val="00BB363A"/>
    <w:rsid w:val="00BB3ACF"/>
    <w:rsid w:val="00BB4564"/>
    <w:rsid w:val="00BB486E"/>
    <w:rsid w:val="00BB4873"/>
    <w:rsid w:val="00BB4D13"/>
    <w:rsid w:val="00BB4DDD"/>
    <w:rsid w:val="00BB5D96"/>
    <w:rsid w:val="00BB6365"/>
    <w:rsid w:val="00BB7369"/>
    <w:rsid w:val="00BB7546"/>
    <w:rsid w:val="00BC09F6"/>
    <w:rsid w:val="00BC0AD0"/>
    <w:rsid w:val="00BC0BB8"/>
    <w:rsid w:val="00BC10A0"/>
    <w:rsid w:val="00BC219B"/>
    <w:rsid w:val="00BC2579"/>
    <w:rsid w:val="00BC2CDE"/>
    <w:rsid w:val="00BC2EFF"/>
    <w:rsid w:val="00BC2FF7"/>
    <w:rsid w:val="00BC3D79"/>
    <w:rsid w:val="00BC49E1"/>
    <w:rsid w:val="00BC4D07"/>
    <w:rsid w:val="00BC56F0"/>
    <w:rsid w:val="00BC600D"/>
    <w:rsid w:val="00BC62BD"/>
    <w:rsid w:val="00BC6C31"/>
    <w:rsid w:val="00BC7424"/>
    <w:rsid w:val="00BC7BA2"/>
    <w:rsid w:val="00BD0369"/>
    <w:rsid w:val="00BD08B9"/>
    <w:rsid w:val="00BD0981"/>
    <w:rsid w:val="00BD186F"/>
    <w:rsid w:val="00BD1AD7"/>
    <w:rsid w:val="00BD1C21"/>
    <w:rsid w:val="00BD2572"/>
    <w:rsid w:val="00BD2EC1"/>
    <w:rsid w:val="00BD3DCF"/>
    <w:rsid w:val="00BD426B"/>
    <w:rsid w:val="00BD4434"/>
    <w:rsid w:val="00BD4A8E"/>
    <w:rsid w:val="00BD4D42"/>
    <w:rsid w:val="00BD4E56"/>
    <w:rsid w:val="00BD5203"/>
    <w:rsid w:val="00BD6D02"/>
    <w:rsid w:val="00BD7619"/>
    <w:rsid w:val="00BD77E4"/>
    <w:rsid w:val="00BD780A"/>
    <w:rsid w:val="00BD79F0"/>
    <w:rsid w:val="00BD7AED"/>
    <w:rsid w:val="00BE00FE"/>
    <w:rsid w:val="00BE02BB"/>
    <w:rsid w:val="00BE0D27"/>
    <w:rsid w:val="00BE0F37"/>
    <w:rsid w:val="00BE115F"/>
    <w:rsid w:val="00BE15EC"/>
    <w:rsid w:val="00BE199F"/>
    <w:rsid w:val="00BE1FB9"/>
    <w:rsid w:val="00BE209B"/>
    <w:rsid w:val="00BE2125"/>
    <w:rsid w:val="00BE22D7"/>
    <w:rsid w:val="00BE24E7"/>
    <w:rsid w:val="00BE24FC"/>
    <w:rsid w:val="00BE2819"/>
    <w:rsid w:val="00BE2B4D"/>
    <w:rsid w:val="00BE30D6"/>
    <w:rsid w:val="00BE36D5"/>
    <w:rsid w:val="00BE3DAF"/>
    <w:rsid w:val="00BE3FB6"/>
    <w:rsid w:val="00BE3FD2"/>
    <w:rsid w:val="00BE4A2D"/>
    <w:rsid w:val="00BE5651"/>
    <w:rsid w:val="00BE58F8"/>
    <w:rsid w:val="00BE610F"/>
    <w:rsid w:val="00BE69E0"/>
    <w:rsid w:val="00BE6A8E"/>
    <w:rsid w:val="00BF0E18"/>
    <w:rsid w:val="00BF1493"/>
    <w:rsid w:val="00BF22A0"/>
    <w:rsid w:val="00BF2347"/>
    <w:rsid w:val="00BF263E"/>
    <w:rsid w:val="00BF2B96"/>
    <w:rsid w:val="00BF2FC6"/>
    <w:rsid w:val="00BF3CF2"/>
    <w:rsid w:val="00BF5C4E"/>
    <w:rsid w:val="00BF61B3"/>
    <w:rsid w:val="00BF6582"/>
    <w:rsid w:val="00BF683F"/>
    <w:rsid w:val="00BF6A2C"/>
    <w:rsid w:val="00BF7CC7"/>
    <w:rsid w:val="00BF7F62"/>
    <w:rsid w:val="00C00808"/>
    <w:rsid w:val="00C008D0"/>
    <w:rsid w:val="00C00934"/>
    <w:rsid w:val="00C00CAB"/>
    <w:rsid w:val="00C015F8"/>
    <w:rsid w:val="00C01D01"/>
    <w:rsid w:val="00C02216"/>
    <w:rsid w:val="00C02605"/>
    <w:rsid w:val="00C028CC"/>
    <w:rsid w:val="00C02B4A"/>
    <w:rsid w:val="00C02C2A"/>
    <w:rsid w:val="00C038AD"/>
    <w:rsid w:val="00C04053"/>
    <w:rsid w:val="00C043FE"/>
    <w:rsid w:val="00C05048"/>
    <w:rsid w:val="00C05AED"/>
    <w:rsid w:val="00C06CF9"/>
    <w:rsid w:val="00C07294"/>
    <w:rsid w:val="00C078CB"/>
    <w:rsid w:val="00C07B90"/>
    <w:rsid w:val="00C07BD6"/>
    <w:rsid w:val="00C07E26"/>
    <w:rsid w:val="00C10010"/>
    <w:rsid w:val="00C10017"/>
    <w:rsid w:val="00C1011C"/>
    <w:rsid w:val="00C11DB1"/>
    <w:rsid w:val="00C12117"/>
    <w:rsid w:val="00C12F94"/>
    <w:rsid w:val="00C13661"/>
    <w:rsid w:val="00C13763"/>
    <w:rsid w:val="00C139CB"/>
    <w:rsid w:val="00C13D65"/>
    <w:rsid w:val="00C15027"/>
    <w:rsid w:val="00C15C59"/>
    <w:rsid w:val="00C15E7F"/>
    <w:rsid w:val="00C160EB"/>
    <w:rsid w:val="00C16570"/>
    <w:rsid w:val="00C16850"/>
    <w:rsid w:val="00C169F6"/>
    <w:rsid w:val="00C17128"/>
    <w:rsid w:val="00C172AA"/>
    <w:rsid w:val="00C17306"/>
    <w:rsid w:val="00C173AE"/>
    <w:rsid w:val="00C17492"/>
    <w:rsid w:val="00C177C5"/>
    <w:rsid w:val="00C17B3C"/>
    <w:rsid w:val="00C208FC"/>
    <w:rsid w:val="00C2127C"/>
    <w:rsid w:val="00C218F6"/>
    <w:rsid w:val="00C21E25"/>
    <w:rsid w:val="00C221AB"/>
    <w:rsid w:val="00C2234A"/>
    <w:rsid w:val="00C226F3"/>
    <w:rsid w:val="00C23121"/>
    <w:rsid w:val="00C23312"/>
    <w:rsid w:val="00C23509"/>
    <w:rsid w:val="00C23E35"/>
    <w:rsid w:val="00C24AF7"/>
    <w:rsid w:val="00C24D96"/>
    <w:rsid w:val="00C25642"/>
    <w:rsid w:val="00C259F0"/>
    <w:rsid w:val="00C2648F"/>
    <w:rsid w:val="00C26F4D"/>
    <w:rsid w:val="00C27A71"/>
    <w:rsid w:val="00C3027C"/>
    <w:rsid w:val="00C3047D"/>
    <w:rsid w:val="00C308CF"/>
    <w:rsid w:val="00C30F80"/>
    <w:rsid w:val="00C310E0"/>
    <w:rsid w:val="00C31925"/>
    <w:rsid w:val="00C31C72"/>
    <w:rsid w:val="00C32925"/>
    <w:rsid w:val="00C33248"/>
    <w:rsid w:val="00C3440C"/>
    <w:rsid w:val="00C34EC3"/>
    <w:rsid w:val="00C34F7F"/>
    <w:rsid w:val="00C356AD"/>
    <w:rsid w:val="00C37B9E"/>
    <w:rsid w:val="00C37E0B"/>
    <w:rsid w:val="00C4026B"/>
    <w:rsid w:val="00C4038C"/>
    <w:rsid w:val="00C4042D"/>
    <w:rsid w:val="00C40899"/>
    <w:rsid w:val="00C409DA"/>
    <w:rsid w:val="00C41472"/>
    <w:rsid w:val="00C41618"/>
    <w:rsid w:val="00C42189"/>
    <w:rsid w:val="00C42292"/>
    <w:rsid w:val="00C425C3"/>
    <w:rsid w:val="00C425E2"/>
    <w:rsid w:val="00C42BA2"/>
    <w:rsid w:val="00C43767"/>
    <w:rsid w:val="00C43EC6"/>
    <w:rsid w:val="00C43F62"/>
    <w:rsid w:val="00C44066"/>
    <w:rsid w:val="00C44DD7"/>
    <w:rsid w:val="00C44E13"/>
    <w:rsid w:val="00C44E66"/>
    <w:rsid w:val="00C452ED"/>
    <w:rsid w:val="00C45663"/>
    <w:rsid w:val="00C45666"/>
    <w:rsid w:val="00C45744"/>
    <w:rsid w:val="00C4593F"/>
    <w:rsid w:val="00C45AEF"/>
    <w:rsid w:val="00C45B9D"/>
    <w:rsid w:val="00C46E79"/>
    <w:rsid w:val="00C47395"/>
    <w:rsid w:val="00C4747A"/>
    <w:rsid w:val="00C47509"/>
    <w:rsid w:val="00C47582"/>
    <w:rsid w:val="00C500AA"/>
    <w:rsid w:val="00C50751"/>
    <w:rsid w:val="00C517CD"/>
    <w:rsid w:val="00C517EC"/>
    <w:rsid w:val="00C522C7"/>
    <w:rsid w:val="00C53118"/>
    <w:rsid w:val="00C53288"/>
    <w:rsid w:val="00C535C4"/>
    <w:rsid w:val="00C5400B"/>
    <w:rsid w:val="00C5424F"/>
    <w:rsid w:val="00C5449E"/>
    <w:rsid w:val="00C54A3A"/>
    <w:rsid w:val="00C55100"/>
    <w:rsid w:val="00C555D8"/>
    <w:rsid w:val="00C55F28"/>
    <w:rsid w:val="00C568EE"/>
    <w:rsid w:val="00C56CA9"/>
    <w:rsid w:val="00C57355"/>
    <w:rsid w:val="00C57D32"/>
    <w:rsid w:val="00C60303"/>
    <w:rsid w:val="00C6041D"/>
    <w:rsid w:val="00C60924"/>
    <w:rsid w:val="00C60A41"/>
    <w:rsid w:val="00C60D3A"/>
    <w:rsid w:val="00C61087"/>
    <w:rsid w:val="00C6108F"/>
    <w:rsid w:val="00C61269"/>
    <w:rsid w:val="00C61B80"/>
    <w:rsid w:val="00C61D14"/>
    <w:rsid w:val="00C61EC2"/>
    <w:rsid w:val="00C6224E"/>
    <w:rsid w:val="00C6227D"/>
    <w:rsid w:val="00C6282D"/>
    <w:rsid w:val="00C62CB8"/>
    <w:rsid w:val="00C62DE8"/>
    <w:rsid w:val="00C62DFB"/>
    <w:rsid w:val="00C630E6"/>
    <w:rsid w:val="00C63812"/>
    <w:rsid w:val="00C6382A"/>
    <w:rsid w:val="00C638CE"/>
    <w:rsid w:val="00C63A08"/>
    <w:rsid w:val="00C63C9F"/>
    <w:rsid w:val="00C63F07"/>
    <w:rsid w:val="00C641F5"/>
    <w:rsid w:val="00C64512"/>
    <w:rsid w:val="00C64AF3"/>
    <w:rsid w:val="00C64BA1"/>
    <w:rsid w:val="00C64BE0"/>
    <w:rsid w:val="00C64E0F"/>
    <w:rsid w:val="00C65A62"/>
    <w:rsid w:val="00C65D47"/>
    <w:rsid w:val="00C665EC"/>
    <w:rsid w:val="00C668DB"/>
    <w:rsid w:val="00C66F4D"/>
    <w:rsid w:val="00C672E7"/>
    <w:rsid w:val="00C6746B"/>
    <w:rsid w:val="00C675A1"/>
    <w:rsid w:val="00C678C9"/>
    <w:rsid w:val="00C67BB5"/>
    <w:rsid w:val="00C7003E"/>
    <w:rsid w:val="00C70381"/>
    <w:rsid w:val="00C7145A"/>
    <w:rsid w:val="00C725E5"/>
    <w:rsid w:val="00C72713"/>
    <w:rsid w:val="00C73881"/>
    <w:rsid w:val="00C738AC"/>
    <w:rsid w:val="00C73A80"/>
    <w:rsid w:val="00C73B57"/>
    <w:rsid w:val="00C73E0E"/>
    <w:rsid w:val="00C73FC6"/>
    <w:rsid w:val="00C74E79"/>
    <w:rsid w:val="00C7502F"/>
    <w:rsid w:val="00C750C3"/>
    <w:rsid w:val="00C75297"/>
    <w:rsid w:val="00C75552"/>
    <w:rsid w:val="00C7634B"/>
    <w:rsid w:val="00C76427"/>
    <w:rsid w:val="00C76F1D"/>
    <w:rsid w:val="00C77317"/>
    <w:rsid w:val="00C775FD"/>
    <w:rsid w:val="00C80548"/>
    <w:rsid w:val="00C8073C"/>
    <w:rsid w:val="00C809F1"/>
    <w:rsid w:val="00C80E88"/>
    <w:rsid w:val="00C81D24"/>
    <w:rsid w:val="00C82B9D"/>
    <w:rsid w:val="00C832FD"/>
    <w:rsid w:val="00C8374C"/>
    <w:rsid w:val="00C83CE6"/>
    <w:rsid w:val="00C848EF"/>
    <w:rsid w:val="00C8569C"/>
    <w:rsid w:val="00C85B92"/>
    <w:rsid w:val="00C860DB"/>
    <w:rsid w:val="00C8632D"/>
    <w:rsid w:val="00C86600"/>
    <w:rsid w:val="00C8665B"/>
    <w:rsid w:val="00C872F5"/>
    <w:rsid w:val="00C87BCA"/>
    <w:rsid w:val="00C87EED"/>
    <w:rsid w:val="00C915D4"/>
    <w:rsid w:val="00C919EC"/>
    <w:rsid w:val="00C92927"/>
    <w:rsid w:val="00C92E8E"/>
    <w:rsid w:val="00C92F11"/>
    <w:rsid w:val="00C930F4"/>
    <w:rsid w:val="00C93389"/>
    <w:rsid w:val="00C9378D"/>
    <w:rsid w:val="00C94506"/>
    <w:rsid w:val="00C94A1C"/>
    <w:rsid w:val="00C94B51"/>
    <w:rsid w:val="00C952D9"/>
    <w:rsid w:val="00C952E1"/>
    <w:rsid w:val="00C954BC"/>
    <w:rsid w:val="00C95D34"/>
    <w:rsid w:val="00C96677"/>
    <w:rsid w:val="00C96B91"/>
    <w:rsid w:val="00C97ED1"/>
    <w:rsid w:val="00CA04B7"/>
    <w:rsid w:val="00CA0C4A"/>
    <w:rsid w:val="00CA0CC5"/>
    <w:rsid w:val="00CA12D7"/>
    <w:rsid w:val="00CA17B6"/>
    <w:rsid w:val="00CA188E"/>
    <w:rsid w:val="00CA19C3"/>
    <w:rsid w:val="00CA1F0B"/>
    <w:rsid w:val="00CA255C"/>
    <w:rsid w:val="00CA3AA7"/>
    <w:rsid w:val="00CA436F"/>
    <w:rsid w:val="00CA476A"/>
    <w:rsid w:val="00CA50FE"/>
    <w:rsid w:val="00CA5807"/>
    <w:rsid w:val="00CA5E6F"/>
    <w:rsid w:val="00CA661D"/>
    <w:rsid w:val="00CA66EB"/>
    <w:rsid w:val="00CA6ED3"/>
    <w:rsid w:val="00CA6FBA"/>
    <w:rsid w:val="00CA76B6"/>
    <w:rsid w:val="00CA7B98"/>
    <w:rsid w:val="00CB0534"/>
    <w:rsid w:val="00CB06AE"/>
    <w:rsid w:val="00CB110F"/>
    <w:rsid w:val="00CB1196"/>
    <w:rsid w:val="00CB16E7"/>
    <w:rsid w:val="00CB2A2E"/>
    <w:rsid w:val="00CB2C4A"/>
    <w:rsid w:val="00CB2E07"/>
    <w:rsid w:val="00CB3037"/>
    <w:rsid w:val="00CB338A"/>
    <w:rsid w:val="00CB3649"/>
    <w:rsid w:val="00CB376F"/>
    <w:rsid w:val="00CB3C14"/>
    <w:rsid w:val="00CB3E8F"/>
    <w:rsid w:val="00CB44F5"/>
    <w:rsid w:val="00CB4F26"/>
    <w:rsid w:val="00CB5736"/>
    <w:rsid w:val="00CB59E5"/>
    <w:rsid w:val="00CB60EC"/>
    <w:rsid w:val="00CB64F3"/>
    <w:rsid w:val="00CB679C"/>
    <w:rsid w:val="00CB695B"/>
    <w:rsid w:val="00CB69AB"/>
    <w:rsid w:val="00CB6B39"/>
    <w:rsid w:val="00CB6E6B"/>
    <w:rsid w:val="00CB7233"/>
    <w:rsid w:val="00CB751B"/>
    <w:rsid w:val="00CB76CB"/>
    <w:rsid w:val="00CB796E"/>
    <w:rsid w:val="00CB79C5"/>
    <w:rsid w:val="00CB7DDE"/>
    <w:rsid w:val="00CC06C0"/>
    <w:rsid w:val="00CC0729"/>
    <w:rsid w:val="00CC0A5C"/>
    <w:rsid w:val="00CC0AEB"/>
    <w:rsid w:val="00CC2365"/>
    <w:rsid w:val="00CC2438"/>
    <w:rsid w:val="00CC250E"/>
    <w:rsid w:val="00CC366C"/>
    <w:rsid w:val="00CC3BCE"/>
    <w:rsid w:val="00CC3DFE"/>
    <w:rsid w:val="00CC411F"/>
    <w:rsid w:val="00CC4817"/>
    <w:rsid w:val="00CC485A"/>
    <w:rsid w:val="00CC4AE4"/>
    <w:rsid w:val="00CC4B75"/>
    <w:rsid w:val="00CC4C9F"/>
    <w:rsid w:val="00CC68F6"/>
    <w:rsid w:val="00CC6C70"/>
    <w:rsid w:val="00CC6ED1"/>
    <w:rsid w:val="00CC72D4"/>
    <w:rsid w:val="00CC732E"/>
    <w:rsid w:val="00CC75CE"/>
    <w:rsid w:val="00CC7609"/>
    <w:rsid w:val="00CC7752"/>
    <w:rsid w:val="00CC7E89"/>
    <w:rsid w:val="00CD00DF"/>
    <w:rsid w:val="00CD0829"/>
    <w:rsid w:val="00CD084C"/>
    <w:rsid w:val="00CD18BE"/>
    <w:rsid w:val="00CD18D3"/>
    <w:rsid w:val="00CD1B8B"/>
    <w:rsid w:val="00CD1E50"/>
    <w:rsid w:val="00CD23C6"/>
    <w:rsid w:val="00CD2A91"/>
    <w:rsid w:val="00CD2A98"/>
    <w:rsid w:val="00CD2FCD"/>
    <w:rsid w:val="00CD30DE"/>
    <w:rsid w:val="00CD32C4"/>
    <w:rsid w:val="00CD35E5"/>
    <w:rsid w:val="00CD384A"/>
    <w:rsid w:val="00CD38EC"/>
    <w:rsid w:val="00CD3B13"/>
    <w:rsid w:val="00CD45E9"/>
    <w:rsid w:val="00CD4AE0"/>
    <w:rsid w:val="00CD50C5"/>
    <w:rsid w:val="00CD5361"/>
    <w:rsid w:val="00CD53EA"/>
    <w:rsid w:val="00CD566C"/>
    <w:rsid w:val="00CD5C1F"/>
    <w:rsid w:val="00CD5D42"/>
    <w:rsid w:val="00CD618A"/>
    <w:rsid w:val="00CD7207"/>
    <w:rsid w:val="00CD738F"/>
    <w:rsid w:val="00CD7449"/>
    <w:rsid w:val="00CD7C3E"/>
    <w:rsid w:val="00CD7CB1"/>
    <w:rsid w:val="00CE00F3"/>
    <w:rsid w:val="00CE021A"/>
    <w:rsid w:val="00CE0422"/>
    <w:rsid w:val="00CE0739"/>
    <w:rsid w:val="00CE0A71"/>
    <w:rsid w:val="00CE0AF4"/>
    <w:rsid w:val="00CE0DBE"/>
    <w:rsid w:val="00CE0F27"/>
    <w:rsid w:val="00CE0F8E"/>
    <w:rsid w:val="00CE1231"/>
    <w:rsid w:val="00CE312E"/>
    <w:rsid w:val="00CE3CF8"/>
    <w:rsid w:val="00CE4117"/>
    <w:rsid w:val="00CE4665"/>
    <w:rsid w:val="00CE5342"/>
    <w:rsid w:val="00CE5E4D"/>
    <w:rsid w:val="00CE6541"/>
    <w:rsid w:val="00CE6E90"/>
    <w:rsid w:val="00CE71FC"/>
    <w:rsid w:val="00CE7A9F"/>
    <w:rsid w:val="00CF02C4"/>
    <w:rsid w:val="00CF06BE"/>
    <w:rsid w:val="00CF167F"/>
    <w:rsid w:val="00CF177D"/>
    <w:rsid w:val="00CF1D3E"/>
    <w:rsid w:val="00CF21B0"/>
    <w:rsid w:val="00CF25A1"/>
    <w:rsid w:val="00CF2BEC"/>
    <w:rsid w:val="00CF3105"/>
    <w:rsid w:val="00CF3288"/>
    <w:rsid w:val="00CF374F"/>
    <w:rsid w:val="00CF47A8"/>
    <w:rsid w:val="00CF5103"/>
    <w:rsid w:val="00CF5231"/>
    <w:rsid w:val="00CF5468"/>
    <w:rsid w:val="00CF5634"/>
    <w:rsid w:val="00CF5E92"/>
    <w:rsid w:val="00CF680A"/>
    <w:rsid w:val="00CF6C8E"/>
    <w:rsid w:val="00CF6D86"/>
    <w:rsid w:val="00CF72E5"/>
    <w:rsid w:val="00CF7319"/>
    <w:rsid w:val="00CF7D03"/>
    <w:rsid w:val="00D00055"/>
    <w:rsid w:val="00D00449"/>
    <w:rsid w:val="00D00923"/>
    <w:rsid w:val="00D00B29"/>
    <w:rsid w:val="00D00CE4"/>
    <w:rsid w:val="00D01020"/>
    <w:rsid w:val="00D013EE"/>
    <w:rsid w:val="00D01792"/>
    <w:rsid w:val="00D01F38"/>
    <w:rsid w:val="00D01F54"/>
    <w:rsid w:val="00D020A9"/>
    <w:rsid w:val="00D03186"/>
    <w:rsid w:val="00D03414"/>
    <w:rsid w:val="00D03B4C"/>
    <w:rsid w:val="00D040F7"/>
    <w:rsid w:val="00D0485D"/>
    <w:rsid w:val="00D048FC"/>
    <w:rsid w:val="00D04A76"/>
    <w:rsid w:val="00D04C6F"/>
    <w:rsid w:val="00D05C7B"/>
    <w:rsid w:val="00D068BF"/>
    <w:rsid w:val="00D06B6B"/>
    <w:rsid w:val="00D07E2B"/>
    <w:rsid w:val="00D10FC7"/>
    <w:rsid w:val="00D112EC"/>
    <w:rsid w:val="00D11600"/>
    <w:rsid w:val="00D1194D"/>
    <w:rsid w:val="00D11B78"/>
    <w:rsid w:val="00D126A8"/>
    <w:rsid w:val="00D12B71"/>
    <w:rsid w:val="00D12C87"/>
    <w:rsid w:val="00D12FE8"/>
    <w:rsid w:val="00D14A0F"/>
    <w:rsid w:val="00D14DC2"/>
    <w:rsid w:val="00D1514C"/>
    <w:rsid w:val="00D1519F"/>
    <w:rsid w:val="00D157A9"/>
    <w:rsid w:val="00D15C90"/>
    <w:rsid w:val="00D16562"/>
    <w:rsid w:val="00D1703C"/>
    <w:rsid w:val="00D171D1"/>
    <w:rsid w:val="00D173DF"/>
    <w:rsid w:val="00D17453"/>
    <w:rsid w:val="00D17C13"/>
    <w:rsid w:val="00D17D1E"/>
    <w:rsid w:val="00D20811"/>
    <w:rsid w:val="00D20E99"/>
    <w:rsid w:val="00D212A3"/>
    <w:rsid w:val="00D21C2F"/>
    <w:rsid w:val="00D21C83"/>
    <w:rsid w:val="00D2274C"/>
    <w:rsid w:val="00D22A22"/>
    <w:rsid w:val="00D22A77"/>
    <w:rsid w:val="00D23162"/>
    <w:rsid w:val="00D235D4"/>
    <w:rsid w:val="00D23E3B"/>
    <w:rsid w:val="00D23E50"/>
    <w:rsid w:val="00D2440F"/>
    <w:rsid w:val="00D254DC"/>
    <w:rsid w:val="00D26125"/>
    <w:rsid w:val="00D26A82"/>
    <w:rsid w:val="00D26D39"/>
    <w:rsid w:val="00D2700E"/>
    <w:rsid w:val="00D27AC5"/>
    <w:rsid w:val="00D30B95"/>
    <w:rsid w:val="00D312C2"/>
    <w:rsid w:val="00D3194D"/>
    <w:rsid w:val="00D31981"/>
    <w:rsid w:val="00D31F2A"/>
    <w:rsid w:val="00D3204D"/>
    <w:rsid w:val="00D32881"/>
    <w:rsid w:val="00D331A1"/>
    <w:rsid w:val="00D33E48"/>
    <w:rsid w:val="00D34149"/>
    <w:rsid w:val="00D3419C"/>
    <w:rsid w:val="00D35355"/>
    <w:rsid w:val="00D35799"/>
    <w:rsid w:val="00D35BDD"/>
    <w:rsid w:val="00D35E31"/>
    <w:rsid w:val="00D3668A"/>
    <w:rsid w:val="00D37A15"/>
    <w:rsid w:val="00D37DAF"/>
    <w:rsid w:val="00D37E49"/>
    <w:rsid w:val="00D40448"/>
    <w:rsid w:val="00D406C1"/>
    <w:rsid w:val="00D4082D"/>
    <w:rsid w:val="00D411B0"/>
    <w:rsid w:val="00D4150B"/>
    <w:rsid w:val="00D42078"/>
    <w:rsid w:val="00D42222"/>
    <w:rsid w:val="00D4257F"/>
    <w:rsid w:val="00D425A3"/>
    <w:rsid w:val="00D42C8F"/>
    <w:rsid w:val="00D434FF"/>
    <w:rsid w:val="00D43CA1"/>
    <w:rsid w:val="00D43D6B"/>
    <w:rsid w:val="00D43DE1"/>
    <w:rsid w:val="00D43E60"/>
    <w:rsid w:val="00D44623"/>
    <w:rsid w:val="00D446A4"/>
    <w:rsid w:val="00D44DEF"/>
    <w:rsid w:val="00D45823"/>
    <w:rsid w:val="00D462D7"/>
    <w:rsid w:val="00D470D7"/>
    <w:rsid w:val="00D471DC"/>
    <w:rsid w:val="00D477D5"/>
    <w:rsid w:val="00D501BE"/>
    <w:rsid w:val="00D5032F"/>
    <w:rsid w:val="00D50480"/>
    <w:rsid w:val="00D507A7"/>
    <w:rsid w:val="00D50DE6"/>
    <w:rsid w:val="00D50F32"/>
    <w:rsid w:val="00D5116F"/>
    <w:rsid w:val="00D51353"/>
    <w:rsid w:val="00D51ED7"/>
    <w:rsid w:val="00D52505"/>
    <w:rsid w:val="00D529CF"/>
    <w:rsid w:val="00D5342E"/>
    <w:rsid w:val="00D537E1"/>
    <w:rsid w:val="00D5391D"/>
    <w:rsid w:val="00D540C0"/>
    <w:rsid w:val="00D54D90"/>
    <w:rsid w:val="00D54F85"/>
    <w:rsid w:val="00D552C1"/>
    <w:rsid w:val="00D55AA2"/>
    <w:rsid w:val="00D55E66"/>
    <w:rsid w:val="00D5686B"/>
    <w:rsid w:val="00D57181"/>
    <w:rsid w:val="00D575D7"/>
    <w:rsid w:val="00D57976"/>
    <w:rsid w:val="00D57B66"/>
    <w:rsid w:val="00D601C8"/>
    <w:rsid w:val="00D609A9"/>
    <w:rsid w:val="00D60A11"/>
    <w:rsid w:val="00D60F82"/>
    <w:rsid w:val="00D60F91"/>
    <w:rsid w:val="00D6130C"/>
    <w:rsid w:val="00D614C4"/>
    <w:rsid w:val="00D62121"/>
    <w:rsid w:val="00D622B6"/>
    <w:rsid w:val="00D627AF"/>
    <w:rsid w:val="00D6295B"/>
    <w:rsid w:val="00D63006"/>
    <w:rsid w:val="00D63982"/>
    <w:rsid w:val="00D63D93"/>
    <w:rsid w:val="00D640A2"/>
    <w:rsid w:val="00D6496D"/>
    <w:rsid w:val="00D64A57"/>
    <w:rsid w:val="00D64D42"/>
    <w:rsid w:val="00D65529"/>
    <w:rsid w:val="00D6668A"/>
    <w:rsid w:val="00D66EE8"/>
    <w:rsid w:val="00D670B7"/>
    <w:rsid w:val="00D67797"/>
    <w:rsid w:val="00D67937"/>
    <w:rsid w:val="00D70412"/>
    <w:rsid w:val="00D70995"/>
    <w:rsid w:val="00D70C94"/>
    <w:rsid w:val="00D71073"/>
    <w:rsid w:val="00D711D8"/>
    <w:rsid w:val="00D71286"/>
    <w:rsid w:val="00D71344"/>
    <w:rsid w:val="00D71C0F"/>
    <w:rsid w:val="00D721BA"/>
    <w:rsid w:val="00D72301"/>
    <w:rsid w:val="00D7248D"/>
    <w:rsid w:val="00D726AD"/>
    <w:rsid w:val="00D727E4"/>
    <w:rsid w:val="00D738DA"/>
    <w:rsid w:val="00D74317"/>
    <w:rsid w:val="00D7538E"/>
    <w:rsid w:val="00D75695"/>
    <w:rsid w:val="00D76426"/>
    <w:rsid w:val="00D764F5"/>
    <w:rsid w:val="00D77186"/>
    <w:rsid w:val="00D77C41"/>
    <w:rsid w:val="00D8016F"/>
    <w:rsid w:val="00D80741"/>
    <w:rsid w:val="00D80776"/>
    <w:rsid w:val="00D81202"/>
    <w:rsid w:val="00D81B83"/>
    <w:rsid w:val="00D81C35"/>
    <w:rsid w:val="00D81D06"/>
    <w:rsid w:val="00D82C2C"/>
    <w:rsid w:val="00D82DE7"/>
    <w:rsid w:val="00D82DE8"/>
    <w:rsid w:val="00D8430B"/>
    <w:rsid w:val="00D8528E"/>
    <w:rsid w:val="00D85C40"/>
    <w:rsid w:val="00D85DD3"/>
    <w:rsid w:val="00D86281"/>
    <w:rsid w:val="00D8699A"/>
    <w:rsid w:val="00D86B93"/>
    <w:rsid w:val="00D86D8C"/>
    <w:rsid w:val="00D90201"/>
    <w:rsid w:val="00D902A9"/>
    <w:rsid w:val="00D9087E"/>
    <w:rsid w:val="00D911DE"/>
    <w:rsid w:val="00D91548"/>
    <w:rsid w:val="00D9161D"/>
    <w:rsid w:val="00D916DC"/>
    <w:rsid w:val="00D91B97"/>
    <w:rsid w:val="00D92455"/>
    <w:rsid w:val="00D92667"/>
    <w:rsid w:val="00D92D18"/>
    <w:rsid w:val="00D9355C"/>
    <w:rsid w:val="00D936A8"/>
    <w:rsid w:val="00D93980"/>
    <w:rsid w:val="00D93ACC"/>
    <w:rsid w:val="00D93C08"/>
    <w:rsid w:val="00D93E4E"/>
    <w:rsid w:val="00D94D66"/>
    <w:rsid w:val="00D95806"/>
    <w:rsid w:val="00D95A59"/>
    <w:rsid w:val="00D95DAC"/>
    <w:rsid w:val="00D962C6"/>
    <w:rsid w:val="00D96522"/>
    <w:rsid w:val="00D965CA"/>
    <w:rsid w:val="00D96A42"/>
    <w:rsid w:val="00D96CEB"/>
    <w:rsid w:val="00D9796F"/>
    <w:rsid w:val="00D97B5A"/>
    <w:rsid w:val="00DA0B53"/>
    <w:rsid w:val="00DA1685"/>
    <w:rsid w:val="00DA1CD8"/>
    <w:rsid w:val="00DA23ED"/>
    <w:rsid w:val="00DA32A9"/>
    <w:rsid w:val="00DA32B6"/>
    <w:rsid w:val="00DA3FF5"/>
    <w:rsid w:val="00DA45C7"/>
    <w:rsid w:val="00DA4AAE"/>
    <w:rsid w:val="00DA4FF5"/>
    <w:rsid w:val="00DA505A"/>
    <w:rsid w:val="00DA767D"/>
    <w:rsid w:val="00DA7934"/>
    <w:rsid w:val="00DA7E15"/>
    <w:rsid w:val="00DA7F5D"/>
    <w:rsid w:val="00DA7F69"/>
    <w:rsid w:val="00DB0377"/>
    <w:rsid w:val="00DB098C"/>
    <w:rsid w:val="00DB0C28"/>
    <w:rsid w:val="00DB0D63"/>
    <w:rsid w:val="00DB1161"/>
    <w:rsid w:val="00DB1171"/>
    <w:rsid w:val="00DB1519"/>
    <w:rsid w:val="00DB1D90"/>
    <w:rsid w:val="00DB2840"/>
    <w:rsid w:val="00DB2B6C"/>
    <w:rsid w:val="00DB2C48"/>
    <w:rsid w:val="00DB2FA0"/>
    <w:rsid w:val="00DB3AB5"/>
    <w:rsid w:val="00DB473E"/>
    <w:rsid w:val="00DB478B"/>
    <w:rsid w:val="00DB4C97"/>
    <w:rsid w:val="00DB5214"/>
    <w:rsid w:val="00DB5579"/>
    <w:rsid w:val="00DB5EA0"/>
    <w:rsid w:val="00DB5F68"/>
    <w:rsid w:val="00DB6319"/>
    <w:rsid w:val="00DB6495"/>
    <w:rsid w:val="00DB6566"/>
    <w:rsid w:val="00DB6A2F"/>
    <w:rsid w:val="00DB7A69"/>
    <w:rsid w:val="00DC027B"/>
    <w:rsid w:val="00DC0BB5"/>
    <w:rsid w:val="00DC0C6E"/>
    <w:rsid w:val="00DC1BD3"/>
    <w:rsid w:val="00DC2418"/>
    <w:rsid w:val="00DC2B69"/>
    <w:rsid w:val="00DC2C1A"/>
    <w:rsid w:val="00DC3C27"/>
    <w:rsid w:val="00DC432A"/>
    <w:rsid w:val="00DC477D"/>
    <w:rsid w:val="00DC4955"/>
    <w:rsid w:val="00DC5AB0"/>
    <w:rsid w:val="00DC67B0"/>
    <w:rsid w:val="00DC6CD1"/>
    <w:rsid w:val="00DC7655"/>
    <w:rsid w:val="00DC7CCB"/>
    <w:rsid w:val="00DD0142"/>
    <w:rsid w:val="00DD0458"/>
    <w:rsid w:val="00DD0545"/>
    <w:rsid w:val="00DD0A65"/>
    <w:rsid w:val="00DD0E1D"/>
    <w:rsid w:val="00DD11C8"/>
    <w:rsid w:val="00DD1B01"/>
    <w:rsid w:val="00DD23A0"/>
    <w:rsid w:val="00DD33BD"/>
    <w:rsid w:val="00DD3904"/>
    <w:rsid w:val="00DD3BD9"/>
    <w:rsid w:val="00DD4362"/>
    <w:rsid w:val="00DD43BA"/>
    <w:rsid w:val="00DD4803"/>
    <w:rsid w:val="00DD58C0"/>
    <w:rsid w:val="00DD59C6"/>
    <w:rsid w:val="00DD5B0F"/>
    <w:rsid w:val="00DD602A"/>
    <w:rsid w:val="00DD6497"/>
    <w:rsid w:val="00DD64C6"/>
    <w:rsid w:val="00DD6685"/>
    <w:rsid w:val="00DD66B4"/>
    <w:rsid w:val="00DD6CA4"/>
    <w:rsid w:val="00DD70FB"/>
    <w:rsid w:val="00DD7889"/>
    <w:rsid w:val="00DD7B68"/>
    <w:rsid w:val="00DE032F"/>
    <w:rsid w:val="00DE048C"/>
    <w:rsid w:val="00DE0771"/>
    <w:rsid w:val="00DE08AE"/>
    <w:rsid w:val="00DE0AA9"/>
    <w:rsid w:val="00DE0DD4"/>
    <w:rsid w:val="00DE110C"/>
    <w:rsid w:val="00DE1972"/>
    <w:rsid w:val="00DE1E82"/>
    <w:rsid w:val="00DE2090"/>
    <w:rsid w:val="00DE27AB"/>
    <w:rsid w:val="00DE3F0C"/>
    <w:rsid w:val="00DE450C"/>
    <w:rsid w:val="00DE58A0"/>
    <w:rsid w:val="00DE6EAD"/>
    <w:rsid w:val="00DE6EDA"/>
    <w:rsid w:val="00DE7056"/>
    <w:rsid w:val="00DF006A"/>
    <w:rsid w:val="00DF00AB"/>
    <w:rsid w:val="00DF010E"/>
    <w:rsid w:val="00DF035C"/>
    <w:rsid w:val="00DF0517"/>
    <w:rsid w:val="00DF1457"/>
    <w:rsid w:val="00DF1568"/>
    <w:rsid w:val="00DF1B23"/>
    <w:rsid w:val="00DF1FAF"/>
    <w:rsid w:val="00DF21CB"/>
    <w:rsid w:val="00DF225B"/>
    <w:rsid w:val="00DF2532"/>
    <w:rsid w:val="00DF265C"/>
    <w:rsid w:val="00DF268F"/>
    <w:rsid w:val="00DF2A38"/>
    <w:rsid w:val="00DF2AB3"/>
    <w:rsid w:val="00DF314A"/>
    <w:rsid w:val="00DF3251"/>
    <w:rsid w:val="00DF39DE"/>
    <w:rsid w:val="00DF3AD4"/>
    <w:rsid w:val="00DF445C"/>
    <w:rsid w:val="00DF4C69"/>
    <w:rsid w:val="00DF4C9C"/>
    <w:rsid w:val="00DF4F59"/>
    <w:rsid w:val="00DF5503"/>
    <w:rsid w:val="00DF633F"/>
    <w:rsid w:val="00DF6553"/>
    <w:rsid w:val="00DF6617"/>
    <w:rsid w:val="00DF70E6"/>
    <w:rsid w:val="00DF7250"/>
    <w:rsid w:val="00DF795D"/>
    <w:rsid w:val="00DF7D16"/>
    <w:rsid w:val="00E00480"/>
    <w:rsid w:val="00E00587"/>
    <w:rsid w:val="00E00CAA"/>
    <w:rsid w:val="00E01292"/>
    <w:rsid w:val="00E01639"/>
    <w:rsid w:val="00E01B32"/>
    <w:rsid w:val="00E0239C"/>
    <w:rsid w:val="00E02590"/>
    <w:rsid w:val="00E02853"/>
    <w:rsid w:val="00E02A3F"/>
    <w:rsid w:val="00E03063"/>
    <w:rsid w:val="00E033A3"/>
    <w:rsid w:val="00E034BD"/>
    <w:rsid w:val="00E03647"/>
    <w:rsid w:val="00E039E5"/>
    <w:rsid w:val="00E03EBF"/>
    <w:rsid w:val="00E046B1"/>
    <w:rsid w:val="00E04E92"/>
    <w:rsid w:val="00E05209"/>
    <w:rsid w:val="00E055C7"/>
    <w:rsid w:val="00E055DD"/>
    <w:rsid w:val="00E05AC1"/>
    <w:rsid w:val="00E05CA4"/>
    <w:rsid w:val="00E060C9"/>
    <w:rsid w:val="00E06F02"/>
    <w:rsid w:val="00E10252"/>
    <w:rsid w:val="00E10D05"/>
    <w:rsid w:val="00E11451"/>
    <w:rsid w:val="00E11684"/>
    <w:rsid w:val="00E11BCF"/>
    <w:rsid w:val="00E133DF"/>
    <w:rsid w:val="00E1368A"/>
    <w:rsid w:val="00E137A6"/>
    <w:rsid w:val="00E13ECA"/>
    <w:rsid w:val="00E15759"/>
    <w:rsid w:val="00E15A80"/>
    <w:rsid w:val="00E15E69"/>
    <w:rsid w:val="00E15EE4"/>
    <w:rsid w:val="00E1696B"/>
    <w:rsid w:val="00E17502"/>
    <w:rsid w:val="00E1777F"/>
    <w:rsid w:val="00E179B8"/>
    <w:rsid w:val="00E17A1D"/>
    <w:rsid w:val="00E20227"/>
    <w:rsid w:val="00E212FB"/>
    <w:rsid w:val="00E21887"/>
    <w:rsid w:val="00E2258E"/>
    <w:rsid w:val="00E22593"/>
    <w:rsid w:val="00E22649"/>
    <w:rsid w:val="00E22743"/>
    <w:rsid w:val="00E22751"/>
    <w:rsid w:val="00E22AE5"/>
    <w:rsid w:val="00E231F8"/>
    <w:rsid w:val="00E23569"/>
    <w:rsid w:val="00E23570"/>
    <w:rsid w:val="00E23810"/>
    <w:rsid w:val="00E23A9D"/>
    <w:rsid w:val="00E23CC3"/>
    <w:rsid w:val="00E24806"/>
    <w:rsid w:val="00E24A90"/>
    <w:rsid w:val="00E25D62"/>
    <w:rsid w:val="00E25DA3"/>
    <w:rsid w:val="00E260C2"/>
    <w:rsid w:val="00E264D5"/>
    <w:rsid w:val="00E264E3"/>
    <w:rsid w:val="00E267B6"/>
    <w:rsid w:val="00E2682D"/>
    <w:rsid w:val="00E269E5"/>
    <w:rsid w:val="00E2724C"/>
    <w:rsid w:val="00E305EB"/>
    <w:rsid w:val="00E316CE"/>
    <w:rsid w:val="00E31AB2"/>
    <w:rsid w:val="00E324A0"/>
    <w:rsid w:val="00E324EC"/>
    <w:rsid w:val="00E32596"/>
    <w:rsid w:val="00E329C1"/>
    <w:rsid w:val="00E32E04"/>
    <w:rsid w:val="00E32E61"/>
    <w:rsid w:val="00E3362C"/>
    <w:rsid w:val="00E342B2"/>
    <w:rsid w:val="00E34A86"/>
    <w:rsid w:val="00E34C7B"/>
    <w:rsid w:val="00E3622D"/>
    <w:rsid w:val="00E364D6"/>
    <w:rsid w:val="00E368F7"/>
    <w:rsid w:val="00E36EB8"/>
    <w:rsid w:val="00E3763F"/>
    <w:rsid w:val="00E37FB8"/>
    <w:rsid w:val="00E4070E"/>
    <w:rsid w:val="00E40A14"/>
    <w:rsid w:val="00E40B07"/>
    <w:rsid w:val="00E41548"/>
    <w:rsid w:val="00E415AE"/>
    <w:rsid w:val="00E41708"/>
    <w:rsid w:val="00E41BE1"/>
    <w:rsid w:val="00E42326"/>
    <w:rsid w:val="00E42551"/>
    <w:rsid w:val="00E42998"/>
    <w:rsid w:val="00E430F2"/>
    <w:rsid w:val="00E43544"/>
    <w:rsid w:val="00E44D89"/>
    <w:rsid w:val="00E45392"/>
    <w:rsid w:val="00E46401"/>
    <w:rsid w:val="00E469A8"/>
    <w:rsid w:val="00E46D9C"/>
    <w:rsid w:val="00E46DE3"/>
    <w:rsid w:val="00E472FF"/>
    <w:rsid w:val="00E477EA"/>
    <w:rsid w:val="00E502E5"/>
    <w:rsid w:val="00E50699"/>
    <w:rsid w:val="00E51368"/>
    <w:rsid w:val="00E51A5D"/>
    <w:rsid w:val="00E520F3"/>
    <w:rsid w:val="00E5270A"/>
    <w:rsid w:val="00E52D2C"/>
    <w:rsid w:val="00E52E79"/>
    <w:rsid w:val="00E52EC5"/>
    <w:rsid w:val="00E5348C"/>
    <w:rsid w:val="00E53569"/>
    <w:rsid w:val="00E535E5"/>
    <w:rsid w:val="00E5516B"/>
    <w:rsid w:val="00E555A6"/>
    <w:rsid w:val="00E5568D"/>
    <w:rsid w:val="00E55807"/>
    <w:rsid w:val="00E55CC0"/>
    <w:rsid w:val="00E55D6C"/>
    <w:rsid w:val="00E5613D"/>
    <w:rsid w:val="00E56352"/>
    <w:rsid w:val="00E5668E"/>
    <w:rsid w:val="00E56C8E"/>
    <w:rsid w:val="00E571D1"/>
    <w:rsid w:val="00E57D10"/>
    <w:rsid w:val="00E60661"/>
    <w:rsid w:val="00E60794"/>
    <w:rsid w:val="00E6152C"/>
    <w:rsid w:val="00E61622"/>
    <w:rsid w:val="00E621AD"/>
    <w:rsid w:val="00E62327"/>
    <w:rsid w:val="00E624B0"/>
    <w:rsid w:val="00E62893"/>
    <w:rsid w:val="00E6324B"/>
    <w:rsid w:val="00E63322"/>
    <w:rsid w:val="00E63554"/>
    <w:rsid w:val="00E63B14"/>
    <w:rsid w:val="00E64128"/>
    <w:rsid w:val="00E64531"/>
    <w:rsid w:val="00E64ED3"/>
    <w:rsid w:val="00E6513C"/>
    <w:rsid w:val="00E6535E"/>
    <w:rsid w:val="00E65C04"/>
    <w:rsid w:val="00E65CA0"/>
    <w:rsid w:val="00E65D27"/>
    <w:rsid w:val="00E65E15"/>
    <w:rsid w:val="00E6614A"/>
    <w:rsid w:val="00E66966"/>
    <w:rsid w:val="00E674BE"/>
    <w:rsid w:val="00E700BF"/>
    <w:rsid w:val="00E70235"/>
    <w:rsid w:val="00E702CC"/>
    <w:rsid w:val="00E703C2"/>
    <w:rsid w:val="00E70911"/>
    <w:rsid w:val="00E70D9F"/>
    <w:rsid w:val="00E719DF"/>
    <w:rsid w:val="00E71A62"/>
    <w:rsid w:val="00E71BBE"/>
    <w:rsid w:val="00E71C81"/>
    <w:rsid w:val="00E72E2B"/>
    <w:rsid w:val="00E730FF"/>
    <w:rsid w:val="00E737EF"/>
    <w:rsid w:val="00E73DEE"/>
    <w:rsid w:val="00E7448C"/>
    <w:rsid w:val="00E74851"/>
    <w:rsid w:val="00E74B57"/>
    <w:rsid w:val="00E74C4B"/>
    <w:rsid w:val="00E7538E"/>
    <w:rsid w:val="00E76B7A"/>
    <w:rsid w:val="00E76F1E"/>
    <w:rsid w:val="00E77369"/>
    <w:rsid w:val="00E7789D"/>
    <w:rsid w:val="00E778E4"/>
    <w:rsid w:val="00E77FDC"/>
    <w:rsid w:val="00E80936"/>
    <w:rsid w:val="00E81A12"/>
    <w:rsid w:val="00E81C3D"/>
    <w:rsid w:val="00E81F32"/>
    <w:rsid w:val="00E8206B"/>
    <w:rsid w:val="00E820F5"/>
    <w:rsid w:val="00E82567"/>
    <w:rsid w:val="00E82FA8"/>
    <w:rsid w:val="00E832AE"/>
    <w:rsid w:val="00E836D9"/>
    <w:rsid w:val="00E83810"/>
    <w:rsid w:val="00E83D2A"/>
    <w:rsid w:val="00E84C32"/>
    <w:rsid w:val="00E850EE"/>
    <w:rsid w:val="00E85422"/>
    <w:rsid w:val="00E85FCB"/>
    <w:rsid w:val="00E862EE"/>
    <w:rsid w:val="00E86703"/>
    <w:rsid w:val="00E86933"/>
    <w:rsid w:val="00E875CD"/>
    <w:rsid w:val="00E9104C"/>
    <w:rsid w:val="00E91319"/>
    <w:rsid w:val="00E91BDE"/>
    <w:rsid w:val="00E92AA1"/>
    <w:rsid w:val="00E92B6B"/>
    <w:rsid w:val="00E93F06"/>
    <w:rsid w:val="00E94016"/>
    <w:rsid w:val="00E940A3"/>
    <w:rsid w:val="00E94198"/>
    <w:rsid w:val="00E94227"/>
    <w:rsid w:val="00E9428B"/>
    <w:rsid w:val="00E948E4"/>
    <w:rsid w:val="00E95A40"/>
    <w:rsid w:val="00E95AAF"/>
    <w:rsid w:val="00E9605B"/>
    <w:rsid w:val="00E96367"/>
    <w:rsid w:val="00E965EC"/>
    <w:rsid w:val="00E96673"/>
    <w:rsid w:val="00E97298"/>
    <w:rsid w:val="00E97753"/>
    <w:rsid w:val="00E97990"/>
    <w:rsid w:val="00EA01DC"/>
    <w:rsid w:val="00EA0C51"/>
    <w:rsid w:val="00EA0DC8"/>
    <w:rsid w:val="00EA0EEC"/>
    <w:rsid w:val="00EA19DE"/>
    <w:rsid w:val="00EA1D61"/>
    <w:rsid w:val="00EA207B"/>
    <w:rsid w:val="00EA266C"/>
    <w:rsid w:val="00EA2854"/>
    <w:rsid w:val="00EA2BD0"/>
    <w:rsid w:val="00EA2C8D"/>
    <w:rsid w:val="00EA2C8F"/>
    <w:rsid w:val="00EA2D9B"/>
    <w:rsid w:val="00EA2EBB"/>
    <w:rsid w:val="00EA34A6"/>
    <w:rsid w:val="00EA468D"/>
    <w:rsid w:val="00EA4BA9"/>
    <w:rsid w:val="00EA65B9"/>
    <w:rsid w:val="00EA6BD6"/>
    <w:rsid w:val="00EA72B7"/>
    <w:rsid w:val="00EA74D4"/>
    <w:rsid w:val="00EA7DE7"/>
    <w:rsid w:val="00EB05CD"/>
    <w:rsid w:val="00EB0805"/>
    <w:rsid w:val="00EB13F6"/>
    <w:rsid w:val="00EB15E6"/>
    <w:rsid w:val="00EB1FC7"/>
    <w:rsid w:val="00EB2455"/>
    <w:rsid w:val="00EB29E2"/>
    <w:rsid w:val="00EB2C49"/>
    <w:rsid w:val="00EB2EBE"/>
    <w:rsid w:val="00EB2EE7"/>
    <w:rsid w:val="00EB2F7A"/>
    <w:rsid w:val="00EB3673"/>
    <w:rsid w:val="00EB3764"/>
    <w:rsid w:val="00EB4674"/>
    <w:rsid w:val="00EB4F8F"/>
    <w:rsid w:val="00EB51D8"/>
    <w:rsid w:val="00EB5958"/>
    <w:rsid w:val="00EB5B67"/>
    <w:rsid w:val="00EB6248"/>
    <w:rsid w:val="00EB64BE"/>
    <w:rsid w:val="00EB6561"/>
    <w:rsid w:val="00EB6E72"/>
    <w:rsid w:val="00EB7A8A"/>
    <w:rsid w:val="00EB7FAC"/>
    <w:rsid w:val="00EC106A"/>
    <w:rsid w:val="00EC37EB"/>
    <w:rsid w:val="00EC41D8"/>
    <w:rsid w:val="00EC5186"/>
    <w:rsid w:val="00EC5724"/>
    <w:rsid w:val="00EC5DA9"/>
    <w:rsid w:val="00EC6B88"/>
    <w:rsid w:val="00EC6FED"/>
    <w:rsid w:val="00EC7944"/>
    <w:rsid w:val="00EC7F3B"/>
    <w:rsid w:val="00ED093B"/>
    <w:rsid w:val="00ED0A23"/>
    <w:rsid w:val="00ED0E5A"/>
    <w:rsid w:val="00ED1103"/>
    <w:rsid w:val="00ED1188"/>
    <w:rsid w:val="00ED12E5"/>
    <w:rsid w:val="00ED1653"/>
    <w:rsid w:val="00ED1BD1"/>
    <w:rsid w:val="00ED280E"/>
    <w:rsid w:val="00ED397B"/>
    <w:rsid w:val="00ED466F"/>
    <w:rsid w:val="00ED4C9B"/>
    <w:rsid w:val="00ED5299"/>
    <w:rsid w:val="00ED5A10"/>
    <w:rsid w:val="00ED5C55"/>
    <w:rsid w:val="00ED5F00"/>
    <w:rsid w:val="00ED6F1D"/>
    <w:rsid w:val="00ED7716"/>
    <w:rsid w:val="00EE03EB"/>
    <w:rsid w:val="00EE0C97"/>
    <w:rsid w:val="00EE0DED"/>
    <w:rsid w:val="00EE0F0B"/>
    <w:rsid w:val="00EE0FCB"/>
    <w:rsid w:val="00EE1232"/>
    <w:rsid w:val="00EE148C"/>
    <w:rsid w:val="00EE151E"/>
    <w:rsid w:val="00EE15A9"/>
    <w:rsid w:val="00EE16CA"/>
    <w:rsid w:val="00EE18B8"/>
    <w:rsid w:val="00EE1E20"/>
    <w:rsid w:val="00EE2989"/>
    <w:rsid w:val="00EE327B"/>
    <w:rsid w:val="00EE35CE"/>
    <w:rsid w:val="00EE3A64"/>
    <w:rsid w:val="00EE3F90"/>
    <w:rsid w:val="00EE4FC9"/>
    <w:rsid w:val="00EE50E5"/>
    <w:rsid w:val="00EE528D"/>
    <w:rsid w:val="00EE541E"/>
    <w:rsid w:val="00EE5BF8"/>
    <w:rsid w:val="00EE7077"/>
    <w:rsid w:val="00EE71D4"/>
    <w:rsid w:val="00EE752E"/>
    <w:rsid w:val="00EE788A"/>
    <w:rsid w:val="00EF01CF"/>
    <w:rsid w:val="00EF0227"/>
    <w:rsid w:val="00EF03D2"/>
    <w:rsid w:val="00EF1930"/>
    <w:rsid w:val="00EF1EF8"/>
    <w:rsid w:val="00EF2827"/>
    <w:rsid w:val="00EF29FC"/>
    <w:rsid w:val="00EF2BA1"/>
    <w:rsid w:val="00EF36CD"/>
    <w:rsid w:val="00EF399A"/>
    <w:rsid w:val="00EF45B8"/>
    <w:rsid w:val="00EF57E0"/>
    <w:rsid w:val="00EF5E0D"/>
    <w:rsid w:val="00EF6027"/>
    <w:rsid w:val="00EF6728"/>
    <w:rsid w:val="00EF6D10"/>
    <w:rsid w:val="00EF6D24"/>
    <w:rsid w:val="00EF7439"/>
    <w:rsid w:val="00EF7824"/>
    <w:rsid w:val="00EF7AD6"/>
    <w:rsid w:val="00F003B6"/>
    <w:rsid w:val="00F00E65"/>
    <w:rsid w:val="00F01C8D"/>
    <w:rsid w:val="00F0273C"/>
    <w:rsid w:val="00F030AC"/>
    <w:rsid w:val="00F03590"/>
    <w:rsid w:val="00F03622"/>
    <w:rsid w:val="00F0403D"/>
    <w:rsid w:val="00F049AC"/>
    <w:rsid w:val="00F04EC8"/>
    <w:rsid w:val="00F04EDA"/>
    <w:rsid w:val="00F0516B"/>
    <w:rsid w:val="00F05D84"/>
    <w:rsid w:val="00F06128"/>
    <w:rsid w:val="00F06A00"/>
    <w:rsid w:val="00F07048"/>
    <w:rsid w:val="00F07726"/>
    <w:rsid w:val="00F077D9"/>
    <w:rsid w:val="00F077FD"/>
    <w:rsid w:val="00F07B1E"/>
    <w:rsid w:val="00F07DDD"/>
    <w:rsid w:val="00F07E34"/>
    <w:rsid w:val="00F07EA3"/>
    <w:rsid w:val="00F07F5C"/>
    <w:rsid w:val="00F1013A"/>
    <w:rsid w:val="00F109A8"/>
    <w:rsid w:val="00F10FAD"/>
    <w:rsid w:val="00F11093"/>
    <w:rsid w:val="00F11493"/>
    <w:rsid w:val="00F11630"/>
    <w:rsid w:val="00F12B93"/>
    <w:rsid w:val="00F13992"/>
    <w:rsid w:val="00F13B40"/>
    <w:rsid w:val="00F14239"/>
    <w:rsid w:val="00F14E8A"/>
    <w:rsid w:val="00F151BC"/>
    <w:rsid w:val="00F152D0"/>
    <w:rsid w:val="00F15538"/>
    <w:rsid w:val="00F1554E"/>
    <w:rsid w:val="00F15C18"/>
    <w:rsid w:val="00F160C4"/>
    <w:rsid w:val="00F166B2"/>
    <w:rsid w:val="00F168CB"/>
    <w:rsid w:val="00F1690E"/>
    <w:rsid w:val="00F20430"/>
    <w:rsid w:val="00F204F3"/>
    <w:rsid w:val="00F20C55"/>
    <w:rsid w:val="00F20F09"/>
    <w:rsid w:val="00F210F1"/>
    <w:rsid w:val="00F218AB"/>
    <w:rsid w:val="00F229D3"/>
    <w:rsid w:val="00F23549"/>
    <w:rsid w:val="00F238B3"/>
    <w:rsid w:val="00F23C61"/>
    <w:rsid w:val="00F23D38"/>
    <w:rsid w:val="00F23F11"/>
    <w:rsid w:val="00F24400"/>
    <w:rsid w:val="00F24CA0"/>
    <w:rsid w:val="00F24DE9"/>
    <w:rsid w:val="00F24FED"/>
    <w:rsid w:val="00F25032"/>
    <w:rsid w:val="00F25586"/>
    <w:rsid w:val="00F25BC7"/>
    <w:rsid w:val="00F2651D"/>
    <w:rsid w:val="00F266C8"/>
    <w:rsid w:val="00F26721"/>
    <w:rsid w:val="00F26C98"/>
    <w:rsid w:val="00F26E14"/>
    <w:rsid w:val="00F26E97"/>
    <w:rsid w:val="00F272F8"/>
    <w:rsid w:val="00F27362"/>
    <w:rsid w:val="00F275D3"/>
    <w:rsid w:val="00F278E3"/>
    <w:rsid w:val="00F27A93"/>
    <w:rsid w:val="00F27F3C"/>
    <w:rsid w:val="00F3015B"/>
    <w:rsid w:val="00F3017B"/>
    <w:rsid w:val="00F30DBA"/>
    <w:rsid w:val="00F30DF6"/>
    <w:rsid w:val="00F31230"/>
    <w:rsid w:val="00F31242"/>
    <w:rsid w:val="00F31498"/>
    <w:rsid w:val="00F31572"/>
    <w:rsid w:val="00F31AA1"/>
    <w:rsid w:val="00F32AA4"/>
    <w:rsid w:val="00F32E0A"/>
    <w:rsid w:val="00F32FEF"/>
    <w:rsid w:val="00F335AD"/>
    <w:rsid w:val="00F33A91"/>
    <w:rsid w:val="00F34319"/>
    <w:rsid w:val="00F345C5"/>
    <w:rsid w:val="00F34B86"/>
    <w:rsid w:val="00F357F2"/>
    <w:rsid w:val="00F35847"/>
    <w:rsid w:val="00F35CAD"/>
    <w:rsid w:val="00F35CDD"/>
    <w:rsid w:val="00F36A10"/>
    <w:rsid w:val="00F36E79"/>
    <w:rsid w:val="00F374BD"/>
    <w:rsid w:val="00F37AD5"/>
    <w:rsid w:val="00F37F2F"/>
    <w:rsid w:val="00F40A3A"/>
    <w:rsid w:val="00F41344"/>
    <w:rsid w:val="00F41B1C"/>
    <w:rsid w:val="00F41E15"/>
    <w:rsid w:val="00F42E13"/>
    <w:rsid w:val="00F42E5E"/>
    <w:rsid w:val="00F42F1C"/>
    <w:rsid w:val="00F43044"/>
    <w:rsid w:val="00F43065"/>
    <w:rsid w:val="00F43B44"/>
    <w:rsid w:val="00F43DF3"/>
    <w:rsid w:val="00F440E5"/>
    <w:rsid w:val="00F448F6"/>
    <w:rsid w:val="00F44C5A"/>
    <w:rsid w:val="00F44E00"/>
    <w:rsid w:val="00F44E70"/>
    <w:rsid w:val="00F44F26"/>
    <w:rsid w:val="00F4532A"/>
    <w:rsid w:val="00F454CF"/>
    <w:rsid w:val="00F4580E"/>
    <w:rsid w:val="00F461E9"/>
    <w:rsid w:val="00F462DA"/>
    <w:rsid w:val="00F468ED"/>
    <w:rsid w:val="00F46D01"/>
    <w:rsid w:val="00F475FE"/>
    <w:rsid w:val="00F47E81"/>
    <w:rsid w:val="00F506C7"/>
    <w:rsid w:val="00F50D0C"/>
    <w:rsid w:val="00F50E9F"/>
    <w:rsid w:val="00F51120"/>
    <w:rsid w:val="00F5143C"/>
    <w:rsid w:val="00F52054"/>
    <w:rsid w:val="00F521F1"/>
    <w:rsid w:val="00F52337"/>
    <w:rsid w:val="00F52741"/>
    <w:rsid w:val="00F528D2"/>
    <w:rsid w:val="00F537BD"/>
    <w:rsid w:val="00F53880"/>
    <w:rsid w:val="00F53A4B"/>
    <w:rsid w:val="00F53AF6"/>
    <w:rsid w:val="00F53D8A"/>
    <w:rsid w:val="00F54F35"/>
    <w:rsid w:val="00F555EE"/>
    <w:rsid w:val="00F55740"/>
    <w:rsid w:val="00F55AF9"/>
    <w:rsid w:val="00F56C9D"/>
    <w:rsid w:val="00F5750F"/>
    <w:rsid w:val="00F57571"/>
    <w:rsid w:val="00F578CC"/>
    <w:rsid w:val="00F57958"/>
    <w:rsid w:val="00F60619"/>
    <w:rsid w:val="00F6067A"/>
    <w:rsid w:val="00F60BD1"/>
    <w:rsid w:val="00F6155D"/>
    <w:rsid w:val="00F61BDA"/>
    <w:rsid w:val="00F61F0D"/>
    <w:rsid w:val="00F62114"/>
    <w:rsid w:val="00F626F7"/>
    <w:rsid w:val="00F62E42"/>
    <w:rsid w:val="00F63007"/>
    <w:rsid w:val="00F63DA0"/>
    <w:rsid w:val="00F63EB1"/>
    <w:rsid w:val="00F6452D"/>
    <w:rsid w:val="00F648E9"/>
    <w:rsid w:val="00F65278"/>
    <w:rsid w:val="00F65584"/>
    <w:rsid w:val="00F65880"/>
    <w:rsid w:val="00F65E3E"/>
    <w:rsid w:val="00F65EAE"/>
    <w:rsid w:val="00F6601F"/>
    <w:rsid w:val="00F666CC"/>
    <w:rsid w:val="00F66822"/>
    <w:rsid w:val="00F66BFF"/>
    <w:rsid w:val="00F6747F"/>
    <w:rsid w:val="00F67554"/>
    <w:rsid w:val="00F67D45"/>
    <w:rsid w:val="00F7068F"/>
    <w:rsid w:val="00F7111D"/>
    <w:rsid w:val="00F7171B"/>
    <w:rsid w:val="00F72181"/>
    <w:rsid w:val="00F72361"/>
    <w:rsid w:val="00F72C87"/>
    <w:rsid w:val="00F735B3"/>
    <w:rsid w:val="00F736F9"/>
    <w:rsid w:val="00F73833"/>
    <w:rsid w:val="00F748C6"/>
    <w:rsid w:val="00F74A0E"/>
    <w:rsid w:val="00F74DA1"/>
    <w:rsid w:val="00F753BF"/>
    <w:rsid w:val="00F758CE"/>
    <w:rsid w:val="00F75943"/>
    <w:rsid w:val="00F75957"/>
    <w:rsid w:val="00F75FA1"/>
    <w:rsid w:val="00F77576"/>
    <w:rsid w:val="00F779AF"/>
    <w:rsid w:val="00F77A4F"/>
    <w:rsid w:val="00F77C9C"/>
    <w:rsid w:val="00F80936"/>
    <w:rsid w:val="00F80BB9"/>
    <w:rsid w:val="00F81EF7"/>
    <w:rsid w:val="00F82232"/>
    <w:rsid w:val="00F82328"/>
    <w:rsid w:val="00F828BA"/>
    <w:rsid w:val="00F83622"/>
    <w:rsid w:val="00F83A21"/>
    <w:rsid w:val="00F83EC6"/>
    <w:rsid w:val="00F84005"/>
    <w:rsid w:val="00F8432A"/>
    <w:rsid w:val="00F84DD8"/>
    <w:rsid w:val="00F85426"/>
    <w:rsid w:val="00F85BCD"/>
    <w:rsid w:val="00F85D1C"/>
    <w:rsid w:val="00F85E2E"/>
    <w:rsid w:val="00F85FB1"/>
    <w:rsid w:val="00F864A3"/>
    <w:rsid w:val="00F865A8"/>
    <w:rsid w:val="00F8719B"/>
    <w:rsid w:val="00F9052E"/>
    <w:rsid w:val="00F90634"/>
    <w:rsid w:val="00F90835"/>
    <w:rsid w:val="00F9112D"/>
    <w:rsid w:val="00F916D9"/>
    <w:rsid w:val="00F9211C"/>
    <w:rsid w:val="00F9256D"/>
    <w:rsid w:val="00F92963"/>
    <w:rsid w:val="00F93656"/>
    <w:rsid w:val="00F93827"/>
    <w:rsid w:val="00F93AAB"/>
    <w:rsid w:val="00F93B5F"/>
    <w:rsid w:val="00F94800"/>
    <w:rsid w:val="00F94CCD"/>
    <w:rsid w:val="00F95709"/>
    <w:rsid w:val="00F957D5"/>
    <w:rsid w:val="00F95B1C"/>
    <w:rsid w:val="00F9639C"/>
    <w:rsid w:val="00F96991"/>
    <w:rsid w:val="00F96D75"/>
    <w:rsid w:val="00F97229"/>
    <w:rsid w:val="00FA0571"/>
    <w:rsid w:val="00FA079E"/>
    <w:rsid w:val="00FA095D"/>
    <w:rsid w:val="00FA0C36"/>
    <w:rsid w:val="00FA0C9F"/>
    <w:rsid w:val="00FA0EEB"/>
    <w:rsid w:val="00FA11EA"/>
    <w:rsid w:val="00FA209F"/>
    <w:rsid w:val="00FA350D"/>
    <w:rsid w:val="00FA3D1C"/>
    <w:rsid w:val="00FA5125"/>
    <w:rsid w:val="00FA606C"/>
    <w:rsid w:val="00FA67C6"/>
    <w:rsid w:val="00FA6993"/>
    <w:rsid w:val="00FA6C84"/>
    <w:rsid w:val="00FA6C8B"/>
    <w:rsid w:val="00FA6CDA"/>
    <w:rsid w:val="00FA74B7"/>
    <w:rsid w:val="00FA7C89"/>
    <w:rsid w:val="00FB0115"/>
    <w:rsid w:val="00FB0E93"/>
    <w:rsid w:val="00FB0EE8"/>
    <w:rsid w:val="00FB1135"/>
    <w:rsid w:val="00FB1153"/>
    <w:rsid w:val="00FB12F9"/>
    <w:rsid w:val="00FB2284"/>
    <w:rsid w:val="00FB2369"/>
    <w:rsid w:val="00FB32F5"/>
    <w:rsid w:val="00FB38EA"/>
    <w:rsid w:val="00FB3E40"/>
    <w:rsid w:val="00FB4139"/>
    <w:rsid w:val="00FB476E"/>
    <w:rsid w:val="00FB4996"/>
    <w:rsid w:val="00FB523C"/>
    <w:rsid w:val="00FB6530"/>
    <w:rsid w:val="00FB6F3A"/>
    <w:rsid w:val="00FB742A"/>
    <w:rsid w:val="00FB7AE5"/>
    <w:rsid w:val="00FB7F00"/>
    <w:rsid w:val="00FC0AD9"/>
    <w:rsid w:val="00FC0D90"/>
    <w:rsid w:val="00FC10F8"/>
    <w:rsid w:val="00FC16FE"/>
    <w:rsid w:val="00FC22F4"/>
    <w:rsid w:val="00FC27C5"/>
    <w:rsid w:val="00FC2C01"/>
    <w:rsid w:val="00FC3726"/>
    <w:rsid w:val="00FC46C2"/>
    <w:rsid w:val="00FC4A7F"/>
    <w:rsid w:val="00FC4C1B"/>
    <w:rsid w:val="00FC4C2C"/>
    <w:rsid w:val="00FC4C31"/>
    <w:rsid w:val="00FC501E"/>
    <w:rsid w:val="00FC50E4"/>
    <w:rsid w:val="00FC5394"/>
    <w:rsid w:val="00FC53F9"/>
    <w:rsid w:val="00FC5ED1"/>
    <w:rsid w:val="00FC6F7E"/>
    <w:rsid w:val="00FC7BEC"/>
    <w:rsid w:val="00FC7D8C"/>
    <w:rsid w:val="00FD015E"/>
    <w:rsid w:val="00FD0542"/>
    <w:rsid w:val="00FD08C8"/>
    <w:rsid w:val="00FD0FBA"/>
    <w:rsid w:val="00FD15B5"/>
    <w:rsid w:val="00FD1C75"/>
    <w:rsid w:val="00FD2040"/>
    <w:rsid w:val="00FD205D"/>
    <w:rsid w:val="00FD2620"/>
    <w:rsid w:val="00FD31CF"/>
    <w:rsid w:val="00FD3980"/>
    <w:rsid w:val="00FD40B4"/>
    <w:rsid w:val="00FD431E"/>
    <w:rsid w:val="00FD44BF"/>
    <w:rsid w:val="00FD4C32"/>
    <w:rsid w:val="00FD4EE6"/>
    <w:rsid w:val="00FD5234"/>
    <w:rsid w:val="00FD54C8"/>
    <w:rsid w:val="00FD58C7"/>
    <w:rsid w:val="00FD5A2C"/>
    <w:rsid w:val="00FD5C96"/>
    <w:rsid w:val="00FD6040"/>
    <w:rsid w:val="00FD62A2"/>
    <w:rsid w:val="00FD64D7"/>
    <w:rsid w:val="00FD730E"/>
    <w:rsid w:val="00FD73AF"/>
    <w:rsid w:val="00FD7861"/>
    <w:rsid w:val="00FE0BDD"/>
    <w:rsid w:val="00FE0D47"/>
    <w:rsid w:val="00FE1D5C"/>
    <w:rsid w:val="00FE1D7D"/>
    <w:rsid w:val="00FE2B34"/>
    <w:rsid w:val="00FE2CFB"/>
    <w:rsid w:val="00FE2D52"/>
    <w:rsid w:val="00FE2F8B"/>
    <w:rsid w:val="00FE2FC2"/>
    <w:rsid w:val="00FE3669"/>
    <w:rsid w:val="00FE3AB5"/>
    <w:rsid w:val="00FE3E46"/>
    <w:rsid w:val="00FE4468"/>
    <w:rsid w:val="00FE47AF"/>
    <w:rsid w:val="00FE493F"/>
    <w:rsid w:val="00FE4AA1"/>
    <w:rsid w:val="00FE4FD8"/>
    <w:rsid w:val="00FE5204"/>
    <w:rsid w:val="00FE534B"/>
    <w:rsid w:val="00FE5DE9"/>
    <w:rsid w:val="00FE658E"/>
    <w:rsid w:val="00FE6DD8"/>
    <w:rsid w:val="00FE7CD3"/>
    <w:rsid w:val="00FF01F8"/>
    <w:rsid w:val="00FF032B"/>
    <w:rsid w:val="00FF03A6"/>
    <w:rsid w:val="00FF0B1F"/>
    <w:rsid w:val="00FF10E6"/>
    <w:rsid w:val="00FF1198"/>
    <w:rsid w:val="00FF1C79"/>
    <w:rsid w:val="00FF1E44"/>
    <w:rsid w:val="00FF21E6"/>
    <w:rsid w:val="00FF27A3"/>
    <w:rsid w:val="00FF287F"/>
    <w:rsid w:val="00FF37DC"/>
    <w:rsid w:val="00FF397D"/>
    <w:rsid w:val="00FF403F"/>
    <w:rsid w:val="00FF4478"/>
    <w:rsid w:val="00FF499C"/>
    <w:rsid w:val="00FF4CE1"/>
    <w:rsid w:val="00FF5121"/>
    <w:rsid w:val="00FF5465"/>
    <w:rsid w:val="00FF5808"/>
    <w:rsid w:val="00FF642A"/>
    <w:rsid w:val="00FF6574"/>
    <w:rsid w:val="00FF6958"/>
    <w:rsid w:val="00FF6E99"/>
    <w:rsid w:val="00FF737E"/>
    <w:rsid w:val="00FF74A8"/>
    <w:rsid w:val="00FF76D0"/>
    <w:rsid w:val="00FF784F"/>
    <w:rsid w:val="00FF7873"/>
    <w:rsid w:val="00FF7DA5"/>
    <w:rsid w:val="02F3C14C"/>
    <w:rsid w:val="030F3267"/>
    <w:rsid w:val="06238B01"/>
    <w:rsid w:val="06694261"/>
    <w:rsid w:val="0680B521"/>
    <w:rsid w:val="09DBAB7E"/>
    <w:rsid w:val="09DFB2B9"/>
    <w:rsid w:val="0AB26E0D"/>
    <w:rsid w:val="0B92D65D"/>
    <w:rsid w:val="0B962AE2"/>
    <w:rsid w:val="0BDA6D41"/>
    <w:rsid w:val="0D0D50C3"/>
    <w:rsid w:val="0D14E082"/>
    <w:rsid w:val="0D54DA37"/>
    <w:rsid w:val="0E6FEE8F"/>
    <w:rsid w:val="0EC0DF96"/>
    <w:rsid w:val="0EC19762"/>
    <w:rsid w:val="11BBAD3A"/>
    <w:rsid w:val="14D72E13"/>
    <w:rsid w:val="16A321C4"/>
    <w:rsid w:val="17E20DDE"/>
    <w:rsid w:val="18284236"/>
    <w:rsid w:val="19F8A062"/>
    <w:rsid w:val="1AA3960E"/>
    <w:rsid w:val="1AE6FDBC"/>
    <w:rsid w:val="1B619AC8"/>
    <w:rsid w:val="1B91E55D"/>
    <w:rsid w:val="1C73D729"/>
    <w:rsid w:val="1E4DD283"/>
    <w:rsid w:val="1F1BBE28"/>
    <w:rsid w:val="1FB62B7F"/>
    <w:rsid w:val="22F009CD"/>
    <w:rsid w:val="2309AC90"/>
    <w:rsid w:val="234F4458"/>
    <w:rsid w:val="240D50E4"/>
    <w:rsid w:val="24AC3F25"/>
    <w:rsid w:val="2580E7AF"/>
    <w:rsid w:val="25A19CF7"/>
    <w:rsid w:val="26430BE3"/>
    <w:rsid w:val="264CA0B2"/>
    <w:rsid w:val="2714BE94"/>
    <w:rsid w:val="2954280A"/>
    <w:rsid w:val="29A58481"/>
    <w:rsid w:val="2A00FC19"/>
    <w:rsid w:val="2C87F8D6"/>
    <w:rsid w:val="2DB8DF56"/>
    <w:rsid w:val="2DC87D96"/>
    <w:rsid w:val="2EE043C5"/>
    <w:rsid w:val="32C112E1"/>
    <w:rsid w:val="336BD28E"/>
    <w:rsid w:val="374E5511"/>
    <w:rsid w:val="417C0F23"/>
    <w:rsid w:val="43D0A10F"/>
    <w:rsid w:val="44755D96"/>
    <w:rsid w:val="44F1B75A"/>
    <w:rsid w:val="46C209FD"/>
    <w:rsid w:val="4EA3C577"/>
    <w:rsid w:val="4F832905"/>
    <w:rsid w:val="5032C263"/>
    <w:rsid w:val="53A65DD1"/>
    <w:rsid w:val="54679C45"/>
    <w:rsid w:val="55EA000E"/>
    <w:rsid w:val="569D8375"/>
    <w:rsid w:val="57F0979E"/>
    <w:rsid w:val="5B9D268D"/>
    <w:rsid w:val="5BA1DC4F"/>
    <w:rsid w:val="60F24F58"/>
    <w:rsid w:val="621A9677"/>
    <w:rsid w:val="66310583"/>
    <w:rsid w:val="69541F49"/>
    <w:rsid w:val="6A36237C"/>
    <w:rsid w:val="6B08FC2A"/>
    <w:rsid w:val="6B7D1B7F"/>
    <w:rsid w:val="6D3414DC"/>
    <w:rsid w:val="70435E37"/>
    <w:rsid w:val="70C11078"/>
    <w:rsid w:val="70C42331"/>
    <w:rsid w:val="71466AD9"/>
    <w:rsid w:val="73269AA3"/>
    <w:rsid w:val="777A3A10"/>
    <w:rsid w:val="7780F65B"/>
    <w:rsid w:val="789D8804"/>
    <w:rsid w:val="7B0C27DC"/>
    <w:rsid w:val="7B6B99E4"/>
    <w:rsid w:val="7B96E922"/>
    <w:rsid w:val="7C042D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A5740D97-136C-49C4-8BDF-65711C7C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CB16E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Default">
    <w:name w:val="Default"/>
    <w:rsid w:val="006A0A3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7002">
      <w:bodyDiv w:val="1"/>
      <w:marLeft w:val="0"/>
      <w:marRight w:val="0"/>
      <w:marTop w:val="0"/>
      <w:marBottom w:val="0"/>
      <w:divBdr>
        <w:top w:val="none" w:sz="0" w:space="0" w:color="auto"/>
        <w:left w:val="none" w:sz="0" w:space="0" w:color="auto"/>
        <w:bottom w:val="none" w:sz="0" w:space="0" w:color="auto"/>
        <w:right w:val="none" w:sz="0" w:space="0" w:color="auto"/>
      </w:divBdr>
    </w:div>
    <w:div w:id="58215688">
      <w:bodyDiv w:val="1"/>
      <w:marLeft w:val="0"/>
      <w:marRight w:val="0"/>
      <w:marTop w:val="0"/>
      <w:marBottom w:val="0"/>
      <w:divBdr>
        <w:top w:val="none" w:sz="0" w:space="0" w:color="auto"/>
        <w:left w:val="none" w:sz="0" w:space="0" w:color="auto"/>
        <w:bottom w:val="none" w:sz="0" w:space="0" w:color="auto"/>
        <w:right w:val="none" w:sz="0" w:space="0" w:color="auto"/>
      </w:divBdr>
    </w:div>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79834144">
      <w:bodyDiv w:val="1"/>
      <w:marLeft w:val="0"/>
      <w:marRight w:val="0"/>
      <w:marTop w:val="0"/>
      <w:marBottom w:val="0"/>
      <w:divBdr>
        <w:top w:val="none" w:sz="0" w:space="0" w:color="auto"/>
        <w:left w:val="none" w:sz="0" w:space="0" w:color="auto"/>
        <w:bottom w:val="none" w:sz="0" w:space="0" w:color="auto"/>
        <w:right w:val="none" w:sz="0" w:space="0" w:color="auto"/>
      </w:divBdr>
    </w:div>
    <w:div w:id="118963242">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4202467">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5825909">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255596648">
      <w:bodyDiv w:val="1"/>
      <w:marLeft w:val="0"/>
      <w:marRight w:val="0"/>
      <w:marTop w:val="0"/>
      <w:marBottom w:val="0"/>
      <w:divBdr>
        <w:top w:val="none" w:sz="0" w:space="0" w:color="auto"/>
        <w:left w:val="none" w:sz="0" w:space="0" w:color="auto"/>
        <w:bottom w:val="none" w:sz="0" w:space="0" w:color="auto"/>
        <w:right w:val="none" w:sz="0" w:space="0" w:color="auto"/>
      </w:divBdr>
    </w:div>
    <w:div w:id="298926131">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51637735">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11531498">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605236344">
      <w:bodyDiv w:val="1"/>
      <w:marLeft w:val="0"/>
      <w:marRight w:val="0"/>
      <w:marTop w:val="0"/>
      <w:marBottom w:val="0"/>
      <w:divBdr>
        <w:top w:val="none" w:sz="0" w:space="0" w:color="auto"/>
        <w:left w:val="none" w:sz="0" w:space="0" w:color="auto"/>
        <w:bottom w:val="none" w:sz="0" w:space="0" w:color="auto"/>
        <w:right w:val="none" w:sz="0" w:space="0" w:color="auto"/>
      </w:divBdr>
    </w:div>
    <w:div w:id="655184844">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737941710">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591334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19759900">
      <w:bodyDiv w:val="1"/>
      <w:marLeft w:val="0"/>
      <w:marRight w:val="0"/>
      <w:marTop w:val="0"/>
      <w:marBottom w:val="0"/>
      <w:divBdr>
        <w:top w:val="none" w:sz="0" w:space="0" w:color="auto"/>
        <w:left w:val="none" w:sz="0" w:space="0" w:color="auto"/>
        <w:bottom w:val="none" w:sz="0" w:space="0" w:color="auto"/>
        <w:right w:val="none" w:sz="0" w:space="0" w:color="auto"/>
      </w:divBdr>
    </w:div>
    <w:div w:id="1146506069">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344089051">
      <w:bodyDiv w:val="1"/>
      <w:marLeft w:val="0"/>
      <w:marRight w:val="0"/>
      <w:marTop w:val="0"/>
      <w:marBottom w:val="0"/>
      <w:divBdr>
        <w:top w:val="none" w:sz="0" w:space="0" w:color="auto"/>
        <w:left w:val="none" w:sz="0" w:space="0" w:color="auto"/>
        <w:bottom w:val="none" w:sz="0" w:space="0" w:color="auto"/>
        <w:right w:val="none" w:sz="0" w:space="0" w:color="auto"/>
      </w:divBdr>
    </w:div>
    <w:div w:id="1387725956">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616906386">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688099556">
      <w:bodyDiv w:val="1"/>
      <w:marLeft w:val="0"/>
      <w:marRight w:val="0"/>
      <w:marTop w:val="0"/>
      <w:marBottom w:val="0"/>
      <w:divBdr>
        <w:top w:val="none" w:sz="0" w:space="0" w:color="auto"/>
        <w:left w:val="none" w:sz="0" w:space="0" w:color="auto"/>
        <w:bottom w:val="none" w:sz="0" w:space="0" w:color="auto"/>
        <w:right w:val="none" w:sz="0" w:space="0" w:color="auto"/>
      </w:divBdr>
    </w:div>
    <w:div w:id="1790854276">
      <w:bodyDiv w:val="1"/>
      <w:marLeft w:val="0"/>
      <w:marRight w:val="0"/>
      <w:marTop w:val="0"/>
      <w:marBottom w:val="0"/>
      <w:divBdr>
        <w:top w:val="none" w:sz="0" w:space="0" w:color="auto"/>
        <w:left w:val="none" w:sz="0" w:space="0" w:color="auto"/>
        <w:bottom w:val="none" w:sz="0" w:space="0" w:color="auto"/>
        <w:right w:val="none" w:sz="0" w:space="0" w:color="auto"/>
      </w:divBdr>
    </w:div>
    <w:div w:id="1797943274">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07426299">
      <w:bodyDiv w:val="1"/>
      <w:marLeft w:val="0"/>
      <w:marRight w:val="0"/>
      <w:marTop w:val="0"/>
      <w:marBottom w:val="0"/>
      <w:divBdr>
        <w:top w:val="none" w:sz="0" w:space="0" w:color="auto"/>
        <w:left w:val="none" w:sz="0" w:space="0" w:color="auto"/>
        <w:bottom w:val="none" w:sz="0" w:space="0" w:color="auto"/>
        <w:right w:val="none" w:sz="0" w:space="0" w:color="auto"/>
      </w:divBdr>
    </w:div>
    <w:div w:id="1808625676">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880316045">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1924411485">
      <w:bodyDiv w:val="1"/>
      <w:marLeft w:val="0"/>
      <w:marRight w:val="0"/>
      <w:marTop w:val="0"/>
      <w:marBottom w:val="0"/>
      <w:divBdr>
        <w:top w:val="none" w:sz="0" w:space="0" w:color="auto"/>
        <w:left w:val="none" w:sz="0" w:space="0" w:color="auto"/>
        <w:bottom w:val="none" w:sz="0" w:space="0" w:color="auto"/>
        <w:right w:val="none" w:sz="0" w:space="0" w:color="auto"/>
      </w:divBdr>
    </w:div>
    <w:div w:id="1941722057">
      <w:bodyDiv w:val="1"/>
      <w:marLeft w:val="0"/>
      <w:marRight w:val="0"/>
      <w:marTop w:val="0"/>
      <w:marBottom w:val="0"/>
      <w:divBdr>
        <w:top w:val="none" w:sz="0" w:space="0" w:color="auto"/>
        <w:left w:val="none" w:sz="0" w:space="0" w:color="auto"/>
        <w:bottom w:val="none" w:sz="0" w:space="0" w:color="auto"/>
        <w:right w:val="none" w:sz="0" w:space="0" w:color="auto"/>
      </w:divBdr>
    </w:div>
    <w:div w:id="1971127331">
      <w:bodyDiv w:val="1"/>
      <w:marLeft w:val="0"/>
      <w:marRight w:val="0"/>
      <w:marTop w:val="0"/>
      <w:marBottom w:val="0"/>
      <w:divBdr>
        <w:top w:val="none" w:sz="0" w:space="0" w:color="auto"/>
        <w:left w:val="none" w:sz="0" w:space="0" w:color="auto"/>
        <w:bottom w:val="none" w:sz="0" w:space="0" w:color="auto"/>
        <w:right w:val="none" w:sz="0" w:space="0" w:color="auto"/>
      </w:divBdr>
    </w:div>
    <w:div w:id="1989168991">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049641274">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Statistics/Documents/facts/rpm_asp_pub_2025_data.xlsx" TargetMode="External"/><Relationship Id="rId21" Type="http://schemas.openxmlformats.org/officeDocument/2006/relationships/image" Target="media/image8.png"/><Relationship Id="rId42" Type="http://schemas.openxmlformats.org/officeDocument/2006/relationships/image" Target="media/image29.svg"/><Relationship Id="rId63" Type="http://schemas.openxmlformats.org/officeDocument/2006/relationships/image" Target="media/image48.svg"/><Relationship Id="rId84" Type="http://schemas.openxmlformats.org/officeDocument/2006/relationships/image" Target="media/image68.svg"/><Relationship Id="rId138" Type="http://schemas.openxmlformats.org/officeDocument/2006/relationships/image" Target="media/image112.svg"/><Relationship Id="rId107" Type="http://schemas.openxmlformats.org/officeDocument/2006/relationships/image" Target="media/image90.svg"/><Relationship Id="rId11" Type="http://schemas.openxmlformats.org/officeDocument/2006/relationships/image" Target="media/image1.jpeg"/><Relationship Id="rId32" Type="http://schemas.openxmlformats.org/officeDocument/2006/relationships/image" Target="media/image19.sv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image" Target="media/image106.svg"/><Relationship Id="rId149" Type="http://schemas.openxmlformats.org/officeDocument/2006/relationships/hyperlink" Target="https://www.itu.int/en/ITU-D/Statistics/Documents/facts/rpm_asp_pub_2025_data.xlsx" TargetMode="External"/><Relationship Id="rId5" Type="http://schemas.openxmlformats.org/officeDocument/2006/relationships/numbering" Target="numbering.xml"/><Relationship Id="rId95" Type="http://schemas.openxmlformats.org/officeDocument/2006/relationships/image" Target="media/image78.svg"/><Relationship Id="rId22" Type="http://schemas.openxmlformats.org/officeDocument/2006/relationships/image" Target="media/image9.svg"/><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97.png"/><Relationship Id="rId139" Type="http://schemas.openxmlformats.org/officeDocument/2006/relationships/image" Target="media/image113.emf"/><Relationship Id="rId80" Type="http://schemas.openxmlformats.org/officeDocument/2006/relationships/image" Target="media/image64.svg"/><Relationship Id="rId85" Type="http://schemas.openxmlformats.org/officeDocument/2006/relationships/image" Target="media/image69.png"/><Relationship Id="rId150" Type="http://schemas.openxmlformats.org/officeDocument/2006/relationships/hyperlink" Target="https://datahub.itu.int/" TargetMode="External"/><Relationship Id="rId155" Type="http://schemas.openxmlformats.org/officeDocument/2006/relationships/footer" Target="footer1.xml"/><Relationship Id="rId12" Type="http://schemas.openxmlformats.org/officeDocument/2006/relationships/hyperlink" Target="https://www.itu.int/itu-d/meetings/wtdc25/rpm/asp/home/" TargetMode="External"/><Relationship Id="rId17" Type="http://schemas.openxmlformats.org/officeDocument/2006/relationships/image" Target="media/image5.svg"/><Relationship Id="rId33" Type="http://schemas.openxmlformats.org/officeDocument/2006/relationships/image" Target="media/image20.png"/><Relationship Id="rId38" Type="http://schemas.openxmlformats.org/officeDocument/2006/relationships/image" Target="media/image25.svg"/><Relationship Id="rId59" Type="http://schemas.openxmlformats.org/officeDocument/2006/relationships/hyperlink" Target="https://bbmaps.itu.int/indicators-bbmaps" TargetMode="External"/><Relationship Id="rId103" Type="http://schemas.openxmlformats.org/officeDocument/2006/relationships/image" Target="media/image86.svg"/><Relationship Id="rId108" Type="http://schemas.openxmlformats.org/officeDocument/2006/relationships/hyperlink" Target="https://www.itu.int/en/ITU-D/Statistics/Documents/facts/rpm_asp_pub_2025_data.xlsx" TargetMode="External"/><Relationship Id="rId124" Type="http://schemas.openxmlformats.org/officeDocument/2006/relationships/image" Target="media/image102.svg"/><Relationship Id="rId129" Type="http://schemas.openxmlformats.org/officeDocument/2006/relationships/image" Target="media/image107.png"/><Relationship Id="rId54" Type="http://schemas.openxmlformats.org/officeDocument/2006/relationships/image" Target="media/image41.svg"/><Relationship Id="rId70" Type="http://schemas.openxmlformats.org/officeDocument/2006/relationships/image" Target="media/image55.png"/><Relationship Id="rId75" Type="http://schemas.openxmlformats.org/officeDocument/2006/relationships/image" Target="media/image60.svg"/><Relationship Id="rId91" Type="http://schemas.openxmlformats.org/officeDocument/2006/relationships/image" Target="media/image75.png"/><Relationship Id="rId96" Type="http://schemas.openxmlformats.org/officeDocument/2006/relationships/image" Target="media/image79.png"/><Relationship Id="rId140" Type="http://schemas.openxmlformats.org/officeDocument/2006/relationships/hyperlink" Target="https://www.itu.int/itu-d/sites/digital-impact-unlocked/all-stories/list/" TargetMode="External"/><Relationship Id="rId145" Type="http://schemas.openxmlformats.org/officeDocument/2006/relationships/hyperlink" Target="https://asean.org/joint-media-statement-of-the-5th-asean-digital-ministers-meeting-and-related-meeting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svg"/><Relationship Id="rId49" Type="http://schemas.openxmlformats.org/officeDocument/2006/relationships/image" Target="media/image36.png"/><Relationship Id="rId114" Type="http://schemas.openxmlformats.org/officeDocument/2006/relationships/hyperlink" Target="https://www.itu.int/en/ITU-D/Statistics/Documents/facts/rpm_asp_pub_2025_data.xlsx" TargetMode="External"/><Relationship Id="rId119" Type="http://schemas.openxmlformats.org/officeDocument/2006/relationships/image" Target="media/image98.svg"/><Relationship Id="rId44" Type="http://schemas.openxmlformats.org/officeDocument/2006/relationships/image" Target="media/image31.svg"/><Relationship Id="rId60" Type="http://schemas.openxmlformats.org/officeDocument/2006/relationships/image" Target="media/image45.png"/><Relationship Id="rId65" Type="http://schemas.openxmlformats.org/officeDocument/2006/relationships/image" Target="media/image50.svg"/><Relationship Id="rId81" Type="http://schemas.openxmlformats.org/officeDocument/2006/relationships/image" Target="media/image65.png"/><Relationship Id="rId86" Type="http://schemas.openxmlformats.org/officeDocument/2006/relationships/image" Target="media/image70.svg"/><Relationship Id="rId130" Type="http://schemas.openxmlformats.org/officeDocument/2006/relationships/image" Target="media/image108.svg"/><Relationship Id="rId135" Type="http://schemas.openxmlformats.org/officeDocument/2006/relationships/hyperlink" Target="https://www.itu.int/hub/publication/d-gen-e_waste-01-2024/" TargetMode="External"/><Relationship Id="rId151" Type="http://schemas.openxmlformats.org/officeDocument/2006/relationships/hyperlink" Target="https://www.itu.int/en/ITU-D/Statistics/Documents/facts/ITU_regional_global_Key_ICT_indicator_aggregates_Nov_2024.xlsx" TargetMode="External"/><Relationship Id="rId156"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yperlink" Target="https://www.itu.int/pub/D-PREF-BB.REG_OUT01-2023/en" TargetMode="External"/><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image" Target="media/image21.svg"/><Relationship Id="rId50" Type="http://schemas.openxmlformats.org/officeDocument/2006/relationships/image" Target="media/image37.svg"/><Relationship Id="rId55" Type="http://schemas.openxmlformats.org/officeDocument/2006/relationships/image" Target="media/image42.png"/><Relationship Id="rId76" Type="http://schemas.openxmlformats.org/officeDocument/2006/relationships/hyperlink" Target="https://www.broadbandcommission.org/" TargetMode="External"/><Relationship Id="rId97" Type="http://schemas.openxmlformats.org/officeDocument/2006/relationships/image" Target="media/image80.svg"/><Relationship Id="rId104" Type="http://schemas.openxmlformats.org/officeDocument/2006/relationships/image" Target="media/image87.png"/><Relationship Id="rId120" Type="http://schemas.openxmlformats.org/officeDocument/2006/relationships/hyperlink" Target="https://www.itu.int/en/ITU-D/Statistics/Documents/facts/rpm_asp_pub_2025_data.xlsx" TargetMode="External"/><Relationship Id="rId125" Type="http://schemas.openxmlformats.org/officeDocument/2006/relationships/image" Target="media/image103.png"/><Relationship Id="rId141" Type="http://schemas.openxmlformats.org/officeDocument/2006/relationships/hyperlink" Target="https://www.itu.int/itu-d/sites/digital-impact-unlocked/digital-training-empowers-vanilla-farmers-in-papua-new-guinea-to-find-new-markets/" TargetMode="External"/><Relationship Id="rId146" Type="http://schemas.openxmlformats.org/officeDocument/2006/relationships/hyperlink" Target="https://www.itu.int/en/ITU-D/Regional-Presence/AsiaPacific/Pages/Events/2024/Information%20Session%20on%20Healthy%20Aging%20in%20Thailand%20through%20ICT/Information-Session-on-Healthy-Aging-in-Thailand-through-ICT.aspx" TargetMode="External"/><Relationship Id="rId7" Type="http://schemas.openxmlformats.org/officeDocument/2006/relationships/settings" Target="settings.xml"/><Relationship Id="rId71" Type="http://schemas.openxmlformats.org/officeDocument/2006/relationships/image" Target="media/image56.svg"/><Relationship Id="rId92" Type="http://schemas.openxmlformats.org/officeDocument/2006/relationships/image" Target="media/image76.sv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svg"/><Relationship Id="rId40" Type="http://schemas.openxmlformats.org/officeDocument/2006/relationships/image" Target="media/image27.sv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2.svg"/><Relationship Id="rId115" Type="http://schemas.openxmlformats.org/officeDocument/2006/relationships/image" Target="media/image95.png"/><Relationship Id="rId131" Type="http://schemas.openxmlformats.org/officeDocument/2006/relationships/hyperlink" Target="https://www.itu.int/hub/publication/d-gen-e_waste-01-2024/" TargetMode="External"/><Relationship Id="rId136" Type="http://schemas.openxmlformats.org/officeDocument/2006/relationships/hyperlink" Target="https://www.itu.int/hub/publication/d-gen-e_waste-01-2024/" TargetMode="External"/><Relationship Id="rId157" Type="http://schemas.openxmlformats.org/officeDocument/2006/relationships/theme" Target="theme/theme1.xml"/><Relationship Id="rId61" Type="http://schemas.openxmlformats.org/officeDocument/2006/relationships/image" Target="media/image46.svg"/><Relationship Id="rId82" Type="http://schemas.openxmlformats.org/officeDocument/2006/relationships/image" Target="media/image66.svg"/><Relationship Id="rId152" Type="http://schemas.openxmlformats.org/officeDocument/2006/relationships/hyperlink" Target="https://www.itu.int/itu-d/reports/statistics/facts-figures-2024/" TargetMode="External"/><Relationship Id="rId19" Type="http://schemas.openxmlformats.org/officeDocument/2006/relationships/image" Target="media/image6.png"/><Relationship Id="rId14" Type="http://schemas.openxmlformats.org/officeDocument/2006/relationships/image" Target="media/image3.svg"/><Relationship Id="rId30" Type="http://schemas.openxmlformats.org/officeDocument/2006/relationships/image" Target="media/image17.svg"/><Relationship Id="rId35" Type="http://schemas.openxmlformats.org/officeDocument/2006/relationships/image" Target="media/image22.png"/><Relationship Id="rId56" Type="http://schemas.openxmlformats.org/officeDocument/2006/relationships/hyperlink" Target="https://bbmaps.itu.int/app" TargetMode="External"/><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svg"/><Relationship Id="rId126" Type="http://schemas.openxmlformats.org/officeDocument/2006/relationships/image" Target="media/image104.svg"/><Relationship Id="rId147" Type="http://schemas.openxmlformats.org/officeDocument/2006/relationships/hyperlink" Target="https://www.itu.int/en/mediacentre/Pages/PR-2023-03-22-ITU-india-area-office-and-innovation-centre-opening.aspx"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hyperlink" Target="https://www.itu.int/itu-d/meetings/statistics/wp-content/uploads/sites/8/2023/09/Report-of-the-EGH-subgroup-on-ICT-Skills.pdf" TargetMode="External"/><Relationship Id="rId98" Type="http://schemas.openxmlformats.org/officeDocument/2006/relationships/image" Target="media/image81.png"/><Relationship Id="rId121" Type="http://schemas.openxmlformats.org/officeDocument/2006/relationships/image" Target="media/image99.png"/><Relationship Id="rId142" Type="http://schemas.openxmlformats.org/officeDocument/2006/relationships/hyperlink" Target="https://www.itu.int/itu-d/sites/digital-impact-unlocked/building-digital-skills-to-accelerate-economic-prosperity/"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svg"/><Relationship Id="rId67" Type="http://schemas.openxmlformats.org/officeDocument/2006/relationships/image" Target="media/image52.svg"/><Relationship Id="rId116" Type="http://schemas.openxmlformats.org/officeDocument/2006/relationships/image" Target="media/image96.svg"/><Relationship Id="rId137" Type="http://schemas.openxmlformats.org/officeDocument/2006/relationships/image" Target="media/image111.png"/><Relationship Id="rId158" Type="http://schemas.microsoft.com/office/2019/05/relationships/documenttasks" Target="documenttasks/documenttasks1.xml"/><Relationship Id="rId20" Type="http://schemas.openxmlformats.org/officeDocument/2006/relationships/image" Target="media/image7.sv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svg"/><Relationship Id="rId111" Type="http://schemas.openxmlformats.org/officeDocument/2006/relationships/hyperlink" Target="https://www.itu.int/en/ITU-D/Statistics/Documents/facts/rpm_asp_pub_2025_data.xlsx" TargetMode="External"/><Relationship Id="rId132" Type="http://schemas.openxmlformats.org/officeDocument/2006/relationships/hyperlink" Target="https://www.itu.int/en/ITU-D/Environment/Pages/Publications/The-Global-E-waste-Monitor-2024.aspx" TargetMode="External"/><Relationship Id="rId153" Type="http://schemas.openxmlformats.org/officeDocument/2006/relationships/hyperlink" Target="https://www.itu.int/en/ITU-D/Statistics/Documents/facts/ITU_regional_global_Key_ICT_indicator_aggregates_Nov_2024.xlsx" TargetMode="External"/><Relationship Id="rId15" Type="http://schemas.openxmlformats.org/officeDocument/2006/relationships/hyperlink" Target="https://app.gen5.digital/tracker/metrics" TargetMode="External"/><Relationship Id="rId36" Type="http://schemas.openxmlformats.org/officeDocument/2006/relationships/image" Target="media/image23.svg"/><Relationship Id="rId57" Type="http://schemas.openxmlformats.org/officeDocument/2006/relationships/image" Target="media/image43.png"/><Relationship Id="rId106" Type="http://schemas.openxmlformats.org/officeDocument/2006/relationships/image" Target="media/image89.pn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svg"/><Relationship Id="rId73" Type="http://schemas.openxmlformats.org/officeDocument/2006/relationships/image" Target="media/image58.svg"/><Relationship Id="rId78" Type="http://schemas.openxmlformats.org/officeDocument/2006/relationships/image" Target="media/image62.svg"/><Relationship Id="rId94" Type="http://schemas.openxmlformats.org/officeDocument/2006/relationships/image" Target="media/image77.png"/><Relationship Id="rId99" Type="http://schemas.openxmlformats.org/officeDocument/2006/relationships/image" Target="media/image82.svg"/><Relationship Id="rId101" Type="http://schemas.openxmlformats.org/officeDocument/2006/relationships/image" Target="media/image84.svg"/><Relationship Id="rId122" Type="http://schemas.openxmlformats.org/officeDocument/2006/relationships/image" Target="media/image100.svg"/><Relationship Id="rId143" Type="http://schemas.openxmlformats.org/officeDocument/2006/relationships/hyperlink" Target="https://www.itu.int/itu-d/sites/digital-impact-unlocked/connectivity-impacting-rural-lives-in-pakistan/" TargetMode="External"/><Relationship Id="rId148" Type="http://schemas.openxmlformats.org/officeDocument/2006/relationships/hyperlink" Target="https://www.itu.int/en/ITU-D/Statistics/Documents/facts/rpm_arb_pub_2025_data.xls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sv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3.png"/><Relationship Id="rId133" Type="http://schemas.openxmlformats.org/officeDocument/2006/relationships/image" Target="media/image109.png"/><Relationship Id="rId154" Type="http://schemas.openxmlformats.org/officeDocument/2006/relationships/header" Target="header1.xml"/><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44.sv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1.png"/><Relationship Id="rId144" Type="http://schemas.openxmlformats.org/officeDocument/2006/relationships/hyperlink" Target="https://www.itu.int/itu-d/sites/digital-impact-unlocked/spectrum-management-training-programmes-for-space-and-satellite-and-5g-deployment-in-mongolia/" TargetMode="External"/><Relationship Id="rId90" Type="http://schemas.openxmlformats.org/officeDocument/2006/relationships/image" Target="media/image74.svg"/><Relationship Id="rId27" Type="http://schemas.openxmlformats.org/officeDocument/2006/relationships/image" Target="media/image14.png"/><Relationship Id="rId48" Type="http://schemas.openxmlformats.org/officeDocument/2006/relationships/image" Target="media/image35.svg"/><Relationship Id="rId69" Type="http://schemas.openxmlformats.org/officeDocument/2006/relationships/image" Target="media/image54.svg"/><Relationship Id="rId113" Type="http://schemas.openxmlformats.org/officeDocument/2006/relationships/image" Target="media/image94.svg"/><Relationship Id="rId134" Type="http://schemas.openxmlformats.org/officeDocument/2006/relationships/image" Target="media/image110.svg"/></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itu-d/reports/statistics/facts-figures-2024/" TargetMode="External"/><Relationship Id="rId1" Type="http://schemas.openxmlformats.org/officeDocument/2006/relationships/hyperlink" Target="https://datahub.itu.int/" TargetMode="External"/></Relationships>
</file>

<file path=word/documenttasks/documenttasks1.xml><?xml version="1.0" encoding="utf-8"?>
<t:Tasks xmlns:t="http://schemas.microsoft.com/office/tasks/2019/documenttasks" xmlns:oel="http://schemas.microsoft.com/office/2019/extlst">
  <t:Task id="{994527FF-F1A3-4E85-AFDA-B6651E18D61D}">
    <t:Anchor>
      <t:Comment id="620576654"/>
    </t:Anchor>
    <t:History>
      <t:Event id="{896D74B0-C7A3-4524-A71E-44038E4F5004}" time="2025-02-07T15:00:50.282Z">
        <t:Attribution userId="S::thierry.geiger@itu.int::198b1d6b-366b-4f20-989a-a1444ccaad74" userProvider="AD" userName="Geiger, Thierry"/>
        <t:Anchor>
          <t:Comment id="620576654"/>
        </t:Anchor>
        <t:Create/>
      </t:Event>
      <t:Event id="{31B8A351-6BA1-43E1-87EE-FE9D57F2CCBC}" time="2025-02-07T15:00:50.282Z">
        <t:Attribution userId="S::thierry.geiger@itu.int::198b1d6b-366b-4f20-989a-a1444ccaad74" userProvider="AD" userName="Geiger, Thierry"/>
        <t:Anchor>
          <t:Comment id="620576654"/>
        </t:Anchor>
        <t:Assign userId="S::caroline.troein@itu.int::9d3e52f6-55d6-47e8-8e6f-98e8aa5e940c" userProvider="AD" userName="Troein, Caroline"/>
      </t:Event>
      <t:Event id="{017B563A-7042-48B9-88F8-C0C76272272B}" time="2025-02-07T15:00:50.282Z">
        <t:Attribution userId="S::thierry.geiger@itu.int::198b1d6b-366b-4f20-989a-a1444ccaad74" userProvider="AD" userName="Geiger, Thierry"/>
        <t:Anchor>
          <t:Comment id="620576654"/>
        </t:Anchor>
        <t:SetTitle title="@Troein, Caroline Do you agree with this pseudo recommendation? 😊 And with the paragraph for that matter?"/>
      </t:Event>
      <t:Event id="{D6BC9CCB-5D0B-4577-92F4-2333C4307F3A}" time="2025-02-13T16:10:20.795Z">
        <t:Attribution userId="S::thierry.geiger@itu.int::198b1d6b-366b-4f20-989a-a1444ccaad74" userProvider="AD" userName="Geiger, Thierr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4" ma:contentTypeDescription="Create a new document." ma:contentTypeScope="" ma:versionID="0542466fb3227df020f2251ae0b8c19a">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fba0f8afe28ffa52de8d1b53a62a57c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54151c7f-6a84-4427-a6ce-bf1d7f28364f"/>
    <ds:schemaRef ds:uri="b6109c62-af78-494c-a825-80e1ffe32798"/>
  </ds:schemaRefs>
</ds:datastoreItem>
</file>

<file path=customXml/itemProps4.xml><?xml version="1.0" encoding="utf-8"?>
<ds:datastoreItem xmlns:ds="http://schemas.openxmlformats.org/officeDocument/2006/customXml" ds:itemID="{F14E6700-6D7D-4B20-8786-88A3D41B7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54</Pages>
  <Words>12590</Words>
  <Characters>74081</Characters>
  <Application>Microsoft Office Word</Application>
  <DocSecurity>0</DocSecurity>
  <Lines>617</Lines>
  <Paragraphs>172</Paragraphs>
  <ScaleCrop>false</ScaleCrop>
  <Manager>General Secretariat - Pool</Manager>
  <Company>International Telecommunication Union (ITU)</Company>
  <LinksUpToDate>false</LinksUpToDate>
  <CharactersWithSpaces>86499</CharactersWithSpaces>
  <SharedDoc>false</SharedDoc>
  <HLinks>
    <vt:vector size="234" baseType="variant">
      <vt:variant>
        <vt:i4>786511</vt:i4>
      </vt:variant>
      <vt:variant>
        <vt:i4>162</vt:i4>
      </vt:variant>
      <vt:variant>
        <vt:i4>0</vt:i4>
      </vt:variant>
      <vt:variant>
        <vt:i4>5</vt:i4>
      </vt:variant>
      <vt:variant>
        <vt:lpwstr>https://www.itu.int/en/ITU-D/Statistics/Documents/facts/ITU_regional_global_Key_ICT_indicator_aggregates_Nov_2024.xlsx</vt:lpwstr>
      </vt:variant>
      <vt:variant>
        <vt:lpwstr/>
      </vt:variant>
      <vt:variant>
        <vt:i4>4456465</vt:i4>
      </vt:variant>
      <vt:variant>
        <vt:i4>159</vt:i4>
      </vt:variant>
      <vt:variant>
        <vt:i4>0</vt:i4>
      </vt:variant>
      <vt:variant>
        <vt:i4>5</vt:i4>
      </vt:variant>
      <vt:variant>
        <vt:lpwstr>https://www.itu.int/itu-d/reports/statistics/facts-figures-2024/</vt:lpwstr>
      </vt:variant>
      <vt:variant>
        <vt:lpwstr/>
      </vt:variant>
      <vt:variant>
        <vt:i4>786511</vt:i4>
      </vt:variant>
      <vt:variant>
        <vt:i4>156</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153</vt:i4>
      </vt:variant>
      <vt:variant>
        <vt:i4>0</vt:i4>
      </vt:variant>
      <vt:variant>
        <vt:i4>5</vt:i4>
      </vt:variant>
      <vt:variant>
        <vt:lpwstr>https://datahub.itu.int/</vt:lpwstr>
      </vt:variant>
      <vt:variant>
        <vt:lpwstr/>
      </vt:variant>
      <vt:variant>
        <vt:i4>1966173</vt:i4>
      </vt:variant>
      <vt:variant>
        <vt:i4>150</vt:i4>
      </vt:variant>
      <vt:variant>
        <vt:i4>0</vt:i4>
      </vt:variant>
      <vt:variant>
        <vt:i4>5</vt:i4>
      </vt:variant>
      <vt:variant>
        <vt:lpwstr>https://www.itu.int/en/ITU-D/Statistics/Documents/facts/rpm_asp_pub_2025_data.xlsx</vt:lpwstr>
      </vt:variant>
      <vt:variant>
        <vt:lpwstr/>
      </vt:variant>
      <vt:variant>
        <vt:i4>2031695</vt:i4>
      </vt:variant>
      <vt:variant>
        <vt:i4>147</vt:i4>
      </vt:variant>
      <vt:variant>
        <vt:i4>0</vt:i4>
      </vt:variant>
      <vt:variant>
        <vt:i4>5</vt:i4>
      </vt:variant>
      <vt:variant>
        <vt:lpwstr>https://www.itu.int/en/ITU-D/Statistics/Documents/facts/rpm_arb_pub_2025_data.xlsx</vt:lpwstr>
      </vt:variant>
      <vt:variant>
        <vt:lpwstr/>
      </vt:variant>
      <vt:variant>
        <vt:i4>2359411</vt:i4>
      </vt:variant>
      <vt:variant>
        <vt:i4>144</vt:i4>
      </vt:variant>
      <vt:variant>
        <vt:i4>0</vt:i4>
      </vt:variant>
      <vt:variant>
        <vt:i4>5</vt:i4>
      </vt:variant>
      <vt:variant>
        <vt:lpwstr>https://www.itu.int/en/mediacentre/Pages/PR-2023-03-22-ITU-india-area-office-and-innovation-centre-opening.aspx</vt:lpwstr>
      </vt:variant>
      <vt:variant>
        <vt:lpwstr/>
      </vt:variant>
      <vt:variant>
        <vt:i4>7209005</vt:i4>
      </vt:variant>
      <vt:variant>
        <vt:i4>141</vt:i4>
      </vt:variant>
      <vt:variant>
        <vt:i4>0</vt:i4>
      </vt:variant>
      <vt:variant>
        <vt:i4>5</vt:i4>
      </vt:variant>
      <vt:variant>
        <vt:lpwstr>https://www.itu.int/en/ITU-D/Regional-Presence/AsiaPacific/Pages/Events/2024/Information Session on Healthy Aging in Thailand through ICT/Information-Session-on-Healthy-Aging-in-Thailand-through-ICT.aspx</vt:lpwstr>
      </vt:variant>
      <vt:variant>
        <vt:lpwstr/>
      </vt:variant>
      <vt:variant>
        <vt:i4>2621537</vt:i4>
      </vt:variant>
      <vt:variant>
        <vt:i4>138</vt:i4>
      </vt:variant>
      <vt:variant>
        <vt:i4>0</vt:i4>
      </vt:variant>
      <vt:variant>
        <vt:i4>5</vt:i4>
      </vt:variant>
      <vt:variant>
        <vt:lpwstr>https://www.itu.int/itu-d/sites/digital-impact-unlocked/empowering-young-women-in-stem-in-asia-and-the-pacific-region/</vt:lpwstr>
      </vt:variant>
      <vt:variant>
        <vt:lpwstr/>
      </vt:variant>
      <vt:variant>
        <vt:i4>2228271</vt:i4>
      </vt:variant>
      <vt:variant>
        <vt:i4>135</vt:i4>
      </vt:variant>
      <vt:variant>
        <vt:i4>0</vt:i4>
      </vt:variant>
      <vt:variant>
        <vt:i4>5</vt:i4>
      </vt:variant>
      <vt:variant>
        <vt:lpwstr>https://www.itu.int/itu-d/sites/digital-impact-unlocked/spectrum-management-training-programmes-for-space-and-satellite-and-5g-deployment-in-mongolia/</vt:lpwstr>
      </vt:variant>
      <vt:variant>
        <vt:lpwstr/>
      </vt:variant>
      <vt:variant>
        <vt:i4>4063352</vt:i4>
      </vt:variant>
      <vt:variant>
        <vt:i4>132</vt:i4>
      </vt:variant>
      <vt:variant>
        <vt:i4>0</vt:i4>
      </vt:variant>
      <vt:variant>
        <vt:i4>5</vt:i4>
      </vt:variant>
      <vt:variant>
        <vt:lpwstr>https://www.itu.int/itu-d/sites/digital-impact-unlocked/connectivity-impacting-rural-lives-in-pakistan/</vt:lpwstr>
      </vt:variant>
      <vt:variant>
        <vt:lpwstr/>
      </vt:variant>
      <vt:variant>
        <vt:i4>3801200</vt:i4>
      </vt:variant>
      <vt:variant>
        <vt:i4>129</vt:i4>
      </vt:variant>
      <vt:variant>
        <vt:i4>0</vt:i4>
      </vt:variant>
      <vt:variant>
        <vt:i4>5</vt:i4>
      </vt:variant>
      <vt:variant>
        <vt:lpwstr>https://www.itu.int/itu-d/sites/digital-impact-unlocked/building-digital-skills-to-accelerate-economic-prosperity/</vt:lpwstr>
      </vt:variant>
      <vt:variant>
        <vt:lpwstr/>
      </vt:variant>
      <vt:variant>
        <vt:i4>8323108</vt:i4>
      </vt:variant>
      <vt:variant>
        <vt:i4>126</vt:i4>
      </vt:variant>
      <vt:variant>
        <vt:i4>0</vt:i4>
      </vt:variant>
      <vt:variant>
        <vt:i4>5</vt:i4>
      </vt:variant>
      <vt:variant>
        <vt:lpwstr>https://www.itu.int/itu-d/sites/digital-impact-unlocked/digital-training-empowers-vanilla-farmers-in-papua-new-guinea-to-find-new-markets/</vt:lpwstr>
      </vt:variant>
      <vt:variant>
        <vt:lpwstr/>
      </vt:variant>
      <vt:variant>
        <vt:i4>1179675</vt:i4>
      </vt:variant>
      <vt:variant>
        <vt:i4>123</vt:i4>
      </vt:variant>
      <vt:variant>
        <vt:i4>0</vt:i4>
      </vt:variant>
      <vt:variant>
        <vt:i4>5</vt:i4>
      </vt:variant>
      <vt:variant>
        <vt:lpwstr>https://www.itu.int/itu-d/sites/digital-impact-unlocked/all-stories/list/</vt:lpwstr>
      </vt:variant>
      <vt:variant>
        <vt:lpwstr/>
      </vt:variant>
      <vt:variant>
        <vt:i4>5963814</vt:i4>
      </vt:variant>
      <vt:variant>
        <vt:i4>120</vt:i4>
      </vt:variant>
      <vt:variant>
        <vt:i4>0</vt:i4>
      </vt:variant>
      <vt:variant>
        <vt:i4>5</vt:i4>
      </vt:variant>
      <vt:variant>
        <vt:lpwstr>https://www.itu.int/hub/publication/d-gen-e_waste-01-2024/</vt:lpwstr>
      </vt:variant>
      <vt:variant>
        <vt:lpwstr/>
      </vt:variant>
      <vt:variant>
        <vt:i4>5963814</vt:i4>
      </vt:variant>
      <vt:variant>
        <vt:i4>117</vt:i4>
      </vt:variant>
      <vt:variant>
        <vt:i4>0</vt:i4>
      </vt:variant>
      <vt:variant>
        <vt:i4>5</vt:i4>
      </vt:variant>
      <vt:variant>
        <vt:lpwstr>https://www.itu.int/hub/publication/d-gen-e_waste-01-2024/</vt:lpwstr>
      </vt:variant>
      <vt:variant>
        <vt:lpwstr/>
      </vt:variant>
      <vt:variant>
        <vt:i4>917521</vt:i4>
      </vt:variant>
      <vt:variant>
        <vt:i4>114</vt:i4>
      </vt:variant>
      <vt:variant>
        <vt:i4>0</vt:i4>
      </vt:variant>
      <vt:variant>
        <vt:i4>5</vt:i4>
      </vt:variant>
      <vt:variant>
        <vt:lpwstr>https://www.itu.int/en/ITU-D/Environment/Pages/Publications/The-Global-E-waste-Monitor-2024.aspx</vt:lpwstr>
      </vt:variant>
      <vt:variant>
        <vt:lpwstr/>
      </vt:variant>
      <vt:variant>
        <vt:i4>5963814</vt:i4>
      </vt:variant>
      <vt:variant>
        <vt:i4>111</vt:i4>
      </vt:variant>
      <vt:variant>
        <vt:i4>0</vt:i4>
      </vt:variant>
      <vt:variant>
        <vt:i4>5</vt:i4>
      </vt:variant>
      <vt:variant>
        <vt:lpwstr>https://www.itu.int/hub/publication/d-gen-e_waste-01-2024/</vt:lpwstr>
      </vt:variant>
      <vt:variant>
        <vt:lpwstr/>
      </vt:variant>
      <vt:variant>
        <vt:i4>1966173</vt:i4>
      </vt:variant>
      <vt:variant>
        <vt:i4>108</vt:i4>
      </vt:variant>
      <vt:variant>
        <vt:i4>0</vt:i4>
      </vt:variant>
      <vt:variant>
        <vt:i4>5</vt:i4>
      </vt:variant>
      <vt:variant>
        <vt:lpwstr>https://www.itu.int/en/ITU-D/Statistics/Documents/facts/rpm_asp_pub_2025_data.xlsx</vt:lpwstr>
      </vt:variant>
      <vt:variant>
        <vt:lpwstr/>
      </vt:variant>
      <vt:variant>
        <vt:i4>1966173</vt:i4>
      </vt:variant>
      <vt:variant>
        <vt:i4>105</vt:i4>
      </vt:variant>
      <vt:variant>
        <vt:i4>0</vt:i4>
      </vt:variant>
      <vt:variant>
        <vt:i4>5</vt:i4>
      </vt:variant>
      <vt:variant>
        <vt:lpwstr>https://www.itu.int/en/ITU-D/Statistics/Documents/facts/rpm_asp_pub_2025_data.xlsx</vt:lpwstr>
      </vt:variant>
      <vt:variant>
        <vt:lpwstr/>
      </vt:variant>
      <vt:variant>
        <vt:i4>1966173</vt:i4>
      </vt:variant>
      <vt:variant>
        <vt:i4>102</vt:i4>
      </vt:variant>
      <vt:variant>
        <vt:i4>0</vt:i4>
      </vt:variant>
      <vt:variant>
        <vt:i4>5</vt:i4>
      </vt:variant>
      <vt:variant>
        <vt:lpwstr>https://www.itu.int/en/ITU-D/Statistics/Documents/facts/rpm_asp_pub_2025_data.xlsx</vt:lpwstr>
      </vt:variant>
      <vt:variant>
        <vt:lpwstr/>
      </vt:variant>
      <vt:variant>
        <vt:i4>1966173</vt:i4>
      </vt:variant>
      <vt:variant>
        <vt:i4>99</vt:i4>
      </vt:variant>
      <vt:variant>
        <vt:i4>0</vt:i4>
      </vt:variant>
      <vt:variant>
        <vt:i4>5</vt:i4>
      </vt:variant>
      <vt:variant>
        <vt:lpwstr>https://www.itu.int/en/ITU-D/Statistics/Documents/facts/rpm_asp_pub_2025_data.xlsx</vt:lpwstr>
      </vt:variant>
      <vt:variant>
        <vt:lpwstr/>
      </vt:variant>
      <vt:variant>
        <vt:i4>1966173</vt:i4>
      </vt:variant>
      <vt:variant>
        <vt:i4>96</vt:i4>
      </vt:variant>
      <vt:variant>
        <vt:i4>0</vt:i4>
      </vt:variant>
      <vt:variant>
        <vt:i4>5</vt:i4>
      </vt:variant>
      <vt:variant>
        <vt:lpwstr>https://www.itu.int/en/ITU-D/Statistics/Documents/facts/rpm_asp_pub_2025_data.xlsx</vt:lpwstr>
      </vt:variant>
      <vt:variant>
        <vt:lpwstr/>
      </vt:variant>
      <vt:variant>
        <vt:i4>262155</vt:i4>
      </vt:variant>
      <vt:variant>
        <vt:i4>93</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90</vt:i4>
      </vt:variant>
      <vt:variant>
        <vt:i4>0</vt:i4>
      </vt:variant>
      <vt:variant>
        <vt:i4>5</vt:i4>
      </vt:variant>
      <vt:variant>
        <vt:lpwstr>https://www.broadbandcommission.org/</vt:lpwstr>
      </vt:variant>
      <vt:variant>
        <vt:lpwstr/>
      </vt:variant>
      <vt:variant>
        <vt:i4>5570575</vt:i4>
      </vt:variant>
      <vt:variant>
        <vt:i4>87</vt:i4>
      </vt:variant>
      <vt:variant>
        <vt:i4>0</vt:i4>
      </vt:variant>
      <vt:variant>
        <vt:i4>5</vt:i4>
      </vt:variant>
      <vt:variant>
        <vt:lpwstr>https://bbmaps.itu.int/indicators-bbmaps</vt:lpwstr>
      </vt:variant>
      <vt:variant>
        <vt:lpwstr/>
      </vt:variant>
      <vt:variant>
        <vt:i4>7405690</vt:i4>
      </vt:variant>
      <vt:variant>
        <vt:i4>84</vt:i4>
      </vt:variant>
      <vt:variant>
        <vt:i4>0</vt:i4>
      </vt:variant>
      <vt:variant>
        <vt:i4>5</vt:i4>
      </vt:variant>
      <vt:variant>
        <vt:lpwstr>https://bbmaps.itu.int/app</vt:lpwstr>
      </vt:variant>
      <vt:variant>
        <vt:lpwstr/>
      </vt:variant>
      <vt:variant>
        <vt:i4>4718717</vt:i4>
      </vt:variant>
      <vt:variant>
        <vt:i4>81</vt:i4>
      </vt:variant>
      <vt:variant>
        <vt:i4>0</vt:i4>
      </vt:variant>
      <vt:variant>
        <vt:i4>5</vt:i4>
      </vt:variant>
      <vt:variant>
        <vt:lpwstr>https://www.itu.int/pub/D-PREF-BB.REG_OUT01-2023/en</vt:lpwstr>
      </vt:variant>
      <vt:variant>
        <vt:lpwstr/>
      </vt:variant>
      <vt:variant>
        <vt:i4>720919</vt:i4>
      </vt:variant>
      <vt:variant>
        <vt:i4>78</vt:i4>
      </vt:variant>
      <vt:variant>
        <vt:i4>0</vt:i4>
      </vt:variant>
      <vt:variant>
        <vt:i4>5</vt:i4>
      </vt:variant>
      <vt:variant>
        <vt:lpwstr>https://app.gen5.digital/tracker/metrics</vt:lpwstr>
      </vt:variant>
      <vt:variant>
        <vt:lpwstr/>
      </vt:variant>
      <vt:variant>
        <vt:i4>3014713</vt:i4>
      </vt:variant>
      <vt:variant>
        <vt:i4>75</vt:i4>
      </vt:variant>
      <vt:variant>
        <vt:i4>0</vt:i4>
      </vt:variant>
      <vt:variant>
        <vt:i4>5</vt:i4>
      </vt:variant>
      <vt:variant>
        <vt:lpwstr>https://www.itu.int/itu-d/meetings/wtdc25/rpm/asp/home/</vt:lpwstr>
      </vt:variant>
      <vt:variant>
        <vt:lpwstr/>
      </vt:variant>
      <vt:variant>
        <vt:i4>4456465</vt:i4>
      </vt:variant>
      <vt:variant>
        <vt:i4>3</vt:i4>
      </vt:variant>
      <vt:variant>
        <vt:i4>0</vt:i4>
      </vt:variant>
      <vt:variant>
        <vt:i4>5</vt:i4>
      </vt:variant>
      <vt:variant>
        <vt:lpwstr>https://www.itu.int/itu-d/reports/statistics/facts-figures-2024/</vt:lpwstr>
      </vt:variant>
      <vt:variant>
        <vt:lpwstr/>
      </vt:variant>
      <vt:variant>
        <vt:i4>5308507</vt:i4>
      </vt:variant>
      <vt:variant>
        <vt:i4>0</vt:i4>
      </vt:variant>
      <vt:variant>
        <vt:i4>0</vt:i4>
      </vt:variant>
      <vt:variant>
        <vt:i4>5</vt:i4>
      </vt:variant>
      <vt:variant>
        <vt:lpwstr>https://datahub.itu.int/</vt:lpwstr>
      </vt:variant>
      <vt:variant>
        <vt:lpwstr/>
      </vt:variant>
      <vt:variant>
        <vt:i4>7012382</vt:i4>
      </vt:variant>
      <vt:variant>
        <vt:i4>3</vt:i4>
      </vt:variant>
      <vt:variant>
        <vt:i4>0</vt:i4>
      </vt:variant>
      <vt:variant>
        <vt:i4>5</vt:i4>
      </vt:variant>
      <vt:variant>
        <vt:lpwstr>mailto:thierry.geiger@itu.int</vt:lpwstr>
      </vt:variant>
      <vt:variant>
        <vt:lpwstr/>
      </vt:variant>
      <vt:variant>
        <vt:i4>2621522</vt:i4>
      </vt:variant>
      <vt:variant>
        <vt:i4>15</vt:i4>
      </vt:variant>
      <vt:variant>
        <vt:i4>0</vt:i4>
      </vt:variant>
      <vt:variant>
        <vt:i4>5</vt:i4>
      </vt:variant>
      <vt:variant>
        <vt:lpwstr>mailto:youlia.lozanova@itu.int</vt:lpwstr>
      </vt:variant>
      <vt:variant>
        <vt:lpwstr/>
      </vt:variant>
      <vt:variant>
        <vt:i4>2555982</vt:i4>
      </vt:variant>
      <vt:variant>
        <vt:i4>12</vt:i4>
      </vt:variant>
      <vt:variant>
        <vt:i4>0</vt:i4>
      </vt:variant>
      <vt:variant>
        <vt:i4>5</vt:i4>
      </vt:variant>
      <vt:variant>
        <vt:lpwstr>mailto:caroline.troein@itu.int</vt:lpwstr>
      </vt:variant>
      <vt:variant>
        <vt:lpwstr/>
      </vt:variant>
      <vt:variant>
        <vt:i4>1376373</vt:i4>
      </vt:variant>
      <vt:variant>
        <vt:i4>9</vt:i4>
      </vt:variant>
      <vt:variant>
        <vt:i4>0</vt:i4>
      </vt:variant>
      <vt:variant>
        <vt:i4>5</vt:i4>
      </vt:variant>
      <vt:variant>
        <vt:lpwstr>mailto:garam.bel@itu.int</vt:lpwstr>
      </vt:variant>
      <vt:variant>
        <vt:lpwstr/>
      </vt:variant>
      <vt:variant>
        <vt:i4>3473475</vt:i4>
      </vt:variant>
      <vt:variant>
        <vt:i4>6</vt:i4>
      </vt:variant>
      <vt:variant>
        <vt:i4>0</vt:i4>
      </vt:variant>
      <vt:variant>
        <vt:i4>5</vt:i4>
      </vt:variant>
      <vt:variant>
        <vt:lpwstr>mailto:daniel.vertesy@itu.int</vt:lpwstr>
      </vt:variant>
      <vt:variant>
        <vt:lpwstr/>
      </vt:variant>
      <vt:variant>
        <vt:i4>7995447</vt:i4>
      </vt:variant>
      <vt:variant>
        <vt:i4>3</vt:i4>
      </vt:variant>
      <vt:variant>
        <vt:i4>0</vt:i4>
      </vt:variant>
      <vt:variant>
        <vt:i4>5</vt:i4>
      </vt:variant>
      <vt:variant>
        <vt:lpwstr>https://eur03.safelinks.protection.outlook.com/?url=https%3A%2F%2Fwww.environment.gov.mv%2Fv2%2Fen%2Fnews%2F25268%23%3A~%3Atext%3DNews-%2CMaldives%2527%2520roadmap%2520to%2520achieve%2520the%2520Early%2520Warning%2CAll%2520Initiative%2520Has%2520Been%2520Published%26text%3DEarly%2520Warnings%2520for%2520All%2520(EW4All%2Cearly%2520warning%2520systems%2520by%25202027.&amp;data=05%7C02%7Cthierry.geiger%40itu.int%7C90a19a444f06459ab3d508dd4b4251fc%7C23e464d704e64b87913c24bd89219fd3%7C0%7C0%7C638749470388813899%7CUnknown%7CTWFpbGZsb3d8eyJFbXB0eU1hcGkiOnRydWUsIlYiOiIwLjAuMDAwMCIsIlAiOiJXaW4zMiIsIkFOIjoiTWFpbCIsIldUIjoyfQ%3D%3D%7C0%7C%7C%7C&amp;sdata=vKdBLApL7gTGfPCsnZuk4op4vy7q0Hx2PrGK2YYLY4w%3D&amp;reserved=0</vt:lpwstr>
      </vt:variant>
      <vt:variant>
        <vt:lpwstr/>
      </vt:variant>
      <vt:variant>
        <vt:i4>3407995</vt:i4>
      </vt:variant>
      <vt:variant>
        <vt:i4>0</vt:i4>
      </vt:variant>
      <vt:variant>
        <vt:i4>0</vt:i4>
      </vt:variant>
      <vt:variant>
        <vt:i4>5</vt:i4>
      </vt:variant>
      <vt:variant>
        <vt:lpwstr>https://eur03.safelinks.protection.outlook.com/?url=https%3A%2F%2Flaopdr.un.org%2Fen%2F282223-early-warning-all-ew4all-roadmap-2024-2027&amp;data=05%7C02%7Cthierry.geiger%40itu.int%7C90a19a444f06459ab3d508dd4b4251fc%7C23e464d704e64b87913c24bd89219fd3%7C0%7C0%7C638749470388770858%7CUnknown%7CTWFpbGZsb3d8eyJFbXB0eU1hcGkiOnRydWUsIlYiOiIwLjAuMDAwMCIsIlAiOiJXaW4zMiIsIkFOIjoiTWFpbCIsIldUIjoyfQ%3D%3D%7C0%7C%7C%7C&amp;sdata=pvNeadAD9fsDG2AJ1bKf92KQf5Vs5CXcfSKZjfw625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19</cp:revision>
  <cp:lastPrinted>2014-11-10T00:22:00Z</cp:lastPrinted>
  <dcterms:created xsi:type="dcterms:W3CDTF">2025-02-13T16:09:00Z</dcterms:created>
  <dcterms:modified xsi:type="dcterms:W3CDTF">2025-02-13T18:26:00Z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MediaServiceImageTags">
    <vt:lpwstr/>
  </property>
  <property fmtid="{D5CDD505-2E9C-101B-9397-08002B2CF9AE}" pid="9" name="ContentTypeId">
    <vt:lpwstr>0x010100B3CCE0E51E9C1044807BC3B58DFAB656</vt:lpwstr>
  </property>
</Properties>
</file>