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96"/>
        <w:gridCol w:w="283"/>
        <w:gridCol w:w="3509"/>
      </w:tblGrid>
      <w:tr w:rsidR="00307769" w:rsidRPr="00B64E57" w14:paraId="3F0E9EC4" w14:textId="77777777" w:rsidTr="00952667">
        <w:trPr>
          <w:cantSplit/>
          <w:trHeight w:val="1134"/>
        </w:trPr>
        <w:tc>
          <w:tcPr>
            <w:tcW w:w="6379" w:type="dxa"/>
            <w:gridSpan w:val="2"/>
          </w:tcPr>
          <w:p w14:paraId="088A3440" w14:textId="56474287" w:rsidR="0019303F" w:rsidRPr="00B64E57" w:rsidRDefault="006B503E" w:rsidP="0019303F">
            <w:pPr>
              <w:tabs>
                <w:tab w:val="clear" w:pos="1191"/>
                <w:tab w:val="clear" w:pos="1588"/>
                <w:tab w:val="clear" w:pos="1985"/>
              </w:tabs>
              <w:ind w:left="34"/>
              <w:rPr>
                <w:b/>
                <w:bCs/>
                <w:sz w:val="32"/>
                <w:szCs w:val="32"/>
                <w:lang w:val="fr-FR"/>
              </w:rPr>
            </w:pPr>
            <w:r w:rsidRPr="00B64E57">
              <w:rPr>
                <w:b/>
                <w:bCs/>
                <w:sz w:val="32"/>
                <w:szCs w:val="32"/>
                <w:lang w:val="fr-FR"/>
              </w:rPr>
              <w:t>Réunion préparatoire régionale en vue de la</w:t>
            </w:r>
            <w:r w:rsidR="00C40BDB" w:rsidRPr="00B64E57">
              <w:rPr>
                <w:b/>
                <w:bCs/>
                <w:sz w:val="32"/>
                <w:szCs w:val="32"/>
                <w:lang w:val="fr-FR"/>
              </w:rPr>
              <w:t> </w:t>
            </w:r>
            <w:r w:rsidRPr="00B64E57">
              <w:rPr>
                <w:b/>
                <w:bCs/>
                <w:sz w:val="32"/>
                <w:szCs w:val="32"/>
                <w:lang w:val="fr-FR"/>
              </w:rPr>
              <w:t>CMDT-25 pour les États arabes (RPM-ARB)</w:t>
            </w:r>
          </w:p>
          <w:p w14:paraId="5F5F590A" w14:textId="679842BB" w:rsidR="00307769" w:rsidRPr="00B64E57" w:rsidRDefault="00F75AE8" w:rsidP="00307769">
            <w:pPr>
              <w:tabs>
                <w:tab w:val="clear" w:pos="1191"/>
                <w:tab w:val="clear" w:pos="1588"/>
                <w:tab w:val="clear" w:pos="1985"/>
              </w:tabs>
              <w:spacing w:after="120"/>
              <w:ind w:left="34"/>
              <w:rPr>
                <w:rFonts w:ascii="Verdana" w:hAnsi="Verdana"/>
                <w:sz w:val="26"/>
                <w:szCs w:val="26"/>
                <w:lang w:val="fr-FR"/>
              </w:rPr>
            </w:pPr>
            <w:r w:rsidRPr="00B64E57">
              <w:rPr>
                <w:b/>
                <w:bCs/>
                <w:sz w:val="26"/>
                <w:szCs w:val="26"/>
                <w:lang w:val="fr-FR"/>
              </w:rPr>
              <w:t xml:space="preserve">Amman, </w:t>
            </w:r>
            <w:r w:rsidR="00AD3FDD" w:rsidRPr="00B64E57">
              <w:rPr>
                <w:b/>
                <w:bCs/>
                <w:sz w:val="26"/>
                <w:szCs w:val="26"/>
                <w:lang w:val="fr-FR"/>
              </w:rPr>
              <w:t>Jordanie, 4-5 février 2025</w:t>
            </w:r>
          </w:p>
        </w:tc>
        <w:tc>
          <w:tcPr>
            <w:tcW w:w="3509" w:type="dxa"/>
          </w:tcPr>
          <w:p w14:paraId="67E7B4C4" w14:textId="0F52E4CC" w:rsidR="00307769" w:rsidRPr="00B64E57" w:rsidRDefault="00307769" w:rsidP="00952667">
            <w:pPr>
              <w:spacing w:after="120"/>
              <w:ind w:right="142"/>
              <w:jc w:val="right"/>
              <w:rPr>
                <w:lang w:val="fr-FR"/>
              </w:rPr>
            </w:pPr>
            <w:r w:rsidRPr="00B64E57">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64E57" w14:paraId="3C13197B" w14:textId="77777777" w:rsidTr="00E8469D">
        <w:trPr>
          <w:cantSplit/>
        </w:trPr>
        <w:tc>
          <w:tcPr>
            <w:tcW w:w="6096" w:type="dxa"/>
            <w:tcBorders>
              <w:top w:val="single" w:sz="12" w:space="0" w:color="auto"/>
            </w:tcBorders>
          </w:tcPr>
          <w:p w14:paraId="2EED9DB2" w14:textId="77777777" w:rsidR="00683C32" w:rsidRPr="00B64E57" w:rsidRDefault="00683C32" w:rsidP="00107E85">
            <w:pPr>
              <w:spacing w:before="0"/>
              <w:rPr>
                <w:rFonts w:cs="Arial"/>
                <w:b/>
                <w:bCs/>
                <w:sz w:val="20"/>
                <w:lang w:val="fr-FR"/>
              </w:rPr>
            </w:pPr>
          </w:p>
        </w:tc>
        <w:tc>
          <w:tcPr>
            <w:tcW w:w="3792" w:type="dxa"/>
            <w:gridSpan w:val="2"/>
            <w:tcBorders>
              <w:top w:val="single" w:sz="12" w:space="0" w:color="auto"/>
            </w:tcBorders>
          </w:tcPr>
          <w:p w14:paraId="6CC77CFE" w14:textId="77777777" w:rsidR="00683C32" w:rsidRPr="00B64E57" w:rsidRDefault="00683C32" w:rsidP="00107E85">
            <w:pPr>
              <w:spacing w:before="0"/>
              <w:rPr>
                <w:b/>
                <w:bCs/>
                <w:sz w:val="20"/>
                <w:lang w:val="fr-FR"/>
              </w:rPr>
            </w:pPr>
          </w:p>
        </w:tc>
      </w:tr>
      <w:tr w:rsidR="00706440" w:rsidRPr="00B64E57" w14:paraId="0BB3FBC4" w14:textId="77777777" w:rsidTr="00E8469D">
        <w:trPr>
          <w:cantSplit/>
        </w:trPr>
        <w:tc>
          <w:tcPr>
            <w:tcW w:w="6096" w:type="dxa"/>
          </w:tcPr>
          <w:p w14:paraId="43C54B3D" w14:textId="77777777" w:rsidR="00706440" w:rsidRPr="00B64E57" w:rsidRDefault="00706440" w:rsidP="00706440">
            <w:pPr>
              <w:pStyle w:val="Committee"/>
              <w:spacing w:before="0"/>
              <w:rPr>
                <w:b w:val="0"/>
                <w:szCs w:val="24"/>
                <w:lang w:val="fr-FR"/>
              </w:rPr>
            </w:pPr>
          </w:p>
        </w:tc>
        <w:tc>
          <w:tcPr>
            <w:tcW w:w="3792" w:type="dxa"/>
            <w:gridSpan w:val="2"/>
          </w:tcPr>
          <w:p w14:paraId="02E44EE9" w14:textId="0A3B1532" w:rsidR="00706440" w:rsidRPr="00B64E57" w:rsidRDefault="00706440" w:rsidP="00706440">
            <w:pPr>
              <w:spacing w:before="0"/>
              <w:jc w:val="both"/>
              <w:rPr>
                <w:bCs/>
                <w:szCs w:val="24"/>
                <w:lang w:val="fr-FR"/>
              </w:rPr>
            </w:pPr>
            <w:r w:rsidRPr="00B64E57">
              <w:rPr>
                <w:b/>
                <w:bCs/>
                <w:lang w:val="fr-FR"/>
              </w:rPr>
              <w:t>Document RPM-ARB25/</w:t>
            </w:r>
            <w:r w:rsidR="009E11EF" w:rsidRPr="00B64E57">
              <w:rPr>
                <w:b/>
                <w:bCs/>
                <w:lang w:val="fr-FR"/>
              </w:rPr>
              <w:t>20</w:t>
            </w:r>
            <w:r w:rsidRPr="00B64E57">
              <w:rPr>
                <w:b/>
                <w:bCs/>
                <w:lang w:val="fr-FR"/>
              </w:rPr>
              <w:t>-F</w:t>
            </w:r>
            <w:bookmarkStart w:id="0" w:name="DocRef1"/>
            <w:bookmarkEnd w:id="0"/>
          </w:p>
        </w:tc>
      </w:tr>
      <w:tr w:rsidR="00365EF0" w:rsidRPr="00B64E57" w14:paraId="24D04936" w14:textId="77777777" w:rsidTr="00E8469D">
        <w:trPr>
          <w:cantSplit/>
        </w:trPr>
        <w:tc>
          <w:tcPr>
            <w:tcW w:w="6096" w:type="dxa"/>
          </w:tcPr>
          <w:p w14:paraId="12CE4DBF" w14:textId="77777777" w:rsidR="00365EF0" w:rsidRPr="00B64E57" w:rsidRDefault="00365EF0" w:rsidP="00365EF0">
            <w:pPr>
              <w:spacing w:before="0"/>
              <w:rPr>
                <w:b/>
                <w:bCs/>
                <w:smallCaps/>
                <w:szCs w:val="24"/>
                <w:lang w:val="fr-FR"/>
              </w:rPr>
            </w:pPr>
          </w:p>
        </w:tc>
        <w:tc>
          <w:tcPr>
            <w:tcW w:w="3792" w:type="dxa"/>
            <w:gridSpan w:val="2"/>
          </w:tcPr>
          <w:p w14:paraId="0F89640F" w14:textId="1430A302" w:rsidR="00365EF0" w:rsidRPr="00B64E57" w:rsidRDefault="009E11EF" w:rsidP="00365EF0">
            <w:pPr>
              <w:spacing w:before="0"/>
              <w:rPr>
                <w:b/>
                <w:szCs w:val="24"/>
                <w:lang w:val="fr-FR"/>
              </w:rPr>
            </w:pPr>
            <w:bookmarkStart w:id="1" w:name="CreationDate"/>
            <w:bookmarkEnd w:id="1"/>
            <w:r w:rsidRPr="00B64E57">
              <w:rPr>
                <w:b/>
                <w:bCs/>
                <w:color w:val="000000"/>
                <w:lang w:val="fr-FR"/>
              </w:rPr>
              <w:t>28 février 2025</w:t>
            </w:r>
          </w:p>
        </w:tc>
      </w:tr>
      <w:tr w:rsidR="00365EF0" w:rsidRPr="00B64E57" w14:paraId="7B96545F" w14:textId="77777777" w:rsidTr="00E8469D">
        <w:trPr>
          <w:cantSplit/>
        </w:trPr>
        <w:tc>
          <w:tcPr>
            <w:tcW w:w="6096" w:type="dxa"/>
          </w:tcPr>
          <w:p w14:paraId="65956FD3" w14:textId="77777777" w:rsidR="00365EF0" w:rsidRPr="00B64E57" w:rsidRDefault="00365EF0" w:rsidP="00365EF0">
            <w:pPr>
              <w:spacing w:before="0"/>
              <w:rPr>
                <w:b/>
                <w:bCs/>
                <w:smallCaps/>
                <w:szCs w:val="24"/>
                <w:lang w:val="fr-FR"/>
              </w:rPr>
            </w:pPr>
          </w:p>
        </w:tc>
        <w:tc>
          <w:tcPr>
            <w:tcW w:w="3792" w:type="dxa"/>
            <w:gridSpan w:val="2"/>
          </w:tcPr>
          <w:p w14:paraId="30EFD39F" w14:textId="60983770" w:rsidR="00365EF0" w:rsidRPr="00B64E57" w:rsidRDefault="00365EF0" w:rsidP="00365EF0">
            <w:pPr>
              <w:spacing w:before="0"/>
              <w:rPr>
                <w:szCs w:val="24"/>
                <w:lang w:val="fr-FR"/>
              </w:rPr>
            </w:pPr>
            <w:bookmarkStart w:id="2" w:name="Original"/>
            <w:bookmarkEnd w:id="2"/>
            <w:r w:rsidRPr="00B64E57">
              <w:rPr>
                <w:b/>
                <w:bCs/>
                <w:lang w:val="fr-FR"/>
              </w:rPr>
              <w:t>Original: anglais</w:t>
            </w:r>
          </w:p>
        </w:tc>
      </w:tr>
      <w:tr w:rsidR="00B1373E" w:rsidRPr="00B64E57" w14:paraId="31656E31" w14:textId="77777777" w:rsidTr="00107E85">
        <w:trPr>
          <w:cantSplit/>
          <w:trHeight w:val="852"/>
        </w:trPr>
        <w:tc>
          <w:tcPr>
            <w:tcW w:w="9888" w:type="dxa"/>
            <w:gridSpan w:val="3"/>
          </w:tcPr>
          <w:p w14:paraId="512FCA01" w14:textId="2AF7EB5E" w:rsidR="00B1373E" w:rsidRPr="00B64E57" w:rsidRDefault="009E11EF" w:rsidP="00B1373E">
            <w:pPr>
              <w:pStyle w:val="Source"/>
              <w:rPr>
                <w:lang w:val="fr-FR"/>
              </w:rPr>
            </w:pPr>
            <w:bookmarkStart w:id="3" w:name="Source"/>
            <w:bookmarkEnd w:id="3"/>
            <w:r w:rsidRPr="00B64E57">
              <w:rPr>
                <w:bCs/>
                <w:color w:val="000000"/>
                <w:lang w:val="fr-FR"/>
              </w:rPr>
              <w:t>Président de la RPM-ARB</w:t>
            </w:r>
          </w:p>
        </w:tc>
      </w:tr>
      <w:tr w:rsidR="00B1373E" w:rsidRPr="00B64E57" w14:paraId="2CBD3A36" w14:textId="77777777" w:rsidTr="00822610">
        <w:trPr>
          <w:cantSplit/>
        </w:trPr>
        <w:tc>
          <w:tcPr>
            <w:tcW w:w="9888" w:type="dxa"/>
            <w:gridSpan w:val="3"/>
          </w:tcPr>
          <w:p w14:paraId="1B4121DF" w14:textId="298093FE" w:rsidR="00B1373E" w:rsidRPr="00B64E57" w:rsidRDefault="009E11EF" w:rsidP="00B1373E">
            <w:pPr>
              <w:pStyle w:val="Title1"/>
              <w:rPr>
                <w:rFonts w:cs="Times New Roman"/>
                <w:bCs/>
                <w:lang w:val="fr-FR"/>
              </w:rPr>
            </w:pPr>
            <w:bookmarkStart w:id="4" w:name="Title"/>
            <w:bookmarkEnd w:id="4"/>
            <w:r w:rsidRPr="00B64E57">
              <w:rPr>
                <w:szCs w:val="28"/>
                <w:lang w:val="fr-FR"/>
              </w:rPr>
              <w:t>Rapport final du Président de la RPM-ARB</w:t>
            </w:r>
          </w:p>
        </w:tc>
      </w:tr>
      <w:tr w:rsidR="00A721F4" w:rsidRPr="00B64E57" w14:paraId="23A30231" w14:textId="77777777" w:rsidTr="00822610">
        <w:trPr>
          <w:cantSplit/>
        </w:trPr>
        <w:tc>
          <w:tcPr>
            <w:tcW w:w="9888" w:type="dxa"/>
            <w:gridSpan w:val="3"/>
          </w:tcPr>
          <w:p w14:paraId="726EE70E" w14:textId="77777777" w:rsidR="00A721F4" w:rsidRPr="00B64E57" w:rsidRDefault="00A721F4" w:rsidP="00B1373E">
            <w:pPr>
              <w:spacing w:after="120"/>
              <w:rPr>
                <w:lang w:val="fr-FR"/>
              </w:rPr>
            </w:pPr>
          </w:p>
        </w:tc>
      </w:tr>
    </w:tbl>
    <w:p w14:paraId="4CCC8CB5" w14:textId="56AD434A" w:rsidR="009E11EF" w:rsidRPr="00B64E57" w:rsidRDefault="009E11EF" w:rsidP="009E11EF">
      <w:pPr>
        <w:pStyle w:val="Heading1"/>
        <w:rPr>
          <w:lang w:val="fr-FR"/>
        </w:rPr>
      </w:pPr>
      <w:r w:rsidRPr="00B64E57">
        <w:rPr>
          <w:lang w:val="fr-FR"/>
        </w:rPr>
        <w:t>Introduction</w:t>
      </w:r>
    </w:p>
    <w:p w14:paraId="5E3EE8B3" w14:textId="2E7D6864" w:rsidR="009E11EF" w:rsidRPr="00B64E57" w:rsidRDefault="009E11EF" w:rsidP="009E11EF">
      <w:pPr>
        <w:rPr>
          <w:rFonts w:cstheme="minorHAnsi"/>
          <w:szCs w:val="24"/>
          <w:lang w:val="fr-FR"/>
        </w:rPr>
      </w:pPr>
      <w:r w:rsidRPr="00B64E57">
        <w:rPr>
          <w:lang w:val="fr-FR"/>
        </w:rPr>
        <w:t>La Réunion préparatoire régionale pour les États arabes en vue de la CMDT-25 (RPM-ARB) a été organisée par le Bureau de développement des télécommunications (BDT) de l</w:t>
      </w:r>
      <w:r w:rsidR="00E15F9C" w:rsidRPr="00B64E57">
        <w:rPr>
          <w:lang w:val="fr-FR"/>
        </w:rPr>
        <w:t>'</w:t>
      </w:r>
      <w:r w:rsidRPr="00B64E57">
        <w:rPr>
          <w:lang w:val="fr-FR"/>
        </w:rPr>
        <w:t>Union internationale des télécommunications (UIT), les 4 et 5 février 2025 à Amman (Jordanie), à l</w:t>
      </w:r>
      <w:r w:rsidR="00E15F9C" w:rsidRPr="00B64E57">
        <w:rPr>
          <w:lang w:val="fr-FR"/>
        </w:rPr>
        <w:t>'</w:t>
      </w:r>
      <w:r w:rsidRPr="00B64E57">
        <w:rPr>
          <w:lang w:val="fr-FR"/>
        </w:rPr>
        <w:t>invitation de la Commission de régulation des télécommunications du Royaume hachémite de Jordanie.</w:t>
      </w:r>
    </w:p>
    <w:p w14:paraId="2E71F8EA" w14:textId="7D6872B6" w:rsidR="009E11EF" w:rsidRPr="00B64E57" w:rsidRDefault="009E11EF" w:rsidP="009E11EF">
      <w:pPr>
        <w:rPr>
          <w:rFonts w:cstheme="minorHAnsi"/>
          <w:szCs w:val="24"/>
          <w:lang w:val="fr-FR"/>
        </w:rPr>
      </w:pPr>
      <w:r w:rsidRPr="00B64E57">
        <w:rPr>
          <w:lang w:val="fr-FR"/>
        </w:rPr>
        <w:t>L'objectif de la RPM-ARB était de déterminer et d'aligner, au niveau régional, les priorités concernant le développement des télécommunications et des technologies de l'information et de la communication (TIC), compte tenu des contributions soumises par les États Membres et les Membres du Secteur de l'UIT-D de la région.</w:t>
      </w:r>
    </w:p>
    <w:p w14:paraId="6566F356" w14:textId="3D21A634" w:rsidR="009E11EF" w:rsidRPr="00B64E57" w:rsidRDefault="009E11EF" w:rsidP="009E11EF">
      <w:pPr>
        <w:rPr>
          <w:rFonts w:cstheme="minorHAnsi"/>
          <w:szCs w:val="24"/>
          <w:lang w:val="fr-FR"/>
        </w:rPr>
      </w:pPr>
      <w:r w:rsidRPr="00B64E57">
        <w:rPr>
          <w:lang w:val="fr-FR"/>
        </w:rPr>
        <w:t>Les participants sont parvenus à établir un ensemble de propositions sur les priorités, qui serviront de point de départ à l'élaboration des contributions pour la Conférence mondiale de développement des télécommunications, qui se tiendra du 17 au 28 novembre 2025 à Bakou (Azerbaïdjan) et examinera les activités qui devront être menées par l'UIT-D pendant la prochaine</w:t>
      </w:r>
      <w:r w:rsidR="00745A46" w:rsidRPr="00B64E57">
        <w:rPr>
          <w:lang w:val="fr-FR"/>
        </w:rPr>
        <w:t> </w:t>
      </w:r>
      <w:r w:rsidRPr="00B64E57">
        <w:rPr>
          <w:lang w:val="fr-FR"/>
        </w:rPr>
        <w:t>période quadriennale (202</w:t>
      </w:r>
      <w:r w:rsidR="00745A46" w:rsidRPr="00B64E57">
        <w:rPr>
          <w:lang w:val="fr-FR"/>
        </w:rPr>
        <w:t>5</w:t>
      </w:r>
      <w:r w:rsidRPr="00B64E57">
        <w:rPr>
          <w:lang w:val="fr-FR"/>
        </w:rPr>
        <w:t>-202</w:t>
      </w:r>
      <w:r w:rsidR="00745A46" w:rsidRPr="00B64E57">
        <w:rPr>
          <w:lang w:val="fr-FR"/>
        </w:rPr>
        <w:t>8</w:t>
      </w:r>
      <w:r w:rsidRPr="00B64E57">
        <w:rPr>
          <w:lang w:val="fr-FR"/>
        </w:rPr>
        <w:t>).</w:t>
      </w:r>
    </w:p>
    <w:p w14:paraId="39920B46" w14:textId="4EF1FFC4" w:rsidR="009E11EF" w:rsidRPr="00B64E57" w:rsidRDefault="009E11EF" w:rsidP="009E11EF">
      <w:pPr>
        <w:rPr>
          <w:rFonts w:cstheme="minorHAnsi"/>
          <w:szCs w:val="24"/>
          <w:lang w:val="fr-FR"/>
        </w:rPr>
      </w:pPr>
      <w:r w:rsidRPr="00B64E57">
        <w:rPr>
          <w:lang w:val="fr-FR"/>
        </w:rPr>
        <w:t>Le présent rapport rend compte des travaux et des résultats de la réunion RPM-ARB.</w:t>
      </w:r>
    </w:p>
    <w:p w14:paraId="32C75EE3" w14:textId="77777777" w:rsidR="009E11EF" w:rsidRPr="00B64E57" w:rsidRDefault="009E11EF" w:rsidP="009E11EF">
      <w:pPr>
        <w:pStyle w:val="Heading1"/>
        <w:rPr>
          <w:rFonts w:cstheme="minorHAnsi"/>
          <w:sz w:val="24"/>
          <w:szCs w:val="24"/>
          <w:lang w:val="fr-FR"/>
        </w:rPr>
      </w:pPr>
      <w:r w:rsidRPr="00B64E57">
        <w:rPr>
          <w:lang w:val="fr-FR"/>
        </w:rPr>
        <w:t>Participation</w:t>
      </w:r>
    </w:p>
    <w:p w14:paraId="258FF7DE" w14:textId="5375B50E" w:rsidR="009E11EF" w:rsidRPr="00B64E57" w:rsidRDefault="009E11EF" w:rsidP="009E11EF">
      <w:pPr>
        <w:rPr>
          <w:lang w:val="fr-FR"/>
        </w:rPr>
      </w:pPr>
      <w:r w:rsidRPr="00B64E57">
        <w:rPr>
          <w:lang w:val="fr-FR"/>
        </w:rPr>
        <w:t>La réunion s'est tenue en présence de 89 participants, dont 54 délégués représentant 16</w:t>
      </w:r>
      <w:r w:rsidR="00745A46" w:rsidRPr="00B64E57">
        <w:rPr>
          <w:lang w:val="fr-FR"/>
        </w:rPr>
        <w:t> </w:t>
      </w:r>
      <w:r w:rsidRPr="00B64E57">
        <w:rPr>
          <w:lang w:val="fr-FR"/>
        </w:rPr>
        <w:t>États</w:t>
      </w:r>
      <w:r w:rsidR="00745A46" w:rsidRPr="00B64E57">
        <w:rPr>
          <w:lang w:val="fr-FR"/>
        </w:rPr>
        <w:t> </w:t>
      </w:r>
      <w:r w:rsidRPr="00B64E57">
        <w:rPr>
          <w:lang w:val="fr-FR"/>
        </w:rPr>
        <w:t>Membres de la région des États arabes, 3 participants au titre de la Résolution 99, 6</w:t>
      </w:r>
      <w:r w:rsidR="00745A46" w:rsidRPr="00B64E57">
        <w:rPr>
          <w:lang w:val="fr-FR"/>
        </w:rPr>
        <w:t> </w:t>
      </w:r>
      <w:r w:rsidRPr="00B64E57">
        <w:rPr>
          <w:lang w:val="fr-FR"/>
        </w:rPr>
        <w:t>participants représentant des Membres de Secteur de l'UIT-D, 8 participants représentant 7</w:t>
      </w:r>
      <w:r w:rsidR="00745A46" w:rsidRPr="00B64E57">
        <w:rPr>
          <w:lang w:val="fr-FR"/>
        </w:rPr>
        <w:t> </w:t>
      </w:r>
      <w:r w:rsidRPr="00B64E57">
        <w:rPr>
          <w:lang w:val="fr-FR"/>
        </w:rPr>
        <w:t>États Membres ayant le statut d'observateur, 5 participants représentant des Membres de Secteur de l'UIT-D ayant le statut d'observateur et un participant représentant un établissement universitaire. Trente-deux femmes et 57 hommes y ont participé.</w:t>
      </w:r>
    </w:p>
    <w:p w14:paraId="1F24CB7A" w14:textId="3146EC69" w:rsidR="009E11EF" w:rsidRPr="00B64E57" w:rsidRDefault="009E11EF" w:rsidP="009E11EF">
      <w:pPr>
        <w:rPr>
          <w:lang w:val="fr-FR"/>
        </w:rPr>
      </w:pPr>
      <w:r w:rsidRPr="00B64E57">
        <w:rPr>
          <w:lang w:val="fr-FR"/>
        </w:rPr>
        <w:t xml:space="preserve">La liste définitive des participants est reproduite dans le </w:t>
      </w:r>
      <w:hyperlink r:id="rId12" w:history="1">
        <w:r w:rsidRPr="00B64E57">
          <w:rPr>
            <w:rStyle w:val="Hyperlink"/>
            <w:lang w:val="fr-FR"/>
          </w:rPr>
          <w:t>Document 19(Rév.1)</w:t>
        </w:r>
      </w:hyperlink>
      <w:r w:rsidRPr="00B64E57">
        <w:rPr>
          <w:lang w:val="fr-FR"/>
        </w:rPr>
        <w:t>.</w:t>
      </w:r>
    </w:p>
    <w:p w14:paraId="619EDA44" w14:textId="2582B8CF" w:rsidR="009E11EF" w:rsidRPr="00B64E57" w:rsidRDefault="0065506B" w:rsidP="0065506B">
      <w:pPr>
        <w:pStyle w:val="Heading1"/>
        <w:rPr>
          <w:lang w:val="fr-FR"/>
        </w:rPr>
      </w:pPr>
      <w:r w:rsidRPr="00B64E57">
        <w:rPr>
          <w:lang w:val="fr-FR"/>
        </w:rPr>
        <w:lastRenderedPageBreak/>
        <w:t>1</w:t>
      </w:r>
      <w:r w:rsidRPr="00B64E57">
        <w:rPr>
          <w:lang w:val="fr-FR"/>
        </w:rPr>
        <w:tab/>
      </w:r>
      <w:r w:rsidR="009E11EF" w:rsidRPr="00B64E57">
        <w:rPr>
          <w:lang w:val="fr-FR"/>
        </w:rPr>
        <w:t>Cérémonie d'ouverture</w:t>
      </w:r>
    </w:p>
    <w:p w14:paraId="26283F77" w14:textId="65AFB413" w:rsidR="009E11EF" w:rsidRPr="00B64E57" w:rsidRDefault="009E11EF" w:rsidP="009E11EF">
      <w:pPr>
        <w:rPr>
          <w:rFonts w:cstheme="minorHAnsi"/>
          <w:szCs w:val="24"/>
          <w:lang w:val="fr-FR"/>
        </w:rPr>
      </w:pPr>
      <w:r w:rsidRPr="00B64E57">
        <w:rPr>
          <w:lang w:val="fr-FR"/>
        </w:rPr>
        <w:t xml:space="preserve">Plusieurs allocutions de haut niveau ont été prononcées lors de la cérémonie d'ouverture. Tous les discours sont disponibles sur le </w:t>
      </w:r>
      <w:hyperlink r:id="rId13" w:anchor="/fr" w:history="1">
        <w:r w:rsidRPr="00B64E57">
          <w:rPr>
            <w:rStyle w:val="Hyperlink"/>
            <w:lang w:val="fr-FR"/>
          </w:rPr>
          <w:t>site web de la RPM-ARB</w:t>
        </w:r>
      </w:hyperlink>
      <w:r w:rsidRPr="00B64E57">
        <w:rPr>
          <w:lang w:val="fr-FR"/>
        </w:rPr>
        <w:t>. Dans leurs remarques liminaires, les orateurs de la cérémonie d</w:t>
      </w:r>
      <w:r w:rsidR="00E15F9C" w:rsidRPr="00B64E57">
        <w:rPr>
          <w:lang w:val="fr-FR"/>
        </w:rPr>
        <w:t>'</w:t>
      </w:r>
      <w:r w:rsidRPr="00B64E57">
        <w:rPr>
          <w:lang w:val="fr-FR"/>
        </w:rPr>
        <w:t>ouverture ont souligné ce qui suit</w:t>
      </w:r>
      <w:r w:rsidR="00E15F9C" w:rsidRPr="00B64E57">
        <w:rPr>
          <w:lang w:val="fr-FR"/>
        </w:rPr>
        <w:t>:</w:t>
      </w:r>
    </w:p>
    <w:p w14:paraId="71178D1F" w14:textId="2876AAB3"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S. E. M. Bassam AlSarhan, Président de la Commission de réglementation des télécommunications du Royaume hachémite de Jordanie, a souligné le rôle essentiel que jouent les TIC dans le développement durable, à l'heure où la transformation numérique s'opère rapidement. La réunion, a-t-il dit, vise à réduire la fracture numérique qui subsiste et à s</w:t>
      </w:r>
      <w:r w:rsidR="00E15F9C" w:rsidRPr="00B64E57">
        <w:rPr>
          <w:lang w:val="fr-FR"/>
        </w:rPr>
        <w:t>'</w:t>
      </w:r>
      <w:r w:rsidR="009E11EF" w:rsidRPr="00B64E57">
        <w:rPr>
          <w:lang w:val="fr-FR"/>
        </w:rPr>
        <w:t xml:space="preserve">assurer que les priorités de la région des </w:t>
      </w:r>
      <w:r w:rsidR="00745A46" w:rsidRPr="00B64E57">
        <w:rPr>
          <w:lang w:val="fr-FR"/>
        </w:rPr>
        <w:t>États</w:t>
      </w:r>
      <w:r w:rsidR="009E11EF" w:rsidRPr="00B64E57">
        <w:rPr>
          <w:lang w:val="fr-FR"/>
        </w:rPr>
        <w:t xml:space="preserve"> arabes, telles que la réévaluation des objectifs régionaux, le renforcement des partenariats internationaux et la promotion de politiques alignées sur les aspirations des </w:t>
      </w:r>
      <w:r w:rsidR="00745A46" w:rsidRPr="00B64E57">
        <w:rPr>
          <w:lang w:val="fr-FR"/>
        </w:rPr>
        <w:t>États</w:t>
      </w:r>
      <w:r w:rsidR="009E11EF" w:rsidRPr="00B64E57">
        <w:rPr>
          <w:lang w:val="fr-FR"/>
        </w:rPr>
        <w:t xml:space="preserve"> arabes, sont intégrées dans le programme mondial. Il a exhorté les délégués à participer activement à l</w:t>
      </w:r>
      <w:r w:rsidR="00E15F9C" w:rsidRPr="00B64E57">
        <w:rPr>
          <w:lang w:val="fr-FR"/>
        </w:rPr>
        <w:t>'</w:t>
      </w:r>
      <w:r w:rsidR="009E11EF" w:rsidRPr="00B64E57">
        <w:rPr>
          <w:lang w:val="fr-FR"/>
        </w:rPr>
        <w:t>élaboration de résultats inclusifs, en particulier en ce qui concerne la réduction des écarts en matière de connectivité, le renforcement des capacités et l</w:t>
      </w:r>
      <w:r w:rsidR="00E15F9C" w:rsidRPr="00B64E57">
        <w:rPr>
          <w:lang w:val="fr-FR"/>
        </w:rPr>
        <w:t>'</w:t>
      </w:r>
      <w:r w:rsidR="009E11EF" w:rsidRPr="00B64E57">
        <w:rPr>
          <w:lang w:val="fr-FR"/>
        </w:rPr>
        <w:t>obtention de financements sur mesure. Il a salué l</w:t>
      </w:r>
      <w:r w:rsidR="00E15F9C" w:rsidRPr="00B64E57">
        <w:rPr>
          <w:lang w:val="fr-FR"/>
        </w:rPr>
        <w:t>'</w:t>
      </w:r>
      <w:r w:rsidR="009E11EF" w:rsidRPr="00B64E57">
        <w:rPr>
          <w:lang w:val="fr-FR"/>
        </w:rPr>
        <w:t>héritage de la région en matière d</w:t>
      </w:r>
      <w:r w:rsidR="00E15F9C" w:rsidRPr="00B64E57">
        <w:rPr>
          <w:lang w:val="fr-FR"/>
        </w:rPr>
        <w:t>'</w:t>
      </w:r>
      <w:r w:rsidR="009E11EF" w:rsidRPr="00B64E57">
        <w:rPr>
          <w:lang w:val="fr-FR"/>
        </w:rPr>
        <w:t>innovation et de collaboration et s</w:t>
      </w:r>
      <w:r w:rsidR="00E15F9C" w:rsidRPr="00B64E57">
        <w:rPr>
          <w:lang w:val="fr-FR"/>
        </w:rPr>
        <w:t>'</w:t>
      </w:r>
      <w:r w:rsidR="009E11EF" w:rsidRPr="00B64E57">
        <w:rPr>
          <w:lang w:val="fr-FR"/>
        </w:rPr>
        <w:t>est dit confiant dans sa capacité à surmonter les obstacles et à contribuer à un avenir numérique plus inclusif. Enfin, il a remercié l</w:t>
      </w:r>
      <w:r w:rsidR="00E15F9C" w:rsidRPr="00B64E57">
        <w:rPr>
          <w:lang w:val="fr-FR"/>
        </w:rPr>
        <w:t>'</w:t>
      </w:r>
      <w:r w:rsidR="009E11EF" w:rsidRPr="00B64E57">
        <w:rPr>
          <w:lang w:val="fr-FR"/>
        </w:rPr>
        <w:t xml:space="preserve">UIT et les participants pour leur engagement et a appelé les participants à saisir cette occasion pour produire des résultats porteurs d'effets qui profiteront à la fois à la région des </w:t>
      </w:r>
      <w:r w:rsidR="00745A46" w:rsidRPr="00B64E57">
        <w:rPr>
          <w:lang w:val="fr-FR"/>
        </w:rPr>
        <w:t>États</w:t>
      </w:r>
      <w:r w:rsidR="009E11EF" w:rsidRPr="00B64E57">
        <w:rPr>
          <w:lang w:val="fr-FR"/>
        </w:rPr>
        <w:t xml:space="preserve"> arabes et à la communauté mondiale des télécommunications.</w:t>
      </w:r>
    </w:p>
    <w:p w14:paraId="2F8DD6BF" w14:textId="15250EFC"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M. Cosmas Luckyson Zavazava, Directeur du Bureau de développement des télécommunications de l</w:t>
      </w:r>
      <w:r w:rsidR="00E15F9C" w:rsidRPr="00B64E57">
        <w:rPr>
          <w:lang w:val="fr-FR"/>
        </w:rPr>
        <w:t>'</w:t>
      </w:r>
      <w:r w:rsidR="009E11EF" w:rsidRPr="00B64E57">
        <w:rPr>
          <w:lang w:val="fr-FR"/>
        </w:rPr>
        <w:t>UIT, a remercié la Commission de réglementation des télécommunications de la Jordanie d</w:t>
      </w:r>
      <w:r w:rsidR="00E15F9C" w:rsidRPr="00B64E57">
        <w:rPr>
          <w:lang w:val="fr-FR"/>
        </w:rPr>
        <w:t>'</w:t>
      </w:r>
      <w:r w:rsidR="009E11EF" w:rsidRPr="00B64E57">
        <w:rPr>
          <w:lang w:val="fr-FR"/>
        </w:rPr>
        <w:t>avoir accueilli la manifestation et a salué les projets de développement numérique de la Jordanie. Il a souligné l</w:t>
      </w:r>
      <w:r w:rsidR="00E15F9C" w:rsidRPr="00B64E57">
        <w:rPr>
          <w:lang w:val="fr-FR"/>
        </w:rPr>
        <w:t>'</w:t>
      </w:r>
      <w:r w:rsidR="009E11EF" w:rsidRPr="00B64E57">
        <w:rPr>
          <w:lang w:val="fr-FR"/>
        </w:rPr>
        <w:t>importance que revêt cette réunion pour définir la position des États arabes en vue de la Conférence mondiale de développement des télécommunications (CMDT-25), qui aura lieu à Bakou (Azerbaïdjan) et où de nouvelles initiatives régionales seront adoptées pour promouvoir une transformation numérique durable et la connectivité universelle. Le Directeur du BDT a salué les réalisations accomplies par l</w:t>
      </w:r>
      <w:r w:rsidR="00E15F9C" w:rsidRPr="00B64E57">
        <w:rPr>
          <w:lang w:val="fr-FR"/>
        </w:rPr>
        <w:t>'</w:t>
      </w:r>
      <w:r w:rsidR="009E11EF" w:rsidRPr="00B64E57">
        <w:rPr>
          <w:lang w:val="fr-FR"/>
        </w:rPr>
        <w:t>UIT au niveau mondial en 2024, notamment en ce qui concerne la mise en œuvre du Plan d</w:t>
      </w:r>
      <w:r w:rsidR="00E15F9C" w:rsidRPr="00B64E57">
        <w:rPr>
          <w:lang w:val="fr-FR"/>
        </w:rPr>
        <w:t>'</w:t>
      </w:r>
      <w:r w:rsidR="009E11EF" w:rsidRPr="00B64E57">
        <w:rPr>
          <w:lang w:val="fr-FR"/>
        </w:rPr>
        <w:t xml:space="preserve">action de Kigali. Il a également pris note des avancées notables accomplies dans le domaine des TIC dans la région des </w:t>
      </w:r>
      <w:r w:rsidR="00745A46" w:rsidRPr="00B64E57">
        <w:rPr>
          <w:lang w:val="fr-FR"/>
        </w:rPr>
        <w:t>États</w:t>
      </w:r>
      <w:r w:rsidR="009E11EF" w:rsidRPr="00B64E57">
        <w:rPr>
          <w:lang w:val="fr-FR"/>
        </w:rPr>
        <w:t xml:space="preserve"> arabes, tel</w:t>
      </w:r>
      <w:r w:rsidR="00745A46" w:rsidRPr="00B64E57">
        <w:rPr>
          <w:lang w:val="fr-FR"/>
        </w:rPr>
        <w:t>le</w:t>
      </w:r>
      <w:r w:rsidR="009E11EF" w:rsidRPr="00B64E57">
        <w:rPr>
          <w:lang w:val="fr-FR"/>
        </w:rPr>
        <w:t>s que la transformation numérique dans les pays les moins avancés, les plans de télécommunications d</w:t>
      </w:r>
      <w:r w:rsidR="00E15F9C" w:rsidRPr="00B64E57">
        <w:rPr>
          <w:lang w:val="fr-FR"/>
        </w:rPr>
        <w:t>'</w:t>
      </w:r>
      <w:r w:rsidR="009E11EF" w:rsidRPr="00B64E57">
        <w:rPr>
          <w:lang w:val="fr-FR"/>
        </w:rPr>
        <w:t>urgence destinés à sauver des vies et les initiatives visant à promouvoir l</w:t>
      </w:r>
      <w:r w:rsidR="00E15F9C" w:rsidRPr="00B64E57">
        <w:rPr>
          <w:lang w:val="fr-FR"/>
        </w:rPr>
        <w:t>'</w:t>
      </w:r>
      <w:r w:rsidR="009E11EF" w:rsidRPr="00B64E57">
        <w:rPr>
          <w:lang w:val="fr-FR"/>
        </w:rPr>
        <w:t>inclusion et l</w:t>
      </w:r>
      <w:r w:rsidR="00E15F9C" w:rsidRPr="00B64E57">
        <w:rPr>
          <w:lang w:val="fr-FR"/>
        </w:rPr>
        <w:t>'</w:t>
      </w:r>
      <w:r w:rsidR="009E11EF" w:rsidRPr="00B64E57">
        <w:rPr>
          <w:lang w:val="fr-FR"/>
        </w:rPr>
        <w:t>innovation numériques. Il a également mentionné la manifestation "États arabes accessibles", qui aura lieu prochainement en Jordanie, le Réseau arabe pour l</w:t>
      </w:r>
      <w:r w:rsidR="00E15F9C" w:rsidRPr="00B64E57">
        <w:rPr>
          <w:lang w:val="fr-FR"/>
        </w:rPr>
        <w:t>'</w:t>
      </w:r>
      <w:r w:rsidR="009E11EF" w:rsidRPr="00B64E57">
        <w:rPr>
          <w:lang w:val="fr-FR"/>
        </w:rPr>
        <w:t>innovation et l</w:t>
      </w:r>
      <w:r w:rsidR="00E15F9C" w:rsidRPr="00B64E57">
        <w:rPr>
          <w:lang w:val="fr-FR"/>
        </w:rPr>
        <w:t>'</w:t>
      </w:r>
      <w:r w:rsidR="009E11EF" w:rsidRPr="00B64E57">
        <w:rPr>
          <w:lang w:val="fr-FR"/>
        </w:rPr>
        <w:t xml:space="preserve">entrepreneuriat et les progrès réalisés dans la région en matière de cybersécurité et de technologies immersives. Il a lancé un appel à la collaboration en vue de garantir un développement numérique inclusif et efficace, afin d'ouvrir la voie à des contributions utiles à la CMDT-25 et au-delà. L'allocution prononcée par le Directeur du BDT peut être consultée </w:t>
      </w:r>
      <w:hyperlink r:id="rId14" w:history="1">
        <w:r w:rsidR="009E11EF" w:rsidRPr="00B64E57">
          <w:rPr>
            <w:rStyle w:val="Hyperlink"/>
            <w:lang w:val="fr-FR"/>
          </w:rPr>
          <w:t>ici</w:t>
        </w:r>
      </w:hyperlink>
      <w:r w:rsidR="009E11EF" w:rsidRPr="00B64E57">
        <w:rPr>
          <w:lang w:val="fr-FR"/>
        </w:rPr>
        <w:t>.</w:t>
      </w:r>
    </w:p>
    <w:p w14:paraId="0BC04397" w14:textId="77777777" w:rsidR="00745A46" w:rsidRPr="00B64E57" w:rsidRDefault="0065506B" w:rsidP="0065506B">
      <w:pPr>
        <w:pStyle w:val="enumlev1"/>
        <w:rPr>
          <w:lang w:val="fr-FR"/>
        </w:rPr>
      </w:pPr>
      <w:r w:rsidRPr="00B64E57">
        <w:rPr>
          <w:lang w:val="fr-FR"/>
        </w:rPr>
        <w:t>–</w:t>
      </w:r>
      <w:r w:rsidRPr="00B64E57">
        <w:rPr>
          <w:lang w:val="fr-FR"/>
        </w:rPr>
        <w:tab/>
      </w:r>
      <w:r w:rsidR="009E11EF" w:rsidRPr="00B64E57">
        <w:rPr>
          <w:lang w:val="fr-FR"/>
        </w:rPr>
        <w:t xml:space="preserve">M. Muath Alrumayh, représentant la Ligue des </w:t>
      </w:r>
      <w:r w:rsidR="00745A46" w:rsidRPr="00B64E57">
        <w:rPr>
          <w:lang w:val="fr-FR"/>
        </w:rPr>
        <w:t>États</w:t>
      </w:r>
      <w:r w:rsidR="009E11EF" w:rsidRPr="00B64E57">
        <w:rPr>
          <w:lang w:val="fr-FR"/>
        </w:rPr>
        <w:t xml:space="preserve"> arabes (LAS), a réaffirmé le rôle essentiel que joue le Groupe des </w:t>
      </w:r>
      <w:r w:rsidR="00745A46" w:rsidRPr="00B64E57">
        <w:rPr>
          <w:lang w:val="fr-FR"/>
        </w:rPr>
        <w:t>États</w:t>
      </w:r>
      <w:r w:rsidR="009E11EF" w:rsidRPr="00B64E57">
        <w:rPr>
          <w:lang w:val="fr-FR"/>
        </w:rPr>
        <w:t xml:space="preserve"> arabes dans les conférences mondiales sur les TIC, en particulier dans l</w:t>
      </w:r>
      <w:r w:rsidR="00E15F9C" w:rsidRPr="00B64E57">
        <w:rPr>
          <w:lang w:val="fr-FR"/>
        </w:rPr>
        <w:t>'</w:t>
      </w:r>
      <w:r w:rsidR="009E11EF" w:rsidRPr="00B64E57">
        <w:rPr>
          <w:lang w:val="fr-FR"/>
        </w:rPr>
        <w:t>élaboration de résultats conformes aux aspirations des pays en développement. Il a présenté de façon détaillée les travaux préparatoires en vue de</w:t>
      </w:r>
      <w:r w:rsidR="00745A46" w:rsidRPr="00B64E57">
        <w:rPr>
          <w:lang w:val="fr-FR"/>
        </w:rPr>
        <w:br w:type="page"/>
      </w:r>
    </w:p>
    <w:p w14:paraId="6F743A38" w14:textId="724ADAF5" w:rsidR="009E11EF" w:rsidRPr="00B64E57" w:rsidRDefault="00745A46" w:rsidP="0065506B">
      <w:pPr>
        <w:pStyle w:val="enumlev1"/>
        <w:rPr>
          <w:rFonts w:cstheme="minorHAnsi"/>
          <w:szCs w:val="24"/>
          <w:lang w:val="fr-FR"/>
        </w:rPr>
      </w:pPr>
      <w:r w:rsidRPr="00B64E57">
        <w:rPr>
          <w:lang w:val="fr-FR"/>
        </w:rPr>
        <w:lastRenderedPageBreak/>
        <w:tab/>
      </w:r>
      <w:r w:rsidR="009E11EF" w:rsidRPr="00B64E57">
        <w:rPr>
          <w:lang w:val="fr-FR"/>
        </w:rPr>
        <w:t>la</w:t>
      </w:r>
      <w:r w:rsidRPr="00B64E57">
        <w:rPr>
          <w:lang w:val="fr-FR"/>
        </w:rPr>
        <w:t xml:space="preserve"> </w:t>
      </w:r>
      <w:r w:rsidR="009E11EF" w:rsidRPr="00B64E57">
        <w:rPr>
          <w:lang w:val="fr-FR"/>
        </w:rPr>
        <w:t>CMDT-25, notamment la création d</w:t>
      </w:r>
      <w:r w:rsidR="00E15F9C" w:rsidRPr="00B64E57">
        <w:rPr>
          <w:lang w:val="fr-FR"/>
        </w:rPr>
        <w:t>'</w:t>
      </w:r>
      <w:r w:rsidR="009E11EF" w:rsidRPr="00B64E57">
        <w:rPr>
          <w:lang w:val="fr-FR"/>
        </w:rPr>
        <w:t>équipes spécialisées axées sur la connectivité, la mobilisation de ressources et les technologies émergentes comme l</w:t>
      </w:r>
      <w:r w:rsidR="00E15F9C" w:rsidRPr="00B64E57">
        <w:rPr>
          <w:lang w:val="fr-FR"/>
        </w:rPr>
        <w:t>'</w:t>
      </w:r>
      <w:r w:rsidR="009E11EF" w:rsidRPr="00B64E57">
        <w:rPr>
          <w:lang w:val="fr-FR"/>
        </w:rPr>
        <w:t>intelligence artificielle et les télécommunications spatiales.</w:t>
      </w:r>
    </w:p>
    <w:p w14:paraId="58EA7891" w14:textId="3FD8EFFF"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 xml:space="preserve">M. Khalid Wali, Directeur du Département des TIC de la Ligue des </w:t>
      </w:r>
      <w:r w:rsidR="00745A46" w:rsidRPr="00B64E57">
        <w:rPr>
          <w:lang w:val="fr-FR"/>
        </w:rPr>
        <w:t>États</w:t>
      </w:r>
      <w:r w:rsidR="009E11EF" w:rsidRPr="00B64E57">
        <w:rPr>
          <w:lang w:val="fr-FR"/>
        </w:rPr>
        <w:t xml:space="preserve"> arabes a remercié la Jordanie et l</w:t>
      </w:r>
      <w:r w:rsidR="00E15F9C" w:rsidRPr="00B64E57">
        <w:rPr>
          <w:lang w:val="fr-FR"/>
        </w:rPr>
        <w:t>'</w:t>
      </w:r>
      <w:r w:rsidR="009E11EF" w:rsidRPr="00B64E57">
        <w:rPr>
          <w:lang w:val="fr-FR"/>
        </w:rPr>
        <w:t xml:space="preserve">UIT pour les efforts déployés en vue d'organiser cette manifestation. Il a souligné les contributions importantes du Groupe des </w:t>
      </w:r>
      <w:r w:rsidR="00745A46" w:rsidRPr="00B64E57">
        <w:rPr>
          <w:lang w:val="fr-FR"/>
        </w:rPr>
        <w:t>États</w:t>
      </w:r>
      <w:r w:rsidR="009E11EF" w:rsidRPr="00B64E57">
        <w:rPr>
          <w:lang w:val="fr-FR"/>
        </w:rPr>
        <w:t xml:space="preserve"> arabes aux conférences internationales précédentes et exprimé son optimisme quant à la poursuite d</w:t>
      </w:r>
      <w:r w:rsidR="00E15F9C" w:rsidRPr="00B64E57">
        <w:rPr>
          <w:lang w:val="fr-FR"/>
        </w:rPr>
        <w:t>'</w:t>
      </w:r>
      <w:r w:rsidR="009E11EF" w:rsidRPr="00B64E57">
        <w:rPr>
          <w:lang w:val="fr-FR"/>
        </w:rPr>
        <w:t>une participation constructive aux manifestations à venir. Il a mis en évidence l'importance de réduire la fracture numérique et de tirer parti des technologies émergentes pour favoriser le développement régional.</w:t>
      </w:r>
    </w:p>
    <w:p w14:paraId="36204731" w14:textId="0AAA0E66" w:rsidR="009E11EF" w:rsidRPr="00B64E57" w:rsidRDefault="0065506B" w:rsidP="0065506B">
      <w:pPr>
        <w:pStyle w:val="Heading1"/>
        <w:rPr>
          <w:lang w:val="fr-FR"/>
        </w:rPr>
      </w:pPr>
      <w:r w:rsidRPr="00B64E57">
        <w:rPr>
          <w:lang w:val="fr-FR"/>
        </w:rPr>
        <w:t>2</w:t>
      </w:r>
      <w:r w:rsidRPr="00B64E57">
        <w:rPr>
          <w:lang w:val="fr-FR"/>
        </w:rPr>
        <w:tab/>
      </w:r>
      <w:r w:rsidR="009E11EF" w:rsidRPr="00B64E57">
        <w:rPr>
          <w:lang w:val="fr-FR"/>
        </w:rPr>
        <w:t>Élection du président et des vice-présidents</w:t>
      </w:r>
    </w:p>
    <w:p w14:paraId="0F57E797" w14:textId="7915AC3A" w:rsidR="009E11EF" w:rsidRPr="00B64E57" w:rsidRDefault="00745A46" w:rsidP="009E11EF">
      <w:pPr>
        <w:rPr>
          <w:rFonts w:cstheme="minorHAnsi"/>
          <w:szCs w:val="24"/>
          <w:lang w:val="fr-FR"/>
        </w:rPr>
      </w:pPr>
      <w:r w:rsidRPr="00B64E57">
        <w:rPr>
          <w:lang w:val="fr-FR"/>
        </w:rPr>
        <w:t>À</w:t>
      </w:r>
      <w:r w:rsidR="009E11EF" w:rsidRPr="00B64E57">
        <w:rPr>
          <w:lang w:val="fr-FR"/>
        </w:rPr>
        <w:t xml:space="preserve"> l</w:t>
      </w:r>
      <w:r w:rsidR="00E15F9C" w:rsidRPr="00B64E57">
        <w:rPr>
          <w:lang w:val="fr-FR"/>
        </w:rPr>
        <w:t>'</w:t>
      </w:r>
      <w:r w:rsidR="009E11EF" w:rsidRPr="00B64E57">
        <w:rPr>
          <w:lang w:val="fr-FR"/>
        </w:rPr>
        <w:t>issue de consultations dans la région, S. E. M. Nooh Alshyab, Commissaire de la Commission de réglementation des télécommunications de la Jordanie, a été élu à la présidence de la RPM-ARB à l'unanimité.</w:t>
      </w:r>
    </w:p>
    <w:p w14:paraId="3A5C3597" w14:textId="4D0264DD" w:rsidR="009E11EF" w:rsidRPr="00B64E57" w:rsidRDefault="009E11EF" w:rsidP="009E11EF">
      <w:pPr>
        <w:rPr>
          <w:rFonts w:cstheme="minorHAnsi"/>
          <w:szCs w:val="24"/>
          <w:lang w:val="fr-FR"/>
        </w:rPr>
      </w:pPr>
      <w:r w:rsidRPr="00B64E57">
        <w:rPr>
          <w:lang w:val="fr-FR"/>
        </w:rPr>
        <w:t>Les participants ont également approuvé les propositions concernant les quatre vice-présidents de la RPM-ARB</w:t>
      </w:r>
      <w:r w:rsidR="00E15F9C" w:rsidRPr="00B64E57">
        <w:rPr>
          <w:lang w:val="fr-FR"/>
        </w:rPr>
        <w:t>:</w:t>
      </w:r>
    </w:p>
    <w:p w14:paraId="7E80C25C" w14:textId="7F4C8F47"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M. Muath S. A</w:t>
      </w:r>
      <w:r w:rsidR="00D71ABF" w:rsidRPr="00B64E57">
        <w:rPr>
          <w:lang w:val="fr-FR"/>
        </w:rPr>
        <w:t>lrumayh</w:t>
      </w:r>
      <w:r w:rsidR="009E11EF" w:rsidRPr="00B64E57">
        <w:rPr>
          <w:lang w:val="fr-FR"/>
        </w:rPr>
        <w:t xml:space="preserve"> (</w:t>
      </w:r>
      <w:r w:rsidR="009E11EF" w:rsidRPr="00B64E57">
        <w:rPr>
          <w:b/>
          <w:bCs/>
          <w:lang w:val="fr-FR"/>
        </w:rPr>
        <w:t>Royaume d'Arabie saoudite</w:t>
      </w:r>
      <w:r w:rsidR="009E11EF" w:rsidRPr="00B64E57">
        <w:rPr>
          <w:lang w:val="fr-FR"/>
        </w:rPr>
        <w:t>)</w:t>
      </w:r>
    </w:p>
    <w:p w14:paraId="2CAD41D4" w14:textId="42341370"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M. Abdulla Bin Khadiya (</w:t>
      </w:r>
      <w:r w:rsidR="009E11EF" w:rsidRPr="00B64E57">
        <w:rPr>
          <w:b/>
          <w:bCs/>
          <w:lang w:val="fr-FR"/>
        </w:rPr>
        <w:t>Émirats arabes unis</w:t>
      </w:r>
      <w:r w:rsidR="009E11EF" w:rsidRPr="00B64E57">
        <w:rPr>
          <w:lang w:val="fr-FR"/>
        </w:rPr>
        <w:t>)</w:t>
      </w:r>
    </w:p>
    <w:p w14:paraId="0DC325FB" w14:textId="62DA888D"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M. Fayçal Bayouli (</w:t>
      </w:r>
      <w:r w:rsidR="009E11EF" w:rsidRPr="00B64E57">
        <w:rPr>
          <w:b/>
          <w:bCs/>
          <w:lang w:val="fr-FR"/>
        </w:rPr>
        <w:t>République tunisienne</w:t>
      </w:r>
      <w:r w:rsidR="009E11EF" w:rsidRPr="00B64E57">
        <w:rPr>
          <w:lang w:val="fr-FR"/>
        </w:rPr>
        <w:t>)</w:t>
      </w:r>
    </w:p>
    <w:p w14:paraId="1294B7FF" w14:textId="1045D7D2"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M. Ahmed Said (</w:t>
      </w:r>
      <w:r w:rsidR="009E11EF" w:rsidRPr="00B64E57">
        <w:rPr>
          <w:b/>
          <w:bCs/>
          <w:lang w:val="fr-FR"/>
        </w:rPr>
        <w:t>République d'</w:t>
      </w:r>
      <w:r w:rsidR="00745A46" w:rsidRPr="00B64E57">
        <w:rPr>
          <w:b/>
          <w:bCs/>
          <w:lang w:val="fr-FR"/>
        </w:rPr>
        <w:t>Égypte</w:t>
      </w:r>
      <w:r w:rsidR="009E11EF" w:rsidRPr="00B64E57">
        <w:rPr>
          <w:lang w:val="fr-FR"/>
        </w:rPr>
        <w:t>)</w:t>
      </w:r>
    </w:p>
    <w:p w14:paraId="6E6372BF" w14:textId="19D10E18" w:rsidR="009E11EF" w:rsidRPr="00B64E57" w:rsidRDefault="0065506B" w:rsidP="0065506B">
      <w:pPr>
        <w:pStyle w:val="Heading1"/>
        <w:rPr>
          <w:lang w:val="fr-FR"/>
        </w:rPr>
      </w:pPr>
      <w:r w:rsidRPr="00B64E57">
        <w:rPr>
          <w:lang w:val="fr-FR"/>
        </w:rPr>
        <w:t>3</w:t>
      </w:r>
      <w:r w:rsidRPr="00B64E57">
        <w:rPr>
          <w:lang w:val="fr-FR"/>
        </w:rPr>
        <w:tab/>
      </w:r>
      <w:r w:rsidR="009E11EF" w:rsidRPr="00B64E57">
        <w:rPr>
          <w:lang w:val="fr-FR"/>
        </w:rPr>
        <w:t>Adoption de l'ordre du jour</w:t>
      </w:r>
    </w:p>
    <w:p w14:paraId="783603AB" w14:textId="63BD6267" w:rsidR="009E11EF" w:rsidRPr="00B64E57" w:rsidRDefault="009E11EF" w:rsidP="009E11EF">
      <w:pPr>
        <w:rPr>
          <w:rFonts w:cstheme="minorHAnsi"/>
          <w:szCs w:val="24"/>
          <w:lang w:val="fr-FR"/>
        </w:rPr>
      </w:pPr>
      <w:r w:rsidRPr="00B64E57">
        <w:rPr>
          <w:lang w:val="fr-FR"/>
        </w:rPr>
        <w:t xml:space="preserve">Les participants ont approuvé l'ordre du jour tel qu'il figure dans le </w:t>
      </w:r>
      <w:hyperlink r:id="rId15" w:history="1">
        <w:r w:rsidRPr="00B64E57">
          <w:rPr>
            <w:rStyle w:val="Hyperlink"/>
            <w:lang w:val="fr-FR"/>
          </w:rPr>
          <w:t>Document 1(Rév.3)</w:t>
        </w:r>
      </w:hyperlink>
      <w:r w:rsidRPr="00B64E57">
        <w:rPr>
          <w:lang w:val="fr-FR"/>
        </w:rPr>
        <w:t>.</w:t>
      </w:r>
    </w:p>
    <w:p w14:paraId="4B37A1BE" w14:textId="5C919AA6" w:rsidR="009E11EF" w:rsidRPr="00B64E57" w:rsidRDefault="0065506B" w:rsidP="0065506B">
      <w:pPr>
        <w:pStyle w:val="Heading1"/>
        <w:rPr>
          <w:lang w:val="fr-FR"/>
        </w:rPr>
      </w:pPr>
      <w:r w:rsidRPr="00B64E57">
        <w:rPr>
          <w:lang w:val="fr-FR"/>
        </w:rPr>
        <w:t>4</w:t>
      </w:r>
      <w:r w:rsidRPr="00B64E57">
        <w:rPr>
          <w:lang w:val="fr-FR"/>
        </w:rPr>
        <w:tab/>
      </w:r>
      <w:r w:rsidR="009E11EF" w:rsidRPr="00B64E57">
        <w:rPr>
          <w:lang w:val="fr-FR"/>
        </w:rPr>
        <w:t>Adoption du programme de gestion du temps</w:t>
      </w:r>
    </w:p>
    <w:p w14:paraId="3044E225" w14:textId="217CCB24" w:rsidR="009E11EF" w:rsidRPr="00B64E57" w:rsidRDefault="009E11EF" w:rsidP="009E11EF">
      <w:pPr>
        <w:rPr>
          <w:rFonts w:cstheme="minorHAnsi"/>
          <w:szCs w:val="24"/>
          <w:lang w:val="fr-FR"/>
        </w:rPr>
      </w:pPr>
      <w:r w:rsidRPr="00B64E57">
        <w:rPr>
          <w:lang w:val="fr-FR"/>
        </w:rPr>
        <w:t xml:space="preserve">Le </w:t>
      </w:r>
      <w:r w:rsidR="00745A46" w:rsidRPr="00B64E57">
        <w:rPr>
          <w:lang w:val="fr-FR"/>
        </w:rPr>
        <w:t>s</w:t>
      </w:r>
      <w:r w:rsidRPr="00B64E57">
        <w:rPr>
          <w:lang w:val="fr-FR"/>
        </w:rPr>
        <w:t xml:space="preserve">ecrétariat a indiqué </w:t>
      </w:r>
      <w:r w:rsidR="00745A46" w:rsidRPr="00B64E57">
        <w:rPr>
          <w:lang w:val="fr-FR"/>
        </w:rPr>
        <w:t xml:space="preserve">que </w:t>
      </w:r>
      <w:r w:rsidRPr="00B64E57">
        <w:rPr>
          <w:lang w:val="fr-FR"/>
        </w:rPr>
        <w:t>18 documents avaient été reçus pour la RPM-ARB: 10 émanant d'États</w:t>
      </w:r>
      <w:r w:rsidR="00745A46" w:rsidRPr="00B64E57">
        <w:rPr>
          <w:lang w:val="fr-FR"/>
        </w:rPr>
        <w:t> </w:t>
      </w:r>
      <w:r w:rsidRPr="00B64E57">
        <w:rPr>
          <w:lang w:val="fr-FR"/>
        </w:rPr>
        <w:t xml:space="preserve">Membres de l'UIT et de Membres de Secteur de l'UIT-D, 4 du </w:t>
      </w:r>
      <w:r w:rsidR="00745A46" w:rsidRPr="00B64E57">
        <w:rPr>
          <w:lang w:val="fr-FR"/>
        </w:rPr>
        <w:t>s</w:t>
      </w:r>
      <w:r w:rsidRPr="00B64E57">
        <w:rPr>
          <w:lang w:val="fr-FR"/>
        </w:rPr>
        <w:t xml:space="preserve">ecrétariat et 4 des groupes de travail du GCDT. Tous les documents de la réunion sont accessibles sur le </w:t>
      </w:r>
      <w:hyperlink r:id="rId16" w:history="1">
        <w:r w:rsidRPr="00B64E57">
          <w:rPr>
            <w:rStyle w:val="Hyperlink"/>
            <w:lang w:val="fr-FR"/>
          </w:rPr>
          <w:t>site web où sont publiés les documents de la RPM</w:t>
        </w:r>
      </w:hyperlink>
      <w:r w:rsidRPr="00B64E57">
        <w:rPr>
          <w:lang w:val="fr-FR"/>
        </w:rPr>
        <w:t>.</w:t>
      </w:r>
    </w:p>
    <w:p w14:paraId="5DA48366" w14:textId="3FD054C7" w:rsidR="009E11EF" w:rsidRPr="00B64E57" w:rsidRDefault="009E11EF" w:rsidP="009E11EF">
      <w:pPr>
        <w:rPr>
          <w:rFonts w:cstheme="minorHAnsi"/>
          <w:szCs w:val="24"/>
          <w:lang w:val="fr-FR"/>
        </w:rPr>
      </w:pPr>
      <w:r w:rsidRPr="00B64E57">
        <w:rPr>
          <w:lang w:val="fr-FR"/>
        </w:rPr>
        <w:t>Après avoir examiné tous les documents de réunion connexes, les participants ont adopté le projet de programme de gestion du temps proposé (</w:t>
      </w:r>
      <w:hyperlink r:id="rId17" w:history="1">
        <w:r w:rsidRPr="00B64E57">
          <w:rPr>
            <w:rStyle w:val="Hyperlink"/>
            <w:lang w:val="fr-FR"/>
          </w:rPr>
          <w:t>Document DT/1(Rév.1)</w:t>
        </w:r>
      </w:hyperlink>
      <w:r w:rsidRPr="00B64E57">
        <w:rPr>
          <w:lang w:val="fr-FR"/>
        </w:rPr>
        <w:t>).</w:t>
      </w:r>
    </w:p>
    <w:p w14:paraId="0B51D7B8" w14:textId="203CF448" w:rsidR="009E11EF" w:rsidRPr="00B64E57" w:rsidRDefault="0065506B" w:rsidP="0065506B">
      <w:pPr>
        <w:pStyle w:val="Heading1"/>
        <w:rPr>
          <w:lang w:val="fr-FR"/>
        </w:rPr>
      </w:pPr>
      <w:r w:rsidRPr="00B64E57">
        <w:rPr>
          <w:lang w:val="fr-FR"/>
        </w:rPr>
        <w:t>5</w:t>
      </w:r>
      <w:r w:rsidRPr="00B64E57">
        <w:rPr>
          <w:lang w:val="fr-FR"/>
        </w:rPr>
        <w:tab/>
      </w:r>
      <w:r w:rsidR="009E11EF" w:rsidRPr="00B64E57">
        <w:rPr>
          <w:lang w:val="fr-FR"/>
        </w:rPr>
        <w:t>Rapport sur la mise en œuvre du Plan d'action de Kigali de la CMDT-22 (y</w:t>
      </w:r>
      <w:r w:rsidR="00403D5B" w:rsidRPr="00B64E57">
        <w:rPr>
          <w:lang w:val="fr-FR"/>
        </w:rPr>
        <w:t> </w:t>
      </w:r>
      <w:r w:rsidR="009E11EF" w:rsidRPr="00B64E57">
        <w:rPr>
          <w:lang w:val="fr-FR"/>
        </w:rPr>
        <w:t xml:space="preserve">compris les initiatives régionales) et présentation du rapport "Niveau de développement du numérique et tendances dans ce domaine dans les </w:t>
      </w:r>
      <w:r w:rsidR="00403D5B" w:rsidRPr="00B64E57">
        <w:rPr>
          <w:lang w:val="fr-FR"/>
        </w:rPr>
        <w:t>États</w:t>
      </w:r>
      <w:r w:rsidR="00D71ABF" w:rsidRPr="00B64E57">
        <w:rPr>
          <w:lang w:val="fr-FR"/>
        </w:rPr>
        <w:t> </w:t>
      </w:r>
      <w:r w:rsidR="009E11EF" w:rsidRPr="00B64E57">
        <w:rPr>
          <w:lang w:val="fr-FR"/>
        </w:rPr>
        <w:t>arabes: Enjeux et perspectives"</w:t>
      </w:r>
    </w:p>
    <w:p w14:paraId="5DCD6464" w14:textId="2E5F71DE" w:rsidR="009E11EF" w:rsidRPr="00B64E57" w:rsidRDefault="009E11EF" w:rsidP="009E11EF">
      <w:pPr>
        <w:rPr>
          <w:rFonts w:eastAsia="Calibri" w:cstheme="minorHAnsi"/>
          <w:color w:val="000000" w:themeColor="text1"/>
          <w:szCs w:val="24"/>
          <w:lang w:val="fr-FR"/>
        </w:rPr>
      </w:pPr>
      <w:hyperlink r:id="rId18">
        <w:r w:rsidRPr="00B64E57">
          <w:rPr>
            <w:rStyle w:val="Hyperlink"/>
            <w:lang w:val="fr-FR"/>
          </w:rPr>
          <w:t>Document 2(Rév.2)</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Rapport sur la mise en œuvre du Plan d</w:t>
        </w:r>
        <w:r w:rsidR="00E15F9C" w:rsidRPr="00B64E57">
          <w:rPr>
            <w:b/>
            <w:bCs/>
            <w:lang w:val="fr-FR"/>
          </w:rPr>
          <w:t>'</w:t>
        </w:r>
        <w:r w:rsidRPr="00B64E57">
          <w:rPr>
            <w:b/>
            <w:bCs/>
            <w:lang w:val="fr-FR"/>
          </w:rPr>
          <w:t>action de Kigali de la CMDT-22 (y compris les initiatives régionales</w:t>
        </w:r>
        <w:r w:rsidRPr="00B64E57">
          <w:rPr>
            <w:lang w:val="fr-FR"/>
          </w:rPr>
          <w:t>)</w:t>
        </w:r>
        <w:r w:rsidR="00403D5B" w:rsidRPr="00B64E57">
          <w:rPr>
            <w:lang w:val="fr-FR"/>
          </w:rPr>
          <w:t>"</w:t>
        </w:r>
        <w:r w:rsidRPr="00B64E57">
          <w:rPr>
            <w:lang w:val="fr-FR"/>
          </w:rPr>
          <w:t xml:space="preserve"> a été présenté par le </w:t>
        </w:r>
        <w:r w:rsidR="00403D5B" w:rsidRPr="00B64E57">
          <w:rPr>
            <w:lang w:val="fr-FR"/>
          </w:rPr>
          <w:t>s</w:t>
        </w:r>
        <w:r w:rsidRPr="00B64E57">
          <w:rPr>
            <w:lang w:val="fr-FR"/>
          </w:rPr>
          <w:t>ecrétariat.</w:t>
        </w:r>
      </w:hyperlink>
    </w:p>
    <w:p w14:paraId="2B913329" w14:textId="372F949A" w:rsidR="009E11EF" w:rsidRPr="00B64E57" w:rsidRDefault="009E11EF" w:rsidP="009E11EF">
      <w:pPr>
        <w:rPr>
          <w:rFonts w:eastAsia="Calibri" w:cstheme="minorHAnsi"/>
          <w:color w:val="000000" w:themeColor="text1"/>
          <w:szCs w:val="24"/>
          <w:lang w:val="fr-FR"/>
        </w:rPr>
      </w:pPr>
      <w:r w:rsidRPr="00B64E57">
        <w:rPr>
          <w:lang w:val="fr-FR"/>
        </w:rPr>
        <w:t>Ce rapport donne des informations sur la mise en œuvre du Plan d</w:t>
      </w:r>
      <w:r w:rsidR="00E15F9C" w:rsidRPr="00B64E57">
        <w:rPr>
          <w:lang w:val="fr-FR"/>
        </w:rPr>
        <w:t>'</w:t>
      </w:r>
      <w:r w:rsidRPr="00B64E57">
        <w:rPr>
          <w:lang w:val="fr-FR"/>
        </w:rPr>
        <w:t xml:space="preserve">action de Kigali entre mai et décembre 2024 et rend compte des progrès réalisés dans le développement des télécommunications et des TIC entre les régions. Parmi les principaux résultats figurent le </w:t>
      </w:r>
      <w:r w:rsidRPr="00B64E57">
        <w:rPr>
          <w:lang w:val="fr-FR"/>
        </w:rPr>
        <w:lastRenderedPageBreak/>
        <w:t>renforcement des capacités mondiales de télécommunications d</w:t>
      </w:r>
      <w:r w:rsidR="00E15F9C" w:rsidRPr="00B64E57">
        <w:rPr>
          <w:lang w:val="fr-FR"/>
        </w:rPr>
        <w:t>'</w:t>
      </w:r>
      <w:r w:rsidRPr="00B64E57">
        <w:rPr>
          <w:lang w:val="fr-FR"/>
        </w:rPr>
        <w:t>urgence et l</w:t>
      </w:r>
      <w:r w:rsidR="00E15F9C" w:rsidRPr="00B64E57">
        <w:rPr>
          <w:lang w:val="fr-FR"/>
        </w:rPr>
        <w:t>'</w:t>
      </w:r>
      <w:r w:rsidRPr="00B64E57">
        <w:rPr>
          <w:lang w:val="fr-FR"/>
        </w:rPr>
        <w:t>appui fourni aux États Membres en vue de la mise en place de systèmes d</w:t>
      </w:r>
      <w:r w:rsidR="00E15F9C" w:rsidRPr="00B64E57">
        <w:rPr>
          <w:lang w:val="fr-FR"/>
        </w:rPr>
        <w:t>'</w:t>
      </w:r>
      <w:r w:rsidRPr="00B64E57">
        <w:rPr>
          <w:lang w:val="fr-FR"/>
        </w:rPr>
        <w:t>alerte avancée dans le cadre de l</w:t>
      </w:r>
      <w:r w:rsidR="00E15F9C" w:rsidRPr="00B64E57">
        <w:rPr>
          <w:lang w:val="fr-FR"/>
        </w:rPr>
        <w:t>'</w:t>
      </w:r>
      <w:r w:rsidRPr="00B64E57">
        <w:rPr>
          <w:lang w:val="fr-FR"/>
        </w:rPr>
        <w:t>initiative "Alertes précoces pour tous" (EW4ALL). Le rapport met également en lumière les efforts déployés en collaboration avec les organisations internationales et les parties prenantes locales pour élaborer des plans nationaux de télécommunications d</w:t>
      </w:r>
      <w:r w:rsidR="00E15F9C" w:rsidRPr="00B64E57">
        <w:rPr>
          <w:lang w:val="fr-FR"/>
        </w:rPr>
        <w:t>'</w:t>
      </w:r>
      <w:r w:rsidRPr="00B64E57">
        <w:rPr>
          <w:lang w:val="fr-FR"/>
        </w:rPr>
        <w:t>urgence dans des pays tels que Djibouti, la Mauritanie et la Somalie. En outre, il y est indiqué que les initiatives relatives à la cartographie des infrastructures, à la gestion du spectre et au développement du large bande ont été essentielles pour combler les lacunes en matière de connectivité des TIC et améliorer la résilience des infrastructures.</w:t>
      </w:r>
    </w:p>
    <w:p w14:paraId="7C6475C5" w14:textId="6D120E73" w:rsidR="009E11EF" w:rsidRPr="00B64E57" w:rsidRDefault="009E11EF" w:rsidP="009E11EF">
      <w:pPr>
        <w:rPr>
          <w:rFonts w:eastAsia="Calibri" w:cstheme="minorHAnsi"/>
          <w:color w:val="000000" w:themeColor="text1"/>
          <w:szCs w:val="24"/>
          <w:lang w:val="fr-FR"/>
        </w:rPr>
      </w:pPr>
      <w:r w:rsidRPr="00B64E57">
        <w:rPr>
          <w:lang w:val="fr-FR"/>
        </w:rPr>
        <w:t>Le rapport met en évidence les efforts de renforcement des capacités, tels que les ateliers et les formations sur les compétences numériques et les politiques en matière de TIC, qui ont été déployés à l'intention de différents groupes de population, notamment les femmes, les jeunes et les communautés mal desservies. Il fait état de progrès considérables qui ont été réalisés dans la promotion des écosystèmes de l</w:t>
      </w:r>
      <w:r w:rsidR="00E15F9C" w:rsidRPr="00B64E57">
        <w:rPr>
          <w:lang w:val="fr-FR"/>
        </w:rPr>
        <w:t>'</w:t>
      </w:r>
      <w:r w:rsidRPr="00B64E57">
        <w:rPr>
          <w:lang w:val="fr-FR"/>
        </w:rPr>
        <w:t>innovation numérique, l</w:t>
      </w:r>
      <w:r w:rsidR="00E15F9C" w:rsidRPr="00B64E57">
        <w:rPr>
          <w:lang w:val="fr-FR"/>
        </w:rPr>
        <w:t>'</w:t>
      </w:r>
      <w:r w:rsidRPr="00B64E57">
        <w:rPr>
          <w:lang w:val="fr-FR"/>
        </w:rPr>
        <w:t>élaboration de cadres réglementaires et la promotion du développement durable grâce à des projets de transformation numérique. Il contient également un appel en faveur du renforcement de la collaboration, de l'élaboration de stratégies adaptées et d'investissements dans les technologies émergentes, dans le but de remédier aux disparités persistantes et d</w:t>
      </w:r>
      <w:r w:rsidR="00E15F9C" w:rsidRPr="00B64E57">
        <w:rPr>
          <w:lang w:val="fr-FR"/>
        </w:rPr>
        <w:t>'</w:t>
      </w:r>
      <w:r w:rsidRPr="00B64E57">
        <w:rPr>
          <w:lang w:val="fr-FR"/>
        </w:rPr>
        <w:t>assurer une connectivité inclusive, dans la droite ligne des Objectifs de développement durable (ODD).</w:t>
      </w:r>
    </w:p>
    <w:p w14:paraId="35070A84" w14:textId="4A302204" w:rsidR="009E11EF" w:rsidRPr="00B64E57" w:rsidRDefault="009E11EF" w:rsidP="009E11EF">
      <w:pPr>
        <w:rPr>
          <w:rFonts w:eastAsia="Calibri" w:cstheme="minorHAnsi"/>
          <w:color w:val="000000" w:themeColor="text1"/>
          <w:szCs w:val="24"/>
          <w:lang w:val="fr-FR"/>
        </w:rPr>
      </w:pPr>
      <w:r w:rsidRPr="00B64E57">
        <w:rPr>
          <w:lang w:val="fr-FR"/>
        </w:rPr>
        <w:t>Les initiatives régionales, qui correspondent aux cinq domaines prioritaires qui ont été définis et arrêtés par les Membres de la région des États arabes et approuvés par la CMDT-</w:t>
      </w:r>
      <w:r w:rsidR="00403D5B" w:rsidRPr="00B64E57">
        <w:rPr>
          <w:lang w:val="fr-FR"/>
        </w:rPr>
        <w:t>22</w:t>
      </w:r>
      <w:r w:rsidRPr="00B64E57">
        <w:rPr>
          <w:lang w:val="fr-FR"/>
        </w:rPr>
        <w:t>, sont décrites dans le Plan d'action de Kigali.</w:t>
      </w:r>
    </w:p>
    <w:p w14:paraId="6A2B3ED8" w14:textId="3395D72F" w:rsidR="009E11EF" w:rsidRPr="00B64E57" w:rsidRDefault="009E11EF" w:rsidP="009E11EF">
      <w:pPr>
        <w:rPr>
          <w:rFonts w:eastAsia="Calibri" w:cstheme="minorHAnsi"/>
          <w:color w:val="000000" w:themeColor="text1"/>
          <w:szCs w:val="24"/>
          <w:lang w:val="fr-FR"/>
        </w:rPr>
      </w:pPr>
      <w:r w:rsidRPr="00B64E57">
        <w:rPr>
          <w:lang w:val="fr-FR"/>
        </w:rPr>
        <w:t>Les initiatives régionales de l'UIT pour la région des États arabes sont les suivantes:</w:t>
      </w:r>
    </w:p>
    <w:p w14:paraId="1816DCF5" w14:textId="2E8004F3" w:rsidR="009E11EF" w:rsidRPr="00B64E57" w:rsidRDefault="0065506B" w:rsidP="0065506B">
      <w:pPr>
        <w:pStyle w:val="enumlev1"/>
        <w:rPr>
          <w:rFonts w:eastAsia="Calibri" w:cstheme="minorHAnsi"/>
          <w:color w:val="000000" w:themeColor="text1"/>
          <w:szCs w:val="24"/>
          <w:lang w:val="fr-FR"/>
        </w:rPr>
      </w:pPr>
      <w:r w:rsidRPr="00B64E57">
        <w:rPr>
          <w:lang w:val="fr-FR"/>
        </w:rPr>
        <w:t>–</w:t>
      </w:r>
      <w:r w:rsidRPr="00B64E57">
        <w:rPr>
          <w:lang w:val="fr-FR"/>
        </w:rPr>
        <w:tab/>
      </w:r>
      <w:r w:rsidR="009E11EF" w:rsidRPr="00B64E57">
        <w:rPr>
          <w:lang w:val="fr-FR"/>
        </w:rPr>
        <w:t>ARB1: Parvenir à une économie numérique durable grâce à la transformation numérique</w:t>
      </w:r>
    </w:p>
    <w:p w14:paraId="4027597A" w14:textId="004A9A4D" w:rsidR="009E11EF" w:rsidRPr="00B64E57" w:rsidRDefault="0065506B" w:rsidP="0065506B">
      <w:pPr>
        <w:pStyle w:val="enumlev1"/>
        <w:rPr>
          <w:rFonts w:eastAsia="Calibri" w:cstheme="minorHAnsi"/>
          <w:color w:val="000000" w:themeColor="text1"/>
          <w:szCs w:val="24"/>
          <w:lang w:val="fr-FR"/>
        </w:rPr>
      </w:pPr>
      <w:r w:rsidRPr="00B64E57">
        <w:rPr>
          <w:lang w:val="fr-FR"/>
        </w:rPr>
        <w:t>–</w:t>
      </w:r>
      <w:r w:rsidRPr="00B64E57">
        <w:rPr>
          <w:lang w:val="fr-FR"/>
        </w:rPr>
        <w:tab/>
      </w:r>
      <w:r w:rsidR="009E11EF" w:rsidRPr="00B64E57">
        <w:rPr>
          <w:lang w:val="fr-FR"/>
        </w:rPr>
        <w:t>ARB2: Renforcer la confiance, la sécurité et la confidentialité dans l'utilisation des télécommunications/technologies de l'information et de la communication à l'ère des technologies numériques nouvelles et émergentes</w:t>
      </w:r>
    </w:p>
    <w:p w14:paraId="40A0792F" w14:textId="5D7426A7" w:rsidR="009E11EF" w:rsidRPr="00B64E57" w:rsidRDefault="0065506B" w:rsidP="0065506B">
      <w:pPr>
        <w:pStyle w:val="enumlev1"/>
        <w:rPr>
          <w:rFonts w:eastAsia="Calibri" w:cstheme="minorHAnsi"/>
          <w:color w:val="000000" w:themeColor="text1"/>
          <w:szCs w:val="24"/>
          <w:lang w:val="fr-FR"/>
        </w:rPr>
      </w:pPr>
      <w:r w:rsidRPr="00B64E57">
        <w:rPr>
          <w:lang w:val="fr-FR"/>
        </w:rPr>
        <w:t>–</w:t>
      </w:r>
      <w:r w:rsidRPr="00B64E57">
        <w:rPr>
          <w:lang w:val="fr-FR"/>
        </w:rPr>
        <w:tab/>
      </w:r>
      <w:r w:rsidR="009E11EF" w:rsidRPr="00B64E57">
        <w:rPr>
          <w:lang w:val="fr-FR"/>
        </w:rPr>
        <w:t>ARB3: Développer l'infrastructure numérique au service des villes et des communautés intelligentes et durables</w:t>
      </w:r>
    </w:p>
    <w:p w14:paraId="6755CE13" w14:textId="3D56A1F2" w:rsidR="009E11EF" w:rsidRPr="00B64E57" w:rsidRDefault="0065506B" w:rsidP="0065506B">
      <w:pPr>
        <w:pStyle w:val="enumlev1"/>
        <w:rPr>
          <w:rFonts w:eastAsia="Calibri" w:cstheme="minorHAnsi"/>
          <w:color w:val="000000" w:themeColor="text1"/>
          <w:szCs w:val="24"/>
          <w:lang w:val="fr-FR"/>
        </w:rPr>
      </w:pPr>
      <w:r w:rsidRPr="00B64E57">
        <w:rPr>
          <w:lang w:val="fr-FR"/>
        </w:rPr>
        <w:t>–</w:t>
      </w:r>
      <w:r w:rsidRPr="00B64E57">
        <w:rPr>
          <w:lang w:val="fr-FR"/>
        </w:rPr>
        <w:tab/>
      </w:r>
      <w:r w:rsidR="009E11EF" w:rsidRPr="00B64E57">
        <w:rPr>
          <w:lang w:val="fr-FR"/>
        </w:rPr>
        <w:t>ARB4: Renforcer les capacités et encourager l'innovation, l'entrepreneuriat et l'anticipation dans le domaine du numérique</w:t>
      </w:r>
    </w:p>
    <w:p w14:paraId="61CF8C1D" w14:textId="4BFBACDC" w:rsidR="009E11EF" w:rsidRPr="00B64E57" w:rsidRDefault="0065506B" w:rsidP="0065506B">
      <w:pPr>
        <w:pStyle w:val="enumlev1"/>
        <w:rPr>
          <w:rFonts w:eastAsia="Calibri" w:cstheme="minorHAnsi"/>
          <w:color w:val="000000" w:themeColor="text1"/>
          <w:szCs w:val="24"/>
          <w:lang w:val="fr-FR"/>
        </w:rPr>
      </w:pPr>
      <w:r w:rsidRPr="00B64E57">
        <w:rPr>
          <w:lang w:val="fr-FR"/>
        </w:rPr>
        <w:t>–</w:t>
      </w:r>
      <w:r w:rsidRPr="00B64E57">
        <w:rPr>
          <w:lang w:val="fr-FR"/>
        </w:rPr>
        <w:tab/>
      </w:r>
      <w:r w:rsidR="009E11EF" w:rsidRPr="00B64E57">
        <w:rPr>
          <w:lang w:val="fr-FR"/>
        </w:rPr>
        <w:t>ARB5: Élaborer des moyens pour réglementer le numérique</w:t>
      </w:r>
    </w:p>
    <w:p w14:paraId="723F0CDF" w14:textId="4871A5E8" w:rsidR="009E11EF" w:rsidRPr="00B64E57" w:rsidRDefault="009E11EF" w:rsidP="009E11EF">
      <w:pPr>
        <w:rPr>
          <w:rFonts w:eastAsia="Calibri" w:cstheme="minorHAnsi"/>
          <w:color w:val="000000" w:themeColor="text1"/>
          <w:szCs w:val="24"/>
          <w:lang w:val="fr-FR"/>
        </w:rPr>
      </w:pPr>
      <w:r w:rsidRPr="00B64E57">
        <w:rPr>
          <w:lang w:val="fr-FR"/>
        </w:rPr>
        <w:t xml:space="preserve">Lors des discussions, le </w:t>
      </w:r>
      <w:r w:rsidR="00080A82" w:rsidRPr="00B64E57">
        <w:rPr>
          <w:lang w:val="fr-FR"/>
        </w:rPr>
        <w:t>s</w:t>
      </w:r>
      <w:r w:rsidRPr="00B64E57">
        <w:rPr>
          <w:lang w:val="fr-FR"/>
        </w:rPr>
        <w:t>ecrétariat a précisé qu'une analyse plus approfondie des réussites et des lacunes concernant la mise en œuvre des initiatives régionales pourrait être effectuée en partenariat avec les membres.</w:t>
      </w:r>
    </w:p>
    <w:p w14:paraId="77DDCD21" w14:textId="4AF6890D" w:rsidR="009E11EF" w:rsidRPr="00B64E57" w:rsidRDefault="009E11EF" w:rsidP="009E11EF">
      <w:pPr>
        <w:rPr>
          <w:rFonts w:eastAsia="Calibri" w:cstheme="minorHAnsi"/>
          <w:color w:val="000000" w:themeColor="text1"/>
          <w:szCs w:val="24"/>
          <w:lang w:val="fr-FR"/>
        </w:rPr>
      </w:pPr>
      <w:r w:rsidRPr="00B64E57">
        <w:rPr>
          <w:lang w:val="fr-FR"/>
        </w:rPr>
        <w:t>De plus, les membres ont été invités à contribuer financièrement et en nature à la mise en œuvre des futures initiatives régionales, le financement des initiatives s'étant révélé être un défi pendant la période actuelle. Par ailleurs, les membres ont également été invités à participer à l'élaboration des nouvelles initiatives régionales qui seront adoptées à la CMDT-25, l'objectif étant de s'assurer qu'elles tiennent compte des besoins de tous les pays de la région. Il a été précisé que les projets en cours actuellement se poursuivraient conformément à leur calendrier.</w:t>
      </w:r>
    </w:p>
    <w:p w14:paraId="13137097" w14:textId="6EF49468" w:rsidR="009E11EF" w:rsidRPr="00B64E57" w:rsidRDefault="009E11EF" w:rsidP="009E11EF">
      <w:pPr>
        <w:rPr>
          <w:rFonts w:eastAsia="Calibri" w:cstheme="minorHAnsi"/>
          <w:color w:val="000000" w:themeColor="text1"/>
          <w:szCs w:val="24"/>
          <w:lang w:val="fr-FR"/>
        </w:rPr>
      </w:pPr>
      <w:r w:rsidRPr="00B64E57">
        <w:rPr>
          <w:lang w:val="fr-FR"/>
        </w:rPr>
        <w:t>La présentation du document a été suivie d</w:t>
      </w:r>
      <w:r w:rsidR="00E15F9C" w:rsidRPr="00B64E57">
        <w:rPr>
          <w:lang w:val="fr-FR"/>
        </w:rPr>
        <w:t>'</w:t>
      </w:r>
      <w:r w:rsidRPr="00B64E57">
        <w:rPr>
          <w:lang w:val="fr-FR"/>
        </w:rPr>
        <w:t>une vidéo illustrant les retombées des activités menées par l</w:t>
      </w:r>
      <w:r w:rsidR="00E15F9C" w:rsidRPr="00B64E57">
        <w:rPr>
          <w:lang w:val="fr-FR"/>
        </w:rPr>
        <w:t>'</w:t>
      </w:r>
      <w:r w:rsidRPr="00B64E57">
        <w:rPr>
          <w:lang w:val="fr-FR"/>
        </w:rPr>
        <w:t>UIT.</w:t>
      </w:r>
    </w:p>
    <w:p w14:paraId="6BD2FF3C" w14:textId="77777777" w:rsidR="009E11EF" w:rsidRPr="00B64E57" w:rsidRDefault="009E11EF" w:rsidP="009E11EF">
      <w:pPr>
        <w:rPr>
          <w:rFonts w:eastAsia="Calibri" w:cstheme="minorHAnsi"/>
          <w:b/>
          <w:szCs w:val="24"/>
          <w:lang w:val="fr-FR"/>
        </w:rPr>
      </w:pPr>
      <w:r w:rsidRPr="00B64E57">
        <w:rPr>
          <w:b/>
          <w:bCs/>
          <w:lang w:val="fr-FR"/>
        </w:rPr>
        <w:lastRenderedPageBreak/>
        <w:t>Les participants à la réunion RPM-ARB ont pris note avec satisfaction du Document 2.</w:t>
      </w:r>
    </w:p>
    <w:p w14:paraId="18968B59" w14:textId="2ABE58D6" w:rsidR="009E11EF" w:rsidRPr="00B64E57" w:rsidRDefault="009E11EF" w:rsidP="009E11EF">
      <w:pPr>
        <w:rPr>
          <w:rFonts w:eastAsia="Calibri" w:cstheme="minorHAnsi"/>
          <w:color w:val="000000" w:themeColor="text1"/>
          <w:szCs w:val="24"/>
          <w:lang w:val="fr-FR"/>
        </w:rPr>
      </w:pPr>
      <w:hyperlink r:id="rId19">
        <w:r w:rsidRPr="00B64E57">
          <w:rPr>
            <w:rStyle w:val="Hyperlink"/>
            <w:lang w:val="fr-FR"/>
          </w:rPr>
          <w:t>Document 3(Rév.2)</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 xml:space="preserve">Niveau de développement du numérique et tendances dans ce domaine dans les </w:t>
        </w:r>
        <w:r w:rsidR="003456C2" w:rsidRPr="00B64E57">
          <w:rPr>
            <w:b/>
            <w:bCs/>
            <w:lang w:val="fr-FR"/>
          </w:rPr>
          <w:t>États</w:t>
        </w:r>
        <w:r w:rsidRPr="00B64E57">
          <w:rPr>
            <w:b/>
            <w:bCs/>
            <w:lang w:val="fr-FR"/>
          </w:rPr>
          <w:t xml:space="preserve"> arabes: Enjeux et perspectives</w:t>
        </w:r>
        <w:r w:rsidR="00403D5B" w:rsidRPr="00B64E57">
          <w:rPr>
            <w:lang w:val="fr-FR"/>
          </w:rPr>
          <w:t>"</w:t>
        </w:r>
        <w:r w:rsidRPr="00B64E57">
          <w:rPr>
            <w:lang w:val="fr-FR"/>
          </w:rPr>
          <w:t xml:space="preserve"> a été présenté par le </w:t>
        </w:r>
        <w:r w:rsidR="003456C2" w:rsidRPr="00B64E57">
          <w:rPr>
            <w:lang w:val="fr-FR"/>
          </w:rPr>
          <w:t>s</w:t>
        </w:r>
        <w:r w:rsidRPr="00B64E57">
          <w:rPr>
            <w:lang w:val="fr-FR"/>
          </w:rPr>
          <w:t>ecrétariat.</w:t>
        </w:r>
      </w:hyperlink>
    </w:p>
    <w:p w14:paraId="626C9432" w14:textId="606BE335" w:rsidR="009E11EF" w:rsidRPr="00B64E57" w:rsidRDefault="009E11EF" w:rsidP="009E11EF">
      <w:pPr>
        <w:rPr>
          <w:rFonts w:eastAsia="Calibri" w:cstheme="minorHAnsi"/>
          <w:color w:val="000000" w:themeColor="text1"/>
          <w:szCs w:val="24"/>
          <w:lang w:val="fr-FR"/>
        </w:rPr>
      </w:pPr>
      <w:r w:rsidRPr="00B64E57">
        <w:rPr>
          <w:lang w:val="fr-FR"/>
        </w:rPr>
        <w:t>Ce document vise à donner des informations aux participants et aux parties prenantes en vue de l</w:t>
      </w:r>
      <w:r w:rsidR="00E15F9C" w:rsidRPr="00B64E57">
        <w:rPr>
          <w:lang w:val="fr-FR"/>
        </w:rPr>
        <w:t>'</w:t>
      </w:r>
      <w:r w:rsidRPr="00B64E57">
        <w:rPr>
          <w:lang w:val="fr-FR"/>
        </w:rPr>
        <w:t>élaboration des priorités de la région dans le domaine du numérique. Il comprend deux parties: la première dresse un état des lieux du niveau de développement du numérique dans les États</w:t>
      </w:r>
      <w:r w:rsidR="003456C2" w:rsidRPr="00B64E57">
        <w:rPr>
          <w:lang w:val="fr-FR"/>
        </w:rPr>
        <w:t> </w:t>
      </w:r>
      <w:r w:rsidRPr="00B64E57">
        <w:rPr>
          <w:lang w:val="fr-FR"/>
        </w:rPr>
        <w:t>arabes au moyen d'indicateurs fondamentaux, et la seconde contient des études de cas porteuses d'effets dans la région.</w:t>
      </w:r>
    </w:p>
    <w:p w14:paraId="7A7E2B36" w14:textId="66BA63EC" w:rsidR="009E11EF" w:rsidRPr="00B64E57" w:rsidRDefault="009E11EF" w:rsidP="009E11EF">
      <w:pPr>
        <w:rPr>
          <w:rFonts w:eastAsia="Calibri" w:cstheme="minorHAnsi"/>
          <w:color w:val="000000" w:themeColor="text1"/>
          <w:szCs w:val="24"/>
          <w:lang w:val="fr-FR"/>
        </w:rPr>
      </w:pPr>
      <w:r w:rsidRPr="00B64E57">
        <w:rPr>
          <w:lang w:val="fr-FR"/>
        </w:rPr>
        <w:t>Le rapport met en évidence les progrès réalisés dans la région en ce qui concerne la couverture du large bande fixe et mobile, tout en appelant l</w:t>
      </w:r>
      <w:r w:rsidR="00E15F9C" w:rsidRPr="00B64E57">
        <w:rPr>
          <w:lang w:val="fr-FR"/>
        </w:rPr>
        <w:t>'</w:t>
      </w:r>
      <w:r w:rsidRPr="00B64E57">
        <w:rPr>
          <w:lang w:val="fr-FR"/>
        </w:rPr>
        <w:t>attention sur les obstacles tels que l</w:t>
      </w:r>
      <w:r w:rsidR="00E15F9C" w:rsidRPr="00B64E57">
        <w:rPr>
          <w:lang w:val="fr-FR"/>
        </w:rPr>
        <w:t>'</w:t>
      </w:r>
      <w:r w:rsidRPr="00B64E57">
        <w:rPr>
          <w:lang w:val="fr-FR"/>
        </w:rPr>
        <w:t>accessibilité financière, le manque de sensibilisation et les compétences limitées en matière de TIC. La persistance des fractures numériques entre les groupes géographiques, entre les hommes et les femmes et entre les zones rurales et les zones urbaines continue d'avoir des incidences négatives sur l</w:t>
      </w:r>
      <w:r w:rsidR="00E15F9C" w:rsidRPr="00B64E57">
        <w:rPr>
          <w:lang w:val="fr-FR"/>
        </w:rPr>
        <w:t>'</w:t>
      </w:r>
      <w:r w:rsidRPr="00B64E57">
        <w:rPr>
          <w:lang w:val="fr-FR"/>
        </w:rPr>
        <w:t>accès à l</w:t>
      </w:r>
      <w:r w:rsidR="00E15F9C" w:rsidRPr="00B64E57">
        <w:rPr>
          <w:lang w:val="fr-FR"/>
        </w:rPr>
        <w:t>'</w:t>
      </w:r>
      <w:r w:rsidRPr="00B64E57">
        <w:rPr>
          <w:lang w:val="fr-FR"/>
        </w:rPr>
        <w:t>Internet et à la possession des équipements TIC.</w:t>
      </w:r>
    </w:p>
    <w:p w14:paraId="554CA9C8" w14:textId="17983578" w:rsidR="009E11EF" w:rsidRPr="00B64E57" w:rsidRDefault="009E11EF" w:rsidP="009E11EF">
      <w:pPr>
        <w:rPr>
          <w:rFonts w:eastAsia="Calibri" w:cstheme="minorHAnsi"/>
          <w:color w:val="000000" w:themeColor="text1"/>
          <w:szCs w:val="24"/>
          <w:lang w:val="fr-FR"/>
        </w:rPr>
      </w:pPr>
      <w:r w:rsidRPr="00B64E57">
        <w:rPr>
          <w:lang w:val="fr-FR"/>
        </w:rPr>
        <w:t>Le rapport met également en évidence des études de cas sur des initiatives mises en œuvre avec l</w:t>
      </w:r>
      <w:r w:rsidR="00E15F9C" w:rsidRPr="00B64E57">
        <w:rPr>
          <w:lang w:val="fr-FR"/>
        </w:rPr>
        <w:t>'</w:t>
      </w:r>
      <w:r w:rsidRPr="00B64E57">
        <w:rPr>
          <w:lang w:val="fr-FR"/>
        </w:rPr>
        <w:t>appui de l</w:t>
      </w:r>
      <w:r w:rsidR="00E15F9C" w:rsidRPr="00B64E57">
        <w:rPr>
          <w:lang w:val="fr-FR"/>
        </w:rPr>
        <w:t>'</w:t>
      </w:r>
      <w:r w:rsidRPr="00B64E57">
        <w:rPr>
          <w:lang w:val="fr-FR"/>
        </w:rPr>
        <w:t>UIT dans la région.</w:t>
      </w:r>
    </w:p>
    <w:p w14:paraId="791A3E89" w14:textId="055DE49E" w:rsidR="009E11EF" w:rsidRPr="00B64E57" w:rsidRDefault="009E11EF" w:rsidP="009E11EF">
      <w:pPr>
        <w:rPr>
          <w:rFonts w:eastAsia="Calibri" w:cstheme="minorHAnsi"/>
          <w:color w:val="000000" w:themeColor="text1"/>
          <w:szCs w:val="24"/>
          <w:lang w:val="fr-FR"/>
        </w:rPr>
      </w:pPr>
      <w:r w:rsidRPr="00B64E57">
        <w:rPr>
          <w:lang w:val="fr-FR"/>
        </w:rPr>
        <w:t>Le rapport met en lumière l</w:t>
      </w:r>
      <w:r w:rsidR="00E15F9C" w:rsidRPr="00B64E57">
        <w:rPr>
          <w:lang w:val="fr-FR"/>
        </w:rPr>
        <w:t>'</w:t>
      </w:r>
      <w:r w:rsidRPr="00B64E57">
        <w:rPr>
          <w:lang w:val="fr-FR"/>
        </w:rPr>
        <w:t>importance d'assurer une connectivité universelle et efficace, en tant qu</w:t>
      </w:r>
      <w:r w:rsidR="00E15F9C" w:rsidRPr="00B64E57">
        <w:rPr>
          <w:lang w:val="fr-FR"/>
        </w:rPr>
        <w:t>'</w:t>
      </w:r>
      <w:r w:rsidRPr="00B64E57">
        <w:rPr>
          <w:lang w:val="fr-FR"/>
        </w:rPr>
        <w:t>impératif politique, ainsi que d'investir dans les données et de renforcer la réglementation, dans le but de réduire les fractures numériques et d'opérer la transformation numérique de la région.</w:t>
      </w:r>
    </w:p>
    <w:p w14:paraId="7EDE08A6" w14:textId="0DED8178" w:rsidR="009E11EF" w:rsidRPr="00B64E57" w:rsidRDefault="009E11EF" w:rsidP="009E11EF">
      <w:pPr>
        <w:rPr>
          <w:rFonts w:eastAsia="Calibri" w:cstheme="minorHAnsi"/>
          <w:szCs w:val="24"/>
          <w:lang w:val="fr-FR"/>
        </w:rPr>
      </w:pPr>
      <w:r w:rsidRPr="00B64E57">
        <w:rPr>
          <w:lang w:val="fr-FR"/>
        </w:rPr>
        <w:t xml:space="preserve">La présentation est accessible via ce </w:t>
      </w:r>
      <w:hyperlink r:id="rId20" w:history="1">
        <w:r w:rsidRPr="00B64E57">
          <w:rPr>
            <w:rStyle w:val="Hyperlink"/>
            <w:lang w:val="fr-FR"/>
          </w:rPr>
          <w:t>lien</w:t>
        </w:r>
      </w:hyperlink>
      <w:r w:rsidRPr="00B64E57">
        <w:rPr>
          <w:lang w:val="fr-FR"/>
        </w:rPr>
        <w:t>.</w:t>
      </w:r>
    </w:p>
    <w:p w14:paraId="26FEC450" w14:textId="77777777" w:rsidR="009E11EF" w:rsidRPr="00B64E57" w:rsidRDefault="009E11EF" w:rsidP="009E11EF">
      <w:pPr>
        <w:rPr>
          <w:rFonts w:eastAsia="Calibri" w:cstheme="minorHAnsi"/>
          <w:b/>
          <w:szCs w:val="24"/>
          <w:lang w:val="fr-FR"/>
        </w:rPr>
      </w:pPr>
      <w:r w:rsidRPr="00B64E57">
        <w:rPr>
          <w:b/>
          <w:bCs/>
          <w:lang w:val="fr-FR"/>
        </w:rPr>
        <w:t>Les participants à la réunion RPM-ARB ont pris note avec satisfaction du Document 3.</w:t>
      </w:r>
    </w:p>
    <w:p w14:paraId="16BDFC38" w14:textId="17564614" w:rsidR="009E11EF" w:rsidRPr="00B64E57" w:rsidRDefault="0065506B" w:rsidP="0065506B">
      <w:pPr>
        <w:pStyle w:val="Heading1"/>
        <w:rPr>
          <w:lang w:val="fr-FR"/>
        </w:rPr>
      </w:pPr>
      <w:r w:rsidRPr="00B64E57">
        <w:rPr>
          <w:lang w:val="fr-FR"/>
        </w:rPr>
        <w:t>6</w:t>
      </w:r>
      <w:r w:rsidRPr="00B64E57">
        <w:rPr>
          <w:lang w:val="fr-FR"/>
        </w:rPr>
        <w:tab/>
      </w:r>
      <w:r w:rsidR="009E11EF" w:rsidRPr="00B64E57">
        <w:rPr>
          <w:lang w:val="fr-FR"/>
        </w:rPr>
        <w:t>Rapport sur les décisions des autres conférences, assemblées et réunions de l'UIT liées aux travaux de l'UIT-D</w:t>
      </w:r>
    </w:p>
    <w:p w14:paraId="1181AAF1" w14:textId="518CDE78" w:rsidR="009E11EF" w:rsidRPr="00B64E57" w:rsidRDefault="009E11EF" w:rsidP="009E11EF">
      <w:pPr>
        <w:rPr>
          <w:rFonts w:eastAsiaTheme="minorEastAsia" w:cstheme="minorHAnsi"/>
          <w:szCs w:val="24"/>
          <w:lang w:val="fr-FR"/>
        </w:rPr>
      </w:pPr>
      <w:hyperlink r:id="rId21" w:history="1">
        <w:r w:rsidRPr="00B64E57">
          <w:rPr>
            <w:rStyle w:val="Hyperlink"/>
            <w:lang w:val="fr-FR"/>
          </w:rPr>
          <w:t>Document 4</w:t>
        </w:r>
        <w:r w:rsidRPr="00B64E57">
          <w:rPr>
            <w:lang w:val="fr-FR"/>
          </w:rPr>
          <w:t xml:space="preserve">: Le </w:t>
        </w:r>
        <w:r w:rsidR="003456C2" w:rsidRPr="00B64E57">
          <w:rPr>
            <w:lang w:val="fr-FR"/>
          </w:rPr>
          <w:t>s</w:t>
        </w:r>
        <w:r w:rsidRPr="00B64E57">
          <w:rPr>
            <w:lang w:val="fr-FR"/>
          </w:rPr>
          <w:t xml:space="preserve">ecrétariat a présenté le document intitulé </w:t>
        </w:r>
        <w:r w:rsidR="00403D5B" w:rsidRPr="00B64E57">
          <w:rPr>
            <w:lang w:val="fr-FR"/>
          </w:rPr>
          <w:t>"</w:t>
        </w:r>
        <w:r w:rsidRPr="00B64E57">
          <w:rPr>
            <w:b/>
            <w:bCs/>
            <w:lang w:val="fr-FR"/>
          </w:rPr>
          <w:t>Rapport sur les décisions des autres conférences, assemblées et réunions de l</w:t>
        </w:r>
        <w:r w:rsidR="00E15F9C" w:rsidRPr="00B64E57">
          <w:rPr>
            <w:b/>
            <w:bCs/>
            <w:lang w:val="fr-FR"/>
          </w:rPr>
          <w:t>'</w:t>
        </w:r>
        <w:r w:rsidRPr="00B64E57">
          <w:rPr>
            <w:b/>
            <w:bCs/>
            <w:lang w:val="fr-FR"/>
          </w:rPr>
          <w:t>UIT liées aux travaux de l</w:t>
        </w:r>
        <w:r w:rsidR="00E15F9C" w:rsidRPr="00B64E57">
          <w:rPr>
            <w:b/>
            <w:bCs/>
            <w:lang w:val="fr-FR"/>
          </w:rPr>
          <w:t>'</w:t>
        </w:r>
        <w:r w:rsidRPr="00B64E57">
          <w:rPr>
            <w:b/>
            <w:bCs/>
            <w:lang w:val="fr-FR"/>
          </w:rPr>
          <w:t>UIT-D</w:t>
        </w:r>
        <w:r w:rsidR="00403D5B" w:rsidRPr="00B64E57">
          <w:rPr>
            <w:lang w:val="fr-FR"/>
          </w:rPr>
          <w:t>"</w:t>
        </w:r>
        <w:r w:rsidRPr="00B64E57">
          <w:rPr>
            <w:lang w:val="fr-FR"/>
          </w:rPr>
          <w:t xml:space="preserve"> au titre de ce point de l</w:t>
        </w:r>
        <w:r w:rsidR="00E15F9C" w:rsidRPr="00B64E57">
          <w:rPr>
            <w:lang w:val="fr-FR"/>
          </w:rPr>
          <w:t>'</w:t>
        </w:r>
        <w:r w:rsidRPr="00B64E57">
          <w:rPr>
            <w:lang w:val="fr-FR"/>
          </w:rPr>
          <w:t>ordre du jour.</w:t>
        </w:r>
      </w:hyperlink>
    </w:p>
    <w:p w14:paraId="368794AD" w14:textId="243F9390" w:rsidR="009E11EF" w:rsidRPr="00B64E57" w:rsidRDefault="009E11EF" w:rsidP="009E11EF">
      <w:pPr>
        <w:rPr>
          <w:rFonts w:eastAsia="Calibri" w:cstheme="minorHAnsi"/>
          <w:color w:val="000000" w:themeColor="text1"/>
          <w:szCs w:val="24"/>
          <w:lang w:val="fr-FR"/>
        </w:rPr>
      </w:pPr>
      <w:r w:rsidRPr="00B64E57">
        <w:rPr>
          <w:lang w:val="fr-FR"/>
        </w:rPr>
        <w:t>Ce document récapitule les principales décisions de l</w:t>
      </w:r>
      <w:r w:rsidR="00E15F9C" w:rsidRPr="00B64E57">
        <w:rPr>
          <w:lang w:val="fr-FR"/>
        </w:rPr>
        <w:t>'</w:t>
      </w:r>
      <w:r w:rsidRPr="00B64E57">
        <w:rPr>
          <w:lang w:val="fr-FR"/>
        </w:rPr>
        <w:t>AMNT-24, de l</w:t>
      </w:r>
      <w:r w:rsidR="00E15F9C" w:rsidRPr="00B64E57">
        <w:rPr>
          <w:lang w:val="fr-FR"/>
        </w:rPr>
        <w:t>'</w:t>
      </w:r>
      <w:r w:rsidRPr="00B64E57">
        <w:rPr>
          <w:lang w:val="fr-FR"/>
        </w:rPr>
        <w:t>AR-23 et de la CMR-23, en mettant l</w:t>
      </w:r>
      <w:r w:rsidR="00E15F9C" w:rsidRPr="00B64E57">
        <w:rPr>
          <w:lang w:val="fr-FR"/>
        </w:rPr>
        <w:t>'</w:t>
      </w:r>
      <w:r w:rsidRPr="00B64E57">
        <w:rPr>
          <w:lang w:val="fr-FR"/>
        </w:rPr>
        <w:t>accent sur leur pertinence pour le Secteur du développement des télécommunications de l</w:t>
      </w:r>
      <w:r w:rsidR="00E15F9C" w:rsidRPr="00B64E57">
        <w:rPr>
          <w:lang w:val="fr-FR"/>
        </w:rPr>
        <w:t>'</w:t>
      </w:r>
      <w:r w:rsidRPr="00B64E57">
        <w:rPr>
          <w:lang w:val="fr-FR"/>
        </w:rPr>
        <w:t>UIT (UIT-D). Il vise à informer les participants à cette réunion ainsi qu'aux autres réunions préparatoires régionales (RPM) de ces résultats, les États Membres étant invités à les examiner et à veiller à ce que les résultats et les résolutions de la CMDT-25 soient alignés sur ceux adoptés à la CMR-23 et à l</w:t>
      </w:r>
      <w:r w:rsidR="00E15F9C" w:rsidRPr="00B64E57">
        <w:rPr>
          <w:lang w:val="fr-FR"/>
        </w:rPr>
        <w:t>'</w:t>
      </w:r>
      <w:r w:rsidRPr="00B64E57">
        <w:rPr>
          <w:lang w:val="fr-FR"/>
        </w:rPr>
        <w:t>AMNT-24.</w:t>
      </w:r>
    </w:p>
    <w:p w14:paraId="0A5F8260" w14:textId="6AA9F36E" w:rsidR="009E11EF" w:rsidRPr="00B64E57" w:rsidRDefault="009E11EF" w:rsidP="009E11EF">
      <w:pPr>
        <w:rPr>
          <w:rFonts w:eastAsia="Calibri" w:cstheme="minorHAnsi"/>
          <w:szCs w:val="24"/>
          <w:lang w:val="fr-FR"/>
        </w:rPr>
      </w:pPr>
      <w:r w:rsidRPr="00B64E57">
        <w:rPr>
          <w:lang w:val="fr-FR"/>
        </w:rPr>
        <w:t xml:space="preserve">Le Document 4 comprend deux </w:t>
      </w:r>
      <w:r w:rsidR="00802FD8" w:rsidRPr="00B64E57">
        <w:rPr>
          <w:lang w:val="fr-FR"/>
        </w:rPr>
        <w:t>a</w:t>
      </w:r>
      <w:r w:rsidRPr="00B64E57">
        <w:rPr>
          <w:lang w:val="fr-FR"/>
        </w:rPr>
        <w:t xml:space="preserve">nnexes, à savoir </w:t>
      </w:r>
      <w:hyperlink r:id="rId22" w:history="1">
        <w:r w:rsidRPr="00B64E57">
          <w:rPr>
            <w:lang w:val="fr-FR"/>
          </w:rPr>
          <w:t>l</w:t>
        </w:r>
        <w:r w:rsidR="00E15F9C" w:rsidRPr="00B64E57">
          <w:rPr>
            <w:lang w:val="fr-FR"/>
          </w:rPr>
          <w:t>'</w:t>
        </w:r>
        <w:r w:rsidRPr="00B64E57">
          <w:rPr>
            <w:rStyle w:val="Hyperlink"/>
            <w:lang w:val="fr-FR"/>
          </w:rPr>
          <w:t>Addendum 1 au Document 4(Rév.1)</w:t>
        </w:r>
      </w:hyperlink>
      <w:r w:rsidRPr="00B64E57">
        <w:rPr>
          <w:lang w:val="fr-FR"/>
        </w:rPr>
        <w:t>, qui donne des précisions sur les résultats de l</w:t>
      </w:r>
      <w:r w:rsidR="00E15F9C" w:rsidRPr="00B64E57">
        <w:rPr>
          <w:lang w:val="fr-FR"/>
        </w:rPr>
        <w:t>'</w:t>
      </w:r>
      <w:r w:rsidRPr="00B64E57">
        <w:rPr>
          <w:lang w:val="fr-FR"/>
        </w:rPr>
        <w:t>AMNT-24, tenue à New Delhi du 15 au 24 octobre 2024, et l</w:t>
      </w:r>
      <w:r w:rsidR="00E15F9C" w:rsidRPr="00B64E57">
        <w:rPr>
          <w:lang w:val="fr-FR"/>
        </w:rPr>
        <w:t>'</w:t>
      </w:r>
      <w:hyperlink r:id="rId23" w:history="1">
        <w:r w:rsidRPr="00B64E57">
          <w:rPr>
            <w:rStyle w:val="Hyperlink"/>
            <w:lang w:val="fr-FR"/>
          </w:rPr>
          <w:t>Addendum 2 au Document 4</w:t>
        </w:r>
      </w:hyperlink>
      <w:r w:rsidRPr="00B64E57">
        <w:rPr>
          <w:lang w:val="fr-FR"/>
        </w:rPr>
        <w:t>, qui donne des précisions sur les résultats de l</w:t>
      </w:r>
      <w:r w:rsidR="00E15F9C" w:rsidRPr="00B64E57">
        <w:rPr>
          <w:lang w:val="fr-FR"/>
        </w:rPr>
        <w:t>'</w:t>
      </w:r>
      <w:r w:rsidRPr="00B64E57">
        <w:rPr>
          <w:lang w:val="fr-FR"/>
        </w:rPr>
        <w:t>Assemblée des radiocommunications de 2023 (AR-23), de la Conférence mondiale des radiocommunications de</w:t>
      </w:r>
      <w:r w:rsidR="00802FD8" w:rsidRPr="00B64E57">
        <w:rPr>
          <w:lang w:val="fr-FR"/>
        </w:rPr>
        <w:t> </w:t>
      </w:r>
      <w:r w:rsidRPr="00B64E57">
        <w:rPr>
          <w:lang w:val="fr-FR"/>
        </w:rPr>
        <w:t>2023 (CMR-23) et de la première session de la Réunion de préparation à la Conférence (RPC27</w:t>
      </w:r>
      <w:r w:rsidR="00802FD8" w:rsidRPr="00B64E57">
        <w:rPr>
          <w:lang w:val="fr-FR"/>
        </w:rPr>
        <w:noBreakHyphen/>
      </w:r>
      <w:r w:rsidRPr="00B64E57">
        <w:rPr>
          <w:lang w:val="fr-FR"/>
        </w:rPr>
        <w:t>1) en vue de la CMR-27,</w:t>
      </w:r>
      <w:r w:rsidR="00E15F9C" w:rsidRPr="00B64E57">
        <w:rPr>
          <w:lang w:val="fr-FR"/>
        </w:rPr>
        <w:t xml:space="preserve"> </w:t>
      </w:r>
      <w:r w:rsidRPr="00B64E57">
        <w:rPr>
          <w:lang w:val="fr-FR"/>
        </w:rPr>
        <w:t>ces trois manifestations ayant eu lieu à Dubaï (Émirats</w:t>
      </w:r>
      <w:r w:rsidR="00802FD8" w:rsidRPr="00B64E57">
        <w:rPr>
          <w:lang w:val="fr-FR"/>
        </w:rPr>
        <w:t> </w:t>
      </w:r>
      <w:r w:rsidRPr="00B64E57">
        <w:rPr>
          <w:lang w:val="fr-FR"/>
        </w:rPr>
        <w:t>arabes</w:t>
      </w:r>
      <w:r w:rsidR="00802FD8" w:rsidRPr="00B64E57">
        <w:rPr>
          <w:lang w:val="fr-FR"/>
        </w:rPr>
        <w:t> </w:t>
      </w:r>
      <w:r w:rsidRPr="00B64E57">
        <w:rPr>
          <w:lang w:val="fr-FR"/>
        </w:rPr>
        <w:t xml:space="preserve">unis). Les deux annexes ont été présentées par le </w:t>
      </w:r>
      <w:r w:rsidR="00802FD8" w:rsidRPr="00B64E57">
        <w:rPr>
          <w:lang w:val="fr-FR"/>
        </w:rPr>
        <w:t>s</w:t>
      </w:r>
      <w:r w:rsidRPr="00B64E57">
        <w:rPr>
          <w:lang w:val="fr-FR"/>
        </w:rPr>
        <w:t>ecrétariat dans le cadre du Document 4.</w:t>
      </w:r>
    </w:p>
    <w:p w14:paraId="0D1941F8" w14:textId="77777777" w:rsidR="009E11EF" w:rsidRPr="00B64E57" w:rsidRDefault="009E11EF" w:rsidP="009E11EF">
      <w:pPr>
        <w:rPr>
          <w:rFonts w:cstheme="minorHAnsi"/>
          <w:b/>
          <w:bCs/>
          <w:szCs w:val="24"/>
          <w:lang w:val="fr-FR"/>
        </w:rPr>
      </w:pPr>
      <w:r w:rsidRPr="00B64E57">
        <w:rPr>
          <w:b/>
          <w:bCs/>
          <w:lang w:val="fr-FR"/>
        </w:rPr>
        <w:lastRenderedPageBreak/>
        <w:t>Les participants à la réunion RPM-ARB ont pris note avec satisfaction du Document 4 et de ses addendas.</w:t>
      </w:r>
    </w:p>
    <w:p w14:paraId="1D047733" w14:textId="302B910E" w:rsidR="009E11EF" w:rsidRPr="00B64E57" w:rsidRDefault="0065506B" w:rsidP="0065506B">
      <w:pPr>
        <w:pStyle w:val="Heading1"/>
        <w:rPr>
          <w:lang w:val="fr-FR"/>
        </w:rPr>
      </w:pPr>
      <w:r w:rsidRPr="00B64E57">
        <w:rPr>
          <w:lang w:val="fr-FR"/>
        </w:rPr>
        <w:t>7</w:t>
      </w:r>
      <w:r w:rsidRPr="00B64E57">
        <w:rPr>
          <w:lang w:val="fr-FR"/>
        </w:rPr>
        <w:tab/>
      </w:r>
      <w:r w:rsidR="009E11EF" w:rsidRPr="00B64E57">
        <w:rPr>
          <w:lang w:val="fr-FR"/>
        </w:rPr>
        <w:t>Travaux préparatoires en vue de la CMDT-25</w:t>
      </w:r>
    </w:p>
    <w:p w14:paraId="4F5DAA88" w14:textId="62B857AE" w:rsidR="009E11EF" w:rsidRPr="00B64E57" w:rsidRDefault="0065506B" w:rsidP="0065506B">
      <w:pPr>
        <w:pStyle w:val="Heading2"/>
        <w:rPr>
          <w:rFonts w:cstheme="minorHAnsi"/>
          <w:szCs w:val="24"/>
          <w:lang w:val="fr-FR"/>
        </w:rPr>
      </w:pPr>
      <w:r w:rsidRPr="00B64E57">
        <w:rPr>
          <w:lang w:val="fr-FR"/>
        </w:rPr>
        <w:t>7.1</w:t>
      </w:r>
      <w:r w:rsidRPr="00B64E57">
        <w:rPr>
          <w:lang w:val="fr-FR"/>
        </w:rPr>
        <w:tab/>
      </w:r>
      <w:r w:rsidR="009E11EF" w:rsidRPr="00B64E57">
        <w:rPr>
          <w:lang w:val="fr-FR"/>
        </w:rPr>
        <w:t>Avant-projet de contribution de l'UIT-D au Plan stratégique de l'UIT et projet de Plan</w:t>
      </w:r>
      <w:r w:rsidR="00C61398" w:rsidRPr="00B64E57">
        <w:rPr>
          <w:lang w:val="fr-FR"/>
        </w:rPr>
        <w:t> </w:t>
      </w:r>
      <w:r w:rsidR="009E11EF" w:rsidRPr="00B64E57">
        <w:rPr>
          <w:lang w:val="fr-FR"/>
        </w:rPr>
        <w:t>d'action</w:t>
      </w:r>
    </w:p>
    <w:p w14:paraId="5763F66D" w14:textId="424A5452" w:rsidR="009E11EF" w:rsidRPr="00B64E57" w:rsidRDefault="009E11EF" w:rsidP="009E11EF">
      <w:pPr>
        <w:rPr>
          <w:rFonts w:eastAsia="Calibri" w:cstheme="minorBidi"/>
          <w:lang w:val="fr-FR"/>
        </w:rPr>
      </w:pPr>
      <w:hyperlink r:id="rId24" w:tgtFrame="_blank" w:history="1">
        <w:r w:rsidRPr="00B64E57">
          <w:rPr>
            <w:rStyle w:val="Hyperlink"/>
            <w:lang w:val="fr-FR"/>
          </w:rPr>
          <w:t>Document 8</w:t>
        </w:r>
        <w:r w:rsidRPr="00B64E57">
          <w:rPr>
            <w:lang w:val="fr-FR"/>
          </w:rPr>
          <w:t>: Le document intitulé "</w:t>
        </w:r>
        <w:r w:rsidRPr="00B64E57">
          <w:rPr>
            <w:b/>
            <w:bCs/>
            <w:lang w:val="fr-FR"/>
          </w:rPr>
          <w:t>Rapport sur l</w:t>
        </w:r>
        <w:r w:rsidR="00E15F9C" w:rsidRPr="00B64E57">
          <w:rPr>
            <w:b/>
            <w:bCs/>
            <w:lang w:val="fr-FR"/>
          </w:rPr>
          <w:t>'</w:t>
        </w:r>
        <w:r w:rsidRPr="00B64E57">
          <w:rPr>
            <w:b/>
            <w:bCs/>
            <w:lang w:val="fr-FR"/>
          </w:rPr>
          <w:t>état d</w:t>
        </w:r>
        <w:r w:rsidR="00E15F9C" w:rsidRPr="00B64E57">
          <w:rPr>
            <w:b/>
            <w:bCs/>
            <w:lang w:val="fr-FR"/>
          </w:rPr>
          <w:t>'</w:t>
        </w:r>
        <w:r w:rsidRPr="00B64E57">
          <w:rPr>
            <w:b/>
            <w:bCs/>
            <w:lang w:val="fr-FR"/>
          </w:rPr>
          <w:t>avancement des travaux du Groupe de travail du GCDT sur les priorités de l</w:t>
        </w:r>
        <w:r w:rsidR="00E15F9C" w:rsidRPr="00B64E57">
          <w:rPr>
            <w:b/>
            <w:bCs/>
            <w:lang w:val="fr-FR"/>
          </w:rPr>
          <w:t>'</w:t>
        </w:r>
        <w:r w:rsidRPr="00B64E57">
          <w:rPr>
            <w:b/>
            <w:bCs/>
            <w:lang w:val="fr-FR"/>
          </w:rPr>
          <w:t>UIT-D</w:t>
        </w:r>
        <w:r w:rsidRPr="00B64E57">
          <w:rPr>
            <w:lang w:val="fr-FR"/>
          </w:rPr>
          <w:t>", a été présenté par Mme Inga Rimkevičienė, Présidente du Groupe de travail du GCDT sur les priorités de l</w:t>
        </w:r>
        <w:r w:rsidR="00E15F9C" w:rsidRPr="00B64E57">
          <w:rPr>
            <w:lang w:val="fr-FR"/>
          </w:rPr>
          <w:t>'</w:t>
        </w:r>
        <w:r w:rsidRPr="00B64E57">
          <w:rPr>
            <w:lang w:val="fr-FR"/>
          </w:rPr>
          <w:t>UIT-D.</w:t>
        </w:r>
      </w:hyperlink>
    </w:p>
    <w:p w14:paraId="30F19754" w14:textId="206383FE" w:rsidR="009E11EF" w:rsidRPr="00B64E57" w:rsidRDefault="009E11EF" w:rsidP="009E11EF">
      <w:pPr>
        <w:rPr>
          <w:rFonts w:eastAsia="Calibri" w:cstheme="minorBidi"/>
          <w:lang w:val="fr-FR"/>
        </w:rPr>
      </w:pPr>
      <w:r w:rsidRPr="00B64E57">
        <w:rPr>
          <w:lang w:val="fr-FR"/>
        </w:rPr>
        <w:t>Dans son exposé, Mme Rimkevičienė a donné un aperçu du rapport d</w:t>
      </w:r>
      <w:r w:rsidR="00E15F9C" w:rsidRPr="00B64E57">
        <w:rPr>
          <w:lang w:val="fr-FR"/>
        </w:rPr>
        <w:t>'</w:t>
      </w:r>
      <w:r w:rsidRPr="00B64E57">
        <w:rPr>
          <w:lang w:val="fr-FR"/>
        </w:rPr>
        <w:t>activité (Document 8). Elle a souligné que le Groupe avait pour mandat d</w:t>
      </w:r>
      <w:r w:rsidR="00E15F9C" w:rsidRPr="00B64E57">
        <w:rPr>
          <w:lang w:val="fr-FR"/>
        </w:rPr>
        <w:t>'</w:t>
      </w:r>
      <w:r w:rsidRPr="00B64E57">
        <w:rPr>
          <w:lang w:val="fr-FR"/>
        </w:rPr>
        <w:t>analyser et d</w:t>
      </w:r>
      <w:r w:rsidR="00E15F9C" w:rsidRPr="00B64E57">
        <w:rPr>
          <w:lang w:val="fr-FR"/>
        </w:rPr>
        <w:t>'</w:t>
      </w:r>
      <w:r w:rsidRPr="00B64E57">
        <w:rPr>
          <w:lang w:val="fr-FR"/>
        </w:rPr>
        <w:t>harmoniser les priorités de l</w:t>
      </w:r>
      <w:r w:rsidR="00E15F9C" w:rsidRPr="00B64E57">
        <w:rPr>
          <w:lang w:val="fr-FR"/>
        </w:rPr>
        <w:t>'</w:t>
      </w:r>
      <w:r w:rsidRPr="00B64E57">
        <w:rPr>
          <w:lang w:val="fr-FR"/>
        </w:rPr>
        <w:t>UIT-D avec les objectifs mondiaux de développement et de proposer des recommandations pour le Plan d</w:t>
      </w:r>
      <w:r w:rsidR="00E15F9C" w:rsidRPr="00B64E57">
        <w:rPr>
          <w:lang w:val="fr-FR"/>
        </w:rPr>
        <w:t>'</w:t>
      </w:r>
      <w:r w:rsidRPr="00B64E57">
        <w:rPr>
          <w:lang w:val="fr-FR"/>
        </w:rPr>
        <w:t>action de Bakou en vue de la CMDT-25.</w:t>
      </w:r>
    </w:p>
    <w:p w14:paraId="3F47424A" w14:textId="29202104" w:rsidR="009E11EF" w:rsidRPr="00B64E57" w:rsidRDefault="009E11EF" w:rsidP="009E11EF">
      <w:pPr>
        <w:rPr>
          <w:rFonts w:eastAsia="Calibri" w:cstheme="minorBidi"/>
          <w:lang w:val="fr-FR"/>
        </w:rPr>
      </w:pPr>
      <w:r w:rsidRPr="00B64E57">
        <w:rPr>
          <w:lang w:val="fr-FR"/>
        </w:rPr>
        <w:t>L</w:t>
      </w:r>
      <w:r w:rsidR="00E15F9C" w:rsidRPr="00B64E57">
        <w:rPr>
          <w:lang w:val="fr-FR"/>
        </w:rPr>
        <w:t>'</w:t>
      </w:r>
      <w:r w:rsidRPr="00B64E57">
        <w:rPr>
          <w:lang w:val="fr-FR"/>
        </w:rPr>
        <w:t>accent a été mis sur les travaux menés par le groupe à ce jour, notamment sur les réunions tenues jusqu</w:t>
      </w:r>
      <w:r w:rsidR="00E15F9C" w:rsidRPr="00B64E57">
        <w:rPr>
          <w:lang w:val="fr-FR"/>
        </w:rPr>
        <w:t>'</w:t>
      </w:r>
      <w:r w:rsidRPr="00B64E57">
        <w:rPr>
          <w:lang w:val="fr-FR"/>
        </w:rPr>
        <w:t>à présent et sur les discussions relatives à la proposition du Président. Mme</w:t>
      </w:r>
      <w:r w:rsidR="00C61398" w:rsidRPr="00B64E57">
        <w:rPr>
          <w:lang w:val="fr-FR"/>
        </w:rPr>
        <w:t> </w:t>
      </w:r>
      <w:r w:rsidRPr="00B64E57">
        <w:rPr>
          <w:lang w:val="fr-FR"/>
        </w:rPr>
        <w:t>Rimkevičienė a fourni des indications sur les prochaines étapes qui seront suivies par le groupe en vue de l</w:t>
      </w:r>
      <w:r w:rsidR="00E15F9C" w:rsidRPr="00B64E57">
        <w:rPr>
          <w:lang w:val="fr-FR"/>
        </w:rPr>
        <w:t>'</w:t>
      </w:r>
      <w:r w:rsidRPr="00B64E57">
        <w:rPr>
          <w:lang w:val="fr-FR"/>
        </w:rPr>
        <w:t>élaboration du produit final, qui sera soumis à la réunion de 2025 du GCDT.</w:t>
      </w:r>
    </w:p>
    <w:p w14:paraId="2BC6E361" w14:textId="22D73009" w:rsidR="009E11EF" w:rsidRPr="00B64E57" w:rsidRDefault="009E11EF" w:rsidP="009E11EF">
      <w:pPr>
        <w:rPr>
          <w:rFonts w:eastAsia="Calibri" w:cstheme="minorHAnsi"/>
          <w:szCs w:val="24"/>
          <w:lang w:val="fr-FR"/>
        </w:rPr>
      </w:pPr>
      <w:r w:rsidRPr="00B64E57">
        <w:rPr>
          <w:lang w:val="fr-FR"/>
        </w:rPr>
        <w:t xml:space="preserve">La présentation est accessible via ce </w:t>
      </w:r>
      <w:hyperlink r:id="rId25" w:history="1">
        <w:r w:rsidRPr="00B64E57">
          <w:rPr>
            <w:rStyle w:val="Hyperlink"/>
            <w:lang w:val="fr-FR"/>
          </w:rPr>
          <w:t>lien</w:t>
        </w:r>
      </w:hyperlink>
      <w:r w:rsidRPr="00B64E57">
        <w:rPr>
          <w:lang w:val="fr-FR"/>
        </w:rPr>
        <w:t>.</w:t>
      </w:r>
    </w:p>
    <w:p w14:paraId="080DD98E" w14:textId="77777777" w:rsidR="009E11EF" w:rsidRPr="00B64E57" w:rsidRDefault="009E11EF" w:rsidP="009E11EF">
      <w:pPr>
        <w:rPr>
          <w:rFonts w:cstheme="minorHAnsi"/>
          <w:b/>
          <w:bCs/>
          <w:szCs w:val="24"/>
          <w:lang w:val="fr-FR"/>
        </w:rPr>
      </w:pPr>
      <w:r w:rsidRPr="00B64E57">
        <w:rPr>
          <w:b/>
          <w:bCs/>
          <w:lang w:val="fr-FR"/>
        </w:rPr>
        <w:t>Les participants à la RPM-ARB ont pris note avec satisfaction du Document 8.</w:t>
      </w:r>
    </w:p>
    <w:p w14:paraId="165FE3D8" w14:textId="5362445D" w:rsidR="009E11EF" w:rsidRPr="00B64E57" w:rsidRDefault="0065506B" w:rsidP="0065506B">
      <w:pPr>
        <w:pStyle w:val="Heading2"/>
        <w:rPr>
          <w:rFonts w:cstheme="minorHAnsi"/>
          <w:szCs w:val="24"/>
          <w:lang w:val="fr-FR"/>
        </w:rPr>
      </w:pPr>
      <w:r w:rsidRPr="00B64E57">
        <w:rPr>
          <w:lang w:val="fr-FR"/>
        </w:rPr>
        <w:t>7.2</w:t>
      </w:r>
      <w:r w:rsidRPr="00B64E57">
        <w:rPr>
          <w:lang w:val="fr-FR"/>
        </w:rPr>
        <w:tab/>
      </w:r>
      <w:r w:rsidR="009E11EF" w:rsidRPr="00B64E57">
        <w:rPr>
          <w:lang w:val="fr-FR"/>
        </w:rPr>
        <w:t>Futures Questions confiées aux commissions d'études</w:t>
      </w:r>
    </w:p>
    <w:p w14:paraId="77B4A557" w14:textId="7048F9AD" w:rsidR="009E11EF" w:rsidRPr="00B64E57" w:rsidRDefault="009E11EF" w:rsidP="009E11EF">
      <w:pPr>
        <w:rPr>
          <w:rFonts w:cstheme="minorHAnsi"/>
          <w:szCs w:val="24"/>
          <w:lang w:val="fr-FR"/>
        </w:rPr>
      </w:pPr>
      <w:hyperlink r:id="rId26" w:tgtFrame="_blank" w:history="1">
        <w:r w:rsidRPr="00B64E57">
          <w:rPr>
            <w:rStyle w:val="Hyperlink"/>
            <w:lang w:val="fr-FR"/>
          </w:rPr>
          <w:t>Document 5(Rév.1)</w:t>
        </w:r>
        <w:r w:rsidR="00E15F9C" w:rsidRPr="00B64E57">
          <w:rPr>
            <w:lang w:val="fr-FR"/>
          </w:rPr>
          <w:t>:</w:t>
        </w:r>
        <w:r w:rsidRPr="00B64E57">
          <w:rPr>
            <w:lang w:val="fr-FR"/>
          </w:rPr>
          <w:t xml:space="preserve"> Ce document, intitulé </w:t>
        </w:r>
        <w:r w:rsidR="00403D5B" w:rsidRPr="00B64E57">
          <w:rPr>
            <w:lang w:val="fr-FR"/>
          </w:rPr>
          <w:t>"</w:t>
        </w:r>
        <w:r w:rsidRPr="00B64E57">
          <w:rPr>
            <w:b/>
            <w:bCs/>
            <w:lang w:val="fr-FR"/>
          </w:rPr>
          <w:t>Rapport sur l</w:t>
        </w:r>
        <w:r w:rsidR="00E15F9C" w:rsidRPr="00B64E57">
          <w:rPr>
            <w:b/>
            <w:bCs/>
            <w:lang w:val="fr-FR"/>
          </w:rPr>
          <w:t>'</w:t>
        </w:r>
        <w:r w:rsidRPr="00B64E57">
          <w:rPr>
            <w:b/>
            <w:bCs/>
            <w:lang w:val="fr-FR"/>
          </w:rPr>
          <w:t>état d</w:t>
        </w:r>
        <w:r w:rsidR="00E15F9C" w:rsidRPr="00B64E57">
          <w:rPr>
            <w:b/>
            <w:bCs/>
            <w:lang w:val="fr-FR"/>
          </w:rPr>
          <w:t>'</w:t>
        </w:r>
        <w:r w:rsidRPr="00B64E57">
          <w:rPr>
            <w:b/>
            <w:bCs/>
            <w:lang w:val="fr-FR"/>
          </w:rPr>
          <w:t>avancement des travaux du GT</w:t>
        </w:r>
        <w:r w:rsidR="00C61398" w:rsidRPr="00B64E57">
          <w:rPr>
            <w:b/>
            <w:bCs/>
            <w:lang w:val="fr-FR"/>
          </w:rPr>
          <w:noBreakHyphen/>
        </w:r>
        <w:r w:rsidRPr="00B64E57">
          <w:rPr>
            <w:b/>
            <w:bCs/>
            <w:lang w:val="fr-FR"/>
          </w:rPr>
          <w:t>GCDT-</w:t>
        </w:r>
        <w:r w:rsidR="00C61398" w:rsidRPr="00B64E57">
          <w:rPr>
            <w:b/>
            <w:bCs/>
            <w:lang w:val="fr-FR"/>
          </w:rPr>
          <w:t>future</w:t>
        </w:r>
        <w:r w:rsidRPr="00B64E57">
          <w:rPr>
            <w:b/>
            <w:bCs/>
            <w:lang w:val="fr-FR"/>
          </w:rPr>
          <w:t>SGQ</w:t>
        </w:r>
        <w:r w:rsidR="00403D5B" w:rsidRPr="00B64E57">
          <w:rPr>
            <w:lang w:val="fr-FR"/>
          </w:rPr>
          <w:t>"</w:t>
        </w:r>
        <w:r w:rsidRPr="00B64E57">
          <w:rPr>
            <w:lang w:val="fr-FR"/>
          </w:rPr>
          <w:t>, a été présenté par M. Ahmed Sharafat, Président du Groupe de travail du</w:t>
        </w:r>
        <w:r w:rsidR="00C61398" w:rsidRPr="00B64E57">
          <w:rPr>
            <w:lang w:val="fr-FR"/>
          </w:rPr>
          <w:t> </w:t>
        </w:r>
        <w:r w:rsidRPr="00B64E57">
          <w:rPr>
            <w:lang w:val="fr-FR"/>
          </w:rPr>
          <w:t>GCDT sur l'avenir des Questions confiées aux commissions d</w:t>
        </w:r>
        <w:r w:rsidR="00E15F9C" w:rsidRPr="00B64E57">
          <w:rPr>
            <w:lang w:val="fr-FR"/>
          </w:rPr>
          <w:t>'</w:t>
        </w:r>
        <w:r w:rsidRPr="00B64E57">
          <w:rPr>
            <w:lang w:val="fr-FR"/>
          </w:rPr>
          <w:t>études.</w:t>
        </w:r>
      </w:hyperlink>
    </w:p>
    <w:p w14:paraId="6837EC92" w14:textId="3A9F51B7" w:rsidR="009E11EF" w:rsidRPr="00B64E57" w:rsidRDefault="009E11EF" w:rsidP="009E11EF">
      <w:pPr>
        <w:rPr>
          <w:rFonts w:cstheme="minorHAnsi"/>
          <w:szCs w:val="24"/>
          <w:lang w:val="fr-FR"/>
        </w:rPr>
      </w:pPr>
      <w:r w:rsidRPr="00B64E57">
        <w:rPr>
          <w:lang w:val="fr-FR"/>
        </w:rPr>
        <w:t>Il a présenté le rapport sur l</w:t>
      </w:r>
      <w:r w:rsidR="00E15F9C" w:rsidRPr="00B64E57">
        <w:rPr>
          <w:lang w:val="fr-FR"/>
        </w:rPr>
        <w:t>'</w:t>
      </w:r>
      <w:r w:rsidRPr="00B64E57">
        <w:rPr>
          <w:lang w:val="fr-FR"/>
        </w:rPr>
        <w:t>état d</w:t>
      </w:r>
      <w:r w:rsidR="00E15F9C" w:rsidRPr="00B64E57">
        <w:rPr>
          <w:lang w:val="fr-FR"/>
        </w:rPr>
        <w:t>'</w:t>
      </w:r>
      <w:r w:rsidRPr="00B64E57">
        <w:rPr>
          <w:lang w:val="fr-FR"/>
        </w:rPr>
        <w:t>avancement des travaux du Groupe de travail et a exposé ses principaux objectifs, notamment l</w:t>
      </w:r>
      <w:r w:rsidR="00E15F9C" w:rsidRPr="00B64E57">
        <w:rPr>
          <w:lang w:val="fr-FR"/>
        </w:rPr>
        <w:t>'</w:t>
      </w:r>
      <w:r w:rsidRPr="00B64E57">
        <w:rPr>
          <w:lang w:val="fr-FR"/>
        </w:rPr>
        <w:t>évaluation de la pertinence des Questions actuellement à l</w:t>
      </w:r>
      <w:r w:rsidR="00E15F9C" w:rsidRPr="00B64E57">
        <w:rPr>
          <w:lang w:val="fr-FR"/>
        </w:rPr>
        <w:t>'</w:t>
      </w:r>
      <w:r w:rsidRPr="00B64E57">
        <w:rPr>
          <w:lang w:val="fr-FR"/>
        </w:rPr>
        <w:t>étude, les nouveaux thèmes proposés et la mise en conformité avec les priorités de l</w:t>
      </w:r>
      <w:r w:rsidR="00E15F9C" w:rsidRPr="00B64E57">
        <w:rPr>
          <w:lang w:val="fr-FR"/>
        </w:rPr>
        <w:t>'</w:t>
      </w:r>
      <w:r w:rsidRPr="00B64E57">
        <w:rPr>
          <w:lang w:val="fr-FR"/>
        </w:rPr>
        <w:t>UIT-D. Le rapport donne des informations détaillées sur la méthodologie employée, par exemple les consultations des parties prenantes qui ont été menées au moyen de questionnaires en ligne, qui ont révélé un intérêt marqué pour des questions telles que le développement du large bande, la cybersécurité et les villes intelligentes.</w:t>
      </w:r>
    </w:p>
    <w:p w14:paraId="447B8185" w14:textId="091BD5CA" w:rsidR="009E11EF" w:rsidRPr="00B64E57" w:rsidRDefault="009E11EF" w:rsidP="009E11EF">
      <w:pPr>
        <w:rPr>
          <w:rFonts w:cstheme="minorHAnsi"/>
          <w:szCs w:val="24"/>
          <w:lang w:val="fr-FR"/>
        </w:rPr>
      </w:pPr>
      <w:r w:rsidRPr="00B64E57">
        <w:rPr>
          <w:lang w:val="fr-FR"/>
        </w:rPr>
        <w:t>M. Sharafat a mis en évidence le regroupement des Questions à l</w:t>
      </w:r>
      <w:r w:rsidR="00E15F9C" w:rsidRPr="00B64E57">
        <w:rPr>
          <w:lang w:val="fr-FR"/>
        </w:rPr>
        <w:t>'</w:t>
      </w:r>
      <w:r w:rsidRPr="00B64E57">
        <w:rPr>
          <w:lang w:val="fr-FR"/>
        </w:rPr>
        <w:t>étude dans un souci d'efficacité, et a présenté les projets visant à fusionner des sujets apparentés, tout en veillant à garantir l'inclusion au sein des équipes de direction. Il a également souligné l</w:t>
      </w:r>
      <w:r w:rsidR="00E15F9C" w:rsidRPr="00B64E57">
        <w:rPr>
          <w:lang w:val="fr-FR"/>
        </w:rPr>
        <w:t>'</w:t>
      </w:r>
      <w:r w:rsidRPr="00B64E57">
        <w:rPr>
          <w:lang w:val="fr-FR"/>
        </w:rPr>
        <w:t xml:space="preserve">importance des contributions des États Membres et des groupes régionaux et précisé que la Ligue des </w:t>
      </w:r>
      <w:r w:rsidR="00C61398" w:rsidRPr="00B64E57">
        <w:rPr>
          <w:lang w:val="fr-FR"/>
        </w:rPr>
        <w:t>États</w:t>
      </w:r>
      <w:r w:rsidRPr="00B64E57">
        <w:rPr>
          <w:lang w:val="fr-FR"/>
        </w:rPr>
        <w:t xml:space="preserve"> arabes avait désigné M. Makhlouf en tant que coordonnateur chargé de présenter les perspectives régionales lors des prochaines discussions.</w:t>
      </w:r>
    </w:p>
    <w:p w14:paraId="5124950C" w14:textId="2A1CEA8E" w:rsidR="009E11EF" w:rsidRPr="00B64E57" w:rsidRDefault="009E11EF" w:rsidP="009E11EF">
      <w:pPr>
        <w:rPr>
          <w:rFonts w:cstheme="minorHAnsi"/>
          <w:szCs w:val="24"/>
          <w:lang w:val="fr-FR"/>
        </w:rPr>
      </w:pPr>
      <w:r w:rsidRPr="00B64E57">
        <w:rPr>
          <w:lang w:val="fr-FR"/>
        </w:rPr>
        <w:t xml:space="preserve">La présentation est accessible via ce </w:t>
      </w:r>
      <w:hyperlink r:id="rId27" w:history="1">
        <w:r w:rsidRPr="00B64E57">
          <w:rPr>
            <w:rStyle w:val="Hyperlink"/>
            <w:lang w:val="fr-FR"/>
          </w:rPr>
          <w:t>lien</w:t>
        </w:r>
      </w:hyperlink>
      <w:r w:rsidRPr="00B64E57">
        <w:rPr>
          <w:lang w:val="fr-FR"/>
        </w:rPr>
        <w:t>.</w:t>
      </w:r>
    </w:p>
    <w:p w14:paraId="0376BD03" w14:textId="77777777" w:rsidR="009E11EF" w:rsidRPr="00B64E57" w:rsidRDefault="009E11EF" w:rsidP="009E11EF">
      <w:pPr>
        <w:rPr>
          <w:rFonts w:cstheme="minorHAnsi"/>
          <w:szCs w:val="24"/>
          <w:lang w:val="fr-FR"/>
        </w:rPr>
      </w:pPr>
      <w:r w:rsidRPr="00B64E57">
        <w:rPr>
          <w:lang w:val="fr-FR"/>
        </w:rPr>
        <w:t>En conclusion, le Président a encouragé les participants à continuer de soumettre des contributions afin que le document final tienne compte des différentes perspectives régionales et que les résultats soient présentés à la prochaine CMDT.</w:t>
      </w:r>
    </w:p>
    <w:p w14:paraId="7D3DD2C9" w14:textId="77777777" w:rsidR="009E11EF" w:rsidRPr="00B64E57" w:rsidRDefault="009E11EF" w:rsidP="009E11EF">
      <w:pPr>
        <w:rPr>
          <w:rFonts w:cstheme="minorHAnsi"/>
          <w:b/>
          <w:bCs/>
          <w:szCs w:val="24"/>
          <w:lang w:val="fr-FR"/>
        </w:rPr>
      </w:pPr>
      <w:r w:rsidRPr="00B64E57">
        <w:rPr>
          <w:b/>
          <w:bCs/>
          <w:lang w:val="fr-FR"/>
        </w:rPr>
        <w:t>Les participants à la RPM-ARB ont pris note avec satisfaction du Document 5.</w:t>
      </w:r>
    </w:p>
    <w:p w14:paraId="47CC59C9" w14:textId="71721DBA" w:rsidR="009E11EF" w:rsidRPr="00B64E57" w:rsidRDefault="0065506B" w:rsidP="0065506B">
      <w:pPr>
        <w:pStyle w:val="Heading2"/>
        <w:rPr>
          <w:rFonts w:cstheme="minorHAnsi"/>
          <w:szCs w:val="24"/>
          <w:lang w:val="fr-FR"/>
        </w:rPr>
      </w:pPr>
      <w:r w:rsidRPr="00B64E57">
        <w:rPr>
          <w:lang w:val="fr-FR"/>
        </w:rPr>
        <w:lastRenderedPageBreak/>
        <w:t>7.3</w:t>
      </w:r>
      <w:r w:rsidRPr="00B64E57">
        <w:rPr>
          <w:lang w:val="fr-FR"/>
        </w:rPr>
        <w:tab/>
      </w:r>
      <w:r w:rsidR="009E11EF" w:rsidRPr="00B64E57">
        <w:rPr>
          <w:lang w:val="fr-FR"/>
        </w:rPr>
        <w:t>Avant-projet de Déclaration de la CMDT-25</w:t>
      </w:r>
    </w:p>
    <w:p w14:paraId="059D5C19" w14:textId="79819BFD" w:rsidR="009E11EF" w:rsidRPr="00B64E57" w:rsidRDefault="009E11EF" w:rsidP="009E11EF">
      <w:pPr>
        <w:rPr>
          <w:rFonts w:cstheme="minorHAnsi"/>
          <w:szCs w:val="24"/>
          <w:lang w:val="fr-FR"/>
        </w:rPr>
      </w:pPr>
      <w:hyperlink r:id="rId28" w:tgtFrame="_blank" w:history="1">
        <w:r w:rsidRPr="00B64E57">
          <w:rPr>
            <w:rStyle w:val="Hyperlink"/>
            <w:lang w:val="fr-FR"/>
          </w:rPr>
          <w:t xml:space="preserve">Document </w:t>
        </w:r>
        <w:r w:rsidR="00C61398" w:rsidRPr="00B64E57">
          <w:rPr>
            <w:rStyle w:val="Hyperlink"/>
            <w:lang w:val="fr-FR"/>
          </w:rPr>
          <w:t>7</w:t>
        </w:r>
        <w:r w:rsidRPr="00B64E57">
          <w:rPr>
            <w:lang w:val="fr-FR"/>
          </w:rPr>
          <w:t xml:space="preserve">: Le document intitulé </w:t>
        </w:r>
        <w:r w:rsidR="00403D5B" w:rsidRPr="00B64E57">
          <w:rPr>
            <w:lang w:val="fr-FR"/>
          </w:rPr>
          <w:t>"</w:t>
        </w:r>
        <w:r w:rsidRPr="00B64E57">
          <w:rPr>
            <w:b/>
            <w:bCs/>
            <w:lang w:val="fr-FR"/>
          </w:rPr>
          <w:t>Rapport sur l</w:t>
        </w:r>
        <w:r w:rsidR="00E15F9C" w:rsidRPr="00B64E57">
          <w:rPr>
            <w:b/>
            <w:bCs/>
            <w:lang w:val="fr-FR"/>
          </w:rPr>
          <w:t>'</w:t>
        </w:r>
        <w:r w:rsidRPr="00B64E57">
          <w:rPr>
            <w:b/>
            <w:bCs/>
            <w:lang w:val="fr-FR"/>
          </w:rPr>
          <w:t>état d</w:t>
        </w:r>
        <w:r w:rsidR="00E15F9C" w:rsidRPr="00B64E57">
          <w:rPr>
            <w:b/>
            <w:bCs/>
            <w:lang w:val="fr-FR"/>
          </w:rPr>
          <w:t>'</w:t>
        </w:r>
        <w:r w:rsidRPr="00B64E57">
          <w:rPr>
            <w:b/>
            <w:bCs/>
            <w:lang w:val="fr-FR"/>
          </w:rPr>
          <w:t>avancement des travaux du Groupe de travail du GCDT sur la Déclaration</w:t>
        </w:r>
        <w:r w:rsidR="00403D5B" w:rsidRPr="00B64E57">
          <w:rPr>
            <w:lang w:val="fr-FR"/>
          </w:rPr>
          <w:t>"</w:t>
        </w:r>
        <w:r w:rsidRPr="00B64E57">
          <w:rPr>
            <w:lang w:val="fr-FR"/>
          </w:rPr>
          <w:t xml:space="preserve"> a été présenté par M. Abdulkarim Oloyede, Président du Groupe de travail du GCDT sur la Déclaration de la CMDT, qui a présenté un rapport d</w:t>
        </w:r>
        <w:r w:rsidR="00E15F9C" w:rsidRPr="00B64E57">
          <w:rPr>
            <w:lang w:val="fr-FR"/>
          </w:rPr>
          <w:t>'</w:t>
        </w:r>
        <w:r w:rsidRPr="00B64E57">
          <w:rPr>
            <w:lang w:val="fr-FR"/>
          </w:rPr>
          <w:t xml:space="preserve">activité sur les travaux du Groupe, y compris sur les réunions tenues. M. Oloyede a donné des précisions sur le thème proposé, à savoir </w:t>
        </w:r>
        <w:r w:rsidR="00403D5B" w:rsidRPr="00B64E57">
          <w:rPr>
            <w:lang w:val="fr-FR"/>
          </w:rPr>
          <w:t>"</w:t>
        </w:r>
        <w:r w:rsidRPr="00B64E57">
          <w:rPr>
            <w:lang w:val="fr-FR"/>
          </w:rPr>
          <w:t>Une connectivité universelle, efficace et financièrement abordable pour un avenir numérique inclusif et durable</w:t>
        </w:r>
        <w:r w:rsidR="00403D5B" w:rsidRPr="00B64E57">
          <w:rPr>
            <w:lang w:val="fr-FR"/>
          </w:rPr>
          <w:t>"</w:t>
        </w:r>
        <w:r w:rsidRPr="00B64E57">
          <w:rPr>
            <w:lang w:val="fr-FR"/>
          </w:rPr>
          <w:t>, et a appelé l</w:t>
        </w:r>
        <w:r w:rsidR="00E15F9C" w:rsidRPr="00B64E57">
          <w:rPr>
            <w:lang w:val="fr-FR"/>
          </w:rPr>
          <w:t>'</w:t>
        </w:r>
        <w:r w:rsidRPr="00B64E57">
          <w:rPr>
            <w:lang w:val="fr-FR"/>
          </w:rPr>
          <w:t>attention des participants sur la structure proposée pour la Déclaration, qui s</w:t>
        </w:r>
        <w:r w:rsidR="00E15F9C" w:rsidRPr="00B64E57">
          <w:rPr>
            <w:lang w:val="fr-FR"/>
          </w:rPr>
          <w:t>'</w:t>
        </w:r>
        <w:r w:rsidRPr="00B64E57">
          <w:rPr>
            <w:lang w:val="fr-FR"/>
          </w:rPr>
          <w:t>articule autour de quatre grandes sections</w:t>
        </w:r>
        <w:r w:rsidR="00E15F9C" w:rsidRPr="00B64E57">
          <w:rPr>
            <w:lang w:val="fr-FR"/>
          </w:rPr>
          <w:t>:</w:t>
        </w:r>
        <w:r w:rsidRPr="00B64E57">
          <w:rPr>
            <w:lang w:val="fr-FR"/>
          </w:rPr>
          <w:t xml:space="preserve"> Introduction, </w:t>
        </w:r>
        <w:r w:rsidR="00403D5B" w:rsidRPr="00B64E57">
          <w:rPr>
            <w:lang w:val="fr-FR"/>
          </w:rPr>
          <w:t>"</w:t>
        </w:r>
        <w:r w:rsidRPr="00B64E57">
          <w:rPr>
            <w:lang w:val="fr-FR"/>
          </w:rPr>
          <w:t>Nous déclarons</w:t>
        </w:r>
        <w:r w:rsidR="00403D5B" w:rsidRPr="00B64E57">
          <w:rPr>
            <w:lang w:val="fr-FR"/>
          </w:rPr>
          <w:t>"</w:t>
        </w:r>
        <w:r w:rsidRPr="00B64E57">
          <w:rPr>
            <w:lang w:val="fr-FR"/>
          </w:rPr>
          <w:t xml:space="preserve">, </w:t>
        </w:r>
        <w:r w:rsidR="00403D5B" w:rsidRPr="00B64E57">
          <w:rPr>
            <w:lang w:val="fr-FR"/>
          </w:rPr>
          <w:t>"</w:t>
        </w:r>
        <w:r w:rsidRPr="00B64E57">
          <w:rPr>
            <w:lang w:val="fr-FR"/>
          </w:rPr>
          <w:t>Nous nous engageons</w:t>
        </w:r>
        <w:r w:rsidR="00403D5B" w:rsidRPr="00B64E57">
          <w:rPr>
            <w:lang w:val="fr-FR"/>
          </w:rPr>
          <w:t>"</w:t>
        </w:r>
        <w:r w:rsidRPr="00B64E57">
          <w:rPr>
            <w:lang w:val="fr-FR"/>
          </w:rPr>
          <w:t xml:space="preserve"> et </w:t>
        </w:r>
        <w:r w:rsidR="00403D5B" w:rsidRPr="00B64E57">
          <w:rPr>
            <w:lang w:val="fr-FR"/>
          </w:rPr>
          <w:t>"</w:t>
        </w:r>
        <w:r w:rsidRPr="00B64E57">
          <w:rPr>
            <w:lang w:val="fr-FR"/>
          </w:rPr>
          <w:t>Appel à l</w:t>
        </w:r>
        <w:r w:rsidR="00E15F9C" w:rsidRPr="00B64E57">
          <w:rPr>
            <w:lang w:val="fr-FR"/>
          </w:rPr>
          <w:t>'</w:t>
        </w:r>
        <w:r w:rsidRPr="00B64E57">
          <w:rPr>
            <w:lang w:val="fr-FR"/>
          </w:rPr>
          <w:t>action</w:t>
        </w:r>
        <w:r w:rsidR="00403D5B" w:rsidRPr="00B64E57">
          <w:rPr>
            <w:lang w:val="fr-FR"/>
          </w:rPr>
          <w:t>"</w:t>
        </w:r>
        <w:r w:rsidRPr="00B64E57">
          <w:rPr>
            <w:lang w:val="fr-FR"/>
          </w:rPr>
          <w:t>.</w:t>
        </w:r>
      </w:hyperlink>
    </w:p>
    <w:p w14:paraId="00E2EA07" w14:textId="62875668" w:rsidR="009E11EF" w:rsidRPr="00B64E57" w:rsidRDefault="009E11EF" w:rsidP="009E11EF">
      <w:pPr>
        <w:rPr>
          <w:rFonts w:cstheme="minorHAnsi"/>
          <w:szCs w:val="24"/>
          <w:lang w:val="fr-FR"/>
        </w:rPr>
      </w:pPr>
      <w:r w:rsidRPr="00B64E57">
        <w:rPr>
          <w:lang w:val="fr-FR"/>
        </w:rPr>
        <w:t>Il a mis en évidence l</w:t>
      </w:r>
      <w:r w:rsidR="00E15F9C" w:rsidRPr="00B64E57">
        <w:rPr>
          <w:lang w:val="fr-FR"/>
        </w:rPr>
        <w:t>'</w:t>
      </w:r>
      <w:r w:rsidRPr="00B64E57">
        <w:rPr>
          <w:lang w:val="fr-FR"/>
        </w:rPr>
        <w:t>approche inclusive qui a été adoptée, avec la participation active des groupes régionaux, et a encouragé les États Membres à contribuer activement aux réunions à venir, en particulier en vue de la réunion de mai 2025 du GCDT.</w:t>
      </w:r>
    </w:p>
    <w:p w14:paraId="1C38B1D6" w14:textId="258B6038" w:rsidR="009E11EF" w:rsidRPr="00B64E57" w:rsidRDefault="009E11EF" w:rsidP="009E11EF">
      <w:pPr>
        <w:rPr>
          <w:rFonts w:eastAsia="Calibri" w:cstheme="minorHAnsi"/>
          <w:szCs w:val="24"/>
          <w:lang w:val="fr-FR"/>
        </w:rPr>
      </w:pPr>
      <w:r w:rsidRPr="00B64E57">
        <w:rPr>
          <w:lang w:val="fr-FR"/>
        </w:rPr>
        <w:t>Certains participants ont souligné l</w:t>
      </w:r>
      <w:r w:rsidR="00E15F9C" w:rsidRPr="00B64E57">
        <w:rPr>
          <w:lang w:val="fr-FR"/>
        </w:rPr>
        <w:t>'</w:t>
      </w:r>
      <w:r w:rsidRPr="00B64E57">
        <w:rPr>
          <w:lang w:val="fr-FR"/>
        </w:rPr>
        <w:t>importance d</w:t>
      </w:r>
      <w:r w:rsidR="00E15F9C" w:rsidRPr="00B64E57">
        <w:rPr>
          <w:lang w:val="fr-FR"/>
        </w:rPr>
        <w:t>'</w:t>
      </w:r>
      <w:r w:rsidRPr="00B64E57">
        <w:rPr>
          <w:lang w:val="fr-FR"/>
        </w:rPr>
        <w:t>assurer une coordination entre le Groupe de travail du GCDT sur les priorités de l</w:t>
      </w:r>
      <w:r w:rsidR="00E15F9C" w:rsidRPr="00B64E57">
        <w:rPr>
          <w:lang w:val="fr-FR"/>
        </w:rPr>
        <w:t>'</w:t>
      </w:r>
      <w:r w:rsidRPr="00B64E57">
        <w:rPr>
          <w:lang w:val="fr-FR"/>
        </w:rPr>
        <w:t>UIT-D et le Groupe de travail du GCDT sur la Déclaration, afin d</w:t>
      </w:r>
      <w:r w:rsidR="00E15F9C" w:rsidRPr="00B64E57">
        <w:rPr>
          <w:lang w:val="fr-FR"/>
        </w:rPr>
        <w:t>'</w:t>
      </w:r>
      <w:r w:rsidRPr="00B64E57">
        <w:rPr>
          <w:lang w:val="fr-FR"/>
        </w:rPr>
        <w:t>éviter les chevauchements et de renforcer la cohérence des résultats.</w:t>
      </w:r>
    </w:p>
    <w:p w14:paraId="460B276C" w14:textId="16A1A187" w:rsidR="009E11EF" w:rsidRPr="00B64E57" w:rsidRDefault="009E11EF" w:rsidP="009E11EF">
      <w:pPr>
        <w:rPr>
          <w:rFonts w:eastAsia="Calibri" w:cstheme="minorHAnsi"/>
          <w:szCs w:val="24"/>
          <w:lang w:val="fr-FR"/>
        </w:rPr>
      </w:pPr>
      <w:r w:rsidRPr="00B64E57">
        <w:rPr>
          <w:lang w:val="fr-FR"/>
        </w:rPr>
        <w:t xml:space="preserve">M. Oloyede et le Directeur du BDT ont réaffirmé que des mécanismes étaient en place pour assurer la coordination et ont encouragé les </w:t>
      </w:r>
      <w:r w:rsidR="0059780C" w:rsidRPr="00B64E57">
        <w:rPr>
          <w:lang w:val="fr-FR"/>
        </w:rPr>
        <w:t>États</w:t>
      </w:r>
      <w:r w:rsidRPr="00B64E57">
        <w:rPr>
          <w:lang w:val="fr-FR"/>
        </w:rPr>
        <w:t xml:space="preserve"> Membres à soumettre des contributions. Le Directeur du BDT a en outre réaffirmé l</w:t>
      </w:r>
      <w:r w:rsidR="00E15F9C" w:rsidRPr="00B64E57">
        <w:rPr>
          <w:lang w:val="fr-FR"/>
        </w:rPr>
        <w:t>'</w:t>
      </w:r>
      <w:r w:rsidRPr="00B64E57">
        <w:rPr>
          <w:lang w:val="fr-FR"/>
        </w:rPr>
        <w:t>engagement de l</w:t>
      </w:r>
      <w:r w:rsidR="00E15F9C" w:rsidRPr="00B64E57">
        <w:rPr>
          <w:lang w:val="fr-FR"/>
        </w:rPr>
        <w:t>'</w:t>
      </w:r>
      <w:r w:rsidRPr="00B64E57">
        <w:rPr>
          <w:lang w:val="fr-FR"/>
        </w:rPr>
        <w:t>UIT en faveur de la transparence et des processus fondés sur les contributions des membres.</w:t>
      </w:r>
    </w:p>
    <w:p w14:paraId="34F446EB" w14:textId="41E5C440" w:rsidR="009E11EF" w:rsidRPr="00B64E57" w:rsidRDefault="009E11EF" w:rsidP="009E11EF">
      <w:pPr>
        <w:rPr>
          <w:rFonts w:cstheme="minorHAnsi"/>
          <w:szCs w:val="24"/>
          <w:lang w:val="fr-FR"/>
        </w:rPr>
      </w:pPr>
      <w:r w:rsidRPr="00B64E57">
        <w:rPr>
          <w:lang w:val="fr-FR"/>
        </w:rPr>
        <w:t xml:space="preserve">La présentation est accessible via ce </w:t>
      </w:r>
      <w:hyperlink r:id="rId29" w:history="1">
        <w:r w:rsidRPr="00B64E57">
          <w:rPr>
            <w:rStyle w:val="Hyperlink"/>
            <w:lang w:val="fr-FR"/>
          </w:rPr>
          <w:t>lien</w:t>
        </w:r>
      </w:hyperlink>
      <w:r w:rsidRPr="00B64E57">
        <w:rPr>
          <w:lang w:val="fr-FR"/>
        </w:rPr>
        <w:t>.</w:t>
      </w:r>
    </w:p>
    <w:p w14:paraId="1A517E17" w14:textId="77777777" w:rsidR="009E11EF" w:rsidRPr="00B64E57" w:rsidRDefault="009E11EF" w:rsidP="009E11EF">
      <w:pPr>
        <w:rPr>
          <w:rFonts w:cstheme="minorHAnsi"/>
          <w:b/>
          <w:bCs/>
          <w:szCs w:val="24"/>
          <w:lang w:val="fr-FR"/>
        </w:rPr>
      </w:pPr>
      <w:r w:rsidRPr="00B64E57">
        <w:rPr>
          <w:b/>
          <w:bCs/>
          <w:lang w:val="fr-FR"/>
        </w:rPr>
        <w:t>Les participants à la RPM-ARB ont pris note avec satisfaction du Document 7.</w:t>
      </w:r>
    </w:p>
    <w:p w14:paraId="435EEE3B" w14:textId="049EF670" w:rsidR="009E11EF" w:rsidRPr="00B64E57" w:rsidRDefault="0065506B" w:rsidP="0065506B">
      <w:pPr>
        <w:pStyle w:val="Heading2"/>
        <w:rPr>
          <w:rFonts w:cstheme="minorHAnsi"/>
          <w:szCs w:val="24"/>
          <w:lang w:val="fr-FR"/>
        </w:rPr>
      </w:pPr>
      <w:r w:rsidRPr="00B64E57">
        <w:rPr>
          <w:lang w:val="fr-FR"/>
        </w:rPr>
        <w:t>7.4</w:t>
      </w:r>
      <w:r w:rsidRPr="00B64E57">
        <w:rPr>
          <w:lang w:val="fr-FR"/>
        </w:rPr>
        <w:tab/>
      </w:r>
      <w:r w:rsidR="009E11EF" w:rsidRPr="00B64E57">
        <w:rPr>
          <w:lang w:val="fr-FR"/>
        </w:rPr>
        <w:t>Règlement intérieur de l'UIT-D (Résolution 1 de la CMDT)</w:t>
      </w:r>
    </w:p>
    <w:p w14:paraId="2BE617EA" w14:textId="55D6440A" w:rsidR="009E11EF" w:rsidRPr="00B64E57" w:rsidRDefault="009E11EF" w:rsidP="009E11EF">
      <w:pPr>
        <w:rPr>
          <w:rFonts w:cstheme="minorHAnsi"/>
          <w:b/>
          <w:szCs w:val="24"/>
          <w:lang w:val="fr-FR"/>
        </w:rPr>
      </w:pPr>
      <w:r w:rsidRPr="00B64E57">
        <w:rPr>
          <w:lang w:val="fr-FR"/>
        </w:rPr>
        <w:t>Aucune contribution particulière n</w:t>
      </w:r>
      <w:r w:rsidR="00E15F9C" w:rsidRPr="00B64E57">
        <w:rPr>
          <w:lang w:val="fr-FR"/>
        </w:rPr>
        <w:t>'</w:t>
      </w:r>
      <w:r w:rsidRPr="00B64E57">
        <w:rPr>
          <w:lang w:val="fr-FR"/>
        </w:rPr>
        <w:t>ayant été soumise au titre de ce point de l</w:t>
      </w:r>
      <w:r w:rsidR="00E15F9C" w:rsidRPr="00B64E57">
        <w:rPr>
          <w:lang w:val="fr-FR"/>
        </w:rPr>
        <w:t>'</w:t>
      </w:r>
      <w:r w:rsidRPr="00B64E57">
        <w:rPr>
          <w:lang w:val="fr-FR"/>
        </w:rPr>
        <w:t>ordre du jour, il</w:t>
      </w:r>
      <w:r w:rsidR="0059780C" w:rsidRPr="00B64E57">
        <w:rPr>
          <w:lang w:val="fr-FR"/>
        </w:rPr>
        <w:t xml:space="preserve"> a</w:t>
      </w:r>
      <w:r w:rsidRPr="00B64E57">
        <w:rPr>
          <w:lang w:val="fr-FR"/>
        </w:rPr>
        <w:t xml:space="preserve"> été examiné dans le cadre des discussions au titre du point 7.5 de l</w:t>
      </w:r>
      <w:r w:rsidR="00E15F9C" w:rsidRPr="00B64E57">
        <w:rPr>
          <w:lang w:val="fr-FR"/>
        </w:rPr>
        <w:t>'</w:t>
      </w:r>
      <w:r w:rsidRPr="00B64E57">
        <w:rPr>
          <w:lang w:val="fr-FR"/>
        </w:rPr>
        <w:t xml:space="preserve">ordre du jour, qui portaient sur la </w:t>
      </w:r>
      <w:r w:rsidRPr="00B64E57">
        <w:rPr>
          <w:b/>
          <w:bCs/>
          <w:lang w:val="fr-FR"/>
        </w:rPr>
        <w:t>rationalisation des Résolutions de la CMDT.</w:t>
      </w:r>
    </w:p>
    <w:p w14:paraId="3530349D" w14:textId="206E2DFB" w:rsidR="009E11EF" w:rsidRPr="00B64E57" w:rsidRDefault="0065506B" w:rsidP="0065506B">
      <w:pPr>
        <w:pStyle w:val="Heading2"/>
        <w:rPr>
          <w:rFonts w:cstheme="minorHAnsi"/>
          <w:szCs w:val="24"/>
          <w:lang w:val="fr-FR"/>
        </w:rPr>
      </w:pPr>
      <w:r w:rsidRPr="00B64E57">
        <w:rPr>
          <w:lang w:val="fr-FR"/>
        </w:rPr>
        <w:t>7.5</w:t>
      </w:r>
      <w:r w:rsidRPr="00B64E57">
        <w:rPr>
          <w:lang w:val="fr-FR"/>
        </w:rPr>
        <w:tab/>
      </w:r>
      <w:r w:rsidR="009E11EF" w:rsidRPr="00B64E57">
        <w:rPr>
          <w:lang w:val="fr-FR"/>
        </w:rPr>
        <w:t>Rationalisation des Résolutions de la CMDT</w:t>
      </w:r>
      <w:bookmarkStart w:id="5" w:name="_Hlt189563837"/>
    </w:p>
    <w:p w14:paraId="155F4540" w14:textId="5E16468D" w:rsidR="009E11EF" w:rsidRPr="00B64E57" w:rsidRDefault="009E11EF" w:rsidP="009E11EF">
      <w:pPr>
        <w:rPr>
          <w:rFonts w:cstheme="minorHAnsi"/>
          <w:szCs w:val="24"/>
          <w:lang w:val="fr-FR"/>
        </w:rPr>
      </w:pPr>
      <w:hyperlink r:id="rId30" w:tgtFrame="_blank" w:history="1">
        <w:r w:rsidRPr="00B64E57">
          <w:rPr>
            <w:rStyle w:val="Hyperlink"/>
            <w:lang w:val="fr-FR"/>
          </w:rPr>
          <w:t>Document 6</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Rapport d</w:t>
        </w:r>
        <w:r w:rsidR="00E15F9C" w:rsidRPr="00B64E57">
          <w:rPr>
            <w:b/>
            <w:bCs/>
            <w:lang w:val="fr-FR"/>
          </w:rPr>
          <w:t>'</w:t>
        </w:r>
        <w:r w:rsidRPr="00B64E57">
          <w:rPr>
            <w:b/>
            <w:bCs/>
            <w:lang w:val="fr-FR"/>
          </w:rPr>
          <w:t>activité sur les travaux du GT-GCDT-SR</w:t>
        </w:r>
        <w:r w:rsidR="00403D5B" w:rsidRPr="00B64E57">
          <w:rPr>
            <w:lang w:val="fr-FR"/>
          </w:rPr>
          <w:t>"</w:t>
        </w:r>
        <w:r w:rsidRPr="00B64E57">
          <w:rPr>
            <w:lang w:val="fr-FR"/>
          </w:rPr>
          <w:t xml:space="preserve"> a été présenté par </w:t>
        </w:r>
        <w:r w:rsidRPr="00B64E57">
          <w:rPr>
            <w:b/>
            <w:bCs/>
            <w:lang w:val="fr-FR"/>
          </w:rPr>
          <w:t>Mme Blanca Gonzalez, Vice-Présidente du GT-GCDT sur la rationalisation de la Résolution</w:t>
        </w:r>
        <w:r w:rsidRPr="00B64E57">
          <w:rPr>
            <w:lang w:val="fr-FR"/>
          </w:rPr>
          <w:t>. Elle a présenté le rapport d</w:t>
        </w:r>
        <w:r w:rsidR="00E15F9C" w:rsidRPr="00B64E57">
          <w:rPr>
            <w:lang w:val="fr-FR"/>
          </w:rPr>
          <w:t>'</w:t>
        </w:r>
        <w:r w:rsidRPr="00B64E57">
          <w:rPr>
            <w:lang w:val="fr-FR"/>
          </w:rPr>
          <w:t>activité du Groupe au nom de la Présidente, Mme</w:t>
        </w:r>
        <w:r w:rsidR="00E91E12" w:rsidRPr="00B64E57">
          <w:rPr>
            <w:lang w:val="fr-FR"/>
          </w:rPr>
          <w:t> </w:t>
        </w:r>
        <w:r w:rsidRPr="00B64E57">
          <w:rPr>
            <w:lang w:val="fr-FR"/>
          </w:rPr>
          <w:t>Andrea</w:t>
        </w:r>
        <w:r w:rsidR="00E91E12" w:rsidRPr="00B64E57">
          <w:rPr>
            <w:lang w:val="fr-FR"/>
          </w:rPr>
          <w:t> </w:t>
        </w:r>
        <w:r w:rsidRPr="00B64E57">
          <w:rPr>
            <w:lang w:val="fr-FR"/>
          </w:rPr>
          <w:t>Grippa. Mme Gonzalez a présenté les activités du Groupe de travail, en indiquant que quatre réunions avaient été tenues à ce jour, l'accent étant mis sur l</w:t>
        </w:r>
        <w:r w:rsidR="00E15F9C" w:rsidRPr="00B64E57">
          <w:rPr>
            <w:lang w:val="fr-FR"/>
          </w:rPr>
          <w:t>'</w:t>
        </w:r>
        <w:r w:rsidRPr="00B64E57">
          <w:rPr>
            <w:lang w:val="fr-FR"/>
          </w:rPr>
          <w:t>examen des Résolutions de la CMDT existantes et l</w:t>
        </w:r>
        <w:r w:rsidR="00E15F9C" w:rsidRPr="00B64E57">
          <w:rPr>
            <w:lang w:val="fr-FR"/>
          </w:rPr>
          <w:t>'</w:t>
        </w:r>
        <w:r w:rsidRPr="00B64E57">
          <w:rPr>
            <w:lang w:val="fr-FR"/>
          </w:rPr>
          <w:t>identification des possibilités d</w:t>
        </w:r>
        <w:r w:rsidR="00E15F9C" w:rsidRPr="00B64E57">
          <w:rPr>
            <w:lang w:val="fr-FR"/>
          </w:rPr>
          <w:t>'</w:t>
        </w:r>
        <w:r w:rsidRPr="00B64E57">
          <w:rPr>
            <w:lang w:val="fr-FR"/>
          </w:rPr>
          <w:t>en renforcer la cohérence et la pertinence. Elle a expliqué l</w:t>
        </w:r>
        <w:r w:rsidR="00E15F9C" w:rsidRPr="00B64E57">
          <w:rPr>
            <w:lang w:val="fr-FR"/>
          </w:rPr>
          <w:t>'</w:t>
        </w:r>
        <w:r w:rsidRPr="00B64E57">
          <w:rPr>
            <w:lang w:val="fr-FR"/>
          </w:rPr>
          <w:t>approche adoptée, consistant à regrouper les résolutions en groupes thématiques, avec des volontaires chargés de coordonner le processus d</w:t>
        </w:r>
        <w:r w:rsidR="00E15F9C" w:rsidRPr="00B64E57">
          <w:rPr>
            <w:lang w:val="fr-FR"/>
          </w:rPr>
          <w:t>'</w:t>
        </w:r>
        <w:r w:rsidRPr="00B64E57">
          <w:rPr>
            <w:lang w:val="fr-FR"/>
          </w:rPr>
          <w:t>examen pour chaque groupe de résolutions. La prochaine réunion est prévue le 26 mars et un suivi aura lieu en mai, afin de finaliser les recommandations à l</w:t>
        </w:r>
        <w:r w:rsidR="00E15F9C" w:rsidRPr="00B64E57">
          <w:rPr>
            <w:lang w:val="fr-FR"/>
          </w:rPr>
          <w:t>'</w:t>
        </w:r>
        <w:r w:rsidRPr="00B64E57">
          <w:rPr>
            <w:lang w:val="fr-FR"/>
          </w:rPr>
          <w:t>intention du GCDT.</w:t>
        </w:r>
        <w:bookmarkStart w:id="6" w:name="_Hlt189564012"/>
        <w:bookmarkEnd w:id="6"/>
      </w:hyperlink>
      <w:bookmarkEnd w:id="5"/>
    </w:p>
    <w:p w14:paraId="02F07667" w14:textId="6A318561" w:rsidR="009E11EF" w:rsidRPr="00B64E57" w:rsidRDefault="009E11EF" w:rsidP="009E11EF">
      <w:pPr>
        <w:rPr>
          <w:rFonts w:cstheme="minorHAnsi"/>
          <w:szCs w:val="24"/>
          <w:lang w:val="fr-FR"/>
        </w:rPr>
      </w:pPr>
      <w:r w:rsidRPr="00B64E57">
        <w:rPr>
          <w:lang w:val="fr-FR"/>
        </w:rPr>
        <w:t xml:space="preserve">La présentation est accessible via ce </w:t>
      </w:r>
      <w:hyperlink r:id="rId31" w:history="1">
        <w:r w:rsidRPr="00B64E57">
          <w:rPr>
            <w:rStyle w:val="Hyperlink"/>
            <w:lang w:val="fr-FR"/>
          </w:rPr>
          <w:t>lien</w:t>
        </w:r>
      </w:hyperlink>
      <w:r w:rsidRPr="00B64E57">
        <w:rPr>
          <w:lang w:val="fr-FR"/>
        </w:rPr>
        <w:t>.</w:t>
      </w:r>
    </w:p>
    <w:p w14:paraId="5DFB1233" w14:textId="52D4DAFF" w:rsidR="009E11EF" w:rsidRPr="00B64E57" w:rsidRDefault="009E11EF" w:rsidP="009E11EF">
      <w:pPr>
        <w:rPr>
          <w:rFonts w:cstheme="minorHAnsi"/>
          <w:szCs w:val="24"/>
          <w:lang w:val="fr-FR"/>
        </w:rPr>
      </w:pPr>
      <w:r w:rsidRPr="00B64E57">
        <w:rPr>
          <w:lang w:val="fr-FR"/>
        </w:rPr>
        <w:t>Les participants se sont félicités des efforts déployés par le Groupe de travail pour garantir l</w:t>
      </w:r>
      <w:r w:rsidR="00E15F9C" w:rsidRPr="00B64E57">
        <w:rPr>
          <w:lang w:val="fr-FR"/>
        </w:rPr>
        <w:t>'</w:t>
      </w:r>
      <w:r w:rsidRPr="00B64E57">
        <w:rPr>
          <w:lang w:val="fr-FR"/>
        </w:rPr>
        <w:t>efficacité et réduire les redondances entre les résolutions. Le représentant du Soudan s</w:t>
      </w:r>
      <w:r w:rsidR="00E15F9C" w:rsidRPr="00B64E57">
        <w:rPr>
          <w:lang w:val="fr-FR"/>
        </w:rPr>
        <w:t>'</w:t>
      </w:r>
      <w:r w:rsidRPr="00B64E57">
        <w:rPr>
          <w:lang w:val="fr-FR"/>
        </w:rPr>
        <w:t>est porté volontaire pour coordonner le groupe sur la connectivité, témoignant ainsi d</w:t>
      </w:r>
      <w:r w:rsidR="00E15F9C" w:rsidRPr="00B64E57">
        <w:rPr>
          <w:lang w:val="fr-FR"/>
        </w:rPr>
        <w:t>'</w:t>
      </w:r>
      <w:r w:rsidRPr="00B64E57">
        <w:rPr>
          <w:lang w:val="fr-FR"/>
        </w:rPr>
        <w:t>un engagement actif au niveau régional.</w:t>
      </w:r>
    </w:p>
    <w:p w14:paraId="03F624FF" w14:textId="359B11D1" w:rsidR="009E11EF" w:rsidRPr="00B64E57" w:rsidRDefault="009E11EF" w:rsidP="009E11EF">
      <w:pPr>
        <w:spacing w:after="120"/>
        <w:rPr>
          <w:rFonts w:cstheme="minorHAnsi"/>
          <w:b/>
          <w:szCs w:val="24"/>
          <w:lang w:val="fr-FR"/>
        </w:rPr>
      </w:pPr>
      <w:r w:rsidRPr="00B64E57">
        <w:rPr>
          <w:b/>
          <w:bCs/>
          <w:lang w:val="fr-FR"/>
        </w:rPr>
        <w:lastRenderedPageBreak/>
        <w:t xml:space="preserve">Les participants à la RPM-ARB ont pris note avec satisfaction du </w:t>
      </w:r>
      <w:r w:rsidR="00E91E12" w:rsidRPr="00B64E57">
        <w:rPr>
          <w:b/>
          <w:bCs/>
          <w:lang w:val="fr-FR"/>
        </w:rPr>
        <w:t>D</w:t>
      </w:r>
      <w:r w:rsidRPr="00B64E57">
        <w:rPr>
          <w:b/>
          <w:bCs/>
          <w:lang w:val="fr-FR"/>
        </w:rPr>
        <w:t>ocument 6.</w:t>
      </w:r>
    </w:p>
    <w:p w14:paraId="14F5F56C" w14:textId="190761D5" w:rsidR="009E11EF" w:rsidRPr="00B64E57" w:rsidRDefault="0065506B" w:rsidP="0065506B">
      <w:pPr>
        <w:pStyle w:val="Heading1"/>
        <w:rPr>
          <w:lang w:val="fr-FR"/>
        </w:rPr>
      </w:pPr>
      <w:r w:rsidRPr="00B64E57">
        <w:rPr>
          <w:lang w:val="fr-FR"/>
        </w:rPr>
        <w:t>8</w:t>
      </w:r>
      <w:r w:rsidRPr="00B64E57">
        <w:rPr>
          <w:lang w:val="fr-FR"/>
        </w:rPr>
        <w:tab/>
      </w:r>
      <w:r w:rsidR="009E11EF" w:rsidRPr="00B64E57">
        <w:rPr>
          <w:lang w:val="fr-FR"/>
        </w:rPr>
        <w:t>Établissement des priorités pour les initiatives régionales, les projets qui leur sont associés et les mécanismes de financement</w:t>
      </w:r>
    </w:p>
    <w:p w14:paraId="3AD4FF36" w14:textId="4B40F93A" w:rsidR="009E11EF" w:rsidRPr="00B64E57" w:rsidRDefault="009E11EF" w:rsidP="009E11EF">
      <w:pPr>
        <w:rPr>
          <w:rFonts w:eastAsia="Calibri" w:cstheme="minorHAnsi"/>
          <w:szCs w:val="24"/>
          <w:lang w:val="fr-FR"/>
        </w:rPr>
      </w:pPr>
      <w:r w:rsidRPr="00B64E57">
        <w:rPr>
          <w:lang w:val="fr-FR"/>
        </w:rPr>
        <w:t>Le Président de la RPM-ARB a invité les auteurs des documents à présenter leurs contributions sur les priorités régionales. Les contributions suivantes ont été présentées:</w:t>
      </w:r>
    </w:p>
    <w:p w14:paraId="184F7F54" w14:textId="77777777" w:rsidR="009E11EF" w:rsidRPr="00B64E57" w:rsidRDefault="009E11EF" w:rsidP="009E11EF">
      <w:pPr>
        <w:spacing w:after="120"/>
        <w:rPr>
          <w:b/>
          <w:bCs/>
          <w:u w:val="single"/>
          <w:lang w:val="fr-FR"/>
        </w:rPr>
      </w:pPr>
      <w:r w:rsidRPr="00B64E57">
        <w:rPr>
          <w:b/>
          <w:bCs/>
          <w:u w:val="single"/>
          <w:lang w:val="fr-FR"/>
        </w:rPr>
        <w:t>Contributions présentées par le Soudan</w:t>
      </w:r>
    </w:p>
    <w:p w14:paraId="3CD482A5" w14:textId="1D8E5260" w:rsidR="009E11EF" w:rsidRPr="00B64E57" w:rsidRDefault="009E11EF" w:rsidP="009E11EF">
      <w:pPr>
        <w:rPr>
          <w:rFonts w:cstheme="minorHAnsi"/>
          <w:szCs w:val="24"/>
          <w:lang w:val="fr-FR"/>
        </w:rPr>
      </w:pPr>
      <w:hyperlink r:id="rId32">
        <w:r w:rsidRPr="00B64E57">
          <w:rPr>
            <w:rStyle w:val="Hyperlink"/>
            <w:lang w:val="fr-FR"/>
          </w:rPr>
          <w:t>Document 9</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Renforcement des télécommunications d</w:t>
        </w:r>
        <w:r w:rsidR="00E15F9C" w:rsidRPr="00B64E57">
          <w:rPr>
            <w:b/>
            <w:bCs/>
            <w:lang w:val="fr-FR"/>
          </w:rPr>
          <w:t>'</w:t>
        </w:r>
        <w:r w:rsidRPr="00B64E57">
          <w:rPr>
            <w:b/>
            <w:bCs/>
            <w:lang w:val="fr-FR"/>
          </w:rPr>
          <w:t>urgence et des systèmes d</w:t>
        </w:r>
        <w:r w:rsidR="00E15F9C" w:rsidRPr="00B64E57">
          <w:rPr>
            <w:b/>
            <w:bCs/>
            <w:lang w:val="fr-FR"/>
          </w:rPr>
          <w:t>'</w:t>
        </w:r>
        <w:r w:rsidRPr="00B64E57">
          <w:rPr>
            <w:b/>
            <w:bCs/>
            <w:lang w:val="fr-FR"/>
          </w:rPr>
          <w:t xml:space="preserve">alerte avancée multirisques dans la région des </w:t>
        </w:r>
        <w:r w:rsidR="00E91E12" w:rsidRPr="00B64E57">
          <w:rPr>
            <w:b/>
            <w:bCs/>
            <w:lang w:val="fr-FR"/>
          </w:rPr>
          <w:t>États</w:t>
        </w:r>
        <w:r w:rsidRPr="00B64E57">
          <w:rPr>
            <w:b/>
            <w:bCs/>
            <w:lang w:val="fr-FR"/>
          </w:rPr>
          <w:t xml:space="preserve"> arabes</w:t>
        </w:r>
        <w:r w:rsidR="00403D5B" w:rsidRPr="00B64E57">
          <w:rPr>
            <w:lang w:val="fr-FR"/>
          </w:rPr>
          <w:t>"</w:t>
        </w:r>
        <w:r w:rsidRPr="00B64E57">
          <w:rPr>
            <w:lang w:val="fr-FR"/>
          </w:rPr>
          <w:t xml:space="preserve"> a été présenté par le Soudan. Le document contient une proposition de nouvelle initiative régionale visant à améliorer les télécommunications d</w:t>
        </w:r>
        <w:r w:rsidR="00E15F9C" w:rsidRPr="00B64E57">
          <w:rPr>
            <w:lang w:val="fr-FR"/>
          </w:rPr>
          <w:t>'</w:t>
        </w:r>
        <w:r w:rsidRPr="00B64E57">
          <w:rPr>
            <w:lang w:val="fr-FR"/>
          </w:rPr>
          <w:t>urgence et la mise en œuvre de systèmes d</w:t>
        </w:r>
        <w:r w:rsidR="00E15F9C" w:rsidRPr="00B64E57">
          <w:rPr>
            <w:lang w:val="fr-FR"/>
          </w:rPr>
          <w:t>'</w:t>
        </w:r>
        <w:r w:rsidRPr="00B64E57">
          <w:rPr>
            <w:lang w:val="fr-FR"/>
          </w:rPr>
          <w:t xml:space="preserve">alerte avancée multirisques dans la région des </w:t>
        </w:r>
        <w:r w:rsidR="00E91E12" w:rsidRPr="00B64E57">
          <w:rPr>
            <w:lang w:val="fr-FR"/>
          </w:rPr>
          <w:t>États</w:t>
        </w:r>
        <w:r w:rsidRPr="00B64E57">
          <w:rPr>
            <w:lang w:val="fr-FR"/>
          </w:rPr>
          <w:t xml:space="preserve"> arabes.</w:t>
        </w:r>
      </w:hyperlink>
    </w:p>
    <w:p w14:paraId="3FA4D892" w14:textId="77FAEB83" w:rsidR="009E11EF" w:rsidRPr="00B64E57" w:rsidRDefault="009E11EF" w:rsidP="009E11EF">
      <w:pPr>
        <w:rPr>
          <w:rFonts w:cstheme="minorHAnsi"/>
          <w:szCs w:val="24"/>
          <w:lang w:val="fr-FR"/>
        </w:rPr>
      </w:pPr>
      <w:r w:rsidRPr="00B64E57">
        <w:rPr>
          <w:lang w:val="fr-FR"/>
        </w:rPr>
        <w:t>Cette initiative aura pour but l'édification d'une infrastructure résiliente et la mise en place de capacités de communication rapide pour assurer une intervention efficace en cas de catastrophe, réduire les vulnérabilités et accroître la résilience face aux catastrophes naturelles ou causées par l</w:t>
      </w:r>
      <w:r w:rsidR="00E15F9C" w:rsidRPr="00B64E57">
        <w:rPr>
          <w:lang w:val="fr-FR"/>
        </w:rPr>
        <w:t>'</w:t>
      </w:r>
      <w:r w:rsidRPr="00B64E57">
        <w:rPr>
          <w:lang w:val="fr-FR"/>
        </w:rPr>
        <w:t>homme. Elle vise à améliorer les systèmes d</w:t>
      </w:r>
      <w:r w:rsidR="00E15F9C" w:rsidRPr="00B64E57">
        <w:rPr>
          <w:lang w:val="fr-FR"/>
        </w:rPr>
        <w:t>'</w:t>
      </w:r>
      <w:r w:rsidRPr="00B64E57">
        <w:rPr>
          <w:lang w:val="fr-FR"/>
        </w:rPr>
        <w:t>alerte avancée, à renforcer la communication en cas de crise et à renforcer la coopération régionale en matière de préparation aux situations d</w:t>
      </w:r>
      <w:r w:rsidR="00E15F9C" w:rsidRPr="00B64E57">
        <w:rPr>
          <w:lang w:val="fr-FR"/>
        </w:rPr>
        <w:t>'</w:t>
      </w:r>
      <w:r w:rsidRPr="00B64E57">
        <w:rPr>
          <w:lang w:val="fr-FR"/>
        </w:rPr>
        <w:t>urgence et d'intervention.</w:t>
      </w:r>
    </w:p>
    <w:p w14:paraId="321530B5" w14:textId="261773FD" w:rsidR="009E11EF" w:rsidRPr="00B64E57" w:rsidRDefault="009E11EF" w:rsidP="009E11EF">
      <w:pPr>
        <w:rPr>
          <w:rFonts w:cstheme="minorHAnsi"/>
          <w:szCs w:val="24"/>
          <w:lang w:val="fr-FR"/>
        </w:rPr>
      </w:pPr>
      <w:hyperlink r:id="rId33">
        <w:r w:rsidRPr="00B64E57">
          <w:rPr>
            <w:rStyle w:val="Hyperlink"/>
            <w:lang w:val="fr-FR"/>
          </w:rPr>
          <w:t>Document 10</w:t>
        </w:r>
        <w:r w:rsidRPr="00B64E57">
          <w:rPr>
            <w:lang w:val="fr-FR"/>
          </w:rPr>
          <w:t xml:space="preserve">: Le Soudan a présenté le document intitulé </w:t>
        </w:r>
        <w:r w:rsidR="00403D5B" w:rsidRPr="00B64E57">
          <w:rPr>
            <w:lang w:val="fr-FR"/>
          </w:rPr>
          <w:t>"</w:t>
        </w:r>
        <w:r w:rsidRPr="00B64E57">
          <w:rPr>
            <w:b/>
            <w:bCs/>
            <w:lang w:val="fr-FR"/>
          </w:rPr>
          <w:t>Amélioration de la connectivité et de l</w:t>
        </w:r>
        <w:r w:rsidR="00E15F9C" w:rsidRPr="00B64E57">
          <w:rPr>
            <w:b/>
            <w:bCs/>
            <w:lang w:val="fr-FR"/>
          </w:rPr>
          <w:t>'</w:t>
        </w:r>
        <w:r w:rsidRPr="00B64E57">
          <w:rPr>
            <w:b/>
            <w:bCs/>
            <w:lang w:val="fr-FR"/>
          </w:rPr>
          <w:t xml:space="preserve">infrastructure large bande dans les pays les moins avancés (PMA) de la région des </w:t>
        </w:r>
        <w:r w:rsidR="00F81DEC" w:rsidRPr="00B64E57">
          <w:rPr>
            <w:b/>
            <w:bCs/>
            <w:lang w:val="fr-FR"/>
          </w:rPr>
          <w:t>États </w:t>
        </w:r>
        <w:r w:rsidRPr="00B64E57">
          <w:rPr>
            <w:b/>
            <w:bCs/>
            <w:lang w:val="fr-FR"/>
          </w:rPr>
          <w:t>arabes</w:t>
        </w:r>
        <w:r w:rsidR="00403D5B" w:rsidRPr="00B64E57">
          <w:rPr>
            <w:lang w:val="fr-FR"/>
          </w:rPr>
          <w:t>"</w:t>
        </w:r>
        <w:r w:rsidRPr="00B64E57">
          <w:rPr>
            <w:lang w:val="fr-FR"/>
          </w:rPr>
          <w:t>. Ce document contient une proposition d</w:t>
        </w:r>
        <w:r w:rsidR="00E15F9C" w:rsidRPr="00B64E57">
          <w:rPr>
            <w:lang w:val="fr-FR"/>
          </w:rPr>
          <w:t>'</w:t>
        </w:r>
        <w:r w:rsidRPr="00B64E57">
          <w:rPr>
            <w:lang w:val="fr-FR"/>
          </w:rPr>
          <w:t xml:space="preserve">initiative régionale visant à fournir un appui ciblé aux PMA de la région des </w:t>
        </w:r>
        <w:r w:rsidR="00F81DEC" w:rsidRPr="00B64E57">
          <w:rPr>
            <w:lang w:val="fr-FR"/>
          </w:rPr>
          <w:t>États</w:t>
        </w:r>
        <w:r w:rsidRPr="00B64E57">
          <w:rPr>
            <w:lang w:val="fr-FR"/>
          </w:rPr>
          <w:t xml:space="preserve"> arabes en vue d</w:t>
        </w:r>
        <w:r w:rsidR="00E15F9C" w:rsidRPr="00B64E57">
          <w:rPr>
            <w:lang w:val="fr-FR"/>
          </w:rPr>
          <w:t>'</w:t>
        </w:r>
        <w:r w:rsidRPr="00B64E57">
          <w:rPr>
            <w:lang w:val="fr-FR"/>
          </w:rPr>
          <w:t>établir une connectivité efficace et de développer l</w:t>
        </w:r>
        <w:r w:rsidR="00E15F9C" w:rsidRPr="00B64E57">
          <w:rPr>
            <w:lang w:val="fr-FR"/>
          </w:rPr>
          <w:t>'</w:t>
        </w:r>
        <w:r w:rsidRPr="00B64E57">
          <w:rPr>
            <w:lang w:val="fr-FR"/>
          </w:rPr>
          <w:t>infrastructure large bande, y compris un appui en matière de politique et de réglementation, de renforcement des capacités et dans d</w:t>
        </w:r>
        <w:r w:rsidR="00E15F9C" w:rsidRPr="00B64E57">
          <w:rPr>
            <w:lang w:val="fr-FR"/>
          </w:rPr>
          <w:t>'</w:t>
        </w:r>
        <w:r w:rsidRPr="00B64E57">
          <w:rPr>
            <w:lang w:val="fr-FR"/>
          </w:rPr>
          <w:t>autres domaines connexes.</w:t>
        </w:r>
      </w:hyperlink>
    </w:p>
    <w:p w14:paraId="71FA5728" w14:textId="6CC969C7" w:rsidR="009E11EF" w:rsidRPr="00B64E57" w:rsidRDefault="009E11EF" w:rsidP="009E11EF">
      <w:pPr>
        <w:rPr>
          <w:rFonts w:cstheme="minorHAnsi"/>
          <w:szCs w:val="24"/>
          <w:lang w:val="fr-FR"/>
        </w:rPr>
      </w:pPr>
      <w:r w:rsidRPr="00B64E57">
        <w:rPr>
          <w:lang w:val="fr-FR"/>
        </w:rPr>
        <w:t>Cette initiative vise à autonomiser les PMA en garantissant des services de télécommunication accessibles et abordables, en réduisant la fracture numérique et en favorisant une transformation numérique inclusive qui favorise un développement économique et social durable. L</w:t>
      </w:r>
      <w:r w:rsidR="00E15F9C" w:rsidRPr="00B64E57">
        <w:rPr>
          <w:lang w:val="fr-FR"/>
        </w:rPr>
        <w:t>'</w:t>
      </w:r>
      <w:r w:rsidRPr="00B64E57">
        <w:rPr>
          <w:lang w:val="fr-FR"/>
        </w:rPr>
        <w:t>initiative régionale proposée est alignée sur le Programme d</w:t>
      </w:r>
      <w:r w:rsidR="00E15F9C" w:rsidRPr="00B64E57">
        <w:rPr>
          <w:lang w:val="fr-FR"/>
        </w:rPr>
        <w:t>'</w:t>
      </w:r>
      <w:r w:rsidRPr="00B64E57">
        <w:rPr>
          <w:lang w:val="fr-FR"/>
        </w:rPr>
        <w:t>action de Doha en faveur des PMA pour la décennie 2022-2031.</w:t>
      </w:r>
    </w:p>
    <w:p w14:paraId="2BEE9DB5" w14:textId="77777777" w:rsidR="009E11EF" w:rsidRPr="00B64E57" w:rsidRDefault="009E11EF" w:rsidP="009E11EF">
      <w:pPr>
        <w:rPr>
          <w:rFonts w:cstheme="minorHAnsi"/>
          <w:bCs/>
          <w:szCs w:val="24"/>
          <w:lang w:val="fr-FR"/>
        </w:rPr>
      </w:pPr>
      <w:r w:rsidRPr="00B64E57">
        <w:rPr>
          <w:lang w:val="fr-FR"/>
        </w:rPr>
        <w:t>Le Président a remercié le Soudan pour ses contributions et a rappelé aux participants à la RPM que la Ligue des États arabes tiendrait une réunion du Groupe de travail chargé de la préparation de la CMDT le 6 février 2025 à Amman (Jordanie). Il a suggéré que ces documents soient examinés dans le cadre de cette réunion et des travaux préparatoires en vue de la CMDT.</w:t>
      </w:r>
    </w:p>
    <w:p w14:paraId="7C24EC1C" w14:textId="77777777" w:rsidR="009E11EF" w:rsidRPr="00B64E57" w:rsidRDefault="009E11EF" w:rsidP="009E11EF">
      <w:pPr>
        <w:spacing w:after="120"/>
        <w:rPr>
          <w:rFonts w:eastAsia="Calibri" w:cstheme="minorHAnsi"/>
          <w:szCs w:val="24"/>
          <w:lang w:val="fr-FR"/>
        </w:rPr>
      </w:pPr>
      <w:r w:rsidRPr="00B64E57">
        <w:rPr>
          <w:b/>
          <w:bCs/>
          <w:lang w:val="fr-FR"/>
        </w:rPr>
        <w:t>Les participants à la RPM-ARB ont pris note avec satisfaction des Documents 9 et 10.</w:t>
      </w:r>
    </w:p>
    <w:p w14:paraId="2F82F9B1" w14:textId="77777777" w:rsidR="009E11EF" w:rsidRPr="00B64E57" w:rsidRDefault="009E11EF" w:rsidP="009E11EF">
      <w:pPr>
        <w:spacing w:after="120"/>
        <w:rPr>
          <w:b/>
          <w:bCs/>
          <w:u w:val="single"/>
          <w:lang w:val="fr-FR"/>
        </w:rPr>
      </w:pPr>
      <w:r w:rsidRPr="00B64E57">
        <w:rPr>
          <w:b/>
          <w:bCs/>
          <w:u w:val="single"/>
          <w:lang w:val="fr-FR"/>
        </w:rPr>
        <w:t>Contributions présentées par la Jordanie</w:t>
      </w:r>
    </w:p>
    <w:bookmarkStart w:id="7" w:name="_Hlt189566652"/>
    <w:p w14:paraId="2A329FBB" w14:textId="77777777" w:rsidR="00F81DEC" w:rsidRPr="00B64E57" w:rsidRDefault="00F81DEC" w:rsidP="009E11EF">
      <w:pPr>
        <w:rPr>
          <w:lang w:val="fr-FR"/>
        </w:rPr>
      </w:pPr>
      <w:r w:rsidRPr="00B64E57">
        <w:rPr>
          <w:rStyle w:val="Hyperlink"/>
          <w:lang w:val="fr-FR"/>
        </w:rPr>
        <w:fldChar w:fldCharType="begin"/>
      </w:r>
      <w:r w:rsidRPr="00B64E57">
        <w:rPr>
          <w:rStyle w:val="Hyperlink"/>
          <w:lang w:val="fr-FR"/>
        </w:rPr>
        <w:instrText>HYPERLINK "https://www.itu.int/md/D22-RPMARB-C-0011/en"</w:instrText>
      </w:r>
      <w:r w:rsidRPr="00B64E57">
        <w:rPr>
          <w:rStyle w:val="Hyperlink"/>
          <w:lang w:val="fr-FR"/>
        </w:rPr>
      </w:r>
      <w:r w:rsidRPr="00B64E57">
        <w:rPr>
          <w:rStyle w:val="Hyperlink"/>
          <w:lang w:val="fr-FR"/>
        </w:rPr>
        <w:fldChar w:fldCharType="separate"/>
      </w:r>
      <w:r w:rsidR="009E11EF" w:rsidRPr="00B64E57">
        <w:rPr>
          <w:rStyle w:val="Hyperlink"/>
          <w:lang w:val="fr-FR"/>
        </w:rPr>
        <w:t>Document 11</w:t>
      </w:r>
      <w:r w:rsidRPr="00B64E57">
        <w:rPr>
          <w:rStyle w:val="Hyperlink"/>
          <w:lang w:val="fr-FR"/>
        </w:rPr>
        <w:fldChar w:fldCharType="end"/>
      </w:r>
      <w:r w:rsidR="009E11EF" w:rsidRPr="00B64E57">
        <w:rPr>
          <w:lang w:val="fr-FR"/>
        </w:rPr>
        <w:t xml:space="preserve">: La Jordanie a présenté le document intitulé </w:t>
      </w:r>
      <w:r w:rsidR="00403D5B" w:rsidRPr="00B64E57">
        <w:rPr>
          <w:lang w:val="fr-FR"/>
        </w:rPr>
        <w:t>"</w:t>
      </w:r>
      <w:r w:rsidR="009E11EF" w:rsidRPr="00B64E57">
        <w:rPr>
          <w:b/>
          <w:bCs/>
          <w:lang w:val="fr-FR"/>
        </w:rPr>
        <w:t xml:space="preserve">Proposition de nouvelles initiatives régionales – Cadre juridique et réglementaire pour les réseaux autres que les réseaux de Terre (NTN) dans la région des </w:t>
      </w:r>
      <w:r w:rsidRPr="00B64E57">
        <w:rPr>
          <w:b/>
          <w:bCs/>
          <w:lang w:val="fr-FR"/>
        </w:rPr>
        <w:t>États</w:t>
      </w:r>
      <w:r w:rsidR="009E11EF" w:rsidRPr="00B64E57">
        <w:rPr>
          <w:b/>
          <w:bCs/>
          <w:lang w:val="fr-FR"/>
        </w:rPr>
        <w:t xml:space="preserve"> arabes</w:t>
      </w:r>
      <w:r w:rsidR="00E15F9C" w:rsidRPr="00B64E57">
        <w:rPr>
          <w:b/>
          <w:bCs/>
          <w:lang w:val="fr-FR"/>
        </w:rPr>
        <w:t>:</w:t>
      </w:r>
      <w:r w:rsidR="009E11EF" w:rsidRPr="00B64E57">
        <w:rPr>
          <w:b/>
          <w:bCs/>
          <w:lang w:val="fr-FR"/>
        </w:rPr>
        <w:t xml:space="preserve"> Surmonter les difficultés</w:t>
      </w:r>
      <w:r w:rsidR="00403D5B" w:rsidRPr="00B64E57">
        <w:rPr>
          <w:lang w:val="fr-FR"/>
        </w:rPr>
        <w:t>"</w:t>
      </w:r>
      <w:r w:rsidR="009E11EF" w:rsidRPr="00B64E57">
        <w:rPr>
          <w:lang w:val="fr-FR"/>
        </w:rPr>
        <w:t>. Les réseaux autres que les réseaux de Terre (NTN) constituent une solution novatrice pour réduire la fracture numérique, en particulier dans les zones rurales et mal desservies. Toutefois, l</w:t>
      </w:r>
      <w:r w:rsidR="00E15F9C" w:rsidRPr="00B64E57">
        <w:rPr>
          <w:lang w:val="fr-FR"/>
        </w:rPr>
        <w:t>'</w:t>
      </w:r>
      <w:r w:rsidR="009E11EF" w:rsidRPr="00B64E57">
        <w:rPr>
          <w:lang w:val="fr-FR"/>
        </w:rPr>
        <w:t xml:space="preserve">intégration des réseaux NTN dans </w:t>
      </w:r>
      <w:r w:rsidRPr="00B64E57">
        <w:rPr>
          <w:lang w:val="fr-FR"/>
        </w:rPr>
        <w:br w:type="page"/>
      </w:r>
    </w:p>
    <w:p w14:paraId="4EB1B72B" w14:textId="7BBB620B" w:rsidR="009E11EF" w:rsidRPr="00B64E57" w:rsidRDefault="009E11EF" w:rsidP="009E11EF">
      <w:pPr>
        <w:rPr>
          <w:rFonts w:cstheme="minorHAnsi"/>
          <w:szCs w:val="24"/>
          <w:lang w:val="fr-FR"/>
        </w:rPr>
      </w:pPr>
      <w:r w:rsidRPr="00B64E57">
        <w:rPr>
          <w:lang w:val="fr-FR"/>
        </w:rPr>
        <w:lastRenderedPageBreak/>
        <w:t>les réseaux de Terre présente d</w:t>
      </w:r>
      <w:r w:rsidR="00E15F9C" w:rsidRPr="00B64E57">
        <w:rPr>
          <w:lang w:val="fr-FR"/>
        </w:rPr>
        <w:t>'</w:t>
      </w:r>
      <w:r w:rsidRPr="00B64E57">
        <w:rPr>
          <w:lang w:val="fr-FR"/>
        </w:rPr>
        <w:t>importants problèmes d'ordre réglementaire, technique et opérationnel. La contribution de la Jordanie porte sur ces problèmes, met en évidence les avantages socio-économiques et contient des recommandations concrète destinées aux États</w:t>
      </w:r>
      <w:r w:rsidR="00F81DEC" w:rsidRPr="00B64E57">
        <w:rPr>
          <w:lang w:val="fr-FR"/>
        </w:rPr>
        <w:t> </w:t>
      </w:r>
      <w:r w:rsidRPr="00B64E57">
        <w:rPr>
          <w:lang w:val="fr-FR"/>
        </w:rPr>
        <w:t>arabes, en tirant parti des cadres de l</w:t>
      </w:r>
      <w:r w:rsidR="00E15F9C" w:rsidRPr="00B64E57">
        <w:rPr>
          <w:lang w:val="fr-FR"/>
        </w:rPr>
        <w:t>'</w:t>
      </w:r>
      <w:r w:rsidRPr="00B64E57">
        <w:rPr>
          <w:lang w:val="fr-FR"/>
        </w:rPr>
        <w:t>UIT.</w:t>
      </w:r>
      <w:bookmarkEnd w:id="7"/>
    </w:p>
    <w:p w14:paraId="12CCCB7C" w14:textId="6FF644C0" w:rsidR="009E11EF" w:rsidRPr="00B64E57" w:rsidRDefault="009E11EF" w:rsidP="009E11EF">
      <w:pPr>
        <w:rPr>
          <w:rFonts w:cstheme="minorHAnsi"/>
          <w:szCs w:val="24"/>
          <w:lang w:val="fr-FR"/>
        </w:rPr>
      </w:pPr>
      <w:r w:rsidRPr="00B64E57">
        <w:rPr>
          <w:lang w:val="fr-FR"/>
        </w:rPr>
        <w:t>En adoptant ces cadres, en adaptant les solutions aux besoins régionaux, en encourageant la collaboration et en mettant en œuvre des mesures réglementaires efficaces, la région peut exploiter tout le potentiel des réseaux NTN, assurer la connectivité universelle et stimuler un développement socio-économique durable.</w:t>
      </w:r>
    </w:p>
    <w:p w14:paraId="55A705E0" w14:textId="1B11F1FC" w:rsidR="009E11EF" w:rsidRPr="00B64E57" w:rsidRDefault="009E11EF" w:rsidP="009E11EF">
      <w:pPr>
        <w:rPr>
          <w:rFonts w:cstheme="minorHAnsi"/>
          <w:szCs w:val="24"/>
          <w:lang w:val="fr-FR"/>
        </w:rPr>
      </w:pPr>
      <w:hyperlink r:id="rId34">
        <w:r w:rsidRPr="00B64E57">
          <w:rPr>
            <w:rStyle w:val="Hyperlink"/>
            <w:lang w:val="fr-FR"/>
          </w:rPr>
          <w:t>Document 12</w:t>
        </w:r>
        <w:r w:rsidRPr="00B64E57">
          <w:rPr>
            <w:lang w:val="fr-FR"/>
          </w:rPr>
          <w:t xml:space="preserve">: Le document intitulé </w:t>
        </w:r>
        <w:r w:rsidR="00403D5B" w:rsidRPr="00B64E57">
          <w:rPr>
            <w:lang w:val="fr-FR"/>
          </w:rPr>
          <w:t>"</w:t>
        </w:r>
        <w:r w:rsidRPr="00B64E57">
          <w:rPr>
            <w:b/>
            <w:bCs/>
            <w:lang w:val="fr-FR"/>
          </w:rPr>
          <w:t>Proposition de nouvelle initiative régionale visant à améliorer la préparation aux télécommunications d</w:t>
        </w:r>
        <w:r w:rsidR="00E15F9C" w:rsidRPr="00B64E57">
          <w:rPr>
            <w:b/>
            <w:bCs/>
            <w:lang w:val="fr-FR"/>
          </w:rPr>
          <w:t>'</w:t>
        </w:r>
        <w:r w:rsidRPr="00B64E57">
          <w:rPr>
            <w:b/>
            <w:bCs/>
            <w:lang w:val="fr-FR"/>
          </w:rPr>
          <w:t xml:space="preserve">urgence dans la région des </w:t>
        </w:r>
        <w:r w:rsidR="004D3293" w:rsidRPr="00B64E57">
          <w:rPr>
            <w:b/>
            <w:bCs/>
            <w:lang w:val="fr-FR"/>
          </w:rPr>
          <w:t>États</w:t>
        </w:r>
        <w:r w:rsidRPr="00B64E57">
          <w:rPr>
            <w:b/>
            <w:bCs/>
            <w:lang w:val="fr-FR"/>
          </w:rPr>
          <w:t xml:space="preserve"> arabes</w:t>
        </w:r>
        <w:r w:rsidR="00403D5B" w:rsidRPr="00B64E57">
          <w:rPr>
            <w:lang w:val="fr-FR"/>
          </w:rPr>
          <w:t>"</w:t>
        </w:r>
        <w:r w:rsidRPr="00B64E57">
          <w:rPr>
            <w:lang w:val="fr-FR"/>
          </w:rPr>
          <w:t xml:space="preserve"> a été présenté par la Jordanie. L</w:t>
        </w:r>
        <w:r w:rsidR="00E15F9C" w:rsidRPr="00B64E57">
          <w:rPr>
            <w:lang w:val="fr-FR"/>
          </w:rPr>
          <w:t>'</w:t>
        </w:r>
        <w:r w:rsidRPr="00B64E57">
          <w:rPr>
            <w:lang w:val="fr-FR"/>
          </w:rPr>
          <w:t>objectif est d</w:t>
        </w:r>
        <w:r w:rsidR="00E15F9C" w:rsidRPr="00B64E57">
          <w:rPr>
            <w:lang w:val="fr-FR"/>
          </w:rPr>
          <w:t>'</w:t>
        </w:r>
        <w:r w:rsidRPr="00B64E57">
          <w:rPr>
            <w:lang w:val="fr-FR"/>
          </w:rPr>
          <w:t>améliorer la résilience régionale en garantissant des systèmes de communication robustes, inclusifs et accessibles pour les zones exposées aux catastrophes, par l'élaboration d'un plan national pour les télécommunications d</w:t>
        </w:r>
        <w:r w:rsidR="00E15F9C" w:rsidRPr="00B64E57">
          <w:rPr>
            <w:lang w:val="fr-FR"/>
          </w:rPr>
          <w:t>'</w:t>
        </w:r>
        <w:r w:rsidRPr="00B64E57">
          <w:rPr>
            <w:lang w:val="fr-FR"/>
          </w:rPr>
          <w:t>urgence (NETP), en déployant des systèmes d</w:t>
        </w:r>
        <w:r w:rsidR="00E15F9C" w:rsidRPr="00B64E57">
          <w:rPr>
            <w:lang w:val="fr-FR"/>
          </w:rPr>
          <w:t>'</w:t>
        </w:r>
        <w:r w:rsidRPr="00B64E57">
          <w:rPr>
            <w:lang w:val="fr-FR"/>
          </w:rPr>
          <w:t xml:space="preserve">alerte avancée multirisques (MHEWS), notamment en mettant en </w:t>
        </w:r>
        <w:r w:rsidR="004D3293" w:rsidRPr="00B64E57">
          <w:rPr>
            <w:lang w:val="fr-FR"/>
          </w:rPr>
          <w:t>œuvre</w:t>
        </w:r>
        <w:r w:rsidRPr="00B64E57">
          <w:rPr>
            <w:lang w:val="fr-FR"/>
          </w:rPr>
          <w:t xml:space="preserve"> la diffusion cellulaire (CB) et en tirant parti de solutions large bande satellitaires portables et de réseaux LEO. En outre, il conviendrait de renforcer la résilience en élaborant des exercices de simulation théoriques (TTX) aux niveaux national et régional.</w:t>
        </w:r>
      </w:hyperlink>
    </w:p>
    <w:p w14:paraId="03993433" w14:textId="5F5FEDF3" w:rsidR="009E11EF" w:rsidRPr="00B64E57" w:rsidRDefault="009E11EF" w:rsidP="009E11EF">
      <w:pPr>
        <w:rPr>
          <w:rFonts w:cstheme="minorHAnsi"/>
          <w:szCs w:val="24"/>
          <w:lang w:val="fr-FR"/>
        </w:rPr>
      </w:pPr>
      <w:hyperlink r:id="rId35">
        <w:r w:rsidRPr="00B64E57">
          <w:rPr>
            <w:rStyle w:val="Hyperlink"/>
            <w:lang w:val="fr-FR"/>
          </w:rPr>
          <w:t>Document 14</w:t>
        </w:r>
        <w:r w:rsidRPr="00B64E57">
          <w:rPr>
            <w:lang w:val="fr-FR"/>
          </w:rPr>
          <w:t xml:space="preserve">: Le document intitulé </w:t>
        </w:r>
        <w:r w:rsidR="00403D5B" w:rsidRPr="00B64E57">
          <w:rPr>
            <w:lang w:val="fr-FR"/>
          </w:rPr>
          <w:t>"</w:t>
        </w:r>
        <w:r w:rsidRPr="00B64E57">
          <w:rPr>
            <w:b/>
            <w:bCs/>
            <w:lang w:val="fr-FR"/>
          </w:rPr>
          <w:t>Proposition d</w:t>
        </w:r>
        <w:r w:rsidR="00E15F9C" w:rsidRPr="00B64E57">
          <w:rPr>
            <w:b/>
            <w:bCs/>
            <w:lang w:val="fr-FR"/>
          </w:rPr>
          <w:t>'</w:t>
        </w:r>
        <w:r w:rsidRPr="00B64E57">
          <w:rPr>
            <w:b/>
            <w:bCs/>
            <w:lang w:val="fr-FR"/>
          </w:rPr>
          <w:t>initiative régionale relative au renforcement de la coopération régionale et internationale</w:t>
        </w:r>
        <w:r w:rsidR="00403D5B" w:rsidRPr="00B64E57">
          <w:rPr>
            <w:lang w:val="fr-FR"/>
          </w:rPr>
          <w:t>"</w:t>
        </w:r>
        <w:r w:rsidRPr="00B64E57">
          <w:rPr>
            <w:lang w:val="fr-FR"/>
          </w:rPr>
          <w:t xml:space="preserve"> a été présenté par la Jordanie. Ce document contient une proposition visant à adopter un cadre réglementaire unifié afin d</w:t>
        </w:r>
        <w:r w:rsidR="00E15F9C" w:rsidRPr="00B64E57">
          <w:rPr>
            <w:lang w:val="fr-FR"/>
          </w:rPr>
          <w:t>'</w:t>
        </w:r>
        <w:r w:rsidRPr="00B64E57">
          <w:rPr>
            <w:lang w:val="fr-FR"/>
          </w:rPr>
          <w:t xml:space="preserve">accorder une homologation commune dans la région des </w:t>
        </w:r>
        <w:r w:rsidR="004D3293" w:rsidRPr="00B64E57">
          <w:rPr>
            <w:lang w:val="fr-FR"/>
          </w:rPr>
          <w:t>États</w:t>
        </w:r>
        <w:r w:rsidRPr="00B64E57">
          <w:rPr>
            <w:lang w:val="fr-FR"/>
          </w:rPr>
          <w:t xml:space="preserve"> arabes et de procéder à une intégration électronique entre les pays concernés, le but étant d</w:t>
        </w:r>
        <w:r w:rsidR="00E15F9C" w:rsidRPr="00B64E57">
          <w:rPr>
            <w:lang w:val="fr-FR"/>
          </w:rPr>
          <w:t>'</w:t>
        </w:r>
        <w:r w:rsidRPr="00B64E57">
          <w:rPr>
            <w:lang w:val="fr-FR"/>
          </w:rPr>
          <w:t>échanger des connaissances, des informations et des homologations, tout en partageant des informations sur les équipements de contrefaçon et les équipements clonés. Il porte sur la mise en œuvre de l</w:t>
        </w:r>
        <w:r w:rsidR="00E15F9C" w:rsidRPr="00B64E57">
          <w:rPr>
            <w:lang w:val="fr-FR"/>
          </w:rPr>
          <w:t>'</w:t>
        </w:r>
        <w:r w:rsidRPr="00B64E57">
          <w:rPr>
            <w:lang w:val="fr-FR"/>
          </w:rPr>
          <w:t>initiative régionale arabe</w:t>
        </w:r>
        <w:r w:rsidR="004D3293" w:rsidRPr="00B64E57">
          <w:rPr>
            <w:lang w:val="fr-FR"/>
          </w:rPr>
          <w:t> </w:t>
        </w:r>
        <w:r w:rsidRPr="00B64E57">
          <w:rPr>
            <w:lang w:val="fr-FR"/>
          </w:rPr>
          <w:t xml:space="preserve">5 intitulée </w:t>
        </w:r>
        <w:r w:rsidR="00403D5B" w:rsidRPr="00B64E57">
          <w:rPr>
            <w:lang w:val="fr-FR"/>
          </w:rPr>
          <w:t>"</w:t>
        </w:r>
        <w:r w:rsidR="004D3293" w:rsidRPr="00B64E57">
          <w:rPr>
            <w:lang w:val="fr-FR"/>
          </w:rPr>
          <w:t>Élaborer</w:t>
        </w:r>
        <w:r w:rsidRPr="00B64E57">
          <w:rPr>
            <w:lang w:val="fr-FR"/>
          </w:rPr>
          <w:t xml:space="preserve"> des moyens pour réglementer le numérique</w:t>
        </w:r>
        <w:r w:rsidR="00403D5B" w:rsidRPr="00B64E57">
          <w:rPr>
            <w:lang w:val="fr-FR"/>
          </w:rPr>
          <w:t>"</w:t>
        </w:r>
        <w:r w:rsidRPr="00B64E57">
          <w:rPr>
            <w:lang w:val="fr-FR"/>
          </w:rPr>
          <w:t>.</w:t>
        </w:r>
      </w:hyperlink>
    </w:p>
    <w:p w14:paraId="2774497E" w14:textId="5CC4E0C5" w:rsidR="009E11EF" w:rsidRPr="00B64E57" w:rsidRDefault="009E11EF" w:rsidP="009E11EF">
      <w:pPr>
        <w:rPr>
          <w:rFonts w:cstheme="minorHAnsi"/>
          <w:szCs w:val="24"/>
          <w:lang w:val="fr-FR"/>
        </w:rPr>
      </w:pPr>
      <w:r w:rsidRPr="00B64E57">
        <w:rPr>
          <w:lang w:val="fr-FR"/>
        </w:rPr>
        <w:t xml:space="preserve">Le Président a fait remarquer que le </w:t>
      </w:r>
      <w:hyperlink r:id="rId36" w:history="1">
        <w:r w:rsidRPr="00B64E57">
          <w:rPr>
            <w:rStyle w:val="Hyperlink"/>
            <w:lang w:val="fr-FR"/>
          </w:rPr>
          <w:t>Document 16</w:t>
        </w:r>
      </w:hyperlink>
      <w:r w:rsidRPr="00B64E57">
        <w:rPr>
          <w:lang w:val="fr-FR"/>
        </w:rPr>
        <w:t xml:space="preserve">, intitulé </w:t>
      </w:r>
      <w:r w:rsidR="00403D5B" w:rsidRPr="00B64E57">
        <w:rPr>
          <w:lang w:val="fr-FR"/>
        </w:rPr>
        <w:t>"</w:t>
      </w:r>
      <w:r w:rsidRPr="00B64E57">
        <w:rPr>
          <w:b/>
          <w:bCs/>
          <w:lang w:val="fr-FR"/>
        </w:rPr>
        <w:t>Tirer parti du large bande par satellite pour le rétablissement après une catastrophe et la connectivité de raccordement</w:t>
      </w:r>
      <w:r w:rsidR="00403D5B" w:rsidRPr="00B64E57">
        <w:rPr>
          <w:lang w:val="fr-FR"/>
        </w:rPr>
        <w:t>"</w:t>
      </w:r>
      <w:r w:rsidRPr="00B64E57">
        <w:rPr>
          <w:lang w:val="fr-FR"/>
        </w:rPr>
        <w:t xml:space="preserve"> faisait double emploi avec le Document 12. Ce document a donc été supprimé.</w:t>
      </w:r>
    </w:p>
    <w:p w14:paraId="33342CC2" w14:textId="762BB294" w:rsidR="009E11EF" w:rsidRPr="00B64E57" w:rsidRDefault="009E11EF" w:rsidP="009E11EF">
      <w:pPr>
        <w:rPr>
          <w:rFonts w:cstheme="minorHAnsi"/>
          <w:szCs w:val="24"/>
          <w:lang w:val="fr-FR"/>
        </w:rPr>
      </w:pPr>
      <w:hyperlink r:id="rId37">
        <w:r w:rsidRPr="00B64E57">
          <w:rPr>
            <w:rStyle w:val="Hyperlink"/>
            <w:lang w:val="fr-FR"/>
          </w:rPr>
          <w:t>Document 17</w:t>
        </w:r>
        <w:r w:rsidR="004D3293" w:rsidRPr="00B64E57">
          <w:rPr>
            <w:lang w:val="fr-FR"/>
          </w:rPr>
          <w:t xml:space="preserve">: </w:t>
        </w:r>
        <w:r w:rsidRPr="00B64E57">
          <w:rPr>
            <w:lang w:val="fr-FR"/>
          </w:rPr>
          <w:t xml:space="preserve">Le document intitulé </w:t>
        </w:r>
        <w:r w:rsidR="00403D5B" w:rsidRPr="00B64E57">
          <w:rPr>
            <w:lang w:val="fr-FR"/>
          </w:rPr>
          <w:t>"</w:t>
        </w:r>
        <w:r w:rsidRPr="00B64E57">
          <w:rPr>
            <w:b/>
            <w:bCs/>
            <w:lang w:val="fr-FR"/>
          </w:rPr>
          <w:t>Renforcement de la cartographie et de la visualisation du large bande</w:t>
        </w:r>
        <w:r w:rsidR="00403D5B" w:rsidRPr="00B64E57">
          <w:rPr>
            <w:lang w:val="fr-FR"/>
          </w:rPr>
          <w:t>"</w:t>
        </w:r>
        <w:r w:rsidRPr="00B64E57">
          <w:rPr>
            <w:lang w:val="fr-FR"/>
          </w:rPr>
          <w:t xml:space="preserve"> a été présenté par la Jordanie. La Jordanie propose une nouvelle initiative visant à adopter et à mettre en œuvre la Recommandation UIT-T E.813, qui porte sur les stratégies de cartographie et de visualisation pour l</w:t>
        </w:r>
        <w:r w:rsidR="00E15F9C" w:rsidRPr="00B64E57">
          <w:rPr>
            <w:lang w:val="fr-FR"/>
          </w:rPr>
          <w:t>'</w:t>
        </w:r>
        <w:r w:rsidRPr="00B64E57">
          <w:rPr>
            <w:lang w:val="fr-FR"/>
          </w:rPr>
          <w:t>évaluation de la connectivité. Cette initiative vise à évaluer la connectivité des utilisateurs aux services de télécommunication de manière multidimensionnelle, en identifiant les zones mal desservies et non desservies afin de recenser les interventions nécessaires. L'objectif est également de partager des cas d</w:t>
        </w:r>
        <w:r w:rsidR="00E15F9C" w:rsidRPr="00B64E57">
          <w:rPr>
            <w:lang w:val="fr-FR"/>
          </w:rPr>
          <w:t>'</w:t>
        </w:r>
        <w:r w:rsidRPr="00B64E57">
          <w:rPr>
            <w:lang w:val="fr-FR"/>
          </w:rPr>
          <w:t>utilisation pour cartographier les systèmes et élaborer une méthode d</w:t>
        </w:r>
        <w:r w:rsidR="00E15F9C" w:rsidRPr="00B64E57">
          <w:rPr>
            <w:lang w:val="fr-FR"/>
          </w:rPr>
          <w:t>'</w:t>
        </w:r>
        <w:r w:rsidRPr="00B64E57">
          <w:rPr>
            <w:lang w:val="fr-FR"/>
          </w:rPr>
          <w:t>indice de connectivité (IC) utilisant divers outils de données, notamment en ce qui concerne la qualité de fonctionnement, la couverture, l</w:t>
        </w:r>
        <w:r w:rsidR="00E15F9C" w:rsidRPr="00B64E57">
          <w:rPr>
            <w:lang w:val="fr-FR"/>
          </w:rPr>
          <w:t>'</w:t>
        </w:r>
        <w:r w:rsidRPr="00B64E57">
          <w:rPr>
            <w:lang w:val="fr-FR"/>
          </w:rPr>
          <w:t>infrastructure de télécommunication, le comportement des consommateurs et les facteurs socio</w:t>
        </w:r>
        <w:r w:rsidR="004D3293" w:rsidRPr="00B64E57">
          <w:rPr>
            <w:lang w:val="fr-FR"/>
          </w:rPr>
          <w:noBreakHyphen/>
        </w:r>
        <w:r w:rsidRPr="00B64E57">
          <w:rPr>
            <w:lang w:val="fr-FR"/>
          </w:rPr>
          <w:t xml:space="preserve">économiques. Ces systèmes de cartographie peuvent être utiles aux parties prenantes pour ce qui est d'accélérer le déploiement des infrastructures, de résoudre les problèmes de qualité de service, de permettre aux utilisateurs finals de faire </w:t>
        </w:r>
        <w:r w:rsidR="004D3293" w:rsidRPr="00B64E57">
          <w:rPr>
            <w:lang w:val="fr-FR"/>
          </w:rPr>
          <w:t xml:space="preserve">des </w:t>
        </w:r>
        <w:r w:rsidRPr="00B64E57">
          <w:rPr>
            <w:lang w:val="fr-FR"/>
          </w:rPr>
          <w:t>choix éclairés et d'améliorer la transparence et la gouvernance.</w:t>
        </w:r>
      </w:hyperlink>
    </w:p>
    <w:p w14:paraId="73A5DAFA" w14:textId="604AF707" w:rsidR="009E11EF" w:rsidRPr="00B64E57" w:rsidRDefault="009E11EF" w:rsidP="004D3293">
      <w:pPr>
        <w:keepNext/>
        <w:keepLines/>
        <w:rPr>
          <w:rFonts w:cstheme="minorHAnsi"/>
          <w:szCs w:val="24"/>
          <w:lang w:val="fr-FR"/>
        </w:rPr>
      </w:pPr>
      <w:r w:rsidRPr="00B64E57">
        <w:rPr>
          <w:lang w:val="fr-FR"/>
        </w:rPr>
        <w:lastRenderedPageBreak/>
        <w:t>Le Directeur du BDT a souligné l</w:t>
      </w:r>
      <w:r w:rsidR="00E15F9C" w:rsidRPr="00B64E57">
        <w:rPr>
          <w:lang w:val="fr-FR"/>
        </w:rPr>
        <w:t>'</w:t>
      </w:r>
      <w:r w:rsidRPr="00B64E57">
        <w:rPr>
          <w:lang w:val="fr-FR"/>
        </w:rPr>
        <w:t>importance de l</w:t>
      </w:r>
      <w:r w:rsidR="00E15F9C" w:rsidRPr="00B64E57">
        <w:rPr>
          <w:lang w:val="fr-FR"/>
        </w:rPr>
        <w:t>'</w:t>
      </w:r>
      <w:r w:rsidRPr="00B64E57">
        <w:rPr>
          <w:lang w:val="fr-FR"/>
        </w:rPr>
        <w:t>établissement de partenariats pour la croissance du large bande, ainsi que la nécessité de promouvoir des investissements durables et efficaces dans des infrastructures numériques haut débit et de qualité. Il a fait référence à des domaines essentiels tels que le renforcement des capacités humaines par le biais de programmes de formation et d</w:t>
      </w:r>
      <w:r w:rsidR="00E15F9C" w:rsidRPr="00B64E57">
        <w:rPr>
          <w:lang w:val="fr-FR"/>
        </w:rPr>
        <w:t>'</w:t>
      </w:r>
      <w:r w:rsidRPr="00B64E57">
        <w:rPr>
          <w:lang w:val="fr-FR"/>
        </w:rPr>
        <w:t>ateliers conçus pour améliorer les compétences et le savoir-faire au niveau local.</w:t>
      </w:r>
    </w:p>
    <w:p w14:paraId="3CCE941E" w14:textId="3B3B2182" w:rsidR="009E11EF" w:rsidRPr="00B64E57" w:rsidRDefault="009E11EF" w:rsidP="009E11EF">
      <w:pPr>
        <w:rPr>
          <w:rFonts w:cstheme="minorHAnsi"/>
          <w:szCs w:val="24"/>
          <w:lang w:val="fr-FR"/>
        </w:rPr>
      </w:pPr>
      <w:r w:rsidRPr="00B64E57">
        <w:rPr>
          <w:lang w:val="fr-FR"/>
        </w:rPr>
        <w:t>En outre, il a souligné le rôle que joue l</w:t>
      </w:r>
      <w:r w:rsidR="00E15F9C" w:rsidRPr="00B64E57">
        <w:rPr>
          <w:lang w:val="fr-FR"/>
        </w:rPr>
        <w:t>'</w:t>
      </w:r>
      <w:r w:rsidRPr="00B64E57">
        <w:rPr>
          <w:lang w:val="fr-FR"/>
        </w:rPr>
        <w:t>appui réglementaire et politique pour encourager les investissements et favoriser un environnement propice à la croissance numérique. Le Directeur du BDT a indiqué que ces initiatives régionales jouaient un rôle essentiel pour autonomiser les pays les moins avancés (PMA), leur fournir les outils nécessaires pour prospérer à l</w:t>
      </w:r>
      <w:r w:rsidR="00E15F9C" w:rsidRPr="00B64E57">
        <w:rPr>
          <w:lang w:val="fr-FR"/>
        </w:rPr>
        <w:t>'</w:t>
      </w:r>
      <w:r w:rsidRPr="00B64E57">
        <w:rPr>
          <w:lang w:val="fr-FR"/>
        </w:rPr>
        <w:t>ère du numérique et favoriser une transformation numérique inclusive dans l</w:t>
      </w:r>
      <w:r w:rsidR="00E15F9C" w:rsidRPr="00B64E57">
        <w:rPr>
          <w:lang w:val="fr-FR"/>
        </w:rPr>
        <w:t>'</w:t>
      </w:r>
      <w:r w:rsidRPr="00B64E57">
        <w:rPr>
          <w:lang w:val="fr-FR"/>
        </w:rPr>
        <w:t xml:space="preserve">ensemble de la région des </w:t>
      </w:r>
      <w:r w:rsidR="004D3293" w:rsidRPr="00B64E57">
        <w:rPr>
          <w:lang w:val="fr-FR"/>
        </w:rPr>
        <w:t>États</w:t>
      </w:r>
      <w:r w:rsidRPr="00B64E57">
        <w:rPr>
          <w:lang w:val="fr-FR"/>
        </w:rPr>
        <w:t xml:space="preserve"> arabes.</w:t>
      </w:r>
    </w:p>
    <w:p w14:paraId="5C1520EF" w14:textId="08561D73" w:rsidR="009E11EF" w:rsidRPr="00B64E57" w:rsidRDefault="009E11EF" w:rsidP="009E11EF">
      <w:pPr>
        <w:rPr>
          <w:rFonts w:cstheme="minorHAnsi"/>
          <w:szCs w:val="24"/>
          <w:lang w:val="fr-FR"/>
        </w:rPr>
      </w:pPr>
      <w:r w:rsidRPr="00B64E57">
        <w:rPr>
          <w:lang w:val="fr-FR"/>
        </w:rPr>
        <w:t>Le Président a remercié la Jordanie pour ses contributions et a rappelé à la RPM que la Ligue des États arabes tiendrait une réunion du Groupe de travail chargé de la préparation de la CMDT le 6</w:t>
      </w:r>
      <w:r w:rsidR="004D3293" w:rsidRPr="00B64E57">
        <w:rPr>
          <w:lang w:val="fr-FR"/>
        </w:rPr>
        <w:t> </w:t>
      </w:r>
      <w:r w:rsidRPr="00B64E57">
        <w:rPr>
          <w:lang w:val="fr-FR"/>
        </w:rPr>
        <w:t>février 2025 à Amman (Jordanie). Il a suggéré que ces documents soient examinés lors de cette réunion et d</w:t>
      </w:r>
      <w:r w:rsidR="00E15F9C" w:rsidRPr="00B64E57">
        <w:rPr>
          <w:lang w:val="fr-FR"/>
        </w:rPr>
        <w:t>'</w:t>
      </w:r>
      <w:r w:rsidRPr="00B64E57">
        <w:rPr>
          <w:lang w:val="fr-FR"/>
        </w:rPr>
        <w:t>autres travaux préparatoires futurs en vue de la CMDT.</w:t>
      </w:r>
    </w:p>
    <w:p w14:paraId="319D4917" w14:textId="77777777" w:rsidR="009E11EF" w:rsidRPr="00B64E57" w:rsidRDefault="009E11EF" w:rsidP="009E11EF">
      <w:pPr>
        <w:spacing w:after="120"/>
        <w:rPr>
          <w:rFonts w:cstheme="minorHAnsi"/>
          <w:bCs/>
          <w:szCs w:val="24"/>
          <w:lang w:val="fr-FR"/>
        </w:rPr>
      </w:pPr>
      <w:r w:rsidRPr="00B64E57">
        <w:rPr>
          <w:b/>
          <w:bCs/>
          <w:lang w:val="fr-FR"/>
        </w:rPr>
        <w:t>Les participants à la RPM-ARB ont pris note avec satisfaction des Documents 11, 12, 14 et 17.</w:t>
      </w:r>
    </w:p>
    <w:p w14:paraId="7A09D024" w14:textId="4AF64165" w:rsidR="009E11EF" w:rsidRPr="00B64E57" w:rsidRDefault="009E11EF" w:rsidP="009E11EF">
      <w:pPr>
        <w:rPr>
          <w:rFonts w:cstheme="minorHAnsi"/>
          <w:szCs w:val="24"/>
          <w:lang w:val="fr-FR"/>
        </w:rPr>
      </w:pPr>
      <w:hyperlink r:id="rId38">
        <w:r w:rsidRPr="00B64E57">
          <w:rPr>
            <w:rStyle w:val="Hyperlink"/>
            <w:lang w:val="fr-FR"/>
          </w:rPr>
          <w:t>Document 13</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Projet de révision de la Résolution 40 (Rév. Kigali, 2022) et projet de révision de la Résolution 63 (Rév. Kigali, 2022)</w:t>
        </w:r>
        <w:r w:rsidR="00403D5B" w:rsidRPr="00B64E57">
          <w:rPr>
            <w:lang w:val="fr-FR"/>
          </w:rPr>
          <w:t>"</w:t>
        </w:r>
        <w:r w:rsidRPr="00B64E57">
          <w:rPr>
            <w:lang w:val="fr-FR"/>
          </w:rPr>
          <w:t xml:space="preserve"> a été présenté par la Jordanie. La Jordanie propose d</w:t>
        </w:r>
        <w:r w:rsidR="00E15F9C" w:rsidRPr="00B64E57">
          <w:rPr>
            <w:lang w:val="fr-FR"/>
          </w:rPr>
          <w:t>'</w:t>
        </w:r>
        <w:r w:rsidRPr="00B64E57">
          <w:rPr>
            <w:lang w:val="fr-FR"/>
          </w:rPr>
          <w:t>apporter des modifications à la Résolution 40 et à la Résolution 63 afin de promouvoir les initiatives de renforcement des capacités et d</w:t>
        </w:r>
        <w:r w:rsidR="00E15F9C" w:rsidRPr="00B64E57">
          <w:rPr>
            <w:lang w:val="fr-FR"/>
          </w:rPr>
          <w:t>'</w:t>
        </w:r>
        <w:r w:rsidRPr="00B64E57">
          <w:rPr>
            <w:lang w:val="fr-FR"/>
          </w:rPr>
          <w:t>appuyer le déploiement du protocole IPv6. Les modifications apportées à la Résolution 40 visent notamment à créer un centre spécialisé pour les technologies émergentes telles que l</w:t>
        </w:r>
        <w:r w:rsidR="00E15F9C" w:rsidRPr="00B64E57">
          <w:rPr>
            <w:lang w:val="fr-FR"/>
          </w:rPr>
          <w:t>'</w:t>
        </w:r>
        <w:r w:rsidRPr="00B64E57">
          <w:rPr>
            <w:lang w:val="fr-FR"/>
          </w:rPr>
          <w:t>intelligence artificielle et la chaîne de blocs, axé sur des programmes unifiés de formation aux outils numériques destinés aux femmes, aux jeunes et aux personnes handicapées, ainsi que sur des programmes de renforcement des capacités et des recommandations réglementaires. En outre, un centre spécialisé pour les personnes handicapées sera créé afin de mettre en place de bonnes pratiques pour leur développement.</w:t>
        </w:r>
      </w:hyperlink>
    </w:p>
    <w:p w14:paraId="6582FEA5" w14:textId="73159A78" w:rsidR="009E11EF" w:rsidRPr="00B64E57" w:rsidRDefault="009E11EF" w:rsidP="009E11EF">
      <w:pPr>
        <w:rPr>
          <w:rFonts w:cstheme="minorHAnsi"/>
          <w:szCs w:val="24"/>
          <w:lang w:val="fr-FR"/>
        </w:rPr>
      </w:pPr>
      <w:r w:rsidRPr="00B64E57">
        <w:rPr>
          <w:lang w:val="fr-FR"/>
        </w:rPr>
        <w:t>Les modifications apportées à la Résolution 63 soulignent l</w:t>
      </w:r>
      <w:r w:rsidR="00E15F9C" w:rsidRPr="00B64E57">
        <w:rPr>
          <w:lang w:val="fr-FR"/>
        </w:rPr>
        <w:t>'</w:t>
      </w:r>
      <w:r w:rsidRPr="00B64E57">
        <w:rPr>
          <w:lang w:val="fr-FR"/>
        </w:rPr>
        <w:t>importance de fournir une assistance technique et une assistance sur le plan de la gestion pour le déploiement du protocole IPv6, en précisant les moyens permettant de demander une assistance, de mesurer les progrès accomplis et d</w:t>
      </w:r>
      <w:r w:rsidR="00E15F9C" w:rsidRPr="00B64E57">
        <w:rPr>
          <w:lang w:val="fr-FR"/>
        </w:rPr>
        <w:t>'</w:t>
      </w:r>
      <w:r w:rsidRPr="00B64E57">
        <w:rPr>
          <w:lang w:val="fr-FR"/>
        </w:rPr>
        <w:t>échanger des bonnes pratiques. Des lignes directrices seront également élaborées en vue d</w:t>
      </w:r>
      <w:r w:rsidR="00E15F9C" w:rsidRPr="00B64E57">
        <w:rPr>
          <w:lang w:val="fr-FR"/>
        </w:rPr>
        <w:t>'</w:t>
      </w:r>
      <w:r w:rsidRPr="00B64E57">
        <w:rPr>
          <w:lang w:val="fr-FR"/>
        </w:rPr>
        <w:t>adapter les cadres institutionnels et les politiques relatives au déploiement du protocole IPv6, en coopération avec les organisations internationales et régionales concernées.</w:t>
      </w:r>
    </w:p>
    <w:p w14:paraId="6D6FECA9" w14:textId="74CA2736" w:rsidR="009E11EF" w:rsidRPr="00B64E57" w:rsidRDefault="009E11EF" w:rsidP="009E11EF">
      <w:pPr>
        <w:rPr>
          <w:rFonts w:cstheme="minorHAnsi"/>
          <w:szCs w:val="24"/>
          <w:lang w:val="fr-FR"/>
        </w:rPr>
      </w:pPr>
      <w:hyperlink r:id="rId39">
        <w:r w:rsidRPr="00B64E57">
          <w:rPr>
            <w:rStyle w:val="Hyperlink"/>
            <w:lang w:val="fr-FR"/>
          </w:rPr>
          <w:t>Document 15</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Projet de révision de la Résolution 8 (Rév. Kigali, 2022) – Collecte et diffusion d</w:t>
        </w:r>
        <w:r w:rsidR="00E15F9C" w:rsidRPr="00B64E57">
          <w:rPr>
            <w:b/>
            <w:bCs/>
            <w:lang w:val="fr-FR"/>
          </w:rPr>
          <w:t>'</w:t>
        </w:r>
        <w:r w:rsidRPr="00B64E57">
          <w:rPr>
            <w:b/>
            <w:bCs/>
            <w:lang w:val="fr-FR"/>
          </w:rPr>
          <w:t>informations et de statistiques</w:t>
        </w:r>
        <w:r w:rsidR="00403D5B" w:rsidRPr="00B64E57">
          <w:rPr>
            <w:lang w:val="fr-FR"/>
          </w:rPr>
          <w:t>"</w:t>
        </w:r>
        <w:r w:rsidRPr="00B64E57">
          <w:rPr>
            <w:lang w:val="fr-FR"/>
          </w:rPr>
          <w:t xml:space="preserve"> a été présenté par la Jordanie. Le document contient une proposition de modification de la Résolution 8 de la CMDT. Plus précisément, il est proposé d</w:t>
        </w:r>
        <w:r w:rsidR="00E15F9C" w:rsidRPr="00B64E57">
          <w:rPr>
            <w:lang w:val="fr-FR"/>
          </w:rPr>
          <w:t>'</w:t>
        </w:r>
        <w:r w:rsidRPr="00B64E57">
          <w:rPr>
            <w:lang w:val="fr-FR"/>
          </w:rPr>
          <w:t>actualiser plus fréquemment les guides méthodologiques de l</w:t>
        </w:r>
        <w:r w:rsidR="00E15F9C" w:rsidRPr="00B64E57">
          <w:rPr>
            <w:lang w:val="fr-FR"/>
          </w:rPr>
          <w:t>'</w:t>
        </w:r>
        <w:r w:rsidRPr="00B64E57">
          <w:rPr>
            <w:lang w:val="fr-FR"/>
          </w:rPr>
          <w:t>UIT sur les statistiques relatives aux TIC, de mettre au point un outil interactif en ligne pour les définitions des indicateurs TIC dans les six langues et de fournir une assistance technique aux États Membres pour la mise en œuvre d</w:t>
        </w:r>
        <w:r w:rsidR="00E15F9C" w:rsidRPr="00B64E57">
          <w:rPr>
            <w:lang w:val="fr-FR"/>
          </w:rPr>
          <w:t>'</w:t>
        </w:r>
        <w:r w:rsidRPr="00B64E57">
          <w:rPr>
            <w:lang w:val="fr-FR"/>
          </w:rPr>
          <w:t>outils nationaux de diffusion de données sur les TIC.</w:t>
        </w:r>
      </w:hyperlink>
    </w:p>
    <w:p w14:paraId="79D6FEBC" w14:textId="77777777" w:rsidR="009E11EF" w:rsidRPr="00B64E57" w:rsidRDefault="009E11EF" w:rsidP="009E11EF">
      <w:pPr>
        <w:spacing w:after="120"/>
        <w:rPr>
          <w:rFonts w:eastAsia="Calibri" w:cstheme="minorHAnsi"/>
          <w:szCs w:val="24"/>
          <w:lang w:val="fr-FR"/>
        </w:rPr>
      </w:pPr>
      <w:r w:rsidRPr="00B64E57">
        <w:rPr>
          <w:b/>
          <w:bCs/>
          <w:lang w:val="fr-FR"/>
        </w:rPr>
        <w:t>Les participants à la RPM-ARB ont pris note avec satisfaction des Documents 13 et 15.</w:t>
      </w:r>
    </w:p>
    <w:p w14:paraId="47F76F80" w14:textId="1EF11662" w:rsidR="009E11EF" w:rsidRPr="00B64E57" w:rsidRDefault="009E11EF" w:rsidP="009E11EF">
      <w:pPr>
        <w:spacing w:after="120"/>
        <w:rPr>
          <w:b/>
          <w:bCs/>
          <w:u w:val="single"/>
          <w:lang w:val="fr-FR"/>
        </w:rPr>
      </w:pPr>
      <w:r w:rsidRPr="00B64E57">
        <w:rPr>
          <w:b/>
          <w:bCs/>
          <w:u w:val="single"/>
          <w:lang w:val="fr-FR"/>
        </w:rPr>
        <w:t xml:space="preserve">Contribution présentée par les </w:t>
      </w:r>
      <w:r w:rsidR="0031256D" w:rsidRPr="00B64E57">
        <w:rPr>
          <w:b/>
          <w:bCs/>
          <w:u w:val="single"/>
          <w:lang w:val="fr-FR"/>
        </w:rPr>
        <w:t>Émirats</w:t>
      </w:r>
      <w:r w:rsidRPr="00B64E57">
        <w:rPr>
          <w:b/>
          <w:bCs/>
          <w:u w:val="single"/>
          <w:lang w:val="fr-FR"/>
        </w:rPr>
        <w:t xml:space="preserve"> arabes unis</w:t>
      </w:r>
    </w:p>
    <w:p w14:paraId="7A7D6F6B" w14:textId="26E244B0" w:rsidR="009E11EF" w:rsidRPr="00B64E57" w:rsidRDefault="009E11EF" w:rsidP="009E11EF">
      <w:pPr>
        <w:rPr>
          <w:rFonts w:cstheme="minorHAnsi"/>
          <w:szCs w:val="24"/>
          <w:lang w:val="fr-FR"/>
        </w:rPr>
      </w:pPr>
      <w:hyperlink r:id="rId40">
        <w:r w:rsidRPr="00B64E57">
          <w:rPr>
            <w:rStyle w:val="Hyperlink"/>
            <w:lang w:val="fr-FR"/>
          </w:rPr>
          <w:t>Document 18</w:t>
        </w:r>
        <w:r w:rsidR="00E15F9C" w:rsidRPr="00B64E57">
          <w:rPr>
            <w:lang w:val="fr-FR"/>
          </w:rPr>
          <w:t>:</w:t>
        </w:r>
        <w:r w:rsidRPr="00B64E57">
          <w:rPr>
            <w:lang w:val="fr-FR"/>
          </w:rPr>
          <w:t xml:space="preserve"> Le document intitulé </w:t>
        </w:r>
        <w:r w:rsidR="00403D5B" w:rsidRPr="00B64E57">
          <w:rPr>
            <w:lang w:val="fr-FR"/>
          </w:rPr>
          <w:t>"</w:t>
        </w:r>
        <w:r w:rsidRPr="00B64E57">
          <w:rPr>
            <w:b/>
            <w:bCs/>
            <w:lang w:val="fr-FR"/>
          </w:rPr>
          <w:t>Proposition de nouvelles priorités régionales de l</w:t>
        </w:r>
        <w:r w:rsidR="00E15F9C" w:rsidRPr="00B64E57">
          <w:rPr>
            <w:b/>
            <w:bCs/>
            <w:lang w:val="fr-FR"/>
          </w:rPr>
          <w:t>'</w:t>
        </w:r>
        <w:r w:rsidRPr="00B64E57">
          <w:rPr>
            <w:b/>
            <w:bCs/>
            <w:lang w:val="fr-FR"/>
          </w:rPr>
          <w:t xml:space="preserve">UIT pour la région des </w:t>
        </w:r>
        <w:r w:rsidR="008F40CC" w:rsidRPr="00B64E57">
          <w:rPr>
            <w:b/>
            <w:bCs/>
            <w:lang w:val="fr-FR"/>
          </w:rPr>
          <w:t>États</w:t>
        </w:r>
        <w:r w:rsidRPr="00B64E57">
          <w:rPr>
            <w:b/>
            <w:bCs/>
            <w:lang w:val="fr-FR"/>
          </w:rPr>
          <w:t xml:space="preserve"> arabes pour la période 2026-2028</w:t>
        </w:r>
        <w:r w:rsidR="00403D5B" w:rsidRPr="00B64E57">
          <w:rPr>
            <w:lang w:val="fr-FR"/>
          </w:rPr>
          <w:t>"</w:t>
        </w:r>
        <w:r w:rsidRPr="00B64E57">
          <w:rPr>
            <w:lang w:val="fr-FR"/>
          </w:rPr>
          <w:t xml:space="preserve"> a été présenté par les </w:t>
        </w:r>
        <w:r w:rsidR="008F40CC" w:rsidRPr="00B64E57">
          <w:rPr>
            <w:lang w:val="fr-FR"/>
          </w:rPr>
          <w:t>Émirats</w:t>
        </w:r>
        <w:r w:rsidRPr="00B64E57">
          <w:rPr>
            <w:lang w:val="fr-FR"/>
          </w:rPr>
          <w:t xml:space="preserve"> arabes unis. L</w:t>
        </w:r>
        <w:r w:rsidR="00E15F9C" w:rsidRPr="00B64E57">
          <w:rPr>
            <w:lang w:val="fr-FR"/>
          </w:rPr>
          <w:t>'</w:t>
        </w:r>
        <w:r w:rsidRPr="00B64E57">
          <w:rPr>
            <w:lang w:val="fr-FR"/>
          </w:rPr>
          <w:t xml:space="preserve">Autorité de régulation des télécommunications et des services publics numériques (TDRA) des </w:t>
        </w:r>
        <w:r w:rsidRPr="00B64E57">
          <w:rPr>
            <w:lang w:val="fr-FR"/>
          </w:rPr>
          <w:lastRenderedPageBreak/>
          <w:t>Émirats arabes unis a organisé, en collaboration avec l</w:t>
        </w:r>
        <w:r w:rsidR="00E15F9C" w:rsidRPr="00B64E57">
          <w:rPr>
            <w:lang w:val="fr-FR"/>
          </w:rPr>
          <w:t>'</w:t>
        </w:r>
        <w:r w:rsidRPr="00B64E57">
          <w:rPr>
            <w:lang w:val="fr-FR"/>
          </w:rPr>
          <w:t>UIT, un atelier régional axé sur la définition d</w:t>
        </w:r>
        <w:r w:rsidR="00E15F9C" w:rsidRPr="00B64E57">
          <w:rPr>
            <w:lang w:val="fr-FR"/>
          </w:rPr>
          <w:t>'</w:t>
        </w:r>
        <w:r w:rsidRPr="00B64E57">
          <w:rPr>
            <w:lang w:val="fr-FR"/>
          </w:rPr>
          <w:t>un ensemble de priorités régionales pour les États arabes pour la période 2026-2028. Le document final de cet atelier contient un projet de proposition de nouvelles initiatives régionales soumis à l</w:t>
        </w:r>
        <w:r w:rsidR="00E15F9C" w:rsidRPr="00B64E57">
          <w:rPr>
            <w:lang w:val="fr-FR"/>
          </w:rPr>
          <w:t>'</w:t>
        </w:r>
        <w:r w:rsidRPr="00B64E57">
          <w:rPr>
            <w:lang w:val="fr-FR"/>
          </w:rPr>
          <w:t xml:space="preserve">examen des </w:t>
        </w:r>
        <w:r w:rsidR="008F40CC" w:rsidRPr="00B64E57">
          <w:rPr>
            <w:lang w:val="fr-FR"/>
          </w:rPr>
          <w:t>États</w:t>
        </w:r>
        <w:r w:rsidRPr="00B64E57">
          <w:rPr>
            <w:lang w:val="fr-FR"/>
          </w:rPr>
          <w:t xml:space="preserve"> Membres.</w:t>
        </w:r>
      </w:hyperlink>
    </w:p>
    <w:p w14:paraId="3928479E" w14:textId="5171E1B6" w:rsidR="009E11EF" w:rsidRPr="00B64E57" w:rsidRDefault="009E11EF" w:rsidP="009E11EF">
      <w:pPr>
        <w:rPr>
          <w:rFonts w:cstheme="minorHAnsi"/>
          <w:szCs w:val="24"/>
          <w:lang w:val="fr-FR"/>
        </w:rPr>
      </w:pPr>
      <w:r w:rsidRPr="00B64E57">
        <w:rPr>
          <w:lang w:val="fr-FR"/>
        </w:rPr>
        <w:t>Le Président a remercié les Émirats arabes unis pour leur contribution.</w:t>
      </w:r>
    </w:p>
    <w:p w14:paraId="59505A07" w14:textId="0E3B0CC2" w:rsidR="009E11EF" w:rsidRPr="00B64E57" w:rsidRDefault="009E11EF" w:rsidP="009E11EF">
      <w:pPr>
        <w:rPr>
          <w:rFonts w:cstheme="minorHAnsi"/>
          <w:szCs w:val="24"/>
          <w:lang w:val="fr-FR"/>
        </w:rPr>
      </w:pPr>
      <w:r w:rsidRPr="00B64E57">
        <w:rPr>
          <w:lang w:val="fr-FR"/>
        </w:rPr>
        <w:t>Le Président a également remercié les membres pour les contributions reçues et le Bureau régional de l'UIT pour les États arabes pour les efforts mis en œuvre afin d'éclairer les discussions sur les initiatives régionales grâce à des idées et des méthodes innovantes, telles que celles présentées dans le cadre de la plate-forme I-CoDI. En outre, il a fait référence au document d</w:t>
      </w:r>
      <w:r w:rsidR="00E15F9C" w:rsidRPr="00B64E57">
        <w:rPr>
          <w:lang w:val="fr-FR"/>
        </w:rPr>
        <w:t>'</w:t>
      </w:r>
      <w:r w:rsidRPr="00B64E57">
        <w:rPr>
          <w:lang w:val="fr-FR"/>
        </w:rPr>
        <w:t>information (</w:t>
      </w:r>
      <w:hyperlink r:id="rId41" w:history="1">
        <w:r w:rsidR="008F40CC" w:rsidRPr="00B64E57">
          <w:rPr>
            <w:rStyle w:val="Hyperlink"/>
            <w:rFonts w:cstheme="minorHAnsi"/>
            <w:szCs w:val="24"/>
            <w:lang w:val="fr-FR" w:eastAsia="en-GB"/>
          </w:rPr>
          <w:t>Document INF/1</w:t>
        </w:r>
      </w:hyperlink>
      <w:r w:rsidRPr="00B64E57">
        <w:rPr>
          <w:lang w:val="fr-FR"/>
        </w:rPr>
        <w:t>) sur les initiatives régionales pour la période 2023-2025 et la vision pour la CMDT-25.</w:t>
      </w:r>
    </w:p>
    <w:p w14:paraId="7A9AB261" w14:textId="6675635F" w:rsidR="009E11EF" w:rsidRPr="00B64E57" w:rsidRDefault="009E11EF" w:rsidP="009E11EF">
      <w:pPr>
        <w:rPr>
          <w:rFonts w:cstheme="minorHAnsi"/>
          <w:szCs w:val="24"/>
          <w:lang w:val="fr-FR"/>
        </w:rPr>
      </w:pPr>
      <w:r w:rsidRPr="00B64E57">
        <w:rPr>
          <w:lang w:val="fr-FR"/>
        </w:rPr>
        <w:t>Lors de l</w:t>
      </w:r>
      <w:r w:rsidR="00E15F9C" w:rsidRPr="00B64E57">
        <w:rPr>
          <w:lang w:val="fr-FR"/>
        </w:rPr>
        <w:t>'</w:t>
      </w:r>
      <w:r w:rsidRPr="00B64E57">
        <w:rPr>
          <w:lang w:val="fr-FR"/>
        </w:rPr>
        <w:t>examen des initiatives régionales pour la région des États arabes pour la période</w:t>
      </w:r>
      <w:r w:rsidR="008F40CC" w:rsidRPr="00B64E57">
        <w:rPr>
          <w:lang w:val="fr-FR"/>
        </w:rPr>
        <w:t> </w:t>
      </w:r>
      <w:r w:rsidRPr="00B64E57">
        <w:rPr>
          <w:lang w:val="fr-FR"/>
        </w:rPr>
        <w:t>2026</w:t>
      </w:r>
      <w:r w:rsidR="008F40CC" w:rsidRPr="00B64E57">
        <w:rPr>
          <w:lang w:val="fr-FR"/>
        </w:rPr>
        <w:noBreakHyphen/>
      </w:r>
      <w:r w:rsidRPr="00B64E57">
        <w:rPr>
          <w:lang w:val="fr-FR"/>
        </w:rPr>
        <w:t>2029, les participants ont reconnu les contributions importantes des États Membres pendant la réunion.</w:t>
      </w:r>
    </w:p>
    <w:p w14:paraId="1BBA2C66" w14:textId="40721046" w:rsidR="009E11EF" w:rsidRPr="00B64E57" w:rsidRDefault="009E11EF" w:rsidP="009E11EF">
      <w:pPr>
        <w:rPr>
          <w:rFonts w:cstheme="minorHAnsi"/>
          <w:szCs w:val="24"/>
          <w:lang w:val="fr-FR"/>
        </w:rPr>
      </w:pPr>
      <w:r w:rsidRPr="00B64E57">
        <w:rPr>
          <w:lang w:val="fr-FR"/>
        </w:rPr>
        <w:t>Les contributions portaient également sur six priorités régionales, qui seront examinées plus avant et affinées, afin qu</w:t>
      </w:r>
      <w:r w:rsidR="00E15F9C" w:rsidRPr="00B64E57">
        <w:rPr>
          <w:lang w:val="fr-FR"/>
        </w:rPr>
        <w:t>'</w:t>
      </w:r>
      <w:r w:rsidRPr="00B64E57">
        <w:rPr>
          <w:lang w:val="fr-FR"/>
        </w:rPr>
        <w:t>elles puissent être soumises en tant qu</w:t>
      </w:r>
      <w:r w:rsidR="00E15F9C" w:rsidRPr="00B64E57">
        <w:rPr>
          <w:lang w:val="fr-FR"/>
        </w:rPr>
        <w:t>'</w:t>
      </w:r>
      <w:r w:rsidRPr="00B64E57">
        <w:rPr>
          <w:lang w:val="fr-FR"/>
        </w:rPr>
        <w:t>initiatives régionales pour examen et adoption par la CMDT.</w:t>
      </w:r>
    </w:p>
    <w:p w14:paraId="504613F4" w14:textId="77777777" w:rsidR="009E11EF" w:rsidRPr="00B64E57" w:rsidRDefault="009E11EF" w:rsidP="009E11EF">
      <w:pPr>
        <w:rPr>
          <w:rFonts w:cstheme="minorHAnsi"/>
          <w:szCs w:val="24"/>
          <w:lang w:val="fr-FR"/>
        </w:rPr>
      </w:pPr>
      <w:r w:rsidRPr="00B64E57">
        <w:rPr>
          <w:lang w:val="fr-FR"/>
        </w:rPr>
        <w:t>Ces six priorités régionales sont les suivantes:</w:t>
      </w:r>
    </w:p>
    <w:p w14:paraId="2B785BBF" w14:textId="54634781" w:rsidR="009E11EF" w:rsidRPr="00B64E57" w:rsidRDefault="009E11EF" w:rsidP="0065506B">
      <w:pPr>
        <w:pStyle w:val="enumlev1"/>
        <w:rPr>
          <w:rFonts w:cstheme="minorHAnsi"/>
          <w:szCs w:val="24"/>
          <w:lang w:val="fr-FR"/>
        </w:rPr>
      </w:pPr>
      <w:r w:rsidRPr="00B64E57">
        <w:rPr>
          <w:lang w:val="fr-FR"/>
        </w:rPr>
        <w:t>1</w:t>
      </w:r>
      <w:r w:rsidR="0065506B" w:rsidRPr="00B64E57">
        <w:rPr>
          <w:lang w:val="fr-FR"/>
        </w:rPr>
        <w:t>)</w:t>
      </w:r>
      <w:r w:rsidR="0065506B" w:rsidRPr="00B64E57">
        <w:rPr>
          <w:lang w:val="fr-FR"/>
        </w:rPr>
        <w:tab/>
      </w:r>
      <w:r w:rsidRPr="00B64E57">
        <w:rPr>
          <w:lang w:val="fr-FR"/>
        </w:rPr>
        <w:t>Transformation sectorielle</w:t>
      </w:r>
      <w:r w:rsidR="00E15F9C" w:rsidRPr="00B64E57">
        <w:rPr>
          <w:lang w:val="fr-FR"/>
        </w:rPr>
        <w:t>:</w:t>
      </w:r>
      <w:r w:rsidRPr="00B64E57">
        <w:rPr>
          <w:lang w:val="fr-FR"/>
        </w:rPr>
        <w:t xml:space="preserve"> un avenir numérique durable</w:t>
      </w:r>
    </w:p>
    <w:p w14:paraId="43647BA3" w14:textId="0DF2C43D" w:rsidR="009E11EF" w:rsidRPr="00B64E57" w:rsidRDefault="009E11EF" w:rsidP="0065506B">
      <w:pPr>
        <w:pStyle w:val="enumlev1"/>
        <w:rPr>
          <w:rFonts w:cstheme="minorHAnsi"/>
          <w:szCs w:val="24"/>
          <w:lang w:val="fr-FR"/>
        </w:rPr>
      </w:pPr>
      <w:r w:rsidRPr="00B64E57">
        <w:rPr>
          <w:lang w:val="fr-FR"/>
        </w:rPr>
        <w:t>2</w:t>
      </w:r>
      <w:r w:rsidR="0065506B" w:rsidRPr="00B64E57">
        <w:rPr>
          <w:lang w:val="fr-FR"/>
        </w:rPr>
        <w:t>)</w:t>
      </w:r>
      <w:r w:rsidR="0065506B" w:rsidRPr="00B64E57">
        <w:rPr>
          <w:lang w:val="fr-FR"/>
        </w:rPr>
        <w:tab/>
      </w:r>
      <w:r w:rsidRPr="00B64E57">
        <w:rPr>
          <w:lang w:val="fr-FR"/>
        </w:rPr>
        <w:t>Infrastructure et connectivité</w:t>
      </w:r>
    </w:p>
    <w:p w14:paraId="00E80079" w14:textId="416F2739" w:rsidR="009E11EF" w:rsidRPr="00B64E57" w:rsidRDefault="009E11EF" w:rsidP="0065506B">
      <w:pPr>
        <w:pStyle w:val="enumlev1"/>
        <w:rPr>
          <w:rFonts w:cstheme="minorHAnsi"/>
          <w:szCs w:val="24"/>
          <w:lang w:val="fr-FR"/>
        </w:rPr>
      </w:pPr>
      <w:r w:rsidRPr="00B64E57">
        <w:rPr>
          <w:lang w:val="fr-FR"/>
        </w:rPr>
        <w:t>3</w:t>
      </w:r>
      <w:r w:rsidR="0065506B" w:rsidRPr="00B64E57">
        <w:rPr>
          <w:lang w:val="fr-FR"/>
        </w:rPr>
        <w:t>)</w:t>
      </w:r>
      <w:r w:rsidR="0065506B" w:rsidRPr="00B64E57">
        <w:rPr>
          <w:lang w:val="fr-FR"/>
        </w:rPr>
        <w:tab/>
      </w:r>
      <w:r w:rsidRPr="00B64E57">
        <w:rPr>
          <w:lang w:val="fr-FR"/>
        </w:rPr>
        <w:t>Promouvoir le développement économique et l</w:t>
      </w:r>
      <w:r w:rsidR="00E15F9C" w:rsidRPr="00B64E57">
        <w:rPr>
          <w:lang w:val="fr-FR"/>
        </w:rPr>
        <w:t>'</w:t>
      </w:r>
      <w:r w:rsidRPr="00B64E57">
        <w:rPr>
          <w:lang w:val="fr-FR"/>
        </w:rPr>
        <w:t>inclusion numérique</w:t>
      </w:r>
    </w:p>
    <w:p w14:paraId="5F66D6C8" w14:textId="2703A8B7" w:rsidR="009E11EF" w:rsidRPr="00B64E57" w:rsidRDefault="009E11EF" w:rsidP="0065506B">
      <w:pPr>
        <w:pStyle w:val="enumlev1"/>
        <w:rPr>
          <w:rFonts w:cstheme="minorHAnsi"/>
          <w:szCs w:val="24"/>
          <w:lang w:val="fr-FR"/>
        </w:rPr>
      </w:pPr>
      <w:r w:rsidRPr="00B64E57">
        <w:rPr>
          <w:lang w:val="fr-FR"/>
        </w:rPr>
        <w:t>4</w:t>
      </w:r>
      <w:r w:rsidR="0065506B" w:rsidRPr="00B64E57">
        <w:rPr>
          <w:lang w:val="fr-FR"/>
        </w:rPr>
        <w:t>)</w:t>
      </w:r>
      <w:r w:rsidR="0065506B" w:rsidRPr="00B64E57">
        <w:rPr>
          <w:lang w:val="fr-FR"/>
        </w:rPr>
        <w:tab/>
      </w:r>
      <w:r w:rsidRPr="00B64E57">
        <w:rPr>
          <w:lang w:val="fr-FR"/>
        </w:rPr>
        <w:t>Développement des compétences et création d</w:t>
      </w:r>
      <w:r w:rsidR="00E15F9C" w:rsidRPr="00B64E57">
        <w:rPr>
          <w:lang w:val="fr-FR"/>
        </w:rPr>
        <w:t>'</w:t>
      </w:r>
      <w:r w:rsidRPr="00B64E57">
        <w:rPr>
          <w:lang w:val="fr-FR"/>
        </w:rPr>
        <w:t>emplois</w:t>
      </w:r>
    </w:p>
    <w:p w14:paraId="074A92AC" w14:textId="13A9EDA4" w:rsidR="009E11EF" w:rsidRPr="00B64E57" w:rsidRDefault="009E11EF" w:rsidP="0065506B">
      <w:pPr>
        <w:pStyle w:val="enumlev1"/>
        <w:rPr>
          <w:rFonts w:cstheme="minorHAnsi"/>
          <w:szCs w:val="24"/>
          <w:lang w:val="fr-FR"/>
        </w:rPr>
      </w:pPr>
      <w:r w:rsidRPr="00B64E57">
        <w:rPr>
          <w:lang w:val="fr-FR"/>
        </w:rPr>
        <w:t>5</w:t>
      </w:r>
      <w:r w:rsidR="0065506B" w:rsidRPr="00B64E57">
        <w:rPr>
          <w:lang w:val="fr-FR"/>
        </w:rPr>
        <w:t>)</w:t>
      </w:r>
      <w:r w:rsidR="0065506B" w:rsidRPr="00B64E57">
        <w:rPr>
          <w:lang w:val="fr-FR"/>
        </w:rPr>
        <w:tab/>
      </w:r>
      <w:r w:rsidRPr="00B64E57">
        <w:rPr>
          <w:lang w:val="fr-FR"/>
        </w:rPr>
        <w:t>Promouvoir la cyberrésilience dans le monde arabe</w:t>
      </w:r>
    </w:p>
    <w:p w14:paraId="52E99185" w14:textId="1DCF2AF1" w:rsidR="009E11EF" w:rsidRPr="00B64E57" w:rsidRDefault="009E11EF" w:rsidP="0065506B">
      <w:pPr>
        <w:pStyle w:val="enumlev1"/>
        <w:rPr>
          <w:rFonts w:cstheme="minorHAnsi"/>
          <w:szCs w:val="24"/>
          <w:lang w:val="fr-FR"/>
        </w:rPr>
      </w:pPr>
      <w:r w:rsidRPr="00B64E57">
        <w:rPr>
          <w:lang w:val="fr-FR"/>
        </w:rPr>
        <w:t>6</w:t>
      </w:r>
      <w:r w:rsidR="0065506B" w:rsidRPr="00B64E57">
        <w:rPr>
          <w:lang w:val="fr-FR"/>
        </w:rPr>
        <w:t>)</w:t>
      </w:r>
      <w:r w:rsidR="0065506B" w:rsidRPr="00B64E57">
        <w:rPr>
          <w:lang w:val="fr-FR"/>
        </w:rPr>
        <w:tab/>
      </w:r>
      <w:r w:rsidRPr="00B64E57">
        <w:rPr>
          <w:lang w:val="fr-FR"/>
        </w:rPr>
        <w:t>Écosystèmes de l</w:t>
      </w:r>
      <w:r w:rsidR="00E15F9C" w:rsidRPr="00B64E57">
        <w:rPr>
          <w:lang w:val="fr-FR"/>
        </w:rPr>
        <w:t>'</w:t>
      </w:r>
      <w:r w:rsidRPr="00B64E57">
        <w:rPr>
          <w:lang w:val="fr-FR"/>
        </w:rPr>
        <w:t>innovation et technologies émergentes</w:t>
      </w:r>
    </w:p>
    <w:p w14:paraId="65808EA1" w14:textId="281C9C47" w:rsidR="009E11EF" w:rsidRPr="00B64E57" w:rsidRDefault="009E11EF" w:rsidP="009E11EF">
      <w:pPr>
        <w:rPr>
          <w:rFonts w:cstheme="minorHAnsi"/>
          <w:szCs w:val="24"/>
          <w:lang w:val="fr-FR"/>
        </w:rPr>
      </w:pPr>
      <w:r w:rsidRPr="00B64E57">
        <w:rPr>
          <w:lang w:val="fr-FR"/>
        </w:rPr>
        <w:t>Le Président a rappelé aux participants à la RPM que la Ligue des États arabes tiendrait une réunion du Groupe de travail chargé de la préparation de la CMDT le 6 février 2025 à Amman</w:t>
      </w:r>
      <w:r w:rsidR="008F40CC" w:rsidRPr="00B64E57">
        <w:rPr>
          <w:lang w:val="fr-FR"/>
        </w:rPr>
        <w:t> </w:t>
      </w:r>
      <w:r w:rsidRPr="00B64E57">
        <w:rPr>
          <w:lang w:val="fr-FR"/>
        </w:rPr>
        <w:t>(Jordanie) et a suggéré que ces documents soient examinés dans le cadre de cette réunion et des travaux préparatoires en vue de la CMDT.</w:t>
      </w:r>
    </w:p>
    <w:p w14:paraId="0FECA53C" w14:textId="6B913A90" w:rsidR="009E11EF" w:rsidRPr="00B64E57" w:rsidRDefault="009E11EF" w:rsidP="009E11EF">
      <w:pPr>
        <w:spacing w:after="120"/>
        <w:rPr>
          <w:rFonts w:cstheme="minorHAnsi"/>
          <w:szCs w:val="24"/>
          <w:lang w:val="fr-FR"/>
        </w:rPr>
      </w:pPr>
      <w:r w:rsidRPr="00B64E57">
        <w:rPr>
          <w:b/>
          <w:bCs/>
          <w:lang w:val="fr-FR"/>
        </w:rPr>
        <w:t xml:space="preserve">Les participants à la RPM-ARB ont pris note avec satisfaction du </w:t>
      </w:r>
      <w:r w:rsidR="008F40CC" w:rsidRPr="00B64E57">
        <w:rPr>
          <w:b/>
          <w:bCs/>
          <w:lang w:val="fr-FR"/>
        </w:rPr>
        <w:t>D</w:t>
      </w:r>
      <w:r w:rsidRPr="00B64E57">
        <w:rPr>
          <w:b/>
          <w:bCs/>
          <w:lang w:val="fr-FR"/>
        </w:rPr>
        <w:t>ocument 18.</w:t>
      </w:r>
    </w:p>
    <w:p w14:paraId="048BB41C" w14:textId="3D809AD4" w:rsidR="009E11EF" w:rsidRPr="00B64E57" w:rsidRDefault="009E11EF" w:rsidP="009E11EF">
      <w:pPr>
        <w:rPr>
          <w:rFonts w:cstheme="minorHAnsi"/>
          <w:szCs w:val="24"/>
          <w:lang w:val="fr-FR"/>
        </w:rPr>
      </w:pPr>
      <w:r w:rsidRPr="00B64E57">
        <w:rPr>
          <w:lang w:val="fr-FR"/>
        </w:rPr>
        <w:t>Les participants à la RPM-ARB ont approuvé la marche à suivre proposée, selon laquelle le Groupe de travail des États arabes chargé de la préparation de la CMDT-25 tiendra compte, dans le cadre de ses travaux, des contributions reçues à la RPM-ARB, en particulier au titre des points 5 et 8 de l'ordre du jour, afin d'élaborer et d'améliorer les initiatives régionales pour les États arabes.</w:t>
      </w:r>
    </w:p>
    <w:p w14:paraId="7E894A52" w14:textId="53D05520" w:rsidR="009E11EF" w:rsidRPr="00B64E57" w:rsidRDefault="0065506B" w:rsidP="0065506B">
      <w:pPr>
        <w:pStyle w:val="Heading1"/>
        <w:rPr>
          <w:lang w:val="fr-FR"/>
        </w:rPr>
      </w:pPr>
      <w:r w:rsidRPr="00B64E57">
        <w:rPr>
          <w:lang w:val="fr-FR"/>
        </w:rPr>
        <w:t>9</w:t>
      </w:r>
      <w:r w:rsidRPr="00B64E57">
        <w:rPr>
          <w:lang w:val="fr-FR"/>
        </w:rPr>
        <w:tab/>
      </w:r>
      <w:r w:rsidR="009E11EF" w:rsidRPr="00B64E57">
        <w:rPr>
          <w:lang w:val="fr-FR"/>
        </w:rPr>
        <w:t>Divers</w:t>
      </w:r>
    </w:p>
    <w:p w14:paraId="73F515CF" w14:textId="09C07BE1" w:rsidR="009E11EF" w:rsidRPr="00B64E57" w:rsidRDefault="009E11EF" w:rsidP="009E11EF">
      <w:pPr>
        <w:spacing w:after="120"/>
        <w:rPr>
          <w:rStyle w:val="eop"/>
          <w:rFonts w:ascii="Calibri" w:hAnsi="Calibri" w:cs="Calibri"/>
          <w:lang w:val="fr-FR"/>
        </w:rPr>
      </w:pPr>
      <w:r w:rsidRPr="00B64E57">
        <w:rPr>
          <w:u w:val="single"/>
          <w:lang w:val="fr-FR"/>
        </w:rPr>
        <w:t>Les points suivants ont été traités au titre de ce point de l</w:t>
      </w:r>
      <w:r w:rsidR="00E15F9C" w:rsidRPr="00B64E57">
        <w:rPr>
          <w:u w:val="single"/>
          <w:lang w:val="fr-FR"/>
        </w:rPr>
        <w:t>'</w:t>
      </w:r>
      <w:r w:rsidRPr="00B64E57">
        <w:rPr>
          <w:u w:val="single"/>
          <w:lang w:val="fr-FR"/>
        </w:rPr>
        <w:t>ordre du jour</w:t>
      </w:r>
      <w:r w:rsidR="00E15F9C" w:rsidRPr="00B64E57">
        <w:rPr>
          <w:lang w:val="fr-FR"/>
        </w:rPr>
        <w:t>:</w:t>
      </w:r>
    </w:p>
    <w:p w14:paraId="1C52A74E" w14:textId="73D3FE0B" w:rsidR="009E11EF" w:rsidRPr="00B64E57" w:rsidRDefault="0065506B" w:rsidP="0065506B">
      <w:pPr>
        <w:pStyle w:val="enumlev1"/>
        <w:rPr>
          <w:rFonts w:cstheme="minorHAnsi"/>
          <w:szCs w:val="24"/>
          <w:lang w:val="fr-FR"/>
        </w:rPr>
      </w:pPr>
      <w:r w:rsidRPr="00B64E57">
        <w:rPr>
          <w:lang w:val="fr-FR"/>
        </w:rPr>
        <w:t>–</w:t>
      </w:r>
      <w:r w:rsidRPr="00B64E57">
        <w:rPr>
          <w:lang w:val="fr-FR"/>
        </w:rPr>
        <w:tab/>
      </w:r>
      <w:r w:rsidR="009E11EF" w:rsidRPr="00B64E57">
        <w:rPr>
          <w:lang w:val="fr-FR"/>
        </w:rPr>
        <w:t>Le rapport final du Forum régional sur le développement de 2025 a été présenté.</w:t>
      </w:r>
    </w:p>
    <w:p w14:paraId="29E90D9D" w14:textId="7ACA81E6" w:rsidR="009E11EF" w:rsidRPr="00B64E57" w:rsidRDefault="009E11EF" w:rsidP="009E11EF">
      <w:pPr>
        <w:rPr>
          <w:rFonts w:cstheme="minorHAnsi"/>
          <w:szCs w:val="24"/>
          <w:lang w:val="fr-FR"/>
        </w:rPr>
      </w:pPr>
      <w:r w:rsidRPr="00B64E57">
        <w:rPr>
          <w:lang w:val="fr-FR"/>
        </w:rPr>
        <w:t>Les participants à la RPM-ARB ont pris note du rapport final du Forum régional sur le développement, qui sera ajouté comme document d</w:t>
      </w:r>
      <w:r w:rsidR="00E15F9C" w:rsidRPr="00B64E57">
        <w:rPr>
          <w:lang w:val="fr-FR"/>
        </w:rPr>
        <w:t>'</w:t>
      </w:r>
      <w:r w:rsidRPr="00B64E57">
        <w:rPr>
          <w:lang w:val="fr-FR"/>
        </w:rPr>
        <w:t>information de la RPM et publié en ligne (</w:t>
      </w:r>
      <w:hyperlink r:id="rId42" w:history="1">
        <w:r w:rsidRPr="00B64E57">
          <w:rPr>
            <w:rStyle w:val="Hyperlink"/>
            <w:lang w:val="fr-FR"/>
          </w:rPr>
          <w:t>Document INF/7</w:t>
        </w:r>
      </w:hyperlink>
      <w:r w:rsidRPr="00B64E57">
        <w:rPr>
          <w:lang w:val="fr-FR"/>
        </w:rPr>
        <w:t>).</w:t>
      </w:r>
    </w:p>
    <w:p w14:paraId="6CBC154D" w14:textId="45E64EC3" w:rsidR="009E11EF" w:rsidRPr="00B64E57" w:rsidRDefault="0065506B" w:rsidP="0065506B">
      <w:pPr>
        <w:pStyle w:val="enumlev1"/>
        <w:rPr>
          <w:rFonts w:cstheme="minorHAnsi"/>
          <w:szCs w:val="24"/>
          <w:lang w:val="fr-FR"/>
        </w:rPr>
      </w:pPr>
      <w:r w:rsidRPr="00B64E57">
        <w:rPr>
          <w:lang w:val="fr-FR"/>
        </w:rPr>
        <w:lastRenderedPageBreak/>
        <w:t>–</w:t>
      </w:r>
      <w:r w:rsidRPr="00B64E57">
        <w:rPr>
          <w:lang w:val="fr-FR"/>
        </w:rPr>
        <w:tab/>
      </w:r>
      <w:r w:rsidR="009E11EF" w:rsidRPr="00B64E57">
        <w:rPr>
          <w:lang w:val="fr-FR"/>
        </w:rPr>
        <w:t>L</w:t>
      </w:r>
      <w:r w:rsidR="00E15F9C" w:rsidRPr="00B64E57">
        <w:rPr>
          <w:lang w:val="fr-FR"/>
        </w:rPr>
        <w:t>'</w:t>
      </w:r>
      <w:r w:rsidR="009E11EF" w:rsidRPr="00B64E57">
        <w:rPr>
          <w:lang w:val="fr-FR"/>
        </w:rPr>
        <w:t>application mobile des RPM en vue de la CMDT-25 a été présentée comme un outil destiné à faciliter l</w:t>
      </w:r>
      <w:r w:rsidR="00E15F9C" w:rsidRPr="00B64E57">
        <w:rPr>
          <w:lang w:val="fr-FR"/>
        </w:rPr>
        <w:t>'</w:t>
      </w:r>
      <w:r w:rsidR="009E11EF" w:rsidRPr="00B64E57">
        <w:rPr>
          <w:lang w:val="fr-FR"/>
        </w:rPr>
        <w:t>échange d</w:t>
      </w:r>
      <w:r w:rsidR="00E15F9C" w:rsidRPr="00B64E57">
        <w:rPr>
          <w:lang w:val="fr-FR"/>
        </w:rPr>
        <w:t>'</w:t>
      </w:r>
      <w:r w:rsidR="009E11EF" w:rsidRPr="00B64E57">
        <w:rPr>
          <w:lang w:val="fr-FR"/>
        </w:rPr>
        <w:t>informations et de documents concernant les RPM.</w:t>
      </w:r>
    </w:p>
    <w:p w14:paraId="068A1FF1" w14:textId="2F687292" w:rsidR="009E11EF" w:rsidRPr="00B64E57" w:rsidRDefault="009E11EF" w:rsidP="009E11EF">
      <w:pPr>
        <w:spacing w:after="120"/>
        <w:rPr>
          <w:rFonts w:cstheme="minorHAnsi"/>
          <w:b/>
          <w:bCs/>
          <w:szCs w:val="24"/>
          <w:lang w:val="fr-FR"/>
        </w:rPr>
      </w:pPr>
      <w:r w:rsidRPr="00B64E57">
        <w:rPr>
          <w:b/>
          <w:bCs/>
          <w:lang w:val="fr-FR"/>
        </w:rPr>
        <w:t>Les participants à la RPM-ARB ont pris note de ces informations.</w:t>
      </w:r>
    </w:p>
    <w:p w14:paraId="7BF8027D" w14:textId="706A20A6" w:rsidR="009E11EF" w:rsidRPr="00B64E57" w:rsidRDefault="0065506B" w:rsidP="0065506B">
      <w:pPr>
        <w:pStyle w:val="Heading1"/>
        <w:rPr>
          <w:lang w:val="fr-FR"/>
        </w:rPr>
      </w:pPr>
      <w:r w:rsidRPr="00B64E57">
        <w:rPr>
          <w:lang w:val="fr-FR"/>
        </w:rPr>
        <w:t>10</w:t>
      </w:r>
      <w:r w:rsidRPr="00B64E57">
        <w:rPr>
          <w:lang w:val="fr-FR"/>
        </w:rPr>
        <w:tab/>
      </w:r>
      <w:r w:rsidR="009E11EF" w:rsidRPr="00B64E57">
        <w:rPr>
          <w:lang w:val="fr-FR"/>
        </w:rPr>
        <w:t>Cérémonie de clôture</w:t>
      </w:r>
    </w:p>
    <w:p w14:paraId="74848079" w14:textId="25567CBE" w:rsidR="009E11EF" w:rsidRPr="00B64E57" w:rsidRDefault="009E11EF" w:rsidP="009E11EF">
      <w:pPr>
        <w:rPr>
          <w:lang w:val="fr-FR"/>
        </w:rPr>
      </w:pPr>
      <w:r w:rsidRPr="00B64E57">
        <w:rPr>
          <w:lang w:val="fr-FR"/>
        </w:rPr>
        <w:t>La cérémonie de clôture de la RPM-ARB en vue de la CMDT-25 a été marquée par les remarques de clôture prononcées par le Directeur du BDT, M. Cosmas Luckyson Zavazava, et le Président de la RPM, M. Nooh Alshyab.</w:t>
      </w:r>
    </w:p>
    <w:p w14:paraId="1A41A6F5" w14:textId="2C678DF9" w:rsidR="009E11EF" w:rsidRPr="00B64E57" w:rsidRDefault="009E11EF" w:rsidP="009E11EF">
      <w:pPr>
        <w:rPr>
          <w:lang w:val="fr-FR"/>
        </w:rPr>
      </w:pPr>
      <w:r w:rsidRPr="00B64E57">
        <w:rPr>
          <w:lang w:val="fr-FR"/>
        </w:rPr>
        <w:t>Dans son allocution, le Directeur du BDT a exprimé sa sincère gratitude à tous les participants pour leur précieuse contribution et leur engagement actif tout au long de la réunion. Il a souligné que la manifestation avait permis non seulement d</w:t>
      </w:r>
      <w:r w:rsidR="00E15F9C" w:rsidRPr="00B64E57">
        <w:rPr>
          <w:lang w:val="fr-FR"/>
        </w:rPr>
        <w:t>'</w:t>
      </w:r>
      <w:r w:rsidRPr="00B64E57">
        <w:rPr>
          <w:lang w:val="fr-FR"/>
        </w:rPr>
        <w:t>atteindre les objectifs officiels du Forum régional sur le développement (RDF) et de la RPM, mais aussi de favoriser des relations professionnelles et des amitiés solides. Soulignant l</w:t>
      </w:r>
      <w:r w:rsidR="00E15F9C" w:rsidRPr="00B64E57">
        <w:rPr>
          <w:lang w:val="fr-FR"/>
        </w:rPr>
        <w:t>'</w:t>
      </w:r>
      <w:r w:rsidRPr="00B64E57">
        <w:rPr>
          <w:lang w:val="fr-FR"/>
        </w:rPr>
        <w:t>importance de la cohérence régionale, M. Zavazava a exprimé ses félicitations aux délégués pour avoir élaboré des projets d</w:t>
      </w:r>
      <w:r w:rsidR="00E15F9C" w:rsidRPr="00B64E57">
        <w:rPr>
          <w:lang w:val="fr-FR"/>
        </w:rPr>
        <w:t>'</w:t>
      </w:r>
      <w:r w:rsidRPr="00B64E57">
        <w:rPr>
          <w:lang w:val="fr-FR"/>
        </w:rPr>
        <w:t>initiatives régionales qui reflètent les divers besoins de la région arabe. Il a souligné le rôle des TIC en tant qu</w:t>
      </w:r>
      <w:r w:rsidR="00E15F9C" w:rsidRPr="00B64E57">
        <w:rPr>
          <w:lang w:val="fr-FR"/>
        </w:rPr>
        <w:t>'</w:t>
      </w:r>
      <w:r w:rsidRPr="00B64E57">
        <w:rPr>
          <w:lang w:val="fr-FR"/>
        </w:rPr>
        <w:t>outil porteur de transformations propres à améliorer le quotidien des personnes, soulignant la nécessité d</w:t>
      </w:r>
      <w:r w:rsidR="00E15F9C" w:rsidRPr="00B64E57">
        <w:rPr>
          <w:lang w:val="fr-FR"/>
        </w:rPr>
        <w:t>'</w:t>
      </w:r>
      <w:r w:rsidRPr="00B64E57">
        <w:rPr>
          <w:lang w:val="fr-FR"/>
        </w:rPr>
        <w:t>un développement centré sur l</w:t>
      </w:r>
      <w:r w:rsidR="00E15F9C" w:rsidRPr="00B64E57">
        <w:rPr>
          <w:lang w:val="fr-FR"/>
        </w:rPr>
        <w:t>'</w:t>
      </w:r>
      <w:r w:rsidRPr="00B64E57">
        <w:rPr>
          <w:lang w:val="fr-FR"/>
        </w:rPr>
        <w:t>humain qui tienne compte de l</w:t>
      </w:r>
      <w:r w:rsidR="00E15F9C" w:rsidRPr="00B64E57">
        <w:rPr>
          <w:lang w:val="fr-FR"/>
        </w:rPr>
        <w:t>'</w:t>
      </w:r>
      <w:r w:rsidRPr="00B64E57">
        <w:rPr>
          <w:lang w:val="fr-FR"/>
        </w:rPr>
        <w:t>inclusion numérique, de la cybersécurité et du déficit de compétences numériques. Il a salué les efforts collectifs des parties prenantes, l</w:t>
      </w:r>
      <w:r w:rsidR="00E15F9C" w:rsidRPr="00B64E57">
        <w:rPr>
          <w:lang w:val="fr-FR"/>
        </w:rPr>
        <w:t>'</w:t>
      </w:r>
      <w:r w:rsidRPr="00B64E57">
        <w:rPr>
          <w:lang w:val="fr-FR"/>
        </w:rPr>
        <w:t>appui continu des bailleurs de fonds et le dévouement des groupes de travail qui ont contribué au succès de la manifestation.</w:t>
      </w:r>
    </w:p>
    <w:p w14:paraId="63AEC85D" w14:textId="37DF68F0" w:rsidR="009E11EF" w:rsidRPr="00B64E57" w:rsidRDefault="009E11EF" w:rsidP="009E11EF">
      <w:pPr>
        <w:rPr>
          <w:lang w:val="fr-FR"/>
        </w:rPr>
      </w:pPr>
      <w:r w:rsidRPr="00B64E57">
        <w:rPr>
          <w:lang w:val="fr-FR"/>
        </w:rPr>
        <w:t>Après l'allocution du Directeur du BDT, M. Nooh Alshyab a prononcé son allocution de clôture et a remercié l</w:t>
      </w:r>
      <w:r w:rsidR="00E15F9C" w:rsidRPr="00B64E57">
        <w:rPr>
          <w:lang w:val="fr-FR"/>
        </w:rPr>
        <w:t>'</w:t>
      </w:r>
      <w:r w:rsidRPr="00B64E57">
        <w:rPr>
          <w:lang w:val="fr-FR"/>
        </w:rPr>
        <w:t>UIT, les États Membres et tous les participants pour leur engagement et leur esprit de collaboration. Évoquant le sentiment d</w:t>
      </w:r>
      <w:r w:rsidR="00E15F9C" w:rsidRPr="00B64E57">
        <w:rPr>
          <w:lang w:val="fr-FR"/>
        </w:rPr>
        <w:t>'</w:t>
      </w:r>
      <w:r w:rsidRPr="00B64E57">
        <w:rPr>
          <w:lang w:val="fr-FR"/>
        </w:rPr>
        <w:t>unité et d</w:t>
      </w:r>
      <w:r w:rsidR="00E15F9C" w:rsidRPr="00B64E57">
        <w:rPr>
          <w:lang w:val="fr-FR"/>
        </w:rPr>
        <w:t>'</w:t>
      </w:r>
      <w:r w:rsidRPr="00B64E57">
        <w:rPr>
          <w:lang w:val="fr-FR"/>
        </w:rPr>
        <w:t>objectif commun qui a caractérisé la réunion, il a souligné que les contributions allaient au-delà des intérêts régionaux pour servir l</w:t>
      </w:r>
      <w:r w:rsidR="00E15F9C" w:rsidRPr="00B64E57">
        <w:rPr>
          <w:lang w:val="fr-FR"/>
        </w:rPr>
        <w:t>'</w:t>
      </w:r>
      <w:r w:rsidRPr="00B64E57">
        <w:rPr>
          <w:lang w:val="fr-FR"/>
        </w:rPr>
        <w:t>humanité dans son ensemble. M. Alshyab a souligné les grandes priorités définies au cours des séances. Il s</w:t>
      </w:r>
      <w:r w:rsidR="00E15F9C" w:rsidRPr="00B64E57">
        <w:rPr>
          <w:lang w:val="fr-FR"/>
        </w:rPr>
        <w:t>'</w:t>
      </w:r>
      <w:r w:rsidRPr="00B64E57">
        <w:rPr>
          <w:lang w:val="fr-FR"/>
        </w:rPr>
        <w:t>est félicité des discussions constructives qui ont eu lieu et a noté l</w:t>
      </w:r>
      <w:r w:rsidR="00E15F9C" w:rsidRPr="00B64E57">
        <w:rPr>
          <w:lang w:val="fr-FR"/>
        </w:rPr>
        <w:t>'</w:t>
      </w:r>
      <w:r w:rsidRPr="00B64E57">
        <w:rPr>
          <w:lang w:val="fr-FR"/>
        </w:rPr>
        <w:t>absence de divergences et la vision commune d</w:t>
      </w:r>
      <w:r w:rsidR="00E15F9C" w:rsidRPr="00B64E57">
        <w:rPr>
          <w:lang w:val="fr-FR"/>
        </w:rPr>
        <w:t>'</w:t>
      </w:r>
      <w:r w:rsidRPr="00B64E57">
        <w:rPr>
          <w:lang w:val="fr-FR"/>
        </w:rPr>
        <w:t>un avenir numérique inclusif. Il a souligné l</w:t>
      </w:r>
      <w:r w:rsidR="00E15F9C" w:rsidRPr="00B64E57">
        <w:rPr>
          <w:lang w:val="fr-FR"/>
        </w:rPr>
        <w:t>'</w:t>
      </w:r>
      <w:r w:rsidRPr="00B64E57">
        <w:rPr>
          <w:lang w:val="fr-FR"/>
        </w:rPr>
        <w:t>importance de poursuivre la coopération pour atteindre les objectifs communs définis pendant le Forum.</w:t>
      </w:r>
    </w:p>
    <w:p w14:paraId="43497CF0" w14:textId="483AC831" w:rsidR="009E11EF" w:rsidRPr="00B64E57" w:rsidRDefault="009E11EF" w:rsidP="009E11EF">
      <w:pPr>
        <w:rPr>
          <w:rtl/>
          <w:lang w:val="fr-FR"/>
        </w:rPr>
      </w:pPr>
      <w:r w:rsidRPr="00B64E57">
        <w:rPr>
          <w:lang w:val="fr-FR"/>
        </w:rPr>
        <w:t xml:space="preserve">Dans le cadre de la cérémonie, deux certificats de remerciement ont été remis. Le premier a été présenté à la Ligue des </w:t>
      </w:r>
      <w:r w:rsidR="005D16E3" w:rsidRPr="00B64E57">
        <w:rPr>
          <w:lang w:val="fr-FR"/>
        </w:rPr>
        <w:t>États</w:t>
      </w:r>
      <w:r w:rsidRPr="00B64E57">
        <w:rPr>
          <w:lang w:val="fr-FR"/>
        </w:rPr>
        <w:t xml:space="preserve"> arabes pour son rôle important dans le soutien aux initiatives régionales de développement des TIC. Le deuxième certificat a été décerné à M. Nooh Alshyab, président de la RPM, en reconnaissance de ses capacités de direction et de son dévouement tout au long de la RPM-ARB.</w:t>
      </w:r>
    </w:p>
    <w:p w14:paraId="28848565" w14:textId="77777777" w:rsidR="005D16E3" w:rsidRPr="00B64E57" w:rsidRDefault="005D16E3">
      <w:pPr>
        <w:jc w:val="center"/>
        <w:rPr>
          <w:lang w:val="fr-FR"/>
        </w:rPr>
      </w:pPr>
      <w:r w:rsidRPr="00B64E57">
        <w:rPr>
          <w:lang w:val="fr-FR"/>
        </w:rPr>
        <w:t>______________</w:t>
      </w:r>
    </w:p>
    <w:sectPr w:rsidR="005D16E3" w:rsidRPr="00B64E57" w:rsidSect="008C7A35">
      <w:headerReference w:type="default" r:id="rId43"/>
      <w:footerReference w:type="first" r:id="rId4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9" w:type="pct"/>
      <w:tblLayout w:type="fixed"/>
      <w:tblLook w:val="04A0" w:firstRow="1" w:lastRow="0" w:firstColumn="1" w:lastColumn="0" w:noHBand="0" w:noVBand="1"/>
    </w:tblPr>
    <w:tblGrid>
      <w:gridCol w:w="1430"/>
      <w:gridCol w:w="2250"/>
      <w:gridCol w:w="5957"/>
    </w:tblGrid>
    <w:tr w:rsidR="009E11EF" w:rsidRPr="00D71ABF" w14:paraId="69CCAD71" w14:textId="77777777" w:rsidTr="009E11EF">
      <w:tc>
        <w:tcPr>
          <w:tcW w:w="1430" w:type="dxa"/>
          <w:tcBorders>
            <w:top w:val="single" w:sz="4" w:space="0" w:color="000000"/>
          </w:tcBorders>
          <w:shd w:val="clear" w:color="auto" w:fill="auto"/>
        </w:tcPr>
        <w:p w14:paraId="2D69F565" w14:textId="77777777" w:rsidR="009E11EF" w:rsidRPr="004D495C" w:rsidRDefault="009E11EF" w:rsidP="009E11EF">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0" w:type="dxa"/>
          <w:tcBorders>
            <w:top w:val="single" w:sz="4" w:space="0" w:color="000000"/>
          </w:tcBorders>
        </w:tcPr>
        <w:p w14:paraId="54F7EB2C" w14:textId="77777777" w:rsidR="009E11EF" w:rsidRPr="004D495C" w:rsidRDefault="009E11EF" w:rsidP="009E11EF">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7" w:type="dxa"/>
          <w:tcBorders>
            <w:top w:val="single" w:sz="4" w:space="0" w:color="000000"/>
          </w:tcBorders>
        </w:tcPr>
        <w:p w14:paraId="1C62C739" w14:textId="0AB7A5C3" w:rsidR="009E11EF" w:rsidRPr="009E11EF" w:rsidRDefault="009E11EF" w:rsidP="009E11EF">
          <w:pPr>
            <w:pStyle w:val="FirstFooter"/>
            <w:rPr>
              <w:sz w:val="18"/>
              <w:szCs w:val="18"/>
            </w:rPr>
          </w:pPr>
          <w:r w:rsidRPr="009E11EF">
            <w:rPr>
              <w:sz w:val="18"/>
              <w:szCs w:val="18"/>
            </w:rPr>
            <w:t>S. E. M. Nooh Alshyab, Président de la RPM-ARB, Commissaire, Commission de réglementation des télécommunications de Jordanie, Jordanie</w:t>
          </w:r>
        </w:p>
      </w:tc>
      <w:bookmarkStart w:id="10" w:name="OrgName"/>
      <w:bookmarkEnd w:id="10"/>
    </w:tr>
    <w:tr w:rsidR="009E11EF" w:rsidRPr="004D495C" w14:paraId="42DB246D" w14:textId="77777777" w:rsidTr="009E11EF">
      <w:tc>
        <w:tcPr>
          <w:tcW w:w="1430" w:type="dxa"/>
          <w:shd w:val="clear" w:color="auto" w:fill="auto"/>
        </w:tcPr>
        <w:p w14:paraId="6C26AD94" w14:textId="77777777" w:rsidR="009E11EF" w:rsidRPr="00FC401C" w:rsidRDefault="009E11EF" w:rsidP="009E11EF">
          <w:pPr>
            <w:pStyle w:val="FirstFooter"/>
            <w:tabs>
              <w:tab w:val="left" w:pos="1559"/>
              <w:tab w:val="left" w:pos="3828"/>
            </w:tabs>
            <w:rPr>
              <w:sz w:val="20"/>
            </w:rPr>
          </w:pPr>
        </w:p>
      </w:tc>
      <w:tc>
        <w:tcPr>
          <w:tcW w:w="2250" w:type="dxa"/>
        </w:tcPr>
        <w:p w14:paraId="22DDE554" w14:textId="77777777" w:rsidR="009E11EF" w:rsidRPr="004D495C" w:rsidRDefault="009E11EF" w:rsidP="009E11EF">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7" w:type="dxa"/>
        </w:tcPr>
        <w:p w14:paraId="4A027007" w14:textId="425ECDF5" w:rsidR="009E11EF" w:rsidRPr="009E11EF" w:rsidRDefault="009E11EF" w:rsidP="009E11EF">
          <w:pPr>
            <w:pStyle w:val="FirstFooter"/>
            <w:tabs>
              <w:tab w:val="left" w:pos="2302"/>
            </w:tabs>
            <w:rPr>
              <w:sz w:val="18"/>
              <w:szCs w:val="18"/>
              <w:lang w:val="en-US"/>
            </w:rPr>
          </w:pPr>
          <w:r w:rsidRPr="009E11EF">
            <w:rPr>
              <w:sz w:val="18"/>
              <w:szCs w:val="18"/>
            </w:rPr>
            <w:t>Sans objet</w:t>
          </w:r>
        </w:p>
      </w:tc>
      <w:bookmarkStart w:id="11" w:name="PhoneNo"/>
      <w:bookmarkEnd w:id="11"/>
    </w:tr>
    <w:tr w:rsidR="009E11EF" w:rsidRPr="004D495C" w14:paraId="696AB700" w14:textId="77777777" w:rsidTr="009E11EF">
      <w:tc>
        <w:tcPr>
          <w:tcW w:w="1430" w:type="dxa"/>
          <w:shd w:val="clear" w:color="auto" w:fill="auto"/>
        </w:tcPr>
        <w:p w14:paraId="6C11472E" w14:textId="77777777" w:rsidR="009E11EF" w:rsidRPr="004D495C" w:rsidRDefault="009E11EF" w:rsidP="009E11EF">
          <w:pPr>
            <w:pStyle w:val="FirstFooter"/>
            <w:tabs>
              <w:tab w:val="left" w:pos="1559"/>
              <w:tab w:val="left" w:pos="3828"/>
            </w:tabs>
            <w:rPr>
              <w:sz w:val="20"/>
              <w:lang w:val="en-US"/>
            </w:rPr>
          </w:pPr>
        </w:p>
      </w:tc>
      <w:tc>
        <w:tcPr>
          <w:tcW w:w="2250" w:type="dxa"/>
        </w:tcPr>
        <w:p w14:paraId="6DE4AAE4" w14:textId="77777777" w:rsidR="009E11EF" w:rsidRPr="004D495C" w:rsidRDefault="009E11EF" w:rsidP="009E11EF">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7" w:type="dxa"/>
        </w:tcPr>
        <w:p w14:paraId="79758D4B" w14:textId="7F70634C" w:rsidR="009E11EF" w:rsidRPr="009E11EF" w:rsidRDefault="009E11EF" w:rsidP="009E11EF">
          <w:pPr>
            <w:pStyle w:val="FirstFooter"/>
            <w:tabs>
              <w:tab w:val="left" w:pos="2302"/>
            </w:tabs>
            <w:rPr>
              <w:rStyle w:val="Hyperlink"/>
              <w:sz w:val="18"/>
              <w:szCs w:val="18"/>
              <w:lang w:val="en-US"/>
            </w:rPr>
          </w:pPr>
          <w:hyperlink r:id="rId1" w:history="1">
            <w:r w:rsidRPr="009E11EF">
              <w:rPr>
                <w:rStyle w:val="Hyperlink"/>
                <w:sz w:val="18"/>
                <w:szCs w:val="18"/>
                <w:lang w:val="en-US"/>
              </w:rPr>
              <w:t>alshyab.nooh@trc.gov.jo</w:t>
            </w:r>
          </w:hyperlink>
        </w:p>
      </w:tc>
      <w:bookmarkStart w:id="12" w:name="Email"/>
      <w:bookmarkEnd w:id="12"/>
    </w:tr>
  </w:tbl>
  <w:p w14:paraId="40A321D0" w14:textId="1C276101" w:rsidR="00721657" w:rsidRPr="009E11EF" w:rsidRDefault="00721657" w:rsidP="00664F9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707E310"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9" w:name="DocNo2"/>
    <w:bookmarkEnd w:id="9"/>
    <w:r w:rsidR="009E11EF">
      <w:rPr>
        <w:sz w:val="22"/>
        <w:szCs w:val="22"/>
        <w:lang w:val="es-ES_tradnl"/>
      </w:rPr>
      <w:t>20</w:t>
    </w:r>
    <w:r w:rsidRPr="00FF089C">
      <w:rPr>
        <w:sz w:val="22"/>
        <w:szCs w:val="22"/>
        <w:lang w:val="es-ES_tradnl"/>
      </w:rPr>
      <w:t>-</w:t>
    </w:r>
    <w:r w:rsidR="00EC7185">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230CC"/>
    <w:multiLevelType w:val="hybridMultilevel"/>
    <w:tmpl w:val="D79AC72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3808767">
    <w:abstractNumId w:val="4"/>
  </w:num>
  <w:num w:numId="2" w16cid:durableId="946815219">
    <w:abstractNumId w:val="2"/>
  </w:num>
  <w:num w:numId="3" w16cid:durableId="408577452">
    <w:abstractNumId w:val="5"/>
  </w:num>
  <w:num w:numId="4" w16cid:durableId="13387963">
    <w:abstractNumId w:val="3"/>
  </w:num>
  <w:num w:numId="5" w16cid:durableId="1677463201">
    <w:abstractNumId w:val="1"/>
  </w:num>
  <w:num w:numId="6" w16cid:durableId="100289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80A82"/>
    <w:rsid w:val="0009076F"/>
    <w:rsid w:val="0009225C"/>
    <w:rsid w:val="00094033"/>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2F72"/>
    <w:rsid w:val="001042B1"/>
    <w:rsid w:val="00107E85"/>
    <w:rsid w:val="00113EE8"/>
    <w:rsid w:val="0011455A"/>
    <w:rsid w:val="00114A65"/>
    <w:rsid w:val="00121846"/>
    <w:rsid w:val="00122C86"/>
    <w:rsid w:val="00133061"/>
    <w:rsid w:val="0013591E"/>
    <w:rsid w:val="00141699"/>
    <w:rsid w:val="00147000"/>
    <w:rsid w:val="00156E3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D64E2"/>
    <w:rsid w:val="001E5D41"/>
    <w:rsid w:val="001F23E6"/>
    <w:rsid w:val="001F4238"/>
    <w:rsid w:val="00200A38"/>
    <w:rsid w:val="00200A46"/>
    <w:rsid w:val="00201E45"/>
    <w:rsid w:val="00211411"/>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79A1"/>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6D"/>
    <w:rsid w:val="003125C3"/>
    <w:rsid w:val="00312AE6"/>
    <w:rsid w:val="00317D1A"/>
    <w:rsid w:val="003211FF"/>
    <w:rsid w:val="003242AB"/>
    <w:rsid w:val="00327247"/>
    <w:rsid w:val="00327A9D"/>
    <w:rsid w:val="0033130E"/>
    <w:rsid w:val="0033269C"/>
    <w:rsid w:val="003456C2"/>
    <w:rsid w:val="00350E36"/>
    <w:rsid w:val="00351C79"/>
    <w:rsid w:val="0035516C"/>
    <w:rsid w:val="00355A4C"/>
    <w:rsid w:val="003604FB"/>
    <w:rsid w:val="00360B73"/>
    <w:rsid w:val="00365EF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2B8"/>
    <w:rsid w:val="00403D5B"/>
    <w:rsid w:val="00404424"/>
    <w:rsid w:val="0041156B"/>
    <w:rsid w:val="004122C5"/>
    <w:rsid w:val="00413B78"/>
    <w:rsid w:val="004146FD"/>
    <w:rsid w:val="00416DDE"/>
    <w:rsid w:val="00422F75"/>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D2CC3"/>
    <w:rsid w:val="004D329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F06"/>
    <w:rsid w:val="0054420E"/>
    <w:rsid w:val="00544212"/>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169E"/>
    <w:rsid w:val="00592518"/>
    <w:rsid w:val="00592E87"/>
    <w:rsid w:val="0059420B"/>
    <w:rsid w:val="00594C4D"/>
    <w:rsid w:val="0059780C"/>
    <w:rsid w:val="005A0518"/>
    <w:rsid w:val="005A33B0"/>
    <w:rsid w:val="005A406D"/>
    <w:rsid w:val="005A4AB8"/>
    <w:rsid w:val="005B2295"/>
    <w:rsid w:val="005B7930"/>
    <w:rsid w:val="005C2DC2"/>
    <w:rsid w:val="005C304A"/>
    <w:rsid w:val="005C3D69"/>
    <w:rsid w:val="005C7C98"/>
    <w:rsid w:val="005D16E3"/>
    <w:rsid w:val="005D2C3A"/>
    <w:rsid w:val="005D3074"/>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322F"/>
    <w:rsid w:val="0065506B"/>
    <w:rsid w:val="0065521B"/>
    <w:rsid w:val="0066216A"/>
    <w:rsid w:val="00664F9F"/>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703D"/>
    <w:rsid w:val="00721657"/>
    <w:rsid w:val="007279A8"/>
    <w:rsid w:val="00727B1A"/>
    <w:rsid w:val="007361B6"/>
    <w:rsid w:val="00741337"/>
    <w:rsid w:val="00745A46"/>
    <w:rsid w:val="00752258"/>
    <w:rsid w:val="007529E1"/>
    <w:rsid w:val="007538B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2FD8"/>
    <w:rsid w:val="0080332E"/>
    <w:rsid w:val="008141E0"/>
    <w:rsid w:val="00816EE1"/>
    <w:rsid w:val="00816F88"/>
    <w:rsid w:val="00821996"/>
    <w:rsid w:val="00822323"/>
    <w:rsid w:val="00822610"/>
    <w:rsid w:val="00826A3E"/>
    <w:rsid w:val="00827BC6"/>
    <w:rsid w:val="008300AD"/>
    <w:rsid w:val="00833024"/>
    <w:rsid w:val="00834AC9"/>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F14F5"/>
    <w:rsid w:val="008F40CC"/>
    <w:rsid w:val="008F71C1"/>
    <w:rsid w:val="008F7311"/>
    <w:rsid w:val="00902D41"/>
    <w:rsid w:val="00902F49"/>
    <w:rsid w:val="00904230"/>
    <w:rsid w:val="00912A4C"/>
    <w:rsid w:val="00914004"/>
    <w:rsid w:val="00922EC1"/>
    <w:rsid w:val="00923CF1"/>
    <w:rsid w:val="009301F1"/>
    <w:rsid w:val="009307DF"/>
    <w:rsid w:val="009359B8"/>
    <w:rsid w:val="00935FF0"/>
    <w:rsid w:val="009431F8"/>
    <w:rsid w:val="00947A35"/>
    <w:rsid w:val="00951D26"/>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D7383"/>
    <w:rsid w:val="009E048D"/>
    <w:rsid w:val="009E11EF"/>
    <w:rsid w:val="009F3940"/>
    <w:rsid w:val="009F3EB2"/>
    <w:rsid w:val="009F6EB1"/>
    <w:rsid w:val="00A11D05"/>
    <w:rsid w:val="00A13162"/>
    <w:rsid w:val="00A1374F"/>
    <w:rsid w:val="00A1507D"/>
    <w:rsid w:val="00A20267"/>
    <w:rsid w:val="00A27BE0"/>
    <w:rsid w:val="00A3158C"/>
    <w:rsid w:val="00A32DF3"/>
    <w:rsid w:val="00A33E32"/>
    <w:rsid w:val="00A35E20"/>
    <w:rsid w:val="00A36F6D"/>
    <w:rsid w:val="00A50CA0"/>
    <w:rsid w:val="00A525CC"/>
    <w:rsid w:val="00A53E7C"/>
    <w:rsid w:val="00A60087"/>
    <w:rsid w:val="00A702B0"/>
    <w:rsid w:val="00A705E8"/>
    <w:rsid w:val="00A71DF5"/>
    <w:rsid w:val="00A721F4"/>
    <w:rsid w:val="00A9392C"/>
    <w:rsid w:val="00A9462B"/>
    <w:rsid w:val="00A95E3A"/>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373E"/>
    <w:rsid w:val="00B143A4"/>
    <w:rsid w:val="00B310F9"/>
    <w:rsid w:val="00B37866"/>
    <w:rsid w:val="00B412FB"/>
    <w:rsid w:val="00B41432"/>
    <w:rsid w:val="00B44BBE"/>
    <w:rsid w:val="00B4576B"/>
    <w:rsid w:val="00B46350"/>
    <w:rsid w:val="00B46DF3"/>
    <w:rsid w:val="00B5794F"/>
    <w:rsid w:val="00B648C7"/>
    <w:rsid w:val="00B64E57"/>
    <w:rsid w:val="00B66E8F"/>
    <w:rsid w:val="00B714EA"/>
    <w:rsid w:val="00B80157"/>
    <w:rsid w:val="00B83D5E"/>
    <w:rsid w:val="00B8460A"/>
    <w:rsid w:val="00B8650D"/>
    <w:rsid w:val="00B879B4"/>
    <w:rsid w:val="00B90F07"/>
    <w:rsid w:val="00B97BB9"/>
    <w:rsid w:val="00BA0009"/>
    <w:rsid w:val="00BB02B5"/>
    <w:rsid w:val="00BB1863"/>
    <w:rsid w:val="00BB25EE"/>
    <w:rsid w:val="00BB363A"/>
    <w:rsid w:val="00BC10A0"/>
    <w:rsid w:val="00BC1B10"/>
    <w:rsid w:val="00BC7BA2"/>
    <w:rsid w:val="00BD426B"/>
    <w:rsid w:val="00BD79F0"/>
    <w:rsid w:val="00BE2B4D"/>
    <w:rsid w:val="00C00206"/>
    <w:rsid w:val="00C015F8"/>
    <w:rsid w:val="00C02C2A"/>
    <w:rsid w:val="00C07E26"/>
    <w:rsid w:val="00C1011C"/>
    <w:rsid w:val="00C12F94"/>
    <w:rsid w:val="00C177C5"/>
    <w:rsid w:val="00C34EC3"/>
    <w:rsid w:val="00C4038C"/>
    <w:rsid w:val="00C40BDB"/>
    <w:rsid w:val="00C42BA2"/>
    <w:rsid w:val="00C44066"/>
    <w:rsid w:val="00C44E13"/>
    <w:rsid w:val="00C50751"/>
    <w:rsid w:val="00C60A41"/>
    <w:rsid w:val="00C61398"/>
    <w:rsid w:val="00C62DE8"/>
    <w:rsid w:val="00C62DFB"/>
    <w:rsid w:val="00C630E6"/>
    <w:rsid w:val="00C63812"/>
    <w:rsid w:val="00C64AF3"/>
    <w:rsid w:val="00C66F4D"/>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63006"/>
    <w:rsid w:val="00D6748D"/>
    <w:rsid w:val="00D71ABF"/>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5F9C"/>
    <w:rsid w:val="00E2258E"/>
    <w:rsid w:val="00E242FC"/>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2CC"/>
    <w:rsid w:val="00E70D9F"/>
    <w:rsid w:val="00E83810"/>
    <w:rsid w:val="00E8469D"/>
    <w:rsid w:val="00E86933"/>
    <w:rsid w:val="00E91E12"/>
    <w:rsid w:val="00E9605B"/>
    <w:rsid w:val="00E97298"/>
    <w:rsid w:val="00E97753"/>
    <w:rsid w:val="00EA0C51"/>
    <w:rsid w:val="00EA7DE7"/>
    <w:rsid w:val="00EB7A8A"/>
    <w:rsid w:val="00EB7FAC"/>
    <w:rsid w:val="00EC6FED"/>
    <w:rsid w:val="00EC7185"/>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75AE8"/>
    <w:rsid w:val="00F81DEC"/>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05E9"/>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Normalend">
    <w:name w:val="Normal_end"/>
    <w:basedOn w:val="Normal"/>
    <w:next w:val="Normal"/>
    <w:qFormat/>
    <w:rsid w:val="009E11EF"/>
    <w:pPr>
      <w:tabs>
        <w:tab w:val="clear" w:pos="794"/>
        <w:tab w:val="clear" w:pos="1191"/>
        <w:tab w:val="clear" w:pos="1588"/>
        <w:tab w:val="clear" w:pos="1985"/>
        <w:tab w:val="left" w:pos="1134"/>
        <w:tab w:val="left" w:pos="1871"/>
        <w:tab w:val="left" w:pos="2268"/>
      </w:tabs>
    </w:pPr>
    <w:rPr>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E11EF"/>
    <w:rPr>
      <w:rFonts w:asciiTheme="minorHAnsi" w:hAnsiTheme="minorHAnsi"/>
      <w:sz w:val="24"/>
      <w:lang w:val="en-GB" w:eastAsia="en-US"/>
    </w:rPr>
  </w:style>
  <w:style w:type="character" w:customStyle="1" w:styleId="eop">
    <w:name w:val="eop"/>
    <w:basedOn w:val="DefaultParagraphFont"/>
    <w:rsid w:val="009E11EF"/>
  </w:style>
  <w:style w:type="character" w:styleId="UnresolvedMention">
    <w:name w:val="Unresolved Mention"/>
    <w:basedOn w:val="DefaultParagraphFont"/>
    <w:uiPriority w:val="99"/>
    <w:semiHidden/>
    <w:unhideWhenUsed/>
    <w:rsid w:val="0065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wtdc25/rpm/arb/home/" TargetMode="External"/><Relationship Id="rId18" Type="http://schemas.openxmlformats.org/officeDocument/2006/relationships/hyperlink" Target="https://www.itu.int/md/D22-RPMARB-C-0002/en" TargetMode="External"/><Relationship Id="rId26" Type="http://schemas.openxmlformats.org/officeDocument/2006/relationships/hyperlink" Target="https://www.itu.int/md/D22-RPMARB-C-0005/en" TargetMode="External"/><Relationship Id="rId39" Type="http://schemas.openxmlformats.org/officeDocument/2006/relationships/hyperlink" Target="https://www.itu.int/md/D22-RPMARB-C-0015/en" TargetMode="External"/><Relationship Id="rId21" Type="http://schemas.openxmlformats.org/officeDocument/2006/relationships/hyperlink" Target="https://www.itu.int/md/D22-RPMARB-C-0004/en" TargetMode="External"/><Relationship Id="rId34" Type="http://schemas.openxmlformats.org/officeDocument/2006/relationships/hyperlink" Target="https://www.itu.int/md/D22-RPMARB-C-0012/en" TargetMode="External"/><Relationship Id="rId42" Type="http://schemas.openxmlformats.org/officeDocument/2006/relationships/hyperlink" Target="https://www.itu.int/md/D22-RPMARB-INF-0007/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RB-250204/sum/en" TargetMode="External"/><Relationship Id="rId29" Type="http://schemas.openxmlformats.org/officeDocument/2006/relationships/hyperlink" Target="https://www.itu.int/md/D22-RPMARB-250204-INF/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RPMARB-C-0008/en" TargetMode="External"/><Relationship Id="rId32" Type="http://schemas.openxmlformats.org/officeDocument/2006/relationships/hyperlink" Target="https://www.itu.int/md/D22-RPMARB-C-0009/en" TargetMode="External"/><Relationship Id="rId37" Type="http://schemas.openxmlformats.org/officeDocument/2006/relationships/hyperlink" Target="https://www.itu.int/md/D22-RPMARB-C-0017/en" TargetMode="External"/><Relationship Id="rId40" Type="http://schemas.openxmlformats.org/officeDocument/2006/relationships/hyperlink" Target="https://www.itu.int/md/D22-RPMARB-C-0018/e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RPMARB-C-0001/en" TargetMode="External"/><Relationship Id="rId23" Type="http://schemas.openxmlformats.org/officeDocument/2006/relationships/hyperlink" Target="https://www.itu.int/md/D22-RPMARB-C-0004/en" TargetMode="External"/><Relationship Id="rId28" Type="http://schemas.openxmlformats.org/officeDocument/2006/relationships/hyperlink" Target="https://www.itu.int/md/D22-RPMARB-C-0007/en" TargetMode="External"/><Relationship Id="rId36" Type="http://schemas.openxmlformats.org/officeDocument/2006/relationships/hyperlink" Target="https://www.itu.int/md/D22-RPMARB-C-0016/en" TargetMode="External"/><Relationship Id="rId10" Type="http://schemas.openxmlformats.org/officeDocument/2006/relationships/endnotes" Target="endnotes.xml"/><Relationship Id="rId19" Type="http://schemas.openxmlformats.org/officeDocument/2006/relationships/hyperlink" Target="https://www.itu.int/md/D22-RPMARB-C-0003/en" TargetMode="External"/><Relationship Id="rId31" Type="http://schemas.openxmlformats.org/officeDocument/2006/relationships/hyperlink" Target="https://www.itu.int/md/D22-RPMARB-250204-INF/e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fr/ITU-D/bdt-director/Pages/Speeches.aspx?ItemID=561" TargetMode="External"/><Relationship Id="rId22" Type="http://schemas.openxmlformats.org/officeDocument/2006/relationships/hyperlink" Target="https://www.itu.int/md/D22-RPMARB-C-0004/en" TargetMode="External"/><Relationship Id="rId27" Type="http://schemas.openxmlformats.org/officeDocument/2006/relationships/hyperlink" Target="https://www.itu.int/md/D22-RPMARB-250204-INF/en" TargetMode="External"/><Relationship Id="rId30" Type="http://schemas.openxmlformats.org/officeDocument/2006/relationships/hyperlink" Target="https://www.itu.int/md/D22-RPMARB-C-0006/en" TargetMode="External"/><Relationship Id="rId35" Type="http://schemas.openxmlformats.org/officeDocument/2006/relationships/hyperlink" Target="https://www.itu.int/md/D22-RPMARB-C-0014/en"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22-RPMARB-C-0019/en" TargetMode="External"/><Relationship Id="rId17" Type="http://schemas.openxmlformats.org/officeDocument/2006/relationships/hyperlink" Target="https://www.itu.int/md/D22-RPMARB-250204-TD-0001/en" TargetMode="External"/><Relationship Id="rId25" Type="http://schemas.openxmlformats.org/officeDocument/2006/relationships/hyperlink" Target="https://www.itu.int/md/D22-RPMARB-250204-INF/en" TargetMode="External"/><Relationship Id="rId33" Type="http://schemas.openxmlformats.org/officeDocument/2006/relationships/hyperlink" Target="https://www.itu.int/md/D22-RPMARB-C-0010/en" TargetMode="External"/><Relationship Id="rId38" Type="http://schemas.openxmlformats.org/officeDocument/2006/relationships/hyperlink" Target="https://www.itu.int/md/D22-RPMARB-C-0013/en" TargetMode="External"/><Relationship Id="rId46" Type="http://schemas.openxmlformats.org/officeDocument/2006/relationships/theme" Target="theme/theme1.xml"/><Relationship Id="rId20" Type="http://schemas.openxmlformats.org/officeDocument/2006/relationships/hyperlink" Target="https://www.itu.int/md/D22-RPMARB-250204-INF/en" TargetMode="External"/><Relationship Id="rId41" Type="http://schemas.openxmlformats.org/officeDocument/2006/relationships/hyperlink" Target="https://www.itu.int/md/D22-RPMARB-INF-00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lshyab.nooh@trc.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2AE2-31C3-482C-9B2B-5804407105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B7594-BCB2-4805-8D5B-145DDFB76017}"/>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12</Pages>
  <Words>5825</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cp:lastModifiedBy>
  <cp:revision>22</cp:revision>
  <cp:lastPrinted>2014-11-04T18:22:00Z</cp:lastPrinted>
  <dcterms:created xsi:type="dcterms:W3CDTF">2025-03-06T12:21:00Z</dcterms:created>
  <dcterms:modified xsi:type="dcterms:W3CDTF">2025-03-07T06:21:00Z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TranslatedWith">
    <vt:lpwstr>Mercury</vt:lpwstr>
  </property>
  <property fmtid="{D5CDD505-2E9C-101B-9397-08002B2CF9AE}" pid="9" name="GeneratedBy">
    <vt:lpwstr>cedric.verny</vt:lpwstr>
  </property>
  <property fmtid="{D5CDD505-2E9C-101B-9397-08002B2CF9AE}" pid="10" name="GeneratedDate">
    <vt:lpwstr>09/24/2024 09:20:18</vt:lpwstr>
  </property>
  <property fmtid="{D5CDD505-2E9C-101B-9397-08002B2CF9AE}" pid="11" name="OriginalDocID">
    <vt:lpwstr>008bbaae-39c5-4692-997f-fc9e02019d6e</vt:lpwstr>
  </property>
  <property fmtid="{D5CDD505-2E9C-101B-9397-08002B2CF9AE}" pid="12" name="ContentTypeId">
    <vt:lpwstr>0x010100B3CCE0E51E9C1044807BC3B58DFAB656</vt:lpwstr>
  </property>
</Properties>
</file>