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542"/>
        <w:gridCol w:w="2549"/>
      </w:tblGrid>
      <w:tr w:rsidR="0094065A" w:rsidRPr="00783A69" w14:paraId="4A313A12" w14:textId="77777777" w:rsidTr="000F7FE5">
        <w:trPr>
          <w:cantSplit/>
          <w:trHeight w:val="1310"/>
          <w:jc w:val="center"/>
        </w:trPr>
        <w:tc>
          <w:tcPr>
            <w:tcW w:w="7090" w:type="dxa"/>
            <w:gridSpan w:val="2"/>
            <w:tcBorders>
              <w:bottom w:val="single" w:sz="12" w:space="0" w:color="auto"/>
            </w:tcBorders>
          </w:tcPr>
          <w:p w14:paraId="7B158F4E" w14:textId="77777777" w:rsidR="0094065A" w:rsidRPr="00F700ED" w:rsidRDefault="000F7FE5" w:rsidP="00F83E91">
            <w:pPr>
              <w:spacing w:before="240"/>
              <w:jc w:val="left"/>
              <w:rPr>
                <w:b/>
                <w:bCs/>
                <w:sz w:val="30"/>
                <w:szCs w:val="30"/>
                <w:lang w:bidi="ar-SY"/>
              </w:rPr>
            </w:pPr>
            <w:r w:rsidRPr="00F700ED">
              <w:rPr>
                <w:rFonts w:hint="cs"/>
                <w:b/>
                <w:bCs/>
                <w:spacing w:val="6"/>
                <w:sz w:val="30"/>
                <w:szCs w:val="30"/>
                <w:rtl/>
                <w:lang w:bidi="ar-EG"/>
              </w:rPr>
              <w:t xml:space="preserve">الاجتماع التحضيري الإقليمي </w:t>
            </w:r>
            <w:r w:rsidR="00F83E91" w:rsidRPr="00F700ED">
              <w:rPr>
                <w:rFonts w:hint="cs"/>
                <w:b/>
                <w:bCs/>
                <w:spacing w:val="6"/>
                <w:sz w:val="30"/>
                <w:szCs w:val="30"/>
                <w:rtl/>
                <w:lang w:bidi="ar-EG"/>
              </w:rPr>
              <w:t>للدول العربية</w:t>
            </w:r>
            <w:r w:rsidR="0086538C" w:rsidRPr="00F700ED">
              <w:rPr>
                <w:rFonts w:hint="cs"/>
                <w:b/>
                <w:bCs/>
                <w:spacing w:val="6"/>
                <w:sz w:val="30"/>
                <w:szCs w:val="30"/>
                <w:rtl/>
                <w:lang w:bidi="ar-EG"/>
              </w:rPr>
              <w:t xml:space="preserve"> </w:t>
            </w:r>
            <w:r w:rsidRPr="00F700ED">
              <w:rPr>
                <w:rFonts w:hint="cs"/>
                <w:b/>
                <w:bCs/>
                <w:spacing w:val="6"/>
                <w:sz w:val="30"/>
                <w:szCs w:val="30"/>
                <w:rtl/>
                <w:lang w:bidi="ar-EG"/>
              </w:rPr>
              <w:t xml:space="preserve">بشأن </w:t>
            </w:r>
            <w:r w:rsidR="00F700ED">
              <w:rPr>
                <w:b/>
                <w:bCs/>
                <w:spacing w:val="6"/>
                <w:sz w:val="30"/>
                <w:szCs w:val="30"/>
                <w:rtl/>
                <w:lang w:bidi="ar-EG"/>
              </w:rPr>
              <w:br/>
            </w:r>
            <w:r w:rsidRPr="00F700ED">
              <w:rPr>
                <w:rFonts w:hint="cs"/>
                <w:b/>
                <w:bCs/>
                <w:sz w:val="30"/>
                <w:szCs w:val="30"/>
                <w:rtl/>
                <w:lang w:bidi="ar-EG"/>
              </w:rPr>
              <w:t xml:space="preserve">المؤتمر العالمي لتنمية الاتصالات عام </w:t>
            </w:r>
            <w:r w:rsidRPr="00F700ED">
              <w:rPr>
                <w:rFonts w:hint="cs"/>
                <w:b/>
                <w:bCs/>
                <w:sz w:val="30"/>
                <w:szCs w:val="30"/>
                <w:lang w:bidi="ar-EG"/>
              </w:rPr>
              <w:t>2025</w:t>
            </w:r>
            <w:r w:rsidRPr="00F700ED">
              <w:rPr>
                <w:rFonts w:hint="cs"/>
                <w:b/>
                <w:bCs/>
                <w:sz w:val="30"/>
                <w:szCs w:val="30"/>
                <w:rtl/>
                <w:lang w:bidi="ar-EG"/>
              </w:rPr>
              <w:t xml:space="preserve"> </w:t>
            </w:r>
            <w:r w:rsidRPr="00F700ED">
              <w:rPr>
                <w:b/>
                <w:bCs/>
                <w:sz w:val="30"/>
                <w:szCs w:val="30"/>
                <w:lang w:bidi="ar-EG"/>
              </w:rPr>
              <w:t>(RPM-</w:t>
            </w:r>
            <w:r w:rsidR="00F83E91" w:rsidRPr="00F700ED">
              <w:rPr>
                <w:b/>
                <w:bCs/>
                <w:sz w:val="30"/>
                <w:szCs w:val="30"/>
                <w:lang w:bidi="ar-EG"/>
              </w:rPr>
              <w:t>ARB</w:t>
            </w:r>
            <w:r w:rsidRPr="00F700ED">
              <w:rPr>
                <w:b/>
                <w:bCs/>
                <w:sz w:val="30"/>
                <w:szCs w:val="30"/>
                <w:lang w:bidi="ar-EG"/>
              </w:rPr>
              <w:t>)</w:t>
            </w:r>
          </w:p>
          <w:p w14:paraId="052799E0" w14:textId="77777777" w:rsidR="0094065A" w:rsidRPr="0086538C" w:rsidRDefault="00F83E91" w:rsidP="000F7FE5">
            <w:pPr>
              <w:spacing w:after="120"/>
              <w:rPr>
                <w:b/>
                <w:bCs/>
                <w:sz w:val="28"/>
                <w:szCs w:val="28"/>
                <w:rtl/>
                <w:lang w:bidi="ar-SY"/>
              </w:rPr>
            </w:pPr>
            <w:r w:rsidRPr="00F700ED">
              <w:rPr>
                <w:rFonts w:hint="cs"/>
                <w:b/>
                <w:bCs/>
                <w:sz w:val="24"/>
                <w:szCs w:val="24"/>
                <w:rtl/>
                <w:lang w:bidi="ar-EG"/>
              </w:rPr>
              <w:t>عم</w:t>
            </w:r>
            <w:r w:rsidR="00F700ED" w:rsidRPr="00F700ED">
              <w:rPr>
                <w:rFonts w:hint="cs"/>
                <w:b/>
                <w:bCs/>
                <w:sz w:val="24"/>
                <w:szCs w:val="24"/>
                <w:rtl/>
                <w:lang w:bidi="ar-EG"/>
              </w:rPr>
              <w:t>ّ</w:t>
            </w:r>
            <w:r w:rsidRPr="00F700ED">
              <w:rPr>
                <w:rFonts w:hint="cs"/>
                <w:b/>
                <w:bCs/>
                <w:sz w:val="24"/>
                <w:szCs w:val="24"/>
                <w:rtl/>
                <w:lang w:bidi="ar-EG"/>
              </w:rPr>
              <w:t xml:space="preserve">ان، الأردن، </w:t>
            </w:r>
            <w:r w:rsidRPr="00F700ED">
              <w:rPr>
                <w:rFonts w:hint="cs"/>
                <w:b/>
                <w:bCs/>
                <w:sz w:val="24"/>
                <w:szCs w:val="24"/>
                <w:lang w:bidi="ar-EG"/>
              </w:rPr>
              <w:t>4</w:t>
            </w:r>
            <w:r w:rsidRPr="00F700ED">
              <w:rPr>
                <w:rFonts w:hint="cs"/>
                <w:b/>
                <w:bCs/>
                <w:sz w:val="24"/>
                <w:szCs w:val="24"/>
                <w:rtl/>
                <w:lang w:bidi="ar-EG"/>
              </w:rPr>
              <w:t>-</w:t>
            </w:r>
            <w:r w:rsidRPr="00F700ED">
              <w:rPr>
                <w:rFonts w:hint="cs"/>
                <w:b/>
                <w:bCs/>
                <w:sz w:val="24"/>
                <w:szCs w:val="24"/>
                <w:lang w:bidi="ar-EG"/>
              </w:rPr>
              <w:t>5</w:t>
            </w:r>
            <w:r w:rsidRPr="00F700ED">
              <w:rPr>
                <w:rFonts w:hint="cs"/>
                <w:b/>
                <w:bCs/>
                <w:sz w:val="24"/>
                <w:szCs w:val="24"/>
                <w:rtl/>
                <w:lang w:bidi="ar-EG"/>
              </w:rPr>
              <w:t xml:space="preserve"> فبراير</w:t>
            </w:r>
            <w:r w:rsidR="0086538C" w:rsidRPr="00F700ED">
              <w:rPr>
                <w:rFonts w:hint="cs"/>
                <w:b/>
                <w:bCs/>
                <w:sz w:val="24"/>
                <w:szCs w:val="24"/>
                <w:rtl/>
                <w:lang w:bidi="ar-EG"/>
              </w:rPr>
              <w:t xml:space="preserve"> </w:t>
            </w:r>
            <w:r w:rsidR="0086538C" w:rsidRPr="00F700ED">
              <w:rPr>
                <w:rFonts w:hint="cs"/>
                <w:b/>
                <w:bCs/>
                <w:sz w:val="24"/>
                <w:szCs w:val="24"/>
                <w:lang w:bidi="ar-EG"/>
              </w:rPr>
              <w:t>2025</w:t>
            </w:r>
          </w:p>
        </w:tc>
        <w:tc>
          <w:tcPr>
            <w:tcW w:w="2549" w:type="dxa"/>
            <w:tcBorders>
              <w:bottom w:val="single" w:sz="12" w:space="0" w:color="auto"/>
            </w:tcBorders>
          </w:tcPr>
          <w:p w14:paraId="5B46E7A3" w14:textId="77777777" w:rsidR="0094065A" w:rsidRPr="00783A69" w:rsidRDefault="00F77022" w:rsidP="00F77022">
            <w:pPr>
              <w:spacing w:after="120"/>
              <w:jc w:val="right"/>
              <w:rPr>
                <w:lang w:val="en-GB" w:bidi="ar-EG"/>
              </w:rPr>
            </w:pPr>
            <w:bookmarkStart w:id="0" w:name="ditulogo"/>
            <w:bookmarkEnd w:id="0"/>
            <w:r>
              <w:rPr>
                <w:noProof/>
                <w:lang w:val="fr-FR" w:eastAsia="fr-FR"/>
              </w:rPr>
              <w:drawing>
                <wp:inline distT="0" distB="0" distL="0" distR="0" wp14:anchorId="431E7A03" wp14:editId="033BAE7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02ADAB93" w14:textId="77777777" w:rsidTr="00F77022">
        <w:trPr>
          <w:cantSplit/>
          <w:jc w:val="center"/>
        </w:trPr>
        <w:tc>
          <w:tcPr>
            <w:tcW w:w="6548" w:type="dxa"/>
            <w:tcBorders>
              <w:top w:val="single" w:sz="12" w:space="0" w:color="auto"/>
            </w:tcBorders>
          </w:tcPr>
          <w:p w14:paraId="5D8DA6EB" w14:textId="77777777" w:rsidR="00CA08BA" w:rsidRPr="00783A69" w:rsidRDefault="00CA08BA" w:rsidP="00B93B7B">
            <w:pPr>
              <w:spacing w:before="20" w:after="20" w:line="300" w:lineRule="exact"/>
              <w:rPr>
                <w:b/>
                <w:bCs/>
                <w:rtl/>
                <w:lang w:bidi="ar-EG"/>
              </w:rPr>
            </w:pPr>
          </w:p>
        </w:tc>
        <w:tc>
          <w:tcPr>
            <w:tcW w:w="3091" w:type="dxa"/>
            <w:gridSpan w:val="2"/>
            <w:tcBorders>
              <w:top w:val="single" w:sz="12" w:space="0" w:color="auto"/>
            </w:tcBorders>
          </w:tcPr>
          <w:p w14:paraId="1E49722B" w14:textId="77777777" w:rsidR="00CA08BA" w:rsidRPr="00C85CB5" w:rsidRDefault="00CA08BA" w:rsidP="00B93B7B">
            <w:pPr>
              <w:spacing w:before="20" w:after="20" w:line="300" w:lineRule="exact"/>
              <w:rPr>
                <w:b/>
                <w:bCs/>
                <w:highlight w:val="yellow"/>
                <w:rtl/>
                <w:lang w:bidi="ar-EG"/>
              </w:rPr>
            </w:pPr>
          </w:p>
        </w:tc>
      </w:tr>
      <w:tr w:rsidR="00783A69" w:rsidRPr="00783A69" w14:paraId="7E3EB324" w14:textId="77777777" w:rsidTr="00F77022">
        <w:trPr>
          <w:cantSplit/>
          <w:jc w:val="center"/>
        </w:trPr>
        <w:tc>
          <w:tcPr>
            <w:tcW w:w="6548" w:type="dxa"/>
          </w:tcPr>
          <w:p w14:paraId="5B9BD29C" w14:textId="77777777" w:rsidR="00783A69" w:rsidRPr="00783A69" w:rsidRDefault="00783A69" w:rsidP="00B93B7B">
            <w:pPr>
              <w:spacing w:before="20" w:after="20" w:line="300" w:lineRule="exact"/>
              <w:rPr>
                <w:b/>
                <w:bCs/>
                <w:rtl/>
                <w:lang w:bidi="ar-EG"/>
              </w:rPr>
            </w:pPr>
          </w:p>
        </w:tc>
        <w:tc>
          <w:tcPr>
            <w:tcW w:w="3091" w:type="dxa"/>
            <w:gridSpan w:val="2"/>
          </w:tcPr>
          <w:p w14:paraId="03EB8AF6" w14:textId="51C4561D" w:rsidR="00783A69" w:rsidRPr="00153471" w:rsidRDefault="00AF5490" w:rsidP="00B93B7B">
            <w:pPr>
              <w:spacing w:before="20" w:after="20" w:line="300" w:lineRule="exact"/>
              <w:rPr>
                <w:b/>
                <w:bCs/>
                <w:rtl/>
                <w:lang w:bidi="ar-SY"/>
              </w:rPr>
            </w:pPr>
            <w:r w:rsidRPr="00D306C1">
              <w:rPr>
                <w:b/>
                <w:bCs/>
                <w:rtl/>
              </w:rPr>
              <w:t xml:space="preserve">الوثيقة </w:t>
            </w:r>
            <w:r w:rsidRPr="00D306C1">
              <w:rPr>
                <w:b/>
                <w:bCs/>
              </w:rPr>
              <w:t>RPM-ARB</w:t>
            </w:r>
            <w:r>
              <w:rPr>
                <w:b/>
                <w:bCs/>
              </w:rPr>
              <w:t>25</w:t>
            </w:r>
            <w:r w:rsidRPr="00D306C1">
              <w:rPr>
                <w:b/>
                <w:bCs/>
              </w:rPr>
              <w:t>/</w:t>
            </w:r>
            <w:r>
              <w:rPr>
                <w:b/>
                <w:bCs/>
              </w:rPr>
              <w:t>8</w:t>
            </w:r>
            <w:r w:rsidRPr="00D306C1">
              <w:rPr>
                <w:b/>
                <w:bCs/>
              </w:rPr>
              <w:t>-A</w:t>
            </w:r>
          </w:p>
        </w:tc>
      </w:tr>
      <w:tr w:rsidR="00783A69" w:rsidRPr="00783A69" w14:paraId="5E5E7A5F" w14:textId="77777777" w:rsidTr="00F77022">
        <w:trPr>
          <w:cantSplit/>
          <w:jc w:val="center"/>
        </w:trPr>
        <w:tc>
          <w:tcPr>
            <w:tcW w:w="6548" w:type="dxa"/>
          </w:tcPr>
          <w:p w14:paraId="466B59A0" w14:textId="77777777" w:rsidR="00783A69" w:rsidRPr="00783A69" w:rsidRDefault="00783A69" w:rsidP="00B93B7B">
            <w:pPr>
              <w:spacing w:before="20" w:after="20" w:line="300" w:lineRule="exact"/>
              <w:rPr>
                <w:b/>
                <w:bCs/>
                <w:lang w:bidi="ar-EG"/>
              </w:rPr>
            </w:pPr>
          </w:p>
        </w:tc>
        <w:tc>
          <w:tcPr>
            <w:tcW w:w="3091" w:type="dxa"/>
            <w:gridSpan w:val="2"/>
          </w:tcPr>
          <w:p w14:paraId="1F5A182F" w14:textId="52C6F0C5" w:rsidR="00783A69" w:rsidRPr="00C85CB5" w:rsidRDefault="00AF5490" w:rsidP="00B93B7B">
            <w:pPr>
              <w:spacing w:before="20" w:after="20" w:line="300" w:lineRule="exact"/>
              <w:rPr>
                <w:b/>
                <w:bCs/>
                <w:highlight w:val="yellow"/>
                <w:rtl/>
                <w:lang w:bidi="ar-EG"/>
              </w:rPr>
            </w:pPr>
            <w:r w:rsidRPr="00D306C1">
              <w:rPr>
                <w:b/>
                <w:bCs/>
              </w:rPr>
              <w:t>19</w:t>
            </w:r>
            <w:r w:rsidRPr="00D306C1">
              <w:rPr>
                <w:b/>
                <w:bCs/>
                <w:rtl/>
              </w:rPr>
              <w:t xml:space="preserve"> ديسمبر </w:t>
            </w:r>
            <w:r w:rsidRPr="00D306C1">
              <w:rPr>
                <w:b/>
                <w:bCs/>
              </w:rPr>
              <w:t>2025</w:t>
            </w:r>
          </w:p>
        </w:tc>
      </w:tr>
      <w:tr w:rsidR="00783A69" w:rsidRPr="00783A69" w14:paraId="750EAEB1" w14:textId="77777777" w:rsidTr="00F77022">
        <w:trPr>
          <w:cantSplit/>
          <w:jc w:val="center"/>
        </w:trPr>
        <w:tc>
          <w:tcPr>
            <w:tcW w:w="6548" w:type="dxa"/>
          </w:tcPr>
          <w:p w14:paraId="69896A4C" w14:textId="77777777" w:rsidR="00783A69" w:rsidRPr="00783A69" w:rsidRDefault="00783A69" w:rsidP="00B93B7B">
            <w:pPr>
              <w:spacing w:before="20" w:after="20" w:line="300" w:lineRule="exact"/>
              <w:rPr>
                <w:b/>
                <w:bCs/>
                <w:lang w:bidi="ar-EG"/>
              </w:rPr>
            </w:pPr>
          </w:p>
        </w:tc>
        <w:tc>
          <w:tcPr>
            <w:tcW w:w="3091" w:type="dxa"/>
            <w:gridSpan w:val="2"/>
          </w:tcPr>
          <w:p w14:paraId="57BFD301"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671495EB" w14:textId="77777777" w:rsidTr="00EE5CF2">
        <w:trPr>
          <w:cantSplit/>
          <w:jc w:val="center"/>
        </w:trPr>
        <w:tc>
          <w:tcPr>
            <w:tcW w:w="9639" w:type="dxa"/>
            <w:gridSpan w:val="3"/>
          </w:tcPr>
          <w:p w14:paraId="4F50BAA1" w14:textId="17111CC2" w:rsidR="00783A69" w:rsidRPr="00AF5490" w:rsidRDefault="00AF5490" w:rsidP="00EE5CF2">
            <w:pPr>
              <w:pStyle w:val="Source"/>
              <w:rPr>
                <w:rtl/>
                <w:lang w:bidi="ar-EG"/>
              </w:rPr>
            </w:pPr>
            <w:r w:rsidRPr="005F4D79">
              <w:rPr>
                <w:szCs w:val="28"/>
                <w:rtl/>
              </w:rPr>
              <w:t xml:space="preserve">رئيس فريق العمل التابع للفريق الاستشاري لتنمية الاتصالات </w:t>
            </w:r>
            <w:r w:rsidR="003A008E">
              <w:rPr>
                <w:szCs w:val="28"/>
                <w:rtl/>
              </w:rPr>
              <w:br/>
            </w:r>
            <w:r w:rsidRPr="00D22FEA">
              <w:rPr>
                <w:szCs w:val="28"/>
                <w:rtl/>
              </w:rPr>
              <w:t xml:space="preserve">والمعني بأولويات قطاع تنمية الاتصالات </w:t>
            </w:r>
            <w:r w:rsidRPr="00D22FEA">
              <w:rPr>
                <w:szCs w:val="28"/>
              </w:rPr>
              <w:t>(TDAG-WG-ITUDP)</w:t>
            </w:r>
          </w:p>
        </w:tc>
      </w:tr>
      <w:tr w:rsidR="00783A69" w:rsidRPr="00783A69" w14:paraId="6A71B0D4" w14:textId="77777777" w:rsidTr="00EE5CF2">
        <w:trPr>
          <w:cantSplit/>
          <w:jc w:val="center"/>
        </w:trPr>
        <w:tc>
          <w:tcPr>
            <w:tcW w:w="9639" w:type="dxa"/>
            <w:gridSpan w:val="3"/>
          </w:tcPr>
          <w:p w14:paraId="1BC833A3" w14:textId="67351CA4" w:rsidR="00783A69" w:rsidRPr="00783A69" w:rsidRDefault="00AF5490" w:rsidP="00EE5CF2">
            <w:pPr>
              <w:pStyle w:val="Title1"/>
              <w:rPr>
                <w:rtl/>
              </w:rPr>
            </w:pPr>
            <w:r w:rsidRPr="005F4D79">
              <w:rPr>
                <w:sz w:val="24"/>
                <w:szCs w:val="24"/>
                <w:rtl/>
              </w:rPr>
              <w:t>تقرير عن التقدم الذي أحرزه فريق العمل التابع للفريق الاستشاري لتنمية الاتصالات والمعني</w:t>
            </w:r>
            <w:r>
              <w:rPr>
                <w:sz w:val="24"/>
                <w:szCs w:val="24"/>
                <w:rtl/>
              </w:rPr>
              <w:t> </w:t>
            </w:r>
            <w:r w:rsidRPr="005F4D79">
              <w:rPr>
                <w:sz w:val="24"/>
                <w:szCs w:val="24"/>
                <w:rtl/>
              </w:rPr>
              <w:t>بأولويات</w:t>
            </w:r>
            <w:r>
              <w:rPr>
                <w:sz w:val="24"/>
                <w:szCs w:val="24"/>
                <w:rtl/>
              </w:rPr>
              <w:t> </w:t>
            </w:r>
            <w:r w:rsidRPr="005F4D79">
              <w:rPr>
                <w:sz w:val="24"/>
                <w:szCs w:val="24"/>
                <w:rtl/>
              </w:rPr>
              <w:t>قطاع</w:t>
            </w:r>
            <w:r>
              <w:rPr>
                <w:sz w:val="24"/>
                <w:szCs w:val="24"/>
                <w:rtl/>
              </w:rPr>
              <w:t> </w:t>
            </w:r>
            <w:r w:rsidRPr="005F4D79">
              <w:rPr>
                <w:sz w:val="24"/>
                <w:szCs w:val="24"/>
                <w:rtl/>
              </w:rPr>
              <w:t>تنمية</w:t>
            </w:r>
            <w:r>
              <w:rPr>
                <w:sz w:val="24"/>
                <w:szCs w:val="24"/>
                <w:rtl/>
              </w:rPr>
              <w:t> </w:t>
            </w:r>
            <w:r w:rsidRPr="005F4D79">
              <w:rPr>
                <w:sz w:val="24"/>
                <w:szCs w:val="24"/>
                <w:rtl/>
              </w:rPr>
              <w:t>الاتصالات</w:t>
            </w:r>
          </w:p>
        </w:tc>
      </w:tr>
    </w:tbl>
    <w:p w14:paraId="2699B332"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2428007F" w14:textId="77777777" w:rsidTr="000F7FE5">
        <w:trPr>
          <w:cantSplit/>
          <w:jc w:val="center"/>
        </w:trPr>
        <w:tc>
          <w:tcPr>
            <w:tcW w:w="9638" w:type="dxa"/>
            <w:tcBorders>
              <w:top w:val="single" w:sz="6" w:space="0" w:color="auto"/>
              <w:left w:val="single" w:sz="6" w:space="0" w:color="auto"/>
              <w:bottom w:val="single" w:sz="6" w:space="0" w:color="auto"/>
              <w:right w:val="single" w:sz="6" w:space="0" w:color="auto"/>
            </w:tcBorders>
          </w:tcPr>
          <w:p w14:paraId="717C5A81" w14:textId="77777777" w:rsidR="000F7FE5" w:rsidRPr="000F7FE5" w:rsidRDefault="000F7FE5" w:rsidP="00EE5CF2">
            <w:pPr>
              <w:rPr>
                <w:b/>
                <w:bCs/>
                <w:rtl/>
                <w:lang w:bidi="ar-SY"/>
              </w:rPr>
            </w:pPr>
            <w:r w:rsidRPr="000F7FE5">
              <w:rPr>
                <w:rFonts w:hint="cs"/>
                <w:b/>
                <w:bCs/>
                <w:rtl/>
                <w:lang w:bidi="ar-SY"/>
              </w:rPr>
              <w:t>بند جدول الأعمال:</w:t>
            </w:r>
          </w:p>
          <w:p w14:paraId="0DC3427B" w14:textId="53AF2A56" w:rsidR="00251AC6" w:rsidRPr="00D03A64" w:rsidRDefault="00251AC6" w:rsidP="00251AC6">
            <w:pPr>
              <w:rPr>
                <w:lang w:bidi="ar-EG"/>
              </w:rPr>
            </w:pPr>
            <w:r w:rsidRPr="00D03A64">
              <w:rPr>
                <w:rtl/>
                <w:lang w:bidi="ar-EG"/>
              </w:rPr>
              <w:t xml:space="preserve">البند </w:t>
            </w:r>
            <w:r>
              <w:rPr>
                <w:lang w:bidi="ar-EG"/>
              </w:rPr>
              <w:t>1</w:t>
            </w:r>
            <w:r w:rsidRPr="00D03A64">
              <w:rPr>
                <w:lang w:bidi="ar-EG"/>
              </w:rPr>
              <w:t>.7</w:t>
            </w:r>
          </w:p>
          <w:p w14:paraId="50DD105E" w14:textId="77777777" w:rsidR="00783A69" w:rsidRPr="000F7FE5" w:rsidRDefault="00783A69" w:rsidP="00EE5CF2">
            <w:pPr>
              <w:rPr>
                <w:b/>
                <w:bCs/>
                <w:rtl/>
                <w:lang w:bidi="ar-SY"/>
              </w:rPr>
            </w:pPr>
            <w:r w:rsidRPr="000F7FE5">
              <w:rPr>
                <w:rFonts w:hint="cs"/>
                <w:b/>
                <w:bCs/>
                <w:rtl/>
                <w:lang w:bidi="ar-SY"/>
              </w:rPr>
              <w:t>ملخص</w:t>
            </w:r>
            <w:r w:rsidR="005874F2" w:rsidRPr="000F7FE5">
              <w:rPr>
                <w:rFonts w:hint="cs"/>
                <w:b/>
                <w:bCs/>
                <w:rtl/>
                <w:lang w:bidi="ar-SY"/>
              </w:rPr>
              <w:t>:</w:t>
            </w:r>
          </w:p>
          <w:p w14:paraId="4BC9D232" w14:textId="312F3D2B" w:rsidR="00783A69" w:rsidRPr="000F7FE5" w:rsidRDefault="00AF5490" w:rsidP="00EE5CF2">
            <w:pPr>
              <w:rPr>
                <w:rtl/>
                <w:lang w:bidi="ar-SY"/>
              </w:rPr>
            </w:pPr>
            <w:r w:rsidRPr="00D306C1">
              <w:rPr>
                <w:rtl/>
              </w:rPr>
              <w:t>تتضمن الوثيقة ملخصاً للمناقشات ومعلومات محدثة عن التقدم الذي أحرزه الفريق.</w:t>
            </w:r>
          </w:p>
          <w:p w14:paraId="18919F29" w14:textId="237EE166" w:rsidR="00783A69" w:rsidRPr="000F7FE5" w:rsidRDefault="00AF5490" w:rsidP="00EE5CF2">
            <w:pPr>
              <w:rPr>
                <w:b/>
                <w:bCs/>
                <w:rtl/>
                <w:lang w:bidi="ar-SY"/>
              </w:rPr>
            </w:pPr>
            <w:r>
              <w:rPr>
                <w:rFonts w:hint="cs"/>
                <w:b/>
                <w:bCs/>
                <w:rtl/>
                <w:lang w:bidi="ar-SY"/>
              </w:rPr>
              <w:t>الإجراء المطلوب</w:t>
            </w:r>
            <w:r w:rsidR="0086538C">
              <w:rPr>
                <w:rFonts w:hint="cs"/>
                <w:b/>
                <w:bCs/>
                <w:rtl/>
                <w:lang w:bidi="ar-SY"/>
              </w:rPr>
              <w:t>:</w:t>
            </w:r>
          </w:p>
          <w:p w14:paraId="259396F4" w14:textId="594333EB" w:rsidR="00783A69" w:rsidRPr="000F7FE5" w:rsidRDefault="00AF5490" w:rsidP="00EE5CF2">
            <w:pPr>
              <w:rPr>
                <w:rtl/>
                <w:lang w:bidi="ar-EG"/>
              </w:rPr>
            </w:pPr>
            <w:r w:rsidRPr="00D306C1">
              <w:rPr>
                <w:rtl/>
              </w:rPr>
              <w:t>للعلم.</w:t>
            </w:r>
          </w:p>
          <w:p w14:paraId="2A12C4D1" w14:textId="77777777" w:rsidR="00783A69" w:rsidRPr="000F7FE5" w:rsidRDefault="00783A69" w:rsidP="00EE5CF2">
            <w:pPr>
              <w:rPr>
                <w:b/>
                <w:bCs/>
                <w:rtl/>
                <w:lang w:bidi="ar-SY"/>
              </w:rPr>
            </w:pPr>
            <w:r w:rsidRPr="000F7FE5">
              <w:rPr>
                <w:rFonts w:hint="cs"/>
                <w:b/>
                <w:bCs/>
                <w:rtl/>
                <w:lang w:bidi="ar-SY"/>
              </w:rPr>
              <w:t>المراجع</w:t>
            </w:r>
            <w:r w:rsidR="005874F2" w:rsidRPr="000F7FE5">
              <w:rPr>
                <w:rFonts w:hint="cs"/>
                <w:b/>
                <w:bCs/>
                <w:rtl/>
                <w:lang w:bidi="ar-SY"/>
              </w:rPr>
              <w:t>:</w:t>
            </w:r>
          </w:p>
          <w:p w14:paraId="6CF96E46" w14:textId="6160666A" w:rsidR="00AF5490" w:rsidRPr="004E628B" w:rsidRDefault="00AF5490" w:rsidP="00AF5490">
            <w:pPr>
              <w:pStyle w:val="enumlev1"/>
              <w:rPr>
                <w:lang w:val="ar-SA" w:eastAsia="zh-TW" w:bidi="en-GB"/>
              </w:rPr>
            </w:pPr>
            <w:r>
              <w:rPr>
                <w:rtl/>
              </w:rPr>
              <w:t>‒</w:t>
            </w:r>
            <w:r>
              <w:rPr>
                <w:rtl/>
              </w:rPr>
              <w:tab/>
            </w:r>
            <w:r w:rsidRPr="004E628B">
              <w:rPr>
                <w:rtl/>
              </w:rPr>
              <w:t>اختصاصات فريق العمل</w:t>
            </w:r>
            <w:r>
              <w:rPr>
                <w:rtl/>
              </w:rPr>
              <w:t xml:space="preserve"> </w:t>
            </w:r>
            <w:r w:rsidRPr="004E628B">
              <w:rPr>
                <w:rtl/>
              </w:rPr>
              <w:t>التابع للفريق الاستشاري لتنمية الاتصالات والمعني بأولويات قطاع تنمية الاتصالات</w:t>
            </w:r>
            <w:r w:rsidR="003A008E">
              <w:rPr>
                <w:rFonts w:hint="cs"/>
                <w:rtl/>
              </w:rPr>
              <w:t xml:space="preserve"> </w:t>
            </w:r>
            <w:r w:rsidRPr="004E628B">
              <w:rPr>
                <w:rtl/>
              </w:rPr>
              <w:t>(</w:t>
            </w:r>
            <w:hyperlink r:id="rId12" w:history="1">
              <w:r w:rsidRPr="004A4D38">
                <w:rPr>
                  <w:rStyle w:val="Hyperlink"/>
                </w:rPr>
                <w:t>TDAG-24/DT/5</w:t>
              </w:r>
            </w:hyperlink>
            <w:r w:rsidRPr="004E628B">
              <w:rPr>
                <w:rtl/>
              </w:rPr>
              <w:t>)</w:t>
            </w:r>
          </w:p>
          <w:p w14:paraId="38086087" w14:textId="77777777" w:rsidR="00AF5490" w:rsidRPr="004E628B" w:rsidRDefault="00AF5490" w:rsidP="00AF5490">
            <w:pPr>
              <w:pStyle w:val="enumlev1"/>
              <w:rPr>
                <w:lang w:val="ar-SA" w:eastAsia="zh-TW" w:bidi="en-GB"/>
              </w:rPr>
            </w:pPr>
            <w:r>
              <w:rPr>
                <w:rtl/>
              </w:rPr>
              <w:t>‒</w:t>
            </w:r>
            <w:r>
              <w:rPr>
                <w:rtl/>
              </w:rPr>
              <w:tab/>
            </w:r>
            <w:r w:rsidRPr="004E628B">
              <w:rPr>
                <w:rtl/>
              </w:rPr>
              <w:t>تقرير الاجتماع الأول لفريق العمل التابع للفريق الاستشاري لتنمية الاتصالات والمعني بأولويات قطاع تنمية الاتصالات (</w:t>
            </w:r>
            <w:hyperlink r:id="rId13" w:history="1">
              <w:r w:rsidRPr="00E07077">
                <w:rPr>
                  <w:rStyle w:val="Hyperlink"/>
                </w:rPr>
                <w:t>TDAG-WG-ITUDP/3</w:t>
              </w:r>
            </w:hyperlink>
            <w:r w:rsidRPr="004E628B">
              <w:rPr>
                <w:rtl/>
              </w:rPr>
              <w:t>)</w:t>
            </w:r>
          </w:p>
          <w:p w14:paraId="346BE081" w14:textId="77777777" w:rsidR="00AF5490" w:rsidRPr="004E628B" w:rsidRDefault="00AF5490" w:rsidP="00AF5490">
            <w:pPr>
              <w:pStyle w:val="enumlev1"/>
              <w:rPr>
                <w:lang w:val="ar-SA" w:eastAsia="zh-TW" w:bidi="en-GB"/>
              </w:rPr>
            </w:pPr>
            <w:r>
              <w:rPr>
                <w:rtl/>
              </w:rPr>
              <w:t>‒</w:t>
            </w:r>
            <w:r>
              <w:rPr>
                <w:rtl/>
              </w:rPr>
              <w:tab/>
            </w:r>
            <w:r w:rsidRPr="004E628B">
              <w:rPr>
                <w:rtl/>
              </w:rPr>
              <w:t>تقرير الاجتماع الثاني لفريق العمل التابع للفريق الاستشاري لتنمية الاتصالات والمعني بأولويات قطاع تنمية الاتصالات (</w:t>
            </w:r>
            <w:hyperlink r:id="rId14" w:history="1">
              <w:r w:rsidRPr="00E07077">
                <w:rPr>
                  <w:rStyle w:val="Hyperlink"/>
                </w:rPr>
                <w:t>TDAG-WG-ITUDP/6</w:t>
              </w:r>
            </w:hyperlink>
            <w:r w:rsidRPr="004E628B">
              <w:rPr>
                <w:rtl/>
              </w:rPr>
              <w:t>)</w:t>
            </w:r>
          </w:p>
          <w:p w14:paraId="299076F4" w14:textId="77777777" w:rsidR="00AF5490" w:rsidRPr="004E628B" w:rsidRDefault="00AF5490" w:rsidP="00AF5490">
            <w:pPr>
              <w:pStyle w:val="enumlev1"/>
              <w:rPr>
                <w:lang w:val="ar-SA" w:eastAsia="zh-TW" w:bidi="en-GB"/>
              </w:rPr>
            </w:pPr>
            <w:r>
              <w:rPr>
                <w:rtl/>
              </w:rPr>
              <w:t>‒</w:t>
            </w:r>
            <w:r>
              <w:rPr>
                <w:rtl/>
              </w:rPr>
              <w:tab/>
            </w:r>
            <w:r w:rsidRPr="004E628B">
              <w:rPr>
                <w:rtl/>
              </w:rPr>
              <w:t>استعراض خطة عمل قطاع تنمية الاتصالات - مقترح رئيس الفريق TDAG WG ITUDP ‎ ‎   </w:t>
            </w:r>
            <w:hyperlink r:id="rId15" w:history="1">
              <w:r w:rsidRPr="00E07077">
                <w:rPr>
                  <w:rStyle w:val="Hyperlink"/>
                </w:rPr>
                <w:t>TDAG-WG-ITUDP/4</w:t>
              </w:r>
            </w:hyperlink>
            <w:r w:rsidRPr="00B95239">
              <w:rPr>
                <w:rStyle w:val="Hyperlink"/>
              </w:rPr>
              <w:t>)</w:t>
            </w:r>
            <w:r w:rsidRPr="004E628B">
              <w:rPr>
                <w:rtl/>
              </w:rPr>
              <w:t>)‎</w:t>
            </w:r>
          </w:p>
          <w:p w14:paraId="2D1545EB" w14:textId="26302A10" w:rsidR="00783A69" w:rsidRPr="00AF5490" w:rsidRDefault="00AF5490" w:rsidP="003A008E">
            <w:pPr>
              <w:pStyle w:val="enumlev1"/>
              <w:spacing w:after="120"/>
              <w:rPr>
                <w:highlight w:val="yellow"/>
                <w:rtl/>
              </w:rPr>
            </w:pPr>
            <w:r>
              <w:rPr>
                <w:rtl/>
              </w:rPr>
              <w:t>‒</w:t>
            </w:r>
            <w:r>
              <w:rPr>
                <w:rtl/>
              </w:rPr>
              <w:tab/>
            </w:r>
            <w:hyperlink r:id="rId16" w:history="1">
              <w:r w:rsidRPr="00962B5B">
                <w:rPr>
                  <w:rStyle w:val="Hyperlink"/>
                  <w:rtl/>
                </w:rPr>
                <w:t xml:space="preserve">الموقع الإلكتروني للفريق </w:t>
              </w:r>
              <w:r w:rsidRPr="00962B5B">
                <w:rPr>
                  <w:rStyle w:val="Hyperlink"/>
                </w:rPr>
                <w:t>TDAG-WG-ITUDP</w:t>
              </w:r>
            </w:hyperlink>
          </w:p>
        </w:tc>
      </w:tr>
    </w:tbl>
    <w:p w14:paraId="171D247A" w14:textId="77777777" w:rsidR="00882A17" w:rsidRDefault="00882A17">
      <w:pPr>
        <w:tabs>
          <w:tab w:val="clear" w:pos="794"/>
        </w:tabs>
        <w:bidi w:val="0"/>
        <w:spacing w:before="0" w:after="160" w:line="259" w:lineRule="auto"/>
        <w:jc w:val="left"/>
        <w:rPr>
          <w:lang w:bidi="ar-EG"/>
        </w:rPr>
      </w:pPr>
      <w:r>
        <w:rPr>
          <w:rtl/>
          <w:lang w:bidi="ar-EG"/>
        </w:rPr>
        <w:br w:type="page"/>
      </w:r>
    </w:p>
    <w:p w14:paraId="78257201" w14:textId="77777777" w:rsidR="00AF5490" w:rsidRPr="00F64EA6" w:rsidRDefault="00AF5490" w:rsidP="00AF5490">
      <w:pPr>
        <w:pStyle w:val="Heading1"/>
        <w:rPr>
          <w:bCs w:val="0"/>
          <w:lang w:val="ar-SA" w:eastAsia="zh-TW" w:bidi="en-GB"/>
        </w:rPr>
      </w:pPr>
      <w:r>
        <w:lastRenderedPageBreak/>
        <w:t>1</w:t>
      </w:r>
      <w:r>
        <w:rPr>
          <w:rtl/>
        </w:rPr>
        <w:tab/>
      </w:r>
      <w:r w:rsidRPr="00F64EA6">
        <w:rPr>
          <w:rtl/>
        </w:rPr>
        <w:t>مقدّمة</w:t>
      </w:r>
    </w:p>
    <w:p w14:paraId="4F938BB2" w14:textId="77777777" w:rsidR="00AF5490" w:rsidRPr="007907BE" w:rsidRDefault="00AF5490" w:rsidP="003A008E">
      <w:r w:rsidRPr="007907BE">
        <w:rPr>
          <w:rtl/>
        </w:rPr>
        <w:t xml:space="preserve">أنشأ الفريق الاستشاري لتنمية الاتصالات فريق العمل التابع للفريق الاستشاري لتنمية الاتصالات والمعني بأولويات قطاع تنمية الاتصالات </w:t>
      </w:r>
      <w:r w:rsidRPr="007907BE">
        <w:t>(TDAG-WG-ITUDP)</w:t>
      </w:r>
      <w:r w:rsidRPr="007907BE">
        <w:rPr>
          <w:rtl/>
        </w:rPr>
        <w:t xml:space="preserve"> وأنيطت به الاختصاصات التالية</w:t>
      </w:r>
      <w:r w:rsidRPr="007907BE">
        <w:t>:</w:t>
      </w:r>
      <w:r w:rsidRPr="007907BE">
        <w:rPr>
          <w:rtl/>
        </w:rPr>
        <w:t xml:space="preserve"> </w:t>
      </w:r>
    </w:p>
    <w:p w14:paraId="6A6304E7" w14:textId="7572E757" w:rsidR="00AF5490" w:rsidRPr="007907BE" w:rsidRDefault="00AF5490" w:rsidP="00AF5490">
      <w:pPr>
        <w:pStyle w:val="enumlev1"/>
      </w:pPr>
      <w:r>
        <w:rPr>
          <w:rFonts w:hint="cs"/>
          <w:rtl/>
          <w:lang w:bidi="ar-EG"/>
        </w:rPr>
        <w:t>-</w:t>
      </w:r>
      <w:r>
        <w:rPr>
          <w:rtl/>
          <w:lang w:bidi="ar-EG"/>
        </w:rPr>
        <w:tab/>
      </w:r>
      <w:r w:rsidRPr="007907BE">
        <w:rPr>
          <w:rtl/>
        </w:rPr>
        <w:t xml:space="preserve">استعراض الأولويات الحالية لقطاع تنمية الاتصالات والعوامل التمكينية ذات الصلة المحددة في المؤتمر </w:t>
      </w:r>
      <w:r>
        <w:t>WTDC-22</w:t>
      </w:r>
      <w:r w:rsidRPr="007907BE">
        <w:rPr>
          <w:rtl/>
        </w:rPr>
        <w:t xml:space="preserve">، والمقترحات المقدمة إلى المؤتمر </w:t>
      </w:r>
      <w:r>
        <w:t>WTDC-25</w:t>
      </w:r>
      <w:r w:rsidRPr="007907BE">
        <w:rPr>
          <w:rtl/>
        </w:rPr>
        <w:t>، بما في ذلك المقترحات بشأن المبادرات الإقليمية، ومسائل الدراسة لقطاع تنمية الاتصالات، فضلاً عن نتائج الاجتماعات الإقليمية التحضيرية للمؤتمر</w:t>
      </w:r>
      <w:r>
        <w:rPr>
          <w:rFonts w:hint="cs"/>
          <w:rtl/>
        </w:rPr>
        <w:t xml:space="preserve"> </w:t>
      </w:r>
      <w:r>
        <w:t>WTDC-25</w:t>
      </w:r>
      <w:r w:rsidRPr="007907BE">
        <w:rPr>
          <w:rtl/>
        </w:rPr>
        <w:t xml:space="preserve">، وأهداف التنمية المستدامة لعام </w:t>
      </w:r>
      <w:r w:rsidRPr="007907BE">
        <w:t>2030</w:t>
      </w:r>
      <w:r w:rsidRPr="007907BE">
        <w:rPr>
          <w:rtl/>
        </w:rPr>
        <w:t xml:space="preserve"> وخطوط عمل القمة العالمية لمجتمع المعلومات ذات الصلة التي يضطلع الاتحاد بالمسؤولية الرئيسية </w:t>
      </w:r>
      <w:r w:rsidRPr="003A008E">
        <w:rPr>
          <w:rFonts w:hint="cs"/>
          <w:rtl/>
        </w:rPr>
        <w:t>بها</w:t>
      </w:r>
      <w:r w:rsidRPr="007907BE">
        <w:rPr>
          <w:rtl/>
        </w:rPr>
        <w:t>، ثم وضع مقترحات بشأن الأولويات الجديدة لقطاع تنمية الاتصالات؛</w:t>
      </w:r>
    </w:p>
    <w:p w14:paraId="73BFF891" w14:textId="4BFA2695" w:rsidR="00AF5490" w:rsidRPr="007907BE" w:rsidRDefault="00AF5490" w:rsidP="00AF5490">
      <w:pPr>
        <w:pStyle w:val="enumlev1"/>
      </w:pPr>
      <w:r>
        <w:rPr>
          <w:rFonts w:hint="cs"/>
          <w:rtl/>
        </w:rPr>
        <w:t>-</w:t>
      </w:r>
      <w:r>
        <w:rPr>
          <w:rtl/>
        </w:rPr>
        <w:tab/>
      </w:r>
      <w:r w:rsidRPr="007907BE">
        <w:rPr>
          <w:rtl/>
        </w:rPr>
        <w:t xml:space="preserve">استعراض حالة تنفيذ الخطة الاستراتيجية للاتحاد للفترة </w:t>
      </w:r>
      <w:r w:rsidRPr="007907BE">
        <w:t>2027-2024</w:t>
      </w:r>
      <w:r w:rsidRPr="007907BE">
        <w:rPr>
          <w:rtl/>
        </w:rPr>
        <w:t xml:space="preserve"> وأثرها فيما يتعلق بقطاع تنمية الاتصالات وإعداد مقترحات من أجل مشروع المساهمة الجديدة لقطاع تنمية الاتصالات في الخطة الاستراتيجية للاتحاد للفترة المقبلة (</w:t>
      </w:r>
      <w:r w:rsidRPr="007907BE">
        <w:t>2028</w:t>
      </w:r>
      <w:r w:rsidRPr="007907BE">
        <w:rPr>
          <w:rtl/>
        </w:rPr>
        <w:t>-</w:t>
      </w:r>
      <w:r w:rsidRPr="007907BE">
        <w:t>2031</w:t>
      </w:r>
      <w:r w:rsidRPr="007907BE">
        <w:rPr>
          <w:rtl/>
        </w:rPr>
        <w:t>)؛</w:t>
      </w:r>
    </w:p>
    <w:p w14:paraId="26AFCD09" w14:textId="604AFD2F" w:rsidR="00AF5490" w:rsidRPr="007907BE" w:rsidRDefault="00AF5490" w:rsidP="00AF5490">
      <w:pPr>
        <w:pStyle w:val="enumlev1"/>
      </w:pPr>
      <w:r>
        <w:rPr>
          <w:rFonts w:hint="cs"/>
          <w:rtl/>
        </w:rPr>
        <w:t>-</w:t>
      </w:r>
      <w:r>
        <w:rPr>
          <w:rtl/>
        </w:rPr>
        <w:tab/>
      </w:r>
      <w:r w:rsidRPr="007907BE">
        <w:rPr>
          <w:rtl/>
        </w:rPr>
        <w:t xml:space="preserve">استعراض حالة تنفيذ خطة عمل كيغالي </w:t>
      </w:r>
      <w:r w:rsidRPr="007907BE">
        <w:t>(KAP</w:t>
      </w:r>
      <w:r>
        <w:t>)</w:t>
      </w:r>
      <w:r w:rsidRPr="007907BE">
        <w:rPr>
          <w:rtl/>
        </w:rPr>
        <w:t xml:space="preserve"> وأثرها، بما في ذلك صلاتها بالخطة التشغيلية ووضع مقترحات لخطة العمل المقبلة للمؤتمر العالمي لتنمية الاتصالات؛</w:t>
      </w:r>
    </w:p>
    <w:p w14:paraId="41599D93" w14:textId="3BE3E02A" w:rsidR="00AF5490" w:rsidRPr="007907BE" w:rsidRDefault="00AF5490" w:rsidP="00AF5490">
      <w:pPr>
        <w:pStyle w:val="enumlev1"/>
      </w:pPr>
      <w:r>
        <w:rPr>
          <w:rFonts w:hint="cs"/>
          <w:rtl/>
        </w:rPr>
        <w:t>-</w:t>
      </w:r>
      <w:r>
        <w:rPr>
          <w:rtl/>
        </w:rPr>
        <w:tab/>
      </w:r>
      <w:r w:rsidRPr="007907BE">
        <w:rPr>
          <w:rtl/>
        </w:rPr>
        <w:t>استعراض حالة تنفيذ الخطة التشغيلية الرباعية المتجددة وأثرها وتحديد مجالات التحسين ووضع توصيات من أجل مشروع الخطة التشغيلية</w:t>
      </w:r>
      <w:r>
        <w:rPr>
          <w:rFonts w:hint="cs"/>
          <w:rtl/>
        </w:rPr>
        <w:t>؛</w:t>
      </w:r>
    </w:p>
    <w:p w14:paraId="25FED8EF" w14:textId="7CE44715" w:rsidR="00AF5490" w:rsidRPr="007907BE" w:rsidRDefault="00AF5490" w:rsidP="00AF5490">
      <w:pPr>
        <w:pStyle w:val="enumlev1"/>
      </w:pPr>
      <w:r>
        <w:rPr>
          <w:rFonts w:hint="cs"/>
          <w:rtl/>
        </w:rPr>
        <w:t>-</w:t>
      </w:r>
      <w:r>
        <w:rPr>
          <w:rtl/>
        </w:rPr>
        <w:tab/>
      </w:r>
      <w:r w:rsidRPr="007907BE">
        <w:rPr>
          <w:rtl/>
        </w:rPr>
        <w:t>تقديم التقرير إلى الفريق الاستشاري لتنمية الاتصالات.</w:t>
      </w:r>
    </w:p>
    <w:p w14:paraId="3CD51C12" w14:textId="77777777" w:rsidR="00AF5490" w:rsidRPr="007907BE" w:rsidRDefault="00AF5490" w:rsidP="003A008E">
      <w:r w:rsidRPr="007907BE">
        <w:rPr>
          <w:rtl/>
        </w:rPr>
        <w:t>تم تعيين السيد كريستوفر كيمي من كينيا رئيساً، والسيد أحمد شرفات من إيران والسيدة بلانكا غونزاليس من إسبانيا نائبين للرئيس.</w:t>
      </w:r>
    </w:p>
    <w:p w14:paraId="56A2B0CF" w14:textId="23C43811" w:rsidR="00AF5490" w:rsidRPr="007907BE" w:rsidRDefault="00AF5490" w:rsidP="003A008E">
      <w:r>
        <w:rPr>
          <w:rtl/>
        </w:rPr>
        <w:t>و</w:t>
      </w:r>
      <w:r w:rsidRPr="007907BE">
        <w:rPr>
          <w:rtl/>
        </w:rPr>
        <w:t xml:space="preserve">عقد فريق العمل </w:t>
      </w:r>
      <w:r w:rsidRPr="007907BE">
        <w:t>TDAG-WG-ITUDP</w:t>
      </w:r>
      <w:r w:rsidRPr="007907BE">
        <w:rPr>
          <w:rtl/>
        </w:rPr>
        <w:t xml:space="preserve"> اجتماعه الأول في </w:t>
      </w:r>
      <w:r w:rsidRPr="007907BE">
        <w:t>4</w:t>
      </w:r>
      <w:r w:rsidRPr="007907BE">
        <w:rPr>
          <w:rtl/>
        </w:rPr>
        <w:t xml:space="preserve"> سبتمبر </w:t>
      </w:r>
      <w:r w:rsidRPr="007907BE">
        <w:t>2024</w:t>
      </w:r>
      <w:r w:rsidRPr="007907BE">
        <w:rPr>
          <w:rtl/>
        </w:rPr>
        <w:t xml:space="preserve"> واجتماعاً ثانياً في </w:t>
      </w:r>
      <w:r w:rsidRPr="007907BE">
        <w:t>4</w:t>
      </w:r>
      <w:r w:rsidRPr="007907BE">
        <w:rPr>
          <w:rtl/>
        </w:rPr>
        <w:t xml:space="preserve"> ديسمبر </w:t>
      </w:r>
      <w:r w:rsidRPr="007907BE">
        <w:t>2024</w:t>
      </w:r>
      <w:r w:rsidRPr="007907BE">
        <w:rPr>
          <w:rtl/>
        </w:rPr>
        <w:t xml:space="preserve">. ويمكن الاطلاع على تقريري الاجتماعين في </w:t>
      </w:r>
      <w:hyperlink r:id="rId17" w:history="1">
        <w:r w:rsidRPr="00AF5490">
          <w:rPr>
            <w:rStyle w:val="Hyperlink"/>
            <w:rtl/>
          </w:rPr>
          <w:t xml:space="preserve">الموقع الإلكتروني للفريق </w:t>
        </w:r>
        <w:r w:rsidRPr="00AF5490">
          <w:rPr>
            <w:rStyle w:val="Hyperlink"/>
          </w:rPr>
          <w:t>TDAG-WG-ITUDP</w:t>
        </w:r>
      </w:hyperlink>
      <w:r w:rsidRPr="007907BE">
        <w:rPr>
          <w:rtl/>
        </w:rPr>
        <w:t>.</w:t>
      </w:r>
    </w:p>
    <w:p w14:paraId="3A65DFF9" w14:textId="77777777" w:rsidR="00AF5490" w:rsidRPr="00326449" w:rsidRDefault="00AF5490" w:rsidP="00AF5490">
      <w:pPr>
        <w:pStyle w:val="Heading1"/>
        <w:textDirection w:val="tbRlV"/>
        <w:rPr>
          <w:bCs w:val="0"/>
        </w:rPr>
      </w:pPr>
      <w:r>
        <w:t>2</w:t>
      </w:r>
      <w:r>
        <w:rPr>
          <w:rtl/>
        </w:rPr>
        <w:tab/>
      </w:r>
      <w:r w:rsidRPr="00326449">
        <w:rPr>
          <w:rtl/>
        </w:rPr>
        <w:t>النهج المتبع والتقدم المحرز</w:t>
      </w:r>
    </w:p>
    <w:p w14:paraId="714E2713" w14:textId="77777777" w:rsidR="00AF5490" w:rsidRPr="00927ADC" w:rsidRDefault="00AF5490" w:rsidP="003A008E">
      <w:r w:rsidRPr="00927ADC">
        <w:rPr>
          <w:rtl/>
        </w:rPr>
        <w:t xml:space="preserve">في الوقت الذي عقد فيه الاجتماع الأول، لم ترد أي مساهمات مكتوبة، وبالتالي لم تجر أي مناقشات تُذكر. وفي ضوء ذلك، ولأغراض تحفيز المساهمات والمناقشات في الاجتماعات اللاحقة، اتفق الفريق على أن يقوم الرئيس، بالتشاور مع الأمانة، بإعداد مساهمة لهذه الأغراض. </w:t>
      </w:r>
    </w:p>
    <w:p w14:paraId="5E3DF904" w14:textId="77777777" w:rsidR="00AF5490" w:rsidRPr="00927ADC" w:rsidRDefault="00AF5490" w:rsidP="003A008E">
      <w:r w:rsidRPr="00927ADC">
        <w:rPr>
          <w:rtl/>
        </w:rPr>
        <w:t>وخلال الاجتماع الثاني، عُرض على الفريق اقتراح الرئيس (</w:t>
      </w:r>
      <w:hyperlink r:id="rId18" w:history="1">
        <w:r w:rsidRPr="009B428A">
          <w:rPr>
            <w:rStyle w:val="Hyperlink"/>
            <w:lang w:val="en-GB"/>
          </w:rPr>
          <w:t>TDAG-WG-ITUDP/4</w:t>
        </w:r>
      </w:hyperlink>
      <w:r w:rsidRPr="00927ADC">
        <w:rPr>
          <w:rtl/>
        </w:rPr>
        <w:t>).</w:t>
      </w:r>
    </w:p>
    <w:p w14:paraId="0A86E4B3" w14:textId="36DEADC1" w:rsidR="00AF5490" w:rsidRPr="00927ADC" w:rsidRDefault="00AF5490" w:rsidP="003A008E">
      <w:r w:rsidRPr="00927ADC">
        <w:rPr>
          <w:rtl/>
        </w:rPr>
        <w:t>وعقب عرض اقتراح الرئيس، قدمت عدة تعليقات وقدمت الأفرقة مدخلات وتعليقات أولية، بما في ذلك (على سبيل المثال لا</w:t>
      </w:r>
      <w:r w:rsidR="003A008E">
        <w:rPr>
          <w:rFonts w:hint="cs"/>
          <w:rtl/>
        </w:rPr>
        <w:t> </w:t>
      </w:r>
      <w:r w:rsidRPr="00927ADC">
        <w:rPr>
          <w:rtl/>
        </w:rPr>
        <w:t>الحصر):</w:t>
      </w:r>
    </w:p>
    <w:p w14:paraId="74005D1F" w14:textId="13BA6FB9" w:rsidR="00AF5490" w:rsidRPr="00927ADC" w:rsidRDefault="00AF5490" w:rsidP="00AF5490">
      <w:pPr>
        <w:pStyle w:val="enumlev1"/>
      </w:pPr>
      <w:r>
        <w:rPr>
          <w:rFonts w:hint="cs"/>
          <w:rtl/>
          <w:lang w:bidi="ar-EG"/>
        </w:rPr>
        <w:t>-</w:t>
      </w:r>
      <w:r>
        <w:rPr>
          <w:rtl/>
          <w:lang w:bidi="ar-EG"/>
        </w:rPr>
        <w:tab/>
      </w:r>
      <w:r w:rsidRPr="00927ADC">
        <w:rPr>
          <w:rtl/>
        </w:rPr>
        <w:t>ضمان وضع مواضيع معينة بشكل صحيح ضمن الأولويات</w:t>
      </w:r>
    </w:p>
    <w:p w14:paraId="4D017402" w14:textId="7A53FDF0" w:rsidR="00AF5490" w:rsidRPr="00927ADC" w:rsidRDefault="00AF5490" w:rsidP="00AF5490">
      <w:pPr>
        <w:pStyle w:val="enumlev1"/>
      </w:pPr>
      <w:r>
        <w:rPr>
          <w:rFonts w:hint="cs"/>
          <w:rtl/>
          <w:lang w:bidi="ar-EG"/>
        </w:rPr>
        <w:t>-</w:t>
      </w:r>
      <w:r>
        <w:rPr>
          <w:rtl/>
          <w:lang w:bidi="ar-EG"/>
        </w:rPr>
        <w:tab/>
      </w:r>
      <w:r w:rsidRPr="00927ADC">
        <w:rPr>
          <w:rtl/>
        </w:rPr>
        <w:t>ضمان الاتساق مع الخطة الاستراتيجية</w:t>
      </w:r>
    </w:p>
    <w:p w14:paraId="4BCC5368" w14:textId="2CC285FE" w:rsidR="00AF5490" w:rsidRPr="00927ADC" w:rsidRDefault="00AF5490" w:rsidP="00AF5490">
      <w:pPr>
        <w:pStyle w:val="enumlev1"/>
      </w:pPr>
      <w:r>
        <w:rPr>
          <w:rFonts w:hint="cs"/>
          <w:rtl/>
          <w:lang w:bidi="ar-EG"/>
        </w:rPr>
        <w:t>-</w:t>
      </w:r>
      <w:r>
        <w:rPr>
          <w:rtl/>
          <w:lang w:bidi="ar-EG"/>
        </w:rPr>
        <w:tab/>
      </w:r>
      <w:r w:rsidRPr="00927ADC">
        <w:rPr>
          <w:rtl/>
        </w:rPr>
        <w:t>مراعاة عمليات الاتحاد والأمم المتحدة الأخرى ذات الصلة، مثل القمة العالمية لمجتمع المعلومات والناتج المحلي الإجمالي وأهداف التنمية المستدامة وغيرها</w:t>
      </w:r>
    </w:p>
    <w:p w14:paraId="78A89F16" w14:textId="2A55BB06" w:rsidR="00AF5490" w:rsidRPr="00927ADC" w:rsidRDefault="00AF5490" w:rsidP="00AF5490">
      <w:pPr>
        <w:pStyle w:val="enumlev1"/>
      </w:pPr>
      <w:r>
        <w:rPr>
          <w:rFonts w:hint="cs"/>
          <w:rtl/>
          <w:lang w:bidi="ar-EG"/>
        </w:rPr>
        <w:t>-</w:t>
      </w:r>
      <w:r>
        <w:rPr>
          <w:rtl/>
          <w:lang w:bidi="ar-EG"/>
        </w:rPr>
        <w:tab/>
      </w:r>
      <w:r w:rsidRPr="00927ADC">
        <w:rPr>
          <w:rtl/>
        </w:rPr>
        <w:t>توضيح المصطلحات</w:t>
      </w:r>
    </w:p>
    <w:p w14:paraId="77EBF4D1" w14:textId="44F036C5" w:rsidR="00AF5490" w:rsidRPr="00927ADC" w:rsidRDefault="00AF5490" w:rsidP="00AF5490">
      <w:pPr>
        <w:pStyle w:val="enumlev1"/>
      </w:pPr>
      <w:r>
        <w:rPr>
          <w:rFonts w:hint="cs"/>
          <w:rtl/>
          <w:lang w:bidi="ar-EG"/>
        </w:rPr>
        <w:t>-</w:t>
      </w:r>
      <w:r>
        <w:rPr>
          <w:rtl/>
          <w:lang w:bidi="ar-EG"/>
        </w:rPr>
        <w:tab/>
      </w:r>
      <w:r w:rsidRPr="00927ADC">
        <w:rPr>
          <w:rtl/>
        </w:rPr>
        <w:t>ضمان وضع تحليل مناسب للمخاطر ورصدها وتقييمها من أجل التنفيذ الفعال للخطة</w:t>
      </w:r>
    </w:p>
    <w:p w14:paraId="321BF06F" w14:textId="249EF452" w:rsidR="00AF5490" w:rsidRPr="00927ADC" w:rsidRDefault="00AF5490" w:rsidP="00AF5490">
      <w:pPr>
        <w:pStyle w:val="enumlev1"/>
      </w:pPr>
      <w:r>
        <w:rPr>
          <w:rFonts w:hint="cs"/>
          <w:rtl/>
          <w:lang w:bidi="ar-EG"/>
        </w:rPr>
        <w:t>-</w:t>
      </w:r>
      <w:r>
        <w:rPr>
          <w:rtl/>
          <w:lang w:bidi="ar-EG"/>
        </w:rPr>
        <w:tab/>
      </w:r>
      <w:r w:rsidRPr="00927ADC">
        <w:rPr>
          <w:rtl/>
        </w:rPr>
        <w:t>ضمان الاستمرارية مع الخطة الحالية؛ والبناء عليها وتبسيطها</w:t>
      </w:r>
    </w:p>
    <w:p w14:paraId="74E3AB90" w14:textId="11405E82" w:rsidR="00AF5490" w:rsidRPr="00927ADC" w:rsidRDefault="00AF5490" w:rsidP="00AF5490">
      <w:pPr>
        <w:pStyle w:val="enumlev1"/>
      </w:pPr>
      <w:r>
        <w:rPr>
          <w:rFonts w:hint="cs"/>
          <w:rtl/>
          <w:lang w:bidi="ar-EG"/>
        </w:rPr>
        <w:t>-</w:t>
      </w:r>
      <w:r>
        <w:rPr>
          <w:rtl/>
          <w:lang w:bidi="ar-EG"/>
        </w:rPr>
        <w:tab/>
      </w:r>
      <w:r w:rsidRPr="00927ADC">
        <w:rPr>
          <w:rtl/>
        </w:rPr>
        <w:t>ضمان وجود مبررات واضحة ونهج شامل لتحديد أولويات قطاع تنمية الاتصالات وعوامله التمكينية</w:t>
      </w:r>
    </w:p>
    <w:p w14:paraId="5D3999F6" w14:textId="17BCA71F" w:rsidR="00AF5490" w:rsidRPr="00927ADC" w:rsidRDefault="00AF5490" w:rsidP="003A008E">
      <w:r w:rsidRPr="00927ADC">
        <w:rPr>
          <w:rtl/>
        </w:rPr>
        <w:t>وبوجه</w:t>
      </w:r>
      <w:r w:rsidR="003A008E">
        <w:rPr>
          <w:rFonts w:hint="cs"/>
          <w:rtl/>
        </w:rPr>
        <w:t>ٍ</w:t>
      </w:r>
      <w:r w:rsidRPr="00927ADC">
        <w:rPr>
          <w:rtl/>
        </w:rPr>
        <w:t xml:space="preserve"> عام، رحب الفريق بالمقترح، على أساس أنه يمكن أن يكون أساساً للمناقشة وفقاً للمقترحات الإقليمية والقطرية التي ستقدم في المؤتمر.</w:t>
      </w:r>
    </w:p>
    <w:p w14:paraId="05D46CE1" w14:textId="77777777" w:rsidR="00AF5490" w:rsidRPr="00927ADC" w:rsidRDefault="00AF5490" w:rsidP="003A008E">
      <w:r w:rsidRPr="00927ADC">
        <w:rPr>
          <w:rtl/>
        </w:rPr>
        <w:t xml:space="preserve">وبناءً على التعليقات الواردة خلال الاجتماع الثاني، سيقدم الرئيس مقترحاً محدثاً للاجتماع الثالث للفريق. </w:t>
      </w:r>
    </w:p>
    <w:p w14:paraId="4161A68A" w14:textId="77777777" w:rsidR="00AF5490" w:rsidRPr="00326449" w:rsidRDefault="00AF5490" w:rsidP="00AF5490">
      <w:pPr>
        <w:pStyle w:val="Heading1"/>
        <w:textDirection w:val="tbRlV"/>
        <w:rPr>
          <w:bCs w:val="0"/>
        </w:rPr>
      </w:pPr>
      <w:r>
        <w:lastRenderedPageBreak/>
        <w:t>3</w:t>
      </w:r>
      <w:r>
        <w:rPr>
          <w:rtl/>
        </w:rPr>
        <w:tab/>
        <w:t>المواعيد</w:t>
      </w:r>
      <w:r w:rsidRPr="00326449">
        <w:rPr>
          <w:rtl/>
        </w:rPr>
        <w:t xml:space="preserve"> الرئيسية والخطوات التالية</w:t>
      </w:r>
    </w:p>
    <w:p w14:paraId="5A3EDBD1" w14:textId="56762A1A" w:rsidR="00AF5490" w:rsidRPr="000365FA" w:rsidRDefault="00AF5490" w:rsidP="003A008E">
      <w:pPr>
        <w:rPr>
          <w:rtl/>
          <w:lang w:bidi="ar-EG"/>
        </w:rPr>
      </w:pPr>
      <w:r w:rsidRPr="000365FA">
        <w:rPr>
          <w:rtl/>
        </w:rPr>
        <w:t xml:space="preserve">سيعقد الاجتماع الثالث للفريق </w:t>
      </w:r>
      <w:r w:rsidRPr="000365FA">
        <w:t>TDAG-WG-ITUDP</w:t>
      </w:r>
      <w:r w:rsidRPr="000365FA">
        <w:rPr>
          <w:rtl/>
        </w:rPr>
        <w:t xml:space="preserve"> خلال المجموعة المقبلة من اجتماعات فريق العمل التابع للفريق الاستشاري لتنمية الاتصالات في </w:t>
      </w:r>
      <w:r w:rsidRPr="000365FA">
        <w:t>6</w:t>
      </w:r>
      <w:r w:rsidRPr="000365FA">
        <w:rPr>
          <w:rtl/>
        </w:rPr>
        <w:t xml:space="preserve"> مارس </w:t>
      </w:r>
      <w:r w:rsidRPr="000365FA">
        <w:t>2025</w:t>
      </w:r>
      <w:r w:rsidRPr="000365FA">
        <w:rPr>
          <w:rtl/>
        </w:rPr>
        <w:t xml:space="preserve">. وستكون هناك أيضاً إمكانية لعقد اجتماع حضوري خلال اجتماع الفريق الاستشاري لتنمية الاتصالات لعام </w:t>
      </w:r>
      <w:r w:rsidRPr="000365FA">
        <w:t>2025</w:t>
      </w:r>
      <w:r w:rsidRPr="000365FA">
        <w:rPr>
          <w:rtl/>
        </w:rPr>
        <w:t xml:space="preserve"> لاختتام مناقشات الفريق.</w:t>
      </w:r>
    </w:p>
    <w:p w14:paraId="3883B90B" w14:textId="601CE393" w:rsidR="00AF5490" w:rsidRPr="000365FA" w:rsidRDefault="00AF5490" w:rsidP="003A008E">
      <w:r w:rsidRPr="000365FA">
        <w:rPr>
          <w:rtl/>
        </w:rPr>
        <w:t xml:space="preserve">وبالإضافة إلى ذلك، سيقدم رئيس الفريق </w:t>
      </w:r>
      <w:r w:rsidRPr="000365FA">
        <w:t>TDAG-WG-ITUDP</w:t>
      </w:r>
      <w:r w:rsidRPr="000365FA">
        <w:rPr>
          <w:rtl/>
        </w:rPr>
        <w:t xml:space="preserve"> تقارير عن التقدم المحرز في عمل الفريق إلى الاجتماعات الإقليمية التحضيرية المقبلة </w:t>
      </w:r>
      <w:r w:rsidRPr="000365FA">
        <w:t>(RPM)</w:t>
      </w:r>
      <w:r w:rsidRPr="000365FA">
        <w:rPr>
          <w:rtl/>
        </w:rPr>
        <w:t xml:space="preserve"> في الفترة التي تسبق المؤتمر </w:t>
      </w:r>
      <w:r>
        <w:t>WTDC-25</w:t>
      </w:r>
      <w:r w:rsidRPr="000365FA">
        <w:rPr>
          <w:rtl/>
        </w:rPr>
        <w:t xml:space="preserve">. </w:t>
      </w:r>
    </w:p>
    <w:p w14:paraId="305EA5DA" w14:textId="4B28174C" w:rsidR="00AF5490" w:rsidRPr="00D306C1" w:rsidRDefault="00AF5490" w:rsidP="003A008E">
      <w:pPr>
        <w:rPr>
          <w:lang w:val="ar-SA" w:eastAsia="zh-TW" w:bidi="en-GB"/>
        </w:rPr>
      </w:pPr>
      <w:r w:rsidRPr="000365FA">
        <w:rPr>
          <w:rtl/>
        </w:rPr>
        <w:t xml:space="preserve">وسيقدم الناتج النهائي للفريق </w:t>
      </w:r>
      <w:r w:rsidRPr="000365FA">
        <w:t>TDAG-WG-ITUDP</w:t>
      </w:r>
      <w:r w:rsidRPr="000365FA">
        <w:rPr>
          <w:rtl/>
        </w:rPr>
        <w:t xml:space="preserve"> لمواصلة النظر فيه في عام </w:t>
      </w:r>
      <w:r w:rsidRPr="000365FA">
        <w:t>2025</w:t>
      </w:r>
      <w:r w:rsidRPr="000365FA">
        <w:rPr>
          <w:rtl/>
        </w:rPr>
        <w:t xml:space="preserve"> وإمكانية تقديمه كمساهمة إلى المؤتمر </w:t>
      </w:r>
      <w:r>
        <w:t>WTDC-25</w:t>
      </w:r>
      <w:r w:rsidRPr="000365FA">
        <w:rPr>
          <w:rtl/>
        </w:rPr>
        <w:t xml:space="preserve"> حيث سيتم وضعه في صيغته النهائية واعتماد خطة عمل باكو النهائية</w:t>
      </w:r>
      <w:r w:rsidRPr="00D306C1">
        <w:rPr>
          <w:rtl/>
        </w:rPr>
        <w:t>.</w:t>
      </w:r>
    </w:p>
    <w:p w14:paraId="2E59CCC4" w14:textId="77777777" w:rsidR="00AF5490" w:rsidRPr="00D306C1" w:rsidRDefault="00AF5490" w:rsidP="00A57041">
      <w:pPr>
        <w:pStyle w:val="Headingb"/>
        <w:rPr>
          <w:lang w:val="ar-SA" w:eastAsia="zh-TW" w:bidi="en-GB"/>
        </w:rPr>
      </w:pPr>
      <w:bookmarkStart w:id="1" w:name="Proposal"/>
      <w:bookmarkEnd w:id="1"/>
      <w:r w:rsidRPr="00D306C1">
        <w:rPr>
          <w:rtl/>
        </w:rPr>
        <w:t>المراجع:</w:t>
      </w:r>
    </w:p>
    <w:p w14:paraId="46114B3A" w14:textId="77777777" w:rsidR="00AF5490" w:rsidRDefault="00AF5490" w:rsidP="00A57041">
      <w:hyperlink r:id="rId19" w:history="1">
        <w:r w:rsidRPr="00E07077">
          <w:rPr>
            <w:rStyle w:val="Hyperlink"/>
          </w:rPr>
          <w:t>TDAG-WG-ITUDP/ADM/2</w:t>
        </w:r>
      </w:hyperlink>
    </w:p>
    <w:p w14:paraId="0295AD1A"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C3BB0" w14:textId="77777777" w:rsidR="00AF5490" w:rsidRDefault="00AF5490" w:rsidP="006C3242">
      <w:pPr>
        <w:spacing w:before="0" w:line="240" w:lineRule="auto"/>
      </w:pPr>
      <w:r>
        <w:separator/>
      </w:r>
    </w:p>
  </w:endnote>
  <w:endnote w:type="continuationSeparator" w:id="0">
    <w:p w14:paraId="575131B6" w14:textId="77777777" w:rsidR="00AF5490" w:rsidRDefault="00AF549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1DF784C9" w14:textId="77777777" w:rsidTr="00F03E94">
      <w:tc>
        <w:tcPr>
          <w:tcW w:w="991" w:type="dxa"/>
          <w:tcBorders>
            <w:top w:val="single" w:sz="4" w:space="0" w:color="auto"/>
            <w:left w:val="nil"/>
            <w:bottom w:val="nil"/>
            <w:right w:val="nil"/>
          </w:tcBorders>
          <w:shd w:val="clear" w:color="auto" w:fill="FFFFFF" w:themeFill="background1"/>
          <w:hideMark/>
        </w:tcPr>
        <w:p w14:paraId="53E1B785"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154A4A5A"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5E131AC9" w14:textId="6AD2370E" w:rsidR="00882A17" w:rsidRPr="005874F2" w:rsidRDefault="00AF5490" w:rsidP="00882A17">
          <w:pPr>
            <w:spacing w:before="60" w:after="40" w:line="260" w:lineRule="exact"/>
            <w:rPr>
              <w:position w:val="2"/>
              <w:sz w:val="18"/>
              <w:szCs w:val="18"/>
              <w:rtl/>
              <w:lang w:val="en-GB" w:bidi="ar-EG"/>
            </w:rPr>
          </w:pPr>
          <w:r w:rsidRPr="00F64EA6">
            <w:rPr>
              <w:sz w:val="18"/>
              <w:szCs w:val="18"/>
              <w:rtl/>
            </w:rPr>
            <w:t xml:space="preserve">السيد كريستوفر كيمي، مدير الخدمة الشاملة، هيئة الاتصالات </w:t>
          </w:r>
          <w:r w:rsidRPr="00F64EA6">
            <w:rPr>
              <w:sz w:val="18"/>
              <w:szCs w:val="18"/>
            </w:rPr>
            <w:t>CA</w:t>
          </w:r>
          <w:r>
            <w:rPr>
              <w:sz w:val="18"/>
              <w:szCs w:val="18"/>
            </w:rPr>
            <w:t>)</w:t>
          </w:r>
          <w:r w:rsidRPr="00F64EA6">
            <w:rPr>
              <w:sz w:val="18"/>
              <w:szCs w:val="18"/>
              <w:rtl/>
            </w:rPr>
            <w:t>)، كينيا، رئيس فريق العمل التابع للفريق الاستشاري لتنمية الاتصالات والمعني بأولويات قطاع تنمية الاتصالات</w:t>
          </w:r>
        </w:p>
      </w:tc>
    </w:tr>
    <w:tr w:rsidR="00882A17" w:rsidRPr="005874F2" w14:paraId="023425FC" w14:textId="77777777" w:rsidTr="00F03E94">
      <w:tc>
        <w:tcPr>
          <w:tcW w:w="991" w:type="dxa"/>
        </w:tcPr>
        <w:p w14:paraId="3BADDED9"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184AFDC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0FF6980F" w14:textId="5526E3F5" w:rsidR="00882A17" w:rsidRPr="005874F2" w:rsidRDefault="00AF5490" w:rsidP="00882A17">
          <w:pPr>
            <w:spacing w:before="60" w:after="40" w:line="260" w:lineRule="exact"/>
            <w:rPr>
              <w:position w:val="2"/>
              <w:sz w:val="18"/>
              <w:szCs w:val="18"/>
              <w:lang w:val="en-GB"/>
            </w:rPr>
          </w:pPr>
          <w:r w:rsidRPr="00F64EA6">
            <w:rPr>
              <w:sz w:val="18"/>
              <w:szCs w:val="18"/>
              <w:rtl/>
            </w:rPr>
            <w:t>غير متوفر</w:t>
          </w:r>
        </w:p>
      </w:tc>
    </w:tr>
    <w:tr w:rsidR="00882A17" w:rsidRPr="005874F2" w14:paraId="444BA721" w14:textId="77777777" w:rsidTr="00F03E94">
      <w:tc>
        <w:tcPr>
          <w:tcW w:w="991" w:type="dxa"/>
        </w:tcPr>
        <w:p w14:paraId="25A1E04F" w14:textId="77777777" w:rsidR="00882A17" w:rsidRPr="005874F2" w:rsidRDefault="00882A17" w:rsidP="00882A17">
          <w:pPr>
            <w:spacing w:before="60" w:after="40" w:line="260" w:lineRule="exact"/>
            <w:rPr>
              <w:position w:val="2"/>
              <w:sz w:val="18"/>
              <w:szCs w:val="18"/>
              <w:lang w:val="en-GB" w:bidi="ar-EG"/>
            </w:rPr>
          </w:pPr>
        </w:p>
      </w:tc>
      <w:tc>
        <w:tcPr>
          <w:tcW w:w="2411" w:type="dxa"/>
          <w:hideMark/>
        </w:tcPr>
        <w:p w14:paraId="4E26ED2D"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4665A3D9" w14:textId="30A4F748" w:rsidR="00882A17" w:rsidRPr="005874F2" w:rsidRDefault="00AF5490" w:rsidP="00882A17">
          <w:pPr>
            <w:spacing w:before="60" w:after="40" w:line="260" w:lineRule="exact"/>
            <w:rPr>
              <w:position w:val="2"/>
              <w:sz w:val="18"/>
              <w:szCs w:val="18"/>
              <w:rtl/>
              <w:lang w:val="fr-FR" w:bidi="ar-EG"/>
            </w:rPr>
          </w:pPr>
          <w:hyperlink r:id="rId1" w:history="1">
            <w:hyperlink r:id="rId2" w:history="1">
              <w:r w:rsidRPr="00F64EA6">
                <w:rPr>
                  <w:rStyle w:val="Hyperlink"/>
                  <w:sz w:val="18"/>
                  <w:szCs w:val="18"/>
                </w:rPr>
                <w:t>kemei@ca.go.ke</w:t>
              </w:r>
            </w:hyperlink>
            <w:r w:rsidRPr="00F64EA6">
              <w:rPr>
                <w:sz w:val="18"/>
                <w:szCs w:val="18"/>
              </w:rPr>
              <w:t xml:space="preserve"> </w:t>
            </w:r>
          </w:hyperlink>
        </w:p>
      </w:tc>
    </w:tr>
  </w:tbl>
  <w:p w14:paraId="25577B06" w14:textId="77777777" w:rsidR="0006468A" w:rsidRPr="000F7FE5" w:rsidRDefault="0006468A" w:rsidP="000F7FE5">
    <w:pPr>
      <w:spacing w:before="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FFE5E" w14:textId="77777777" w:rsidR="00AF5490" w:rsidRDefault="00AF5490" w:rsidP="006C3242">
      <w:pPr>
        <w:spacing w:before="0" w:line="240" w:lineRule="auto"/>
      </w:pPr>
      <w:r>
        <w:separator/>
      </w:r>
    </w:p>
  </w:footnote>
  <w:footnote w:type="continuationSeparator" w:id="0">
    <w:p w14:paraId="09D133A9" w14:textId="77777777" w:rsidR="00AF5490" w:rsidRDefault="00AF549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tl/>
      </w:rPr>
      <w:id w:val="-1375531529"/>
      <w:docPartObj>
        <w:docPartGallery w:val="Page Numbers (Top of Page)"/>
        <w:docPartUnique/>
      </w:docPartObj>
    </w:sdtPr>
    <w:sdtEndPr>
      <w:rPr>
        <w:rFonts w:cs="Calibri"/>
        <w:noProof/>
        <w:sz w:val="18"/>
        <w:szCs w:val="18"/>
      </w:rPr>
    </w:sdtEndPr>
    <w:sdtContent>
      <w:p w14:paraId="7D597884" w14:textId="3AC60B5B"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0F7FE5">
          <w:rPr>
            <w:sz w:val="20"/>
            <w:szCs w:val="20"/>
            <w:lang w:val="es-ES_tradnl"/>
          </w:rPr>
          <w:t>ITU-D/RPM-</w:t>
        </w:r>
        <w:r w:rsidR="00F83E91">
          <w:rPr>
            <w:sz w:val="20"/>
            <w:szCs w:val="20"/>
          </w:rPr>
          <w:t>ARB</w:t>
        </w:r>
        <w:r w:rsidR="000F7FE5">
          <w:rPr>
            <w:sz w:val="20"/>
            <w:szCs w:val="20"/>
            <w:lang w:val="es-ES_tradnl"/>
          </w:rPr>
          <w:t>25/</w:t>
        </w:r>
        <w:r w:rsidR="00AF5490">
          <w:rPr>
            <w:sz w:val="20"/>
            <w:szCs w:val="20"/>
            <w:lang w:val="es-ES_tradnl"/>
          </w:rPr>
          <w:t>8</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A23D65"/>
    <w:multiLevelType w:val="hybridMultilevel"/>
    <w:tmpl w:val="1A3A9E6E"/>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96A347B"/>
    <w:multiLevelType w:val="hybridMultilevel"/>
    <w:tmpl w:val="7AE2D05E"/>
    <w:lvl w:ilvl="0" w:tplc="93E6492E">
      <w:start w:val="1"/>
      <w:numFmt w:val="bullet"/>
      <w:lvlText w:val=""/>
      <w:lvlJc w:val="left"/>
      <w:pPr>
        <w:ind w:left="360" w:hanging="360"/>
      </w:pPr>
      <w:rPr>
        <w:rFonts w:ascii="Symbol" w:hAnsi="Symbol" w:hint="default"/>
      </w:rPr>
    </w:lvl>
    <w:lvl w:ilvl="1" w:tplc="2DBCCCFE">
      <w:start w:val="1"/>
      <w:numFmt w:val="bullet"/>
      <w:lvlText w:val="-"/>
      <w:lvlJc w:val="left"/>
      <w:pPr>
        <w:ind w:left="1510" w:hanging="79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9098267">
    <w:abstractNumId w:val="9"/>
  </w:num>
  <w:num w:numId="2" w16cid:durableId="1020005383">
    <w:abstractNumId w:val="7"/>
  </w:num>
  <w:num w:numId="3" w16cid:durableId="1772779861">
    <w:abstractNumId w:val="6"/>
  </w:num>
  <w:num w:numId="4" w16cid:durableId="278143877">
    <w:abstractNumId w:val="5"/>
  </w:num>
  <w:num w:numId="5" w16cid:durableId="641732625">
    <w:abstractNumId w:val="4"/>
  </w:num>
  <w:num w:numId="6" w16cid:durableId="1866746771">
    <w:abstractNumId w:val="8"/>
  </w:num>
  <w:num w:numId="7" w16cid:durableId="1096293387">
    <w:abstractNumId w:val="3"/>
  </w:num>
  <w:num w:numId="8" w16cid:durableId="999575076">
    <w:abstractNumId w:val="2"/>
  </w:num>
  <w:num w:numId="9" w16cid:durableId="1251547449">
    <w:abstractNumId w:val="1"/>
  </w:num>
  <w:num w:numId="10" w16cid:durableId="2006932480">
    <w:abstractNumId w:val="0"/>
  </w:num>
  <w:num w:numId="11" w16cid:durableId="1598058061">
    <w:abstractNumId w:val="10"/>
  </w:num>
  <w:num w:numId="12" w16cid:durableId="1870021093">
    <w:abstractNumId w:val="12"/>
    <w:lvlOverride w:ilvl="0">
      <w:lvl w:ilvl="0" w:tplc="93E6492E">
        <w:start w:val="1"/>
        <w:numFmt w:val="bullet"/>
        <w:lvlText w:val=""/>
        <w:lvlJc w:val="left"/>
        <w:pPr>
          <w:ind w:left="360" w:hanging="360"/>
        </w:pPr>
        <w:rPr>
          <w:rFonts w:ascii="Symbol" w:hAnsi="Symbol" w:hint="default"/>
        </w:rPr>
      </w:lvl>
    </w:lvlOverride>
  </w:num>
  <w:num w:numId="13" w16cid:durableId="2031645095">
    <w:abstractNumId w:val="11"/>
    <w:lvlOverride w:ilvl="0">
      <w:lvl w:ilvl="0" w:tplc="93E6492E">
        <w:start w:val="1"/>
        <w:numFmt w:val="bullet"/>
        <w:lvlText w:val=""/>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90"/>
    <w:rsid w:val="00026D7C"/>
    <w:rsid w:val="0006468A"/>
    <w:rsid w:val="000853A3"/>
    <w:rsid w:val="00090574"/>
    <w:rsid w:val="000C1C0E"/>
    <w:rsid w:val="000C548A"/>
    <w:rsid w:val="000F7FE5"/>
    <w:rsid w:val="00153471"/>
    <w:rsid w:val="0019128D"/>
    <w:rsid w:val="001C0169"/>
    <w:rsid w:val="001D1D50"/>
    <w:rsid w:val="001D6745"/>
    <w:rsid w:val="001E446E"/>
    <w:rsid w:val="001E544A"/>
    <w:rsid w:val="0021016E"/>
    <w:rsid w:val="002154EE"/>
    <w:rsid w:val="002276D2"/>
    <w:rsid w:val="0023283D"/>
    <w:rsid w:val="00251AC6"/>
    <w:rsid w:val="0026373E"/>
    <w:rsid w:val="00271C43"/>
    <w:rsid w:val="00290728"/>
    <w:rsid w:val="002978F4"/>
    <w:rsid w:val="002B028D"/>
    <w:rsid w:val="002E6541"/>
    <w:rsid w:val="00317741"/>
    <w:rsid w:val="00334924"/>
    <w:rsid w:val="003409BC"/>
    <w:rsid w:val="00357185"/>
    <w:rsid w:val="00375FD9"/>
    <w:rsid w:val="00383829"/>
    <w:rsid w:val="003971E3"/>
    <w:rsid w:val="003A008E"/>
    <w:rsid w:val="003C4402"/>
    <w:rsid w:val="003F4B29"/>
    <w:rsid w:val="0042686F"/>
    <w:rsid w:val="004317D8"/>
    <w:rsid w:val="00434183"/>
    <w:rsid w:val="00443869"/>
    <w:rsid w:val="00447F32"/>
    <w:rsid w:val="004E11DC"/>
    <w:rsid w:val="004F3C48"/>
    <w:rsid w:val="00506E94"/>
    <w:rsid w:val="00525DDD"/>
    <w:rsid w:val="005409AC"/>
    <w:rsid w:val="0055516A"/>
    <w:rsid w:val="0058491B"/>
    <w:rsid w:val="005874F2"/>
    <w:rsid w:val="00592EA5"/>
    <w:rsid w:val="005A3170"/>
    <w:rsid w:val="005B2C89"/>
    <w:rsid w:val="005D610E"/>
    <w:rsid w:val="005E1E6D"/>
    <w:rsid w:val="006128FC"/>
    <w:rsid w:val="00677396"/>
    <w:rsid w:val="0069200F"/>
    <w:rsid w:val="006A65CB"/>
    <w:rsid w:val="006C3242"/>
    <w:rsid w:val="006C7CC0"/>
    <w:rsid w:val="006F63F7"/>
    <w:rsid w:val="007025C7"/>
    <w:rsid w:val="00706D7A"/>
    <w:rsid w:val="00722F0D"/>
    <w:rsid w:val="0074420E"/>
    <w:rsid w:val="00747A70"/>
    <w:rsid w:val="00783A69"/>
    <w:rsid w:val="00783E26"/>
    <w:rsid w:val="007A1D77"/>
    <w:rsid w:val="007B4FA0"/>
    <w:rsid w:val="007C3BC7"/>
    <w:rsid w:val="007C3BCD"/>
    <w:rsid w:val="007D4ACF"/>
    <w:rsid w:val="007F0787"/>
    <w:rsid w:val="00810B7B"/>
    <w:rsid w:val="0082358A"/>
    <w:rsid w:val="008235CD"/>
    <w:rsid w:val="008247DE"/>
    <w:rsid w:val="00840B10"/>
    <w:rsid w:val="008513CB"/>
    <w:rsid w:val="0085611A"/>
    <w:rsid w:val="008562F3"/>
    <w:rsid w:val="0086538C"/>
    <w:rsid w:val="00874F08"/>
    <w:rsid w:val="00882A17"/>
    <w:rsid w:val="008A7F84"/>
    <w:rsid w:val="0091702E"/>
    <w:rsid w:val="00923B0C"/>
    <w:rsid w:val="0094021C"/>
    <w:rsid w:val="0094065A"/>
    <w:rsid w:val="00952F86"/>
    <w:rsid w:val="00982B28"/>
    <w:rsid w:val="00983DA5"/>
    <w:rsid w:val="009D313F"/>
    <w:rsid w:val="009F4B1D"/>
    <w:rsid w:val="00A24359"/>
    <w:rsid w:val="00A47A5A"/>
    <w:rsid w:val="00A57041"/>
    <w:rsid w:val="00A6683B"/>
    <w:rsid w:val="00A97F94"/>
    <w:rsid w:val="00AA7EA2"/>
    <w:rsid w:val="00AF5490"/>
    <w:rsid w:val="00B0270A"/>
    <w:rsid w:val="00B03099"/>
    <w:rsid w:val="00B05BC8"/>
    <w:rsid w:val="00B24621"/>
    <w:rsid w:val="00B35759"/>
    <w:rsid w:val="00B64B47"/>
    <w:rsid w:val="00B93B7B"/>
    <w:rsid w:val="00BD495F"/>
    <w:rsid w:val="00C002DE"/>
    <w:rsid w:val="00C42F53"/>
    <w:rsid w:val="00C53BF8"/>
    <w:rsid w:val="00C56B5F"/>
    <w:rsid w:val="00C66157"/>
    <w:rsid w:val="00C674FE"/>
    <w:rsid w:val="00C67501"/>
    <w:rsid w:val="00C75633"/>
    <w:rsid w:val="00C85CB5"/>
    <w:rsid w:val="00CA08BA"/>
    <w:rsid w:val="00CC4CD5"/>
    <w:rsid w:val="00CE2EE1"/>
    <w:rsid w:val="00CE3349"/>
    <w:rsid w:val="00CE36E5"/>
    <w:rsid w:val="00CF27F5"/>
    <w:rsid w:val="00CF3FFD"/>
    <w:rsid w:val="00D10CCF"/>
    <w:rsid w:val="00D77D0F"/>
    <w:rsid w:val="00D8311F"/>
    <w:rsid w:val="00DA1CF0"/>
    <w:rsid w:val="00DC1E02"/>
    <w:rsid w:val="00DC24B4"/>
    <w:rsid w:val="00DC5FB0"/>
    <w:rsid w:val="00DF16DC"/>
    <w:rsid w:val="00E45211"/>
    <w:rsid w:val="00E473C5"/>
    <w:rsid w:val="00E74DA8"/>
    <w:rsid w:val="00E92863"/>
    <w:rsid w:val="00EB796D"/>
    <w:rsid w:val="00EE5CF2"/>
    <w:rsid w:val="00F058DC"/>
    <w:rsid w:val="00F24FC4"/>
    <w:rsid w:val="00F2676C"/>
    <w:rsid w:val="00F43D01"/>
    <w:rsid w:val="00F700ED"/>
    <w:rsid w:val="00F77022"/>
    <w:rsid w:val="00F83E91"/>
    <w:rsid w:val="00F84366"/>
    <w:rsid w:val="00F85089"/>
    <w:rsid w:val="00F875FA"/>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3ABA70"/>
  <w15:chartTrackingRefBased/>
  <w15:docId w15:val="{1FF80B45-3A3E-4D01-A6B3-9A16C72A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ECC Hyperlink,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AF5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WG.ITUDP-C-0003/en" TargetMode="External"/><Relationship Id="rId18" Type="http://schemas.openxmlformats.org/officeDocument/2006/relationships/hyperlink" Target="https://www.itu.int/md/D22-TDAG.WG.ITUDP-C-0004/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md/D22-TDAG31-240520-TD-0005/en" TargetMode="External"/><Relationship Id="rId17" Type="http://schemas.openxmlformats.org/officeDocument/2006/relationships/hyperlink" Target="https://www.itu.int/en/ITU-D/Conferences/TDAG/Pages/2024/TDAG_WG_ITUDP.aspx" TargetMode="External"/><Relationship Id="rId2" Type="http://schemas.openxmlformats.org/officeDocument/2006/relationships/customXml" Target="../customXml/item2.xml"/><Relationship Id="rId16" Type="http://schemas.openxmlformats.org/officeDocument/2006/relationships/hyperlink" Target="https://www.itu.int/en/ITU-D/Conferences/TDAG/Pages/2024/TDAG_WG_ITUDP.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D22-TDAG.WG.ITUDP-C-0004/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D22-TDAG.WG.ITUDP-ADM-0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ITUDP-C-0006/"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emei@ca.go.ke" TargetMode="External"/><Relationship Id="rId1" Type="http://schemas.openxmlformats.org/officeDocument/2006/relationships/hyperlink" Target="mailto:kemei@ca.go.k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lel\Desktop\Arabic%20Templates%202025\PA_RPM-A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6" ma:contentTypeDescription="Create a new document." ma:contentTypeScope="" ma:versionID="90af5b54ed9a7599e8f27c1112bc76f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b9a661d9ed45c1c7dbfb61f933cf4c6e"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97F7B-0F9A-4E9B-A8C7-32B18C975B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3.xml><?xml version="1.0" encoding="utf-8"?>
<ds:datastoreItem xmlns:ds="http://schemas.openxmlformats.org/officeDocument/2006/customXml" ds:itemID="{2EF82588-769F-4731-A181-9C6241A83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C6D54-7FEF-4A83-B882-9131AFFD2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PA_RPM-ARB.dotx</Template>
  <TotalTime>112</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Mohamed</dc:creator>
  <cp:keywords/>
  <dc:description/>
  <cp:lastModifiedBy>Delmas, Nathalie</cp:lastModifiedBy>
  <cp:revision>7</cp:revision>
  <dcterms:created xsi:type="dcterms:W3CDTF">2025-01-09T14:27:00Z</dcterms:created>
  <dcterms:modified xsi:type="dcterms:W3CDTF">2025-01-15T13:33:00Z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ies>
</file>