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1AC3516C">
        <w:trPr>
          <w:cantSplit/>
          <w:trHeight w:val="1134"/>
        </w:trPr>
        <w:tc>
          <w:tcPr>
            <w:tcW w:w="6379" w:type="dxa"/>
          </w:tcPr>
          <w:p w14:paraId="228E5FF1" w14:textId="77777777" w:rsidR="00B403D5" w:rsidRPr="006D4EA0" w:rsidRDefault="00B403D5" w:rsidP="00B403D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D6BF2">
              <w:rPr>
                <w:b/>
                <w:bCs/>
                <w:sz w:val="32"/>
                <w:szCs w:val="32"/>
              </w:rPr>
              <w:t>for Arab States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ARB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B036556" w:rsidR="00307769" w:rsidRPr="006D4EA0" w:rsidRDefault="00B403D5" w:rsidP="00B403D5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>
              <w:rPr>
                <w:b/>
                <w:bCs/>
                <w:sz w:val="26"/>
                <w:szCs w:val="26"/>
              </w:rPr>
              <w:t xml:space="preserve">, Jordan, 4-5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1AC3516C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BC1835" w14:paraId="0BB3FBC4" w14:textId="77777777" w:rsidTr="1AC3516C">
        <w:trPr>
          <w:cantSplit/>
        </w:trPr>
        <w:tc>
          <w:tcPr>
            <w:tcW w:w="6379" w:type="dxa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ECE8A8A" w:rsidR="00E63FF0" w:rsidRPr="004925BB" w:rsidRDefault="00E63FF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RPM-ARB25/</w:t>
            </w:r>
            <w:r>
              <w:rPr>
                <w:b/>
                <w:bCs/>
                <w:lang w:val="pt-BR"/>
              </w:rPr>
              <w:t>7-E</w:t>
            </w:r>
          </w:p>
        </w:tc>
      </w:tr>
      <w:tr w:rsidR="00E63FF0" w:rsidRPr="006D4EA0" w14:paraId="24D04936" w14:textId="77777777" w:rsidTr="1AC3516C">
        <w:trPr>
          <w:cantSplit/>
        </w:trPr>
        <w:tc>
          <w:tcPr>
            <w:tcW w:w="6379" w:type="dxa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65DAA025" w:rsidR="00E63FF0" w:rsidRPr="00BF7609" w:rsidRDefault="00E63FF0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 December 2025</w:t>
            </w:r>
          </w:p>
        </w:tc>
      </w:tr>
      <w:tr w:rsidR="00E63FF0" w:rsidRPr="006D4EA0" w14:paraId="7B96545F" w14:textId="77777777" w:rsidTr="1AC3516C">
        <w:trPr>
          <w:cantSplit/>
        </w:trPr>
        <w:tc>
          <w:tcPr>
            <w:tcW w:w="6379" w:type="dxa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2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1AC3516C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1AC3516C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216AE5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216AE5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2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3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5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Pr="00BC09E6" w:rsidRDefault="008D4388" w:rsidP="006368D0">
            <w:pPr>
              <w:pStyle w:val="ListParagraph"/>
              <w:numPr>
                <w:ilvl w:val="0"/>
                <w:numId w:val="2"/>
              </w:numPr>
              <w:spacing w:before="60" w:after="6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6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1ECDD20E" w14:textId="1838C097" w:rsidR="00045F6B" w:rsidRPr="006D4EA0" w:rsidRDefault="00045F6B" w:rsidP="00BC09E6">
            <w:pPr>
              <w:pStyle w:val="ListParagraph"/>
              <w:numPr>
                <w:ilvl w:val="0"/>
                <w:numId w:val="2"/>
              </w:numPr>
              <w:spacing w:before="60" w:after="120"/>
              <w:ind w:left="357" w:hanging="357"/>
              <w:contextualSpacing w:val="0"/>
              <w:jc w:val="both"/>
            </w:pPr>
            <w:hyperlink r:id="rId17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08989547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18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  <w:r w:rsidR="008737B5">
        <w:t xml:space="preserve"> 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186139B3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 xml:space="preserve">6 September 2024 and a second meeting on 2 December 2024. Reports of both meetings are available on the </w:t>
      </w:r>
      <w:hyperlink r:id="rId19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proofErr w:type="gramStart"/>
      <w:r w:rsidR="00E178EC">
        <w:t>in particular</w:t>
      </w:r>
      <w:r>
        <w:t xml:space="preserve"> </w:t>
      </w:r>
      <w:r w:rsidR="006256E0">
        <w:t>the</w:t>
      </w:r>
      <w:proofErr w:type="gramEnd"/>
      <w:r w:rsidR="006256E0">
        <w:t xml:space="preserve">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proofErr w:type="gramStart"/>
      <w:r w:rsidR="00E178EC">
        <w:rPr>
          <w:rFonts w:cstheme="minorHAnsi"/>
          <w:szCs w:val="24"/>
        </w:rPr>
        <w:t>similar to</w:t>
      </w:r>
      <w:proofErr w:type="gramEnd"/>
      <w:r w:rsidR="00E178EC">
        <w:rPr>
          <w:rFonts w:cstheme="minorHAnsi"/>
          <w:szCs w:val="24"/>
        </w:rPr>
        <w:t xml:space="preserve">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1A6FE0C6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0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 xml:space="preserve">. Some Member State representatives expressed their preference for a shorter title, while others were in favor of a more comprehensive one. </w:t>
      </w:r>
    </w:p>
    <w:p w14:paraId="181FBFAA" w14:textId="641990B8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1" w:history="1">
        <w:r w:rsidRPr="002960D9">
          <w:rPr>
            <w:rStyle w:val="Hyperlink"/>
            <w:szCs w:val="24"/>
          </w:rPr>
          <w:t xml:space="preserve">TDAG-WG-DEC/4 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2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68020F17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 xml:space="preserve">feedback received during the second meeting of TDAG-WG-DEC, the Chair will prepare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 xml:space="preserve">. </w:t>
      </w:r>
    </w:p>
    <w:p w14:paraId="2147F1E2" w14:textId="7F96AFFD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 xml:space="preserve">eports by Regional Telecommunication Organizations 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1129EE65" w14:textId="02B9E52A" w:rsidR="00E178EC" w:rsidRDefault="00E178EC" w:rsidP="00C40E2E">
      <w:pPr>
        <w:spacing w:after="120"/>
      </w:pPr>
      <w:r w:rsidRPr="00841E2C">
        <w:t xml:space="preserve">The </w:t>
      </w:r>
      <w:r>
        <w:t>third</w:t>
      </w:r>
      <w:r w:rsidRPr="00841E2C">
        <w:t xml:space="preserve"> meeting of TDAG-WG-DEC will be held during the next cluster of TDAG working group meeting </w:t>
      </w:r>
      <w:r>
        <w:t xml:space="preserve">on </w:t>
      </w:r>
      <w:r w:rsidRPr="00B12CAD">
        <w:t>5 March 2025</w:t>
      </w:r>
      <w:r>
        <w:t xml:space="preserve">. There will also be a possibility for a physical meeting during TDAG-25 to wrap up the discussions of the </w:t>
      </w:r>
      <w:r w:rsidR="007562BE">
        <w:t>G</w:t>
      </w:r>
      <w:r>
        <w:t>roup.</w:t>
      </w:r>
    </w:p>
    <w:p w14:paraId="46BF89DE" w14:textId="26C10024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 xml:space="preserve">roup to the upcoming Regional Preparatory Meetings (RPMs) in the lead up to WTDC-25. </w:t>
      </w:r>
    </w:p>
    <w:p w14:paraId="69B70EE0" w14:textId="5CDE5311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lastRenderedPageBreak/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23"/>
      <w:footerReference w:type="first" r:id="rId2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25BD" w14:textId="77777777" w:rsidR="00385210" w:rsidRDefault="00385210">
      <w:r>
        <w:separator/>
      </w:r>
    </w:p>
  </w:endnote>
  <w:endnote w:type="continuationSeparator" w:id="0">
    <w:p w14:paraId="79F0C0B1" w14:textId="77777777" w:rsidR="00385210" w:rsidRDefault="003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AB04" w14:textId="77777777" w:rsidR="00385210" w:rsidRDefault="00385210">
      <w:r>
        <w:t>____________________</w:t>
      </w:r>
    </w:p>
  </w:footnote>
  <w:footnote w:type="continuationSeparator" w:id="0">
    <w:p w14:paraId="25B9989C" w14:textId="77777777" w:rsidR="00385210" w:rsidRDefault="0038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F77A22F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ARB25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42AB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6420"/>
    <w:rsid w:val="004E64EA"/>
    <w:rsid w:val="004E6DAD"/>
    <w:rsid w:val="004E7828"/>
    <w:rsid w:val="004F2D3A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71EF6"/>
    <w:rsid w:val="0067205B"/>
    <w:rsid w:val="00672DCA"/>
    <w:rsid w:val="006748F8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313C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4EC3"/>
    <w:rsid w:val="00C4038C"/>
    <w:rsid w:val="00C40E2E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61A7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3906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DEC-C-0002/" TargetMode="External"/><Relationship Id="rId18" Type="http://schemas.openxmlformats.org/officeDocument/2006/relationships/hyperlink" Target="https://www.itu.int/md/D22-TDAG31-240520-TD-0004/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C-0004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4/en" TargetMode="External"/><Relationship Id="rId17" Type="http://schemas.openxmlformats.org/officeDocument/2006/relationships/hyperlink" Target="https://www.itu.int/en/ITU-D/Conferences/TDAG/Pages/2024/TDAG_WG_DEC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INF-0001/" TargetMode="External"/><Relationship Id="rId20" Type="http://schemas.openxmlformats.org/officeDocument/2006/relationships/hyperlink" Target="https://www.itu.int/md/D22-TDAG.WG.DEC-C-0004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7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6/" TargetMode="External"/><Relationship Id="rId22" Type="http://schemas.openxmlformats.org/officeDocument/2006/relationships/hyperlink" Target="https://www.itu.int/md/D22-TDAG.WG.DEC-INF-0001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A5971-AC13-4389-9292-6EB6898F7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Manager>General Secretariat - Pool</Manager>
  <Company>International Telecommunication Union (ITU)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28</cp:revision>
  <cp:lastPrinted>2014-11-04T09:22:00Z</cp:lastPrinted>
  <dcterms:created xsi:type="dcterms:W3CDTF">2024-12-10T09:54:00Z</dcterms:created>
  <dcterms:modified xsi:type="dcterms:W3CDTF">2024-12-18T15:21:00Z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