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542"/>
        <w:gridCol w:w="2549"/>
      </w:tblGrid>
      <w:tr w:rsidR="0094065A" w:rsidRPr="00783A69" w14:paraId="7A7A5883" w14:textId="77777777" w:rsidTr="000F7FE5">
        <w:trPr>
          <w:cantSplit/>
          <w:trHeight w:val="1310"/>
          <w:jc w:val="center"/>
        </w:trPr>
        <w:tc>
          <w:tcPr>
            <w:tcW w:w="7090" w:type="dxa"/>
            <w:gridSpan w:val="2"/>
            <w:tcBorders>
              <w:bottom w:val="single" w:sz="12" w:space="0" w:color="auto"/>
            </w:tcBorders>
          </w:tcPr>
          <w:p w14:paraId="330E8FDA" w14:textId="551DE8E6" w:rsidR="0094065A" w:rsidRPr="00D03A64" w:rsidRDefault="00D03A64" w:rsidP="00D03A64">
            <w:pPr>
              <w:spacing w:before="240"/>
              <w:jc w:val="left"/>
              <w:rPr>
                <w:b/>
                <w:bCs/>
                <w:sz w:val="30"/>
                <w:szCs w:val="30"/>
                <w:lang w:bidi="ar-SY"/>
              </w:rPr>
            </w:pPr>
            <w:r w:rsidRPr="00564149">
              <w:rPr>
                <w:b/>
                <w:bCs/>
                <w:sz w:val="30"/>
                <w:szCs w:val="30"/>
                <w:rtl/>
              </w:rPr>
              <w:t xml:space="preserve">الاجتماع الإقليمي التحضيري لمنطقة الدول العربية للتحضير للمؤتمر العالمي لتنمية الاتصالات لعام </w:t>
            </w:r>
            <w:r w:rsidRPr="00564149">
              <w:rPr>
                <w:b/>
                <w:bCs/>
                <w:sz w:val="30"/>
                <w:szCs w:val="30"/>
              </w:rPr>
              <w:t>2025</w:t>
            </w:r>
            <w:r w:rsidRPr="00564149">
              <w:rPr>
                <w:b/>
                <w:bCs/>
                <w:sz w:val="30"/>
                <w:szCs w:val="30"/>
                <w:rtl/>
              </w:rPr>
              <w:t xml:space="preserve"> </w:t>
            </w:r>
            <w:r w:rsidRPr="00564149">
              <w:rPr>
                <w:b/>
                <w:bCs/>
                <w:sz w:val="30"/>
                <w:szCs w:val="30"/>
                <w:lang w:val="en-GB"/>
              </w:rPr>
              <w:t>(RPM-ARB)</w:t>
            </w:r>
          </w:p>
          <w:p w14:paraId="50B17436" w14:textId="5D87FEFE" w:rsidR="0094065A" w:rsidRPr="0086538C" w:rsidRDefault="00D03A64" w:rsidP="00D03A64">
            <w:pPr>
              <w:spacing w:after="120"/>
              <w:rPr>
                <w:b/>
                <w:bCs/>
                <w:sz w:val="28"/>
                <w:szCs w:val="28"/>
                <w:lang w:bidi="ar-SY"/>
              </w:rPr>
            </w:pPr>
            <w:r w:rsidRPr="00D03A64">
              <w:rPr>
                <w:b/>
                <w:bCs/>
                <w:sz w:val="24"/>
                <w:szCs w:val="24"/>
                <w:rtl/>
                <w:lang w:bidi="ar-EG"/>
              </w:rPr>
              <w:t xml:space="preserve">عمّان، الأردن، </w:t>
            </w:r>
            <w:r w:rsidRPr="00D03A64">
              <w:rPr>
                <w:b/>
                <w:bCs/>
                <w:sz w:val="24"/>
                <w:szCs w:val="24"/>
                <w:lang w:bidi="ar-EG"/>
              </w:rPr>
              <w:t>4</w:t>
            </w:r>
            <w:r w:rsidRPr="00D03A64">
              <w:rPr>
                <w:b/>
                <w:bCs/>
                <w:sz w:val="24"/>
                <w:szCs w:val="24"/>
                <w:rtl/>
                <w:lang w:bidi="ar-EG"/>
              </w:rPr>
              <w:t>-</w:t>
            </w:r>
            <w:r w:rsidRPr="00D03A64">
              <w:rPr>
                <w:b/>
                <w:bCs/>
                <w:sz w:val="24"/>
                <w:szCs w:val="24"/>
                <w:lang w:bidi="ar-EG"/>
              </w:rPr>
              <w:t>5</w:t>
            </w:r>
            <w:r w:rsidRPr="00D03A64">
              <w:rPr>
                <w:b/>
                <w:bCs/>
                <w:sz w:val="24"/>
                <w:szCs w:val="24"/>
                <w:rtl/>
                <w:lang w:bidi="ar-EG"/>
              </w:rPr>
              <w:t xml:space="preserve"> فبراير </w:t>
            </w:r>
            <w:r w:rsidRPr="00D03A64">
              <w:rPr>
                <w:b/>
                <w:bCs/>
                <w:sz w:val="24"/>
                <w:szCs w:val="24"/>
                <w:lang w:bidi="ar-EG"/>
              </w:rPr>
              <w:t>2025</w:t>
            </w:r>
          </w:p>
        </w:tc>
        <w:tc>
          <w:tcPr>
            <w:tcW w:w="2549" w:type="dxa"/>
            <w:tcBorders>
              <w:bottom w:val="single" w:sz="12" w:space="0" w:color="auto"/>
            </w:tcBorders>
          </w:tcPr>
          <w:p w14:paraId="42C4298A" w14:textId="77777777" w:rsidR="0094065A" w:rsidRPr="00783A69" w:rsidRDefault="00F77022" w:rsidP="00D03A64">
            <w:pPr>
              <w:spacing w:after="120"/>
              <w:jc w:val="right"/>
              <w:rPr>
                <w:lang w:val="en-GB" w:bidi="ar-EG"/>
              </w:rPr>
            </w:pPr>
            <w:bookmarkStart w:id="0" w:name="ditulogo"/>
            <w:bookmarkEnd w:id="0"/>
            <w:r>
              <w:rPr>
                <w:noProof/>
                <w:lang w:val="fr-FR" w:eastAsia="fr-FR"/>
              </w:rPr>
              <w:drawing>
                <wp:inline distT="0" distB="0" distL="0" distR="0" wp14:anchorId="5C6FAAE3" wp14:editId="42FB9E6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8903CFA" w14:textId="77777777" w:rsidTr="00F77022">
        <w:trPr>
          <w:cantSplit/>
          <w:jc w:val="center"/>
        </w:trPr>
        <w:tc>
          <w:tcPr>
            <w:tcW w:w="6548" w:type="dxa"/>
            <w:tcBorders>
              <w:top w:val="single" w:sz="12" w:space="0" w:color="auto"/>
            </w:tcBorders>
          </w:tcPr>
          <w:p w14:paraId="42A2A16F" w14:textId="77777777" w:rsidR="00CA08BA" w:rsidRPr="00783A69" w:rsidRDefault="00CA08BA" w:rsidP="00D03A64">
            <w:pPr>
              <w:spacing w:before="20" w:after="20" w:line="300" w:lineRule="exact"/>
              <w:rPr>
                <w:b/>
                <w:bCs/>
                <w:rtl/>
                <w:lang w:bidi="ar-EG"/>
              </w:rPr>
            </w:pPr>
          </w:p>
        </w:tc>
        <w:tc>
          <w:tcPr>
            <w:tcW w:w="3091" w:type="dxa"/>
            <w:gridSpan w:val="2"/>
            <w:tcBorders>
              <w:top w:val="single" w:sz="12" w:space="0" w:color="auto"/>
            </w:tcBorders>
          </w:tcPr>
          <w:p w14:paraId="7418054C" w14:textId="77777777" w:rsidR="00CA08BA" w:rsidRPr="00C85CB5" w:rsidRDefault="00CA08BA" w:rsidP="00D03A64">
            <w:pPr>
              <w:spacing w:before="20" w:after="20" w:line="300" w:lineRule="exact"/>
              <w:rPr>
                <w:b/>
                <w:bCs/>
                <w:highlight w:val="yellow"/>
                <w:rtl/>
                <w:lang w:bidi="ar-EG"/>
              </w:rPr>
            </w:pPr>
          </w:p>
        </w:tc>
      </w:tr>
      <w:tr w:rsidR="00783A69" w:rsidRPr="00783A69" w14:paraId="692EE9C3" w14:textId="77777777" w:rsidTr="00F77022">
        <w:trPr>
          <w:cantSplit/>
          <w:jc w:val="center"/>
        </w:trPr>
        <w:tc>
          <w:tcPr>
            <w:tcW w:w="6548" w:type="dxa"/>
          </w:tcPr>
          <w:p w14:paraId="30803324" w14:textId="77777777" w:rsidR="00783A69" w:rsidRPr="00783A69" w:rsidRDefault="00783A69" w:rsidP="00D03A64">
            <w:pPr>
              <w:spacing w:before="20" w:after="20" w:line="300" w:lineRule="exact"/>
              <w:rPr>
                <w:b/>
                <w:bCs/>
                <w:rtl/>
                <w:lang w:bidi="ar-EG"/>
              </w:rPr>
            </w:pPr>
          </w:p>
        </w:tc>
        <w:tc>
          <w:tcPr>
            <w:tcW w:w="3091" w:type="dxa"/>
            <w:gridSpan w:val="2"/>
          </w:tcPr>
          <w:p w14:paraId="4136AA45" w14:textId="5BDDF3D7" w:rsidR="00783A69" w:rsidRPr="00153471" w:rsidRDefault="00D03A64" w:rsidP="00D03A64">
            <w:pPr>
              <w:spacing w:before="20" w:after="20" w:line="300" w:lineRule="exact"/>
              <w:rPr>
                <w:b/>
                <w:bCs/>
                <w:lang w:bidi="ar-SY"/>
              </w:rPr>
            </w:pPr>
            <w:r w:rsidRPr="00D03A64">
              <w:rPr>
                <w:b/>
                <w:bCs/>
                <w:rtl/>
                <w:lang w:bidi="ar-EG"/>
              </w:rPr>
              <w:t xml:space="preserve">الوثيقة </w:t>
            </w:r>
            <w:r w:rsidRPr="00D03A64">
              <w:rPr>
                <w:b/>
                <w:bCs/>
                <w:lang w:bidi="ar-EG"/>
              </w:rPr>
              <w:t>RPM-ARB25/7-A</w:t>
            </w:r>
          </w:p>
        </w:tc>
      </w:tr>
      <w:tr w:rsidR="00783A69" w:rsidRPr="00783A69" w14:paraId="14B70166" w14:textId="77777777" w:rsidTr="00F77022">
        <w:trPr>
          <w:cantSplit/>
          <w:jc w:val="center"/>
        </w:trPr>
        <w:tc>
          <w:tcPr>
            <w:tcW w:w="6548" w:type="dxa"/>
          </w:tcPr>
          <w:p w14:paraId="47CACFBB" w14:textId="77777777" w:rsidR="00783A69" w:rsidRPr="00783A69" w:rsidRDefault="00783A69" w:rsidP="00D03A64">
            <w:pPr>
              <w:spacing w:before="20" w:after="20" w:line="300" w:lineRule="exact"/>
              <w:rPr>
                <w:b/>
                <w:bCs/>
                <w:lang w:bidi="ar-EG"/>
              </w:rPr>
            </w:pPr>
          </w:p>
        </w:tc>
        <w:tc>
          <w:tcPr>
            <w:tcW w:w="3091" w:type="dxa"/>
            <w:gridSpan w:val="2"/>
          </w:tcPr>
          <w:p w14:paraId="4A90165E" w14:textId="52564ACC" w:rsidR="00783A69" w:rsidRPr="00C85CB5" w:rsidRDefault="00D03A64" w:rsidP="00D03A64">
            <w:pPr>
              <w:spacing w:before="20" w:after="20" w:line="300" w:lineRule="exact"/>
              <w:rPr>
                <w:b/>
                <w:bCs/>
                <w:highlight w:val="yellow"/>
                <w:rtl/>
                <w:lang w:bidi="ar-SY"/>
              </w:rPr>
            </w:pPr>
            <w:r w:rsidRPr="00D03A64">
              <w:rPr>
                <w:b/>
                <w:bCs/>
                <w:lang w:bidi="ar-EG"/>
              </w:rPr>
              <w:t>13</w:t>
            </w:r>
            <w:r w:rsidRPr="00D03A64">
              <w:rPr>
                <w:b/>
                <w:bCs/>
                <w:rtl/>
                <w:lang w:bidi="ar-EG"/>
              </w:rPr>
              <w:t xml:space="preserve"> ديسمبر </w:t>
            </w:r>
            <w:r w:rsidRPr="00D03A64">
              <w:rPr>
                <w:b/>
                <w:bCs/>
                <w:lang w:bidi="ar-EG"/>
              </w:rPr>
              <w:t>2025</w:t>
            </w:r>
          </w:p>
        </w:tc>
      </w:tr>
      <w:tr w:rsidR="00783A69" w:rsidRPr="00783A69" w14:paraId="0169AE10" w14:textId="77777777" w:rsidTr="00F77022">
        <w:trPr>
          <w:cantSplit/>
          <w:jc w:val="center"/>
        </w:trPr>
        <w:tc>
          <w:tcPr>
            <w:tcW w:w="6548" w:type="dxa"/>
          </w:tcPr>
          <w:p w14:paraId="4BBD5316" w14:textId="77777777" w:rsidR="00783A69" w:rsidRPr="00783A69" w:rsidRDefault="00783A69" w:rsidP="00D03A64">
            <w:pPr>
              <w:spacing w:before="20" w:after="20" w:line="300" w:lineRule="exact"/>
              <w:rPr>
                <w:b/>
                <w:bCs/>
                <w:lang w:bidi="ar-EG"/>
              </w:rPr>
            </w:pPr>
          </w:p>
        </w:tc>
        <w:tc>
          <w:tcPr>
            <w:tcW w:w="3091" w:type="dxa"/>
            <w:gridSpan w:val="2"/>
          </w:tcPr>
          <w:p w14:paraId="39295333" w14:textId="77777777" w:rsidR="00783A69" w:rsidRPr="00153471" w:rsidRDefault="00783A69" w:rsidP="00D03A64">
            <w:pPr>
              <w:spacing w:before="20" w:after="20" w:line="300" w:lineRule="exact"/>
              <w:rPr>
                <w:b/>
                <w:bCs/>
                <w:rtl/>
                <w:lang w:bidi="ar-EG"/>
              </w:rPr>
            </w:pPr>
            <w:r w:rsidRPr="00153471">
              <w:rPr>
                <w:rFonts w:hint="cs"/>
                <w:b/>
                <w:bCs/>
                <w:rtl/>
                <w:lang w:bidi="ar-EG"/>
              </w:rPr>
              <w:t>الأصل: بالإنكليزية</w:t>
            </w:r>
          </w:p>
        </w:tc>
      </w:tr>
      <w:tr w:rsidR="00783A69" w:rsidRPr="00783A69" w14:paraId="1FE7C500" w14:textId="77777777" w:rsidTr="00EE5CF2">
        <w:trPr>
          <w:cantSplit/>
          <w:jc w:val="center"/>
        </w:trPr>
        <w:tc>
          <w:tcPr>
            <w:tcW w:w="9639" w:type="dxa"/>
            <w:gridSpan w:val="3"/>
          </w:tcPr>
          <w:p w14:paraId="4E4749D1" w14:textId="6710FD11" w:rsidR="00783A69" w:rsidRPr="00783A69" w:rsidRDefault="00D03A64" w:rsidP="00D03A64">
            <w:pPr>
              <w:pStyle w:val="Source"/>
              <w:rPr>
                <w:rtl/>
                <w:lang w:bidi="ar-EG"/>
              </w:rPr>
            </w:pPr>
            <w:r w:rsidRPr="00D03A64">
              <w:rPr>
                <w:sz w:val="28"/>
                <w:szCs w:val="28"/>
                <w:rtl/>
                <w:lang w:bidi="ar-EG"/>
              </w:rPr>
              <w:t>رئيس فريق العمل التابع للفريق الاستشاري لتنمية الاتصالات والمعني بالإعلان</w:t>
            </w:r>
          </w:p>
        </w:tc>
      </w:tr>
      <w:tr w:rsidR="00783A69" w:rsidRPr="00783A69" w14:paraId="76768574" w14:textId="77777777" w:rsidTr="00EE5CF2">
        <w:trPr>
          <w:cantSplit/>
          <w:jc w:val="center"/>
        </w:trPr>
        <w:tc>
          <w:tcPr>
            <w:tcW w:w="9639" w:type="dxa"/>
            <w:gridSpan w:val="3"/>
          </w:tcPr>
          <w:p w14:paraId="197D496C" w14:textId="4A25F2A0" w:rsidR="00783A69" w:rsidRPr="00783A69" w:rsidRDefault="00D03A64" w:rsidP="00D03A64">
            <w:pPr>
              <w:pStyle w:val="Title1"/>
              <w:rPr>
                <w:lang w:bidi="ar-EG"/>
              </w:rPr>
            </w:pPr>
            <w:r w:rsidRPr="00D03A64">
              <w:rPr>
                <w:rtl/>
                <w:lang w:bidi="ar-EG"/>
              </w:rPr>
              <w:t>تقرير عن التقدم الذي أحرزه فريق العمل التابع للفريق الاستشاري لتنمية الاتصالات والمعني بالإعلان</w:t>
            </w:r>
          </w:p>
        </w:tc>
      </w:tr>
    </w:tbl>
    <w:p w14:paraId="3BEAAF72" w14:textId="77777777" w:rsidR="00EE5CF2" w:rsidRDefault="00EE5CF2" w:rsidP="00D03A64">
      <w:pPr>
        <w:rPr>
          <w:lang w:bidi="ar-EG"/>
        </w:rPr>
      </w:pPr>
    </w:p>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BFFD3EC" w14:textId="77777777" w:rsidTr="000F7FE5">
        <w:trPr>
          <w:cantSplit/>
          <w:jc w:val="center"/>
        </w:trPr>
        <w:tc>
          <w:tcPr>
            <w:tcW w:w="9638" w:type="dxa"/>
            <w:tcBorders>
              <w:top w:val="single" w:sz="6" w:space="0" w:color="auto"/>
              <w:left w:val="single" w:sz="6" w:space="0" w:color="auto"/>
              <w:bottom w:val="single" w:sz="6" w:space="0" w:color="auto"/>
              <w:right w:val="single" w:sz="6" w:space="0" w:color="auto"/>
            </w:tcBorders>
          </w:tcPr>
          <w:p w14:paraId="35598F71" w14:textId="77777777" w:rsidR="000F7FE5" w:rsidRPr="000F7FE5" w:rsidRDefault="000F7FE5" w:rsidP="00D03A64">
            <w:pPr>
              <w:rPr>
                <w:b/>
                <w:bCs/>
                <w:rtl/>
                <w:lang w:bidi="ar-SY"/>
              </w:rPr>
            </w:pPr>
            <w:r w:rsidRPr="000F7FE5">
              <w:rPr>
                <w:rFonts w:hint="cs"/>
                <w:b/>
                <w:bCs/>
                <w:rtl/>
                <w:lang w:bidi="ar-SY"/>
              </w:rPr>
              <w:t>بند جدول الأعمال:</w:t>
            </w:r>
          </w:p>
          <w:p w14:paraId="47E0B286" w14:textId="1C172890" w:rsidR="000F7FE5" w:rsidRPr="00D03A64" w:rsidRDefault="00D03A64" w:rsidP="00D03A64">
            <w:pPr>
              <w:rPr>
                <w:lang w:bidi="ar-EG"/>
              </w:rPr>
            </w:pPr>
            <w:r w:rsidRPr="00D03A64">
              <w:rPr>
                <w:rtl/>
                <w:lang w:bidi="ar-EG"/>
              </w:rPr>
              <w:t xml:space="preserve">البند </w:t>
            </w:r>
            <w:r w:rsidRPr="00D03A64">
              <w:rPr>
                <w:lang w:bidi="ar-EG"/>
              </w:rPr>
              <w:t>3.7</w:t>
            </w:r>
          </w:p>
          <w:p w14:paraId="122D9BAB" w14:textId="77777777" w:rsidR="00783A69" w:rsidRPr="000F7FE5" w:rsidRDefault="00783A69" w:rsidP="00D03A64">
            <w:pPr>
              <w:rPr>
                <w:b/>
                <w:bCs/>
                <w:rtl/>
                <w:lang w:bidi="ar-EG"/>
              </w:rPr>
            </w:pPr>
            <w:r w:rsidRPr="000F7FE5">
              <w:rPr>
                <w:rFonts w:hint="cs"/>
                <w:b/>
                <w:bCs/>
                <w:rtl/>
                <w:lang w:bidi="ar-SY"/>
              </w:rPr>
              <w:t>ملخص</w:t>
            </w:r>
            <w:r w:rsidR="005874F2" w:rsidRPr="000F7FE5">
              <w:rPr>
                <w:rFonts w:hint="cs"/>
                <w:b/>
                <w:bCs/>
                <w:rtl/>
                <w:lang w:bidi="ar-SY"/>
              </w:rPr>
              <w:t>:</w:t>
            </w:r>
          </w:p>
          <w:p w14:paraId="7AB9B28E" w14:textId="351BFE6C" w:rsidR="00783A69" w:rsidRPr="000F7FE5" w:rsidRDefault="00D03A64" w:rsidP="00D03A64">
            <w:pPr>
              <w:rPr>
                <w:rtl/>
                <w:lang w:bidi="ar-SY"/>
              </w:rPr>
            </w:pPr>
            <w:r w:rsidRPr="00D03A64">
              <w:rPr>
                <w:rtl/>
                <w:lang w:bidi="ar-EG"/>
              </w:rPr>
              <w:t>تتضمن الوثيقة ملخصاً للمناقشات ومعلومات محدثة عن التقدم الذي أحرزه الفريق.</w:t>
            </w:r>
          </w:p>
          <w:p w14:paraId="4103DDB5" w14:textId="0FC2FD09" w:rsidR="00783A69" w:rsidRPr="000F7FE5" w:rsidRDefault="00D03A64" w:rsidP="00D03A64">
            <w:pPr>
              <w:rPr>
                <w:b/>
                <w:bCs/>
                <w:rtl/>
                <w:lang w:bidi="ar-SY"/>
              </w:rPr>
            </w:pPr>
            <w:r w:rsidRPr="00D03A64">
              <w:rPr>
                <w:b/>
                <w:bCs/>
                <w:rtl/>
                <w:lang w:bidi="ar-SY"/>
              </w:rPr>
              <w:t>الإجراء المطلوب:</w:t>
            </w:r>
          </w:p>
          <w:p w14:paraId="4C5D46CA" w14:textId="0C0A5B88" w:rsidR="00783A69" w:rsidRPr="000F7FE5" w:rsidRDefault="00D03A64" w:rsidP="00D03A64">
            <w:pPr>
              <w:rPr>
                <w:rtl/>
                <w:lang w:bidi="ar-EG"/>
              </w:rPr>
            </w:pPr>
            <w:r w:rsidRPr="00D03A64">
              <w:rPr>
                <w:rtl/>
                <w:lang w:bidi="ar-EG"/>
              </w:rPr>
              <w:t>للعلم.</w:t>
            </w:r>
          </w:p>
          <w:p w14:paraId="31718BA6" w14:textId="77777777" w:rsidR="00783A69" w:rsidRPr="000F7FE5" w:rsidRDefault="00783A69" w:rsidP="00D03A64">
            <w:pPr>
              <w:rPr>
                <w:b/>
                <w:bCs/>
                <w:rtl/>
                <w:lang w:bidi="ar-EG"/>
              </w:rPr>
            </w:pPr>
            <w:r w:rsidRPr="000F7FE5">
              <w:rPr>
                <w:rFonts w:hint="cs"/>
                <w:b/>
                <w:bCs/>
                <w:rtl/>
                <w:lang w:bidi="ar-SY"/>
              </w:rPr>
              <w:t>المراجع</w:t>
            </w:r>
            <w:r w:rsidR="005874F2" w:rsidRPr="000F7FE5">
              <w:rPr>
                <w:rFonts w:hint="cs"/>
                <w:b/>
                <w:bCs/>
                <w:rtl/>
                <w:lang w:bidi="ar-SY"/>
              </w:rPr>
              <w:t>:</w:t>
            </w:r>
          </w:p>
          <w:p w14:paraId="56583297" w14:textId="3E335CE6" w:rsidR="00D03A64" w:rsidRDefault="00D03A64" w:rsidP="00F22F8C">
            <w:pPr>
              <w:pStyle w:val="enumlev1"/>
            </w:pPr>
            <w:r>
              <w:rPr>
                <w:rFonts w:hint="cs"/>
                <w:rtl/>
              </w:rPr>
              <w:t>-</w:t>
            </w:r>
            <w:r>
              <w:rPr>
                <w:rtl/>
              </w:rPr>
              <w:tab/>
              <w:t xml:space="preserve">اختصاصات الفريق </w:t>
            </w:r>
            <w:r>
              <w:t>TDAG-WG-DEC (</w:t>
            </w:r>
            <w:hyperlink r:id="rId9" w:history="1">
              <w:r w:rsidRPr="003F237C">
                <w:rPr>
                  <w:rStyle w:val="Hyperlink"/>
                </w:rPr>
                <w:t>TDAG-24/DT/4</w:t>
              </w:r>
            </w:hyperlink>
            <w:r>
              <w:t>)</w:t>
            </w:r>
          </w:p>
          <w:p w14:paraId="1099B615" w14:textId="31983FE7" w:rsidR="00D03A64" w:rsidRDefault="00D03A64" w:rsidP="00F22F8C">
            <w:pPr>
              <w:pStyle w:val="enumlev1"/>
              <w:rPr>
                <w:rtl/>
                <w:lang w:bidi="ar-EG"/>
              </w:rPr>
            </w:pPr>
            <w:r>
              <w:rPr>
                <w:rFonts w:hint="cs"/>
                <w:rtl/>
              </w:rPr>
              <w:t>-</w:t>
            </w:r>
            <w:r>
              <w:rPr>
                <w:rtl/>
              </w:rPr>
              <w:tab/>
              <w:t>تقرير الاجتماع الأول لفريق العمل التابع للفريق الاستشاري لتنمية الاتصالات والمعني بالإعلان (</w:t>
            </w:r>
            <w:hyperlink r:id="rId10" w:history="1">
              <w:r w:rsidR="003F237C" w:rsidRPr="00BC09E6">
                <w:rPr>
                  <w:rStyle w:val="Hyperlink"/>
                </w:rPr>
                <w:t>TDAG-WG-DEC/2</w:t>
              </w:r>
            </w:hyperlink>
            <w:r>
              <w:rPr>
                <w:rtl/>
              </w:rPr>
              <w:t>)</w:t>
            </w:r>
          </w:p>
          <w:p w14:paraId="73EAF454" w14:textId="698784EF" w:rsidR="00D03A64" w:rsidRDefault="00D03A64" w:rsidP="00F22F8C">
            <w:pPr>
              <w:pStyle w:val="enumlev1"/>
              <w:rPr>
                <w:rtl/>
                <w:lang w:bidi="ar-EG"/>
              </w:rPr>
            </w:pPr>
            <w:r>
              <w:rPr>
                <w:rFonts w:hint="cs"/>
                <w:rtl/>
              </w:rPr>
              <w:t>-</w:t>
            </w:r>
            <w:r>
              <w:rPr>
                <w:rtl/>
              </w:rPr>
              <w:tab/>
              <w:t>تقرير الاجتماع الثاني لفريق العمل التابع للفريق الاستشاري لتنمية الاتصالات والمعني بالإعلان (</w:t>
            </w:r>
            <w:hyperlink r:id="rId11" w:history="1">
              <w:r w:rsidR="003F237C" w:rsidRPr="00BC09E6">
                <w:rPr>
                  <w:rStyle w:val="Hyperlink"/>
                </w:rPr>
                <w:t>TDAG-WG-DEC/6</w:t>
              </w:r>
            </w:hyperlink>
            <w:r>
              <w:rPr>
                <w:rtl/>
              </w:rPr>
              <w:t>)</w:t>
            </w:r>
          </w:p>
          <w:p w14:paraId="17AC3D45" w14:textId="146789BB" w:rsidR="00D03A64" w:rsidRDefault="00D03A64" w:rsidP="00F22F8C">
            <w:pPr>
              <w:pStyle w:val="enumlev1"/>
              <w:rPr>
                <w:rtl/>
                <w:lang w:bidi="ar-EG"/>
              </w:rPr>
            </w:pPr>
            <w:r>
              <w:rPr>
                <w:rFonts w:hint="cs"/>
                <w:rtl/>
              </w:rPr>
              <w:t>-</w:t>
            </w:r>
            <w:r>
              <w:rPr>
                <w:rtl/>
              </w:rPr>
              <w:tab/>
              <w:t xml:space="preserve">مخطط منقح مشفوع بتعقيبات لإعلان باكو لعام </w:t>
            </w:r>
            <w:r>
              <w:t>2025</w:t>
            </w:r>
            <w:r>
              <w:rPr>
                <w:rtl/>
              </w:rPr>
              <w:t xml:space="preserve"> (</w:t>
            </w:r>
            <w:hyperlink r:id="rId12" w:history="1">
              <w:r w:rsidR="003F237C" w:rsidRPr="00BC09E6">
                <w:rPr>
                  <w:rStyle w:val="Hyperlink"/>
                </w:rPr>
                <w:t>TDAG-WG-DEC/7</w:t>
              </w:r>
            </w:hyperlink>
            <w:r>
              <w:rPr>
                <w:rtl/>
              </w:rPr>
              <w:t>)</w:t>
            </w:r>
          </w:p>
          <w:p w14:paraId="45B73232" w14:textId="426DB17F" w:rsidR="00D03A64" w:rsidRDefault="00D03A64" w:rsidP="00F22F8C">
            <w:pPr>
              <w:pStyle w:val="enumlev1"/>
              <w:rPr>
                <w:rtl/>
              </w:rPr>
            </w:pPr>
            <w:r>
              <w:rPr>
                <w:rFonts w:hint="cs"/>
                <w:rtl/>
              </w:rPr>
              <w:t>-</w:t>
            </w:r>
            <w:r>
              <w:rPr>
                <w:rtl/>
              </w:rPr>
              <w:tab/>
              <w:t xml:space="preserve">تقابل المواضيع الواردة في إعلان كيغالي والمواضيع الجديدة والناشئة (الوثيقة </w:t>
            </w:r>
            <w:hyperlink r:id="rId13" w:history="1">
              <w:r w:rsidR="003F237C" w:rsidRPr="00BC09E6">
                <w:rPr>
                  <w:rStyle w:val="Hyperlink"/>
                  <w:szCs w:val="24"/>
                </w:rPr>
                <w:t>TDAG-WG-DEC/INF/</w:t>
              </w:r>
            </w:hyperlink>
            <w:r w:rsidR="003F237C" w:rsidRPr="00BC09E6">
              <w:rPr>
                <w:rStyle w:val="Hyperlink"/>
                <w:szCs w:val="24"/>
              </w:rPr>
              <w:t>1</w:t>
            </w:r>
            <w:r>
              <w:rPr>
                <w:rtl/>
              </w:rPr>
              <w:t>)</w:t>
            </w:r>
          </w:p>
          <w:p w14:paraId="6C073818" w14:textId="4C25E9A7" w:rsidR="00783A69" w:rsidRPr="00D03A64" w:rsidRDefault="00D03A64" w:rsidP="00421521">
            <w:pPr>
              <w:pStyle w:val="enumlev1"/>
              <w:spacing w:after="120"/>
              <w:rPr>
                <w:highlight w:val="yellow"/>
              </w:rPr>
            </w:pPr>
            <w:r>
              <w:rPr>
                <w:rFonts w:hint="cs"/>
                <w:rtl/>
              </w:rPr>
              <w:t>-</w:t>
            </w:r>
            <w:r>
              <w:rPr>
                <w:rtl/>
              </w:rPr>
              <w:tab/>
            </w:r>
            <w:hyperlink r:id="rId14" w:history="1">
              <w:r w:rsidRPr="003F237C">
                <w:rPr>
                  <w:rStyle w:val="Hyperlink"/>
                  <w:rtl/>
                </w:rPr>
                <w:t xml:space="preserve">الموقع الإلكتروني لفريق العمل </w:t>
              </w:r>
              <w:r w:rsidRPr="003F237C">
                <w:rPr>
                  <w:rStyle w:val="Hyperlink"/>
                </w:rPr>
                <w:t>TDAG-WG-DEC</w:t>
              </w:r>
            </w:hyperlink>
          </w:p>
        </w:tc>
      </w:tr>
    </w:tbl>
    <w:p w14:paraId="3E48DE8F" w14:textId="77777777" w:rsidR="00882A17" w:rsidRDefault="00882A17" w:rsidP="00D03A64">
      <w:pPr>
        <w:tabs>
          <w:tab w:val="clear" w:pos="794"/>
        </w:tabs>
        <w:spacing w:before="0" w:after="160" w:line="259" w:lineRule="auto"/>
        <w:jc w:val="left"/>
        <w:rPr>
          <w:lang w:bidi="ar-EG"/>
        </w:rPr>
      </w:pPr>
      <w:r>
        <w:rPr>
          <w:rtl/>
          <w:lang w:bidi="ar-EG"/>
        </w:rPr>
        <w:br w:type="page"/>
      </w:r>
    </w:p>
    <w:p w14:paraId="10815110" w14:textId="29B811F3" w:rsidR="00D03A64" w:rsidRPr="00F22F8C" w:rsidRDefault="00D03A64" w:rsidP="003F237C">
      <w:pPr>
        <w:pStyle w:val="Heading1"/>
        <w:rPr>
          <w:rtl/>
          <w:lang w:bidi="ar-EG"/>
        </w:rPr>
      </w:pPr>
      <w:r w:rsidRPr="00F22F8C">
        <w:rPr>
          <w:lang w:bidi="ar-EG"/>
        </w:rPr>
        <w:lastRenderedPageBreak/>
        <w:t>1</w:t>
      </w:r>
      <w:r w:rsidRPr="00F22F8C">
        <w:rPr>
          <w:rtl/>
          <w:lang w:bidi="ar-EG"/>
        </w:rPr>
        <w:tab/>
        <w:t>مقدّمة</w:t>
      </w:r>
    </w:p>
    <w:p w14:paraId="4C0F94AD" w14:textId="36E89DFF" w:rsidR="00D03A64" w:rsidRDefault="00D03A64" w:rsidP="003F237C">
      <w:pPr>
        <w:rPr>
          <w:rtl/>
          <w:lang w:bidi="ar-EG"/>
        </w:rPr>
      </w:pPr>
      <w:r>
        <w:rPr>
          <w:rtl/>
          <w:lang w:bidi="ar-EG"/>
        </w:rPr>
        <w:t xml:space="preserve">كُلّف الفريق </w:t>
      </w:r>
      <w:r>
        <w:rPr>
          <w:lang w:bidi="ar-EG"/>
        </w:rPr>
        <w:t>TDAG-WG-DEC</w:t>
      </w:r>
      <w:r>
        <w:rPr>
          <w:rtl/>
          <w:lang w:bidi="ar-EG"/>
        </w:rPr>
        <w:t xml:space="preserve"> بمهمة "اقتراح عناصر وتقديم توصيات إلى أعضاء الاتحاد بشأن مشروع الإعلان المقبل" للمؤتمر العالمي لتنمية الاتصالات لعام </w:t>
      </w:r>
      <w:r>
        <w:rPr>
          <w:lang w:bidi="ar-EG"/>
        </w:rPr>
        <w:t>2025</w:t>
      </w:r>
      <w:r>
        <w:rPr>
          <w:rtl/>
          <w:lang w:bidi="ar-EG"/>
        </w:rPr>
        <w:t xml:space="preserve"> (</w:t>
      </w:r>
      <w:r>
        <w:rPr>
          <w:lang w:bidi="ar-EG"/>
        </w:rPr>
        <w:t>WTDC-25</w:t>
      </w:r>
      <w:r>
        <w:rPr>
          <w:rtl/>
          <w:lang w:bidi="ar-EG"/>
        </w:rPr>
        <w:t xml:space="preserve">) (اختصاصات الفريق </w:t>
      </w:r>
      <w:hyperlink r:id="rId15" w:history="1">
        <w:r w:rsidR="00C14B86" w:rsidRPr="002F48C5">
          <w:rPr>
            <w:rStyle w:val="Hyperlink"/>
            <w:b/>
            <w:bCs/>
          </w:rPr>
          <w:t>TDAG-24/DT/4</w:t>
        </w:r>
      </w:hyperlink>
      <w:r>
        <w:rPr>
          <w:rtl/>
          <w:lang w:bidi="ar-EG"/>
        </w:rPr>
        <w:t xml:space="preserve">). وستكون نواتج الفريق </w:t>
      </w:r>
      <w:r>
        <w:rPr>
          <w:lang w:bidi="ar-EG"/>
        </w:rPr>
        <w:t>TDAG</w:t>
      </w:r>
      <w:r w:rsidR="008D7737">
        <w:rPr>
          <w:lang w:bidi="ar-EG"/>
        </w:rPr>
        <w:noBreakHyphen/>
      </w:r>
      <w:r>
        <w:rPr>
          <w:lang w:bidi="ar-EG"/>
        </w:rPr>
        <w:t>WG</w:t>
      </w:r>
      <w:r w:rsidR="008D7737">
        <w:rPr>
          <w:lang w:bidi="ar-EG"/>
        </w:rPr>
        <w:noBreakHyphen/>
      </w:r>
      <w:r>
        <w:rPr>
          <w:lang w:bidi="ar-EG"/>
        </w:rPr>
        <w:t>DEC</w:t>
      </w:r>
      <w:r>
        <w:rPr>
          <w:rtl/>
          <w:lang w:bidi="ar-EG"/>
        </w:rPr>
        <w:t xml:space="preserve"> بمثابة مدخلات للأعضاء للنظر فيها أثناء عملهم بشأن إعلان المؤتمر </w:t>
      </w:r>
      <w:r>
        <w:rPr>
          <w:lang w:bidi="ar-EG"/>
        </w:rPr>
        <w:t>WTDC-25</w:t>
      </w:r>
      <w:r>
        <w:rPr>
          <w:rtl/>
          <w:lang w:bidi="ar-EG"/>
        </w:rPr>
        <w:t xml:space="preserve"> في الفترة التي تسبق المؤتمر وأثناء انعقاده. </w:t>
      </w:r>
    </w:p>
    <w:p w14:paraId="0CC77DBA" w14:textId="73307D97" w:rsidR="00D03A64" w:rsidRDefault="00D03A64" w:rsidP="003F237C">
      <w:pPr>
        <w:rPr>
          <w:rtl/>
          <w:lang w:bidi="ar-EG"/>
        </w:rPr>
      </w:pPr>
      <w:r>
        <w:rPr>
          <w:rtl/>
          <w:lang w:bidi="ar-EG"/>
        </w:rPr>
        <w:t xml:space="preserve">وتم تعيين الدكتور عبد الكريم </w:t>
      </w:r>
      <w:proofErr w:type="spellStart"/>
      <w:r>
        <w:rPr>
          <w:rtl/>
          <w:lang w:bidi="ar-EG"/>
        </w:rPr>
        <w:t>أولويدي</w:t>
      </w:r>
      <w:proofErr w:type="spellEnd"/>
      <w:r>
        <w:rPr>
          <w:rtl/>
          <w:lang w:bidi="ar-EG"/>
        </w:rPr>
        <w:t xml:space="preserve"> من نيجيريا رئيساً للفريق، والسيد أحمد عبد العزيز من مصر</w:t>
      </w:r>
      <w:r w:rsidR="00E21BB1">
        <w:rPr>
          <w:rFonts w:hint="cs"/>
          <w:rtl/>
          <w:lang w:bidi="ar-EG"/>
        </w:rPr>
        <w:t>،</w:t>
      </w:r>
      <w:r>
        <w:rPr>
          <w:rtl/>
          <w:lang w:bidi="ar-EG"/>
        </w:rPr>
        <w:t xml:space="preserve"> والسيدة كي وانغ من الصين نائبين للرئيس.</w:t>
      </w:r>
    </w:p>
    <w:p w14:paraId="5C2F09FB" w14:textId="1C9B27CC" w:rsidR="00D03A64" w:rsidRDefault="00D03A64" w:rsidP="003F237C">
      <w:pPr>
        <w:rPr>
          <w:rtl/>
          <w:lang w:bidi="ar-EG"/>
        </w:rPr>
      </w:pPr>
      <w:r>
        <w:rPr>
          <w:rtl/>
          <w:lang w:bidi="ar-EG"/>
        </w:rPr>
        <w:t xml:space="preserve">وعقد الفريق </w:t>
      </w:r>
      <w:r>
        <w:rPr>
          <w:lang w:bidi="ar-EG"/>
        </w:rPr>
        <w:t>TDAG-WG-DEC</w:t>
      </w:r>
      <w:r>
        <w:rPr>
          <w:rtl/>
          <w:lang w:bidi="ar-EG"/>
        </w:rPr>
        <w:t xml:space="preserve"> اجتماعه الأول في </w:t>
      </w:r>
      <w:r>
        <w:rPr>
          <w:lang w:bidi="ar-EG"/>
        </w:rPr>
        <w:t>6</w:t>
      </w:r>
      <w:r>
        <w:rPr>
          <w:rtl/>
          <w:lang w:bidi="ar-EG"/>
        </w:rPr>
        <w:t xml:space="preserve"> سبتمبر </w:t>
      </w:r>
      <w:r>
        <w:rPr>
          <w:lang w:bidi="ar-EG"/>
        </w:rPr>
        <w:t>2024</w:t>
      </w:r>
      <w:r>
        <w:rPr>
          <w:rtl/>
          <w:lang w:bidi="ar-EG"/>
        </w:rPr>
        <w:t xml:space="preserve"> واجتماعاً ثانياً في </w:t>
      </w:r>
      <w:r>
        <w:rPr>
          <w:lang w:bidi="ar-EG"/>
        </w:rPr>
        <w:t>2</w:t>
      </w:r>
      <w:r>
        <w:rPr>
          <w:rtl/>
          <w:lang w:bidi="ar-EG"/>
        </w:rPr>
        <w:t xml:space="preserve"> ديسمبر </w:t>
      </w:r>
      <w:r>
        <w:rPr>
          <w:lang w:bidi="ar-EG"/>
        </w:rPr>
        <w:t>2024</w:t>
      </w:r>
      <w:r>
        <w:rPr>
          <w:rtl/>
          <w:lang w:bidi="ar-EG"/>
        </w:rPr>
        <w:t xml:space="preserve">. ويمكن الاطلاع على تقريري الاجتماعين في </w:t>
      </w:r>
      <w:hyperlink r:id="rId16" w:history="1">
        <w:r w:rsidRPr="00C14B86">
          <w:rPr>
            <w:rStyle w:val="Hyperlink"/>
            <w:rtl/>
            <w:lang w:bidi="ar-EG"/>
          </w:rPr>
          <w:t xml:space="preserve">الموقع الإلكتروني للفريق </w:t>
        </w:r>
        <w:r w:rsidRPr="00C14B86">
          <w:rPr>
            <w:rStyle w:val="Hyperlink"/>
            <w:lang w:bidi="ar-EG"/>
          </w:rPr>
          <w:t>TDAG-WG-DEC</w:t>
        </w:r>
      </w:hyperlink>
      <w:r>
        <w:rPr>
          <w:rtl/>
          <w:lang w:bidi="ar-EG"/>
        </w:rPr>
        <w:t>.</w:t>
      </w:r>
    </w:p>
    <w:p w14:paraId="139ED1FB" w14:textId="15021AFA" w:rsidR="00D03A64" w:rsidRPr="00F22F8C" w:rsidRDefault="00D03A64" w:rsidP="003F237C">
      <w:pPr>
        <w:pStyle w:val="Heading1"/>
        <w:rPr>
          <w:rtl/>
          <w:lang w:bidi="ar-EG"/>
        </w:rPr>
      </w:pPr>
      <w:r w:rsidRPr="00F22F8C">
        <w:rPr>
          <w:lang w:bidi="ar-EG"/>
        </w:rPr>
        <w:t>2</w:t>
      </w:r>
      <w:r w:rsidRPr="00F22F8C">
        <w:rPr>
          <w:rtl/>
          <w:lang w:bidi="ar-EG"/>
        </w:rPr>
        <w:tab/>
        <w:t xml:space="preserve">نهج مشروع إعلان المؤتمر </w:t>
      </w:r>
      <w:r w:rsidRPr="00F22F8C">
        <w:rPr>
          <w:lang w:bidi="ar-EG"/>
        </w:rPr>
        <w:t>WTDC-25</w:t>
      </w:r>
      <w:r w:rsidRPr="00F22F8C">
        <w:rPr>
          <w:rtl/>
          <w:lang w:bidi="ar-EG"/>
        </w:rPr>
        <w:t xml:space="preserve"> ومحور تركيزه</w:t>
      </w:r>
    </w:p>
    <w:p w14:paraId="4EEA3DF5" w14:textId="77777777" w:rsidR="00D03A64" w:rsidRDefault="00D03A64" w:rsidP="003F237C">
      <w:pPr>
        <w:rPr>
          <w:rtl/>
          <w:lang w:bidi="ar-EG"/>
        </w:rPr>
      </w:pPr>
      <w:r>
        <w:rPr>
          <w:rtl/>
          <w:lang w:bidi="ar-EG"/>
        </w:rPr>
        <w:t>فيما يتعلق بالمواضيع الرئيسية التي سيتناولها الإعلان، شدد الفريق على ضرورة التنسيق مع أفرقة العمل الأخرى التابعة للفريق الاستشاري لتنمية الاتصالات، ولا سيما الفريق المعني بأولويات قطاع تنمية الاتصالات (</w:t>
      </w:r>
      <w:r>
        <w:rPr>
          <w:lang w:bidi="ar-EG"/>
        </w:rPr>
        <w:t>TDAG-WG-ITUDP</w:t>
      </w:r>
      <w:r>
        <w:rPr>
          <w:rtl/>
          <w:lang w:bidi="ar-EG"/>
        </w:rPr>
        <w:t>).</w:t>
      </w:r>
    </w:p>
    <w:p w14:paraId="0B57CD8D" w14:textId="77777777" w:rsidR="00D03A64" w:rsidRDefault="00D03A64" w:rsidP="003F237C">
      <w:pPr>
        <w:rPr>
          <w:rtl/>
          <w:lang w:bidi="ar-EG"/>
        </w:rPr>
      </w:pPr>
      <w:r>
        <w:rPr>
          <w:rtl/>
          <w:lang w:bidi="ar-EG"/>
        </w:rPr>
        <w:t>ووافق الفريق، خلال اجتماعه الأول، على الاحتفاظ بهيكل مماثل لإعلان كيغالي على أن يكون موجزاً وبسيطاً وبلغة واضحة وقابلة للتنفيذ، وأن يتناول تحديات التنمية الرقمية العالمية والحلول المحتملة على السواء.</w:t>
      </w:r>
    </w:p>
    <w:p w14:paraId="42756321" w14:textId="184A9333" w:rsidR="00D03A64" w:rsidRDefault="00D03A64" w:rsidP="003F237C">
      <w:pPr>
        <w:rPr>
          <w:rtl/>
          <w:lang w:bidi="ar-EG"/>
        </w:rPr>
      </w:pPr>
      <w:r>
        <w:rPr>
          <w:rtl/>
          <w:lang w:bidi="ar-EG"/>
        </w:rPr>
        <w:t xml:space="preserve">واستناداً إلى المناقشات التي دارت خلال الاجتماع الأول للفريق </w:t>
      </w:r>
      <w:r>
        <w:rPr>
          <w:lang w:bidi="ar-EG"/>
        </w:rPr>
        <w:t>TDAG-WG-DEC</w:t>
      </w:r>
      <w:r>
        <w:rPr>
          <w:rtl/>
          <w:lang w:bidi="ar-EG"/>
        </w:rPr>
        <w:t xml:space="preserve"> والمشاورات غير الرسمية، قدم الرئيس اقتراحاً إلى الاجتماع الثاني بشأن عنوان الإعلان، "التوصيلية الشاملة والهادفة من أجل مستقبل رقمي منصف"، على النحو المبين في الوثيقة </w:t>
      </w:r>
      <w:hyperlink r:id="rId17" w:history="1">
        <w:r w:rsidRPr="00C14B86">
          <w:rPr>
            <w:rStyle w:val="Hyperlink"/>
            <w:lang w:bidi="ar-EG"/>
          </w:rPr>
          <w:t>TDAG-WG-DEC/4 (Rev.1)</w:t>
        </w:r>
      </w:hyperlink>
      <w:r>
        <w:rPr>
          <w:rtl/>
          <w:lang w:bidi="ar-EG"/>
        </w:rPr>
        <w:t xml:space="preserve">. وعقب المناقشة التي جرت خلال الاجتماع الثاني، وافق الفريق على تنقيح عنوان الإعلان ليصبح "توصيلية عالمية وهادفة وميسورة التكلفة من أجل مستقبل رقمي شامل ومستدام". وأعرب بعض ممثلي الدول الأعضاء عن تفضيلهم لعنوان أقصر، بينما أيد آخرون عنواناً أكثر شمولاً. </w:t>
      </w:r>
    </w:p>
    <w:p w14:paraId="2C68B8B7" w14:textId="6DB2CCA0" w:rsidR="00D03A64" w:rsidRDefault="00D03A64" w:rsidP="003F237C">
      <w:pPr>
        <w:rPr>
          <w:rtl/>
          <w:lang w:bidi="ar-EG"/>
        </w:rPr>
      </w:pPr>
      <w:r>
        <w:rPr>
          <w:rtl/>
          <w:lang w:bidi="ar-EG"/>
        </w:rPr>
        <w:t xml:space="preserve">وخلال الاجتماع الثاني للفريق، قدم رئيس الفريق </w:t>
      </w:r>
      <w:r>
        <w:rPr>
          <w:lang w:bidi="ar-EG"/>
        </w:rPr>
        <w:t>TDAG-WG-DEC</w:t>
      </w:r>
      <w:r>
        <w:rPr>
          <w:rtl/>
          <w:lang w:bidi="ar-EG"/>
        </w:rPr>
        <w:t xml:space="preserve"> أيضاً مشروع مخطط مشفوعاً بتعقيبات لإعلان باكو (الوثيقة </w:t>
      </w:r>
      <w:hyperlink r:id="rId18" w:history="1">
        <w:r w:rsidRPr="00C14B86">
          <w:rPr>
            <w:rStyle w:val="Hyperlink"/>
            <w:lang w:bidi="ar-EG"/>
          </w:rPr>
          <w:t>TDAG-WG-DEC/4 (Rev.1)</w:t>
        </w:r>
        <w:r w:rsidRPr="00C14B86">
          <w:rPr>
            <w:rStyle w:val="Hyperlink"/>
            <w:rtl/>
            <w:lang w:bidi="ar-EG"/>
          </w:rPr>
          <w:t>)</w:t>
        </w:r>
      </w:hyperlink>
      <w:r>
        <w:rPr>
          <w:rtl/>
          <w:lang w:bidi="ar-EG"/>
        </w:rPr>
        <w:t xml:space="preserve"> يتألف من أربعة أقسام رئيسية هي: المقدمة، و"نعلن"، و"نلتزم"، والدعوة إلى العمل، لإثارة المناقشة حول هيكل الإعلان ومواضيعه المحتملة. كما سلط الضوء على الأساس المنطقي وعملية التفكير التي تنطوي عليها الوثيقة، موضحاً أن مشروع المخطط يسترشد بالتقابل الأصلي بين المواضيع الواردة في إعلان كيغالي والمواضيع الجديدة والناشئة على النحو الوارد في الوثيقة </w:t>
      </w:r>
      <w:hyperlink r:id="rId19" w:history="1">
        <w:r w:rsidRPr="00C14B86">
          <w:rPr>
            <w:rStyle w:val="Hyperlink"/>
            <w:lang w:bidi="ar-EG"/>
          </w:rPr>
          <w:t>TDAG-WG-DEC/INF/1</w:t>
        </w:r>
      </w:hyperlink>
      <w:r>
        <w:rPr>
          <w:rtl/>
          <w:lang w:bidi="ar-EG"/>
        </w:rPr>
        <w:t>.</w:t>
      </w:r>
    </w:p>
    <w:p w14:paraId="48830225" w14:textId="77777777" w:rsidR="00D03A64" w:rsidRDefault="00D03A64" w:rsidP="003F237C">
      <w:pPr>
        <w:rPr>
          <w:rtl/>
          <w:lang w:bidi="ar-EG"/>
        </w:rPr>
      </w:pPr>
      <w:r>
        <w:rPr>
          <w:rtl/>
          <w:lang w:bidi="ar-EG"/>
        </w:rPr>
        <w:t xml:space="preserve">وبناء على التعليقات الواردة خلال الاجتماع الثاني للفريق </w:t>
      </w:r>
      <w:r>
        <w:rPr>
          <w:lang w:bidi="ar-EG"/>
        </w:rPr>
        <w:t>TDAG-WG-DEC</w:t>
      </w:r>
      <w:r>
        <w:rPr>
          <w:rtl/>
          <w:lang w:bidi="ar-EG"/>
        </w:rPr>
        <w:t xml:space="preserve">، سيقوم الرئيس بإعداد مقترح أولي يتضمن سرداً للإعلان من أجل الاجتماع الثالث للفريق. </w:t>
      </w:r>
    </w:p>
    <w:p w14:paraId="64F63216" w14:textId="62CFE579" w:rsidR="00D03A64" w:rsidRPr="00F22F8C" w:rsidRDefault="00D03A64" w:rsidP="003F237C">
      <w:pPr>
        <w:pStyle w:val="Heading1"/>
        <w:rPr>
          <w:rtl/>
          <w:lang w:bidi="ar-EG"/>
        </w:rPr>
      </w:pPr>
      <w:r w:rsidRPr="00F22F8C">
        <w:rPr>
          <w:lang w:bidi="ar-EG"/>
        </w:rPr>
        <w:t>3</w:t>
      </w:r>
      <w:r w:rsidRPr="00F22F8C">
        <w:rPr>
          <w:rtl/>
          <w:lang w:bidi="ar-EG"/>
        </w:rPr>
        <w:tab/>
        <w:t>التقارير المرحلية من منظمات الاتصالات الإقليمية</w:t>
      </w:r>
    </w:p>
    <w:p w14:paraId="53EC5E5E" w14:textId="77777777" w:rsidR="00D03A64" w:rsidRDefault="00D03A64" w:rsidP="003F237C">
      <w:pPr>
        <w:rPr>
          <w:rtl/>
          <w:lang w:bidi="ar-EG"/>
        </w:rPr>
      </w:pPr>
      <w:r>
        <w:rPr>
          <w:rtl/>
          <w:lang w:bidi="ar-EG"/>
        </w:rPr>
        <w:t xml:space="preserve">دعيت المنظمات الإقليمية للاتصالات إلى تقديم تقارير مرحلية عن أعمالها التحضيرية للمؤتمر </w:t>
      </w:r>
      <w:r>
        <w:rPr>
          <w:lang w:bidi="ar-EG"/>
        </w:rPr>
        <w:t>WTDC-25</w:t>
      </w:r>
      <w:r>
        <w:rPr>
          <w:rtl/>
          <w:lang w:bidi="ar-EG"/>
        </w:rPr>
        <w:t>.</w:t>
      </w:r>
    </w:p>
    <w:p w14:paraId="2DED16F7" w14:textId="5CA34F09" w:rsidR="00D03A64" w:rsidRPr="00F22F8C" w:rsidRDefault="00D03A64" w:rsidP="003F237C">
      <w:pPr>
        <w:pStyle w:val="Heading1"/>
        <w:rPr>
          <w:rtl/>
          <w:lang w:bidi="ar-EG"/>
        </w:rPr>
      </w:pPr>
      <w:r w:rsidRPr="00F22F8C">
        <w:rPr>
          <w:lang w:bidi="ar-EG"/>
        </w:rPr>
        <w:t>4</w:t>
      </w:r>
      <w:r w:rsidRPr="00F22F8C">
        <w:rPr>
          <w:rtl/>
          <w:lang w:bidi="ar-EG"/>
        </w:rPr>
        <w:tab/>
        <w:t>المواعيد الرئيسية والخطوات التالية</w:t>
      </w:r>
    </w:p>
    <w:p w14:paraId="7B96BAE6" w14:textId="77777777" w:rsidR="00D03A64" w:rsidRDefault="00D03A64" w:rsidP="003F237C">
      <w:pPr>
        <w:rPr>
          <w:rtl/>
          <w:lang w:bidi="ar-EG"/>
        </w:rPr>
      </w:pPr>
      <w:r>
        <w:rPr>
          <w:rtl/>
          <w:lang w:bidi="ar-EG"/>
        </w:rPr>
        <w:t xml:space="preserve">سيعقد الاجتماع الثالث للفريق </w:t>
      </w:r>
      <w:r>
        <w:rPr>
          <w:lang w:bidi="ar-EG"/>
        </w:rPr>
        <w:t>TDAG-WG-DEC</w:t>
      </w:r>
      <w:r>
        <w:rPr>
          <w:rtl/>
          <w:lang w:bidi="ar-EG"/>
        </w:rPr>
        <w:t xml:space="preserve"> خلال المجموعة المقبلة من اجتماعات فريق العمل التابع للفريق الاستشاري لتنمية الاتصالات في </w:t>
      </w:r>
      <w:r>
        <w:rPr>
          <w:lang w:bidi="ar-EG"/>
        </w:rPr>
        <w:t>5</w:t>
      </w:r>
      <w:r>
        <w:rPr>
          <w:rtl/>
          <w:lang w:bidi="ar-EG"/>
        </w:rPr>
        <w:t xml:space="preserve"> مارس </w:t>
      </w:r>
      <w:r>
        <w:rPr>
          <w:lang w:bidi="ar-EG"/>
        </w:rPr>
        <w:t>2025</w:t>
      </w:r>
      <w:r>
        <w:rPr>
          <w:rtl/>
          <w:lang w:bidi="ar-EG"/>
        </w:rPr>
        <w:t xml:space="preserve">. وستكون هناك أيضاً إمكانية لعقد اجتماع حضوري خلال اجتماع الفريق الاستشاري لتنمية الاتصالات لعام </w:t>
      </w:r>
      <w:r>
        <w:rPr>
          <w:lang w:bidi="ar-EG"/>
        </w:rPr>
        <w:t>2025</w:t>
      </w:r>
      <w:r>
        <w:rPr>
          <w:rtl/>
          <w:lang w:bidi="ar-EG"/>
        </w:rPr>
        <w:t xml:space="preserve"> لاختتام مناقشات الفريق.</w:t>
      </w:r>
    </w:p>
    <w:p w14:paraId="608CFA18" w14:textId="77777777" w:rsidR="00D03A64" w:rsidRDefault="00D03A64" w:rsidP="003F237C">
      <w:pPr>
        <w:rPr>
          <w:rtl/>
          <w:lang w:bidi="ar-EG"/>
        </w:rPr>
      </w:pPr>
      <w:r>
        <w:rPr>
          <w:rtl/>
          <w:lang w:bidi="ar-EG"/>
        </w:rPr>
        <w:t xml:space="preserve">وبالإضافة إلى ذلك، سيقدم رئيس الفريق </w:t>
      </w:r>
      <w:r>
        <w:rPr>
          <w:lang w:bidi="ar-EG"/>
        </w:rPr>
        <w:t>TDAG-WG-DEC</w:t>
      </w:r>
      <w:r>
        <w:rPr>
          <w:rtl/>
          <w:lang w:bidi="ar-EG"/>
        </w:rPr>
        <w:t xml:space="preserve"> تقارير عن التقدم المحرز في عمل الفريق إلى الاجتماعات الإقليمية التحضيرية المقبلة (</w:t>
      </w:r>
      <w:r>
        <w:rPr>
          <w:lang w:bidi="ar-EG"/>
        </w:rPr>
        <w:t>RPM</w:t>
      </w:r>
      <w:r>
        <w:rPr>
          <w:rtl/>
          <w:lang w:bidi="ar-EG"/>
        </w:rPr>
        <w:t xml:space="preserve">) في الفترة التي تسبق المؤتمر </w:t>
      </w:r>
      <w:r>
        <w:rPr>
          <w:lang w:bidi="ar-EG"/>
        </w:rPr>
        <w:t>WTDC-25</w:t>
      </w:r>
      <w:r>
        <w:rPr>
          <w:rtl/>
          <w:lang w:bidi="ar-EG"/>
        </w:rPr>
        <w:t xml:space="preserve">. </w:t>
      </w:r>
    </w:p>
    <w:p w14:paraId="1B636454" w14:textId="77777777" w:rsidR="00D03A64" w:rsidRDefault="00D03A64" w:rsidP="003F237C">
      <w:pPr>
        <w:rPr>
          <w:rtl/>
          <w:lang w:bidi="ar-EG"/>
        </w:rPr>
      </w:pPr>
      <w:r>
        <w:rPr>
          <w:rtl/>
          <w:lang w:bidi="ar-EG"/>
        </w:rPr>
        <w:t xml:space="preserve">وستقدم الصيغة النهائية للسرد الذي وافق عليه فريق العمل إلى اجتماع الفريق الاستشاري </w:t>
      </w:r>
      <w:r>
        <w:rPr>
          <w:lang w:bidi="ar-EG"/>
        </w:rPr>
        <w:t>TDAG-25/2</w:t>
      </w:r>
      <w:r>
        <w:rPr>
          <w:rtl/>
          <w:lang w:bidi="ar-EG"/>
        </w:rPr>
        <w:t xml:space="preserve"> لمزيد من الدراسة وربما تقديمها كمساهمة إلى المؤتمر </w:t>
      </w:r>
      <w:r>
        <w:rPr>
          <w:lang w:bidi="ar-EG"/>
        </w:rPr>
        <w:t>WTDC-25</w:t>
      </w:r>
      <w:r>
        <w:rPr>
          <w:rtl/>
          <w:lang w:bidi="ar-EG"/>
        </w:rPr>
        <w:t xml:space="preserve"> حيث ستوضع في صيغتها النهائية واعتماد إعلان باكو النهائي.</w:t>
      </w:r>
    </w:p>
    <w:p w14:paraId="698FDDD4" w14:textId="4F3DF08C" w:rsidR="00C14B86" w:rsidRDefault="00153471" w:rsidP="008D7737">
      <w:pPr>
        <w:spacing w:before="48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C14B86"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29D9" w14:textId="77777777" w:rsidR="0020736D" w:rsidRDefault="0020736D" w:rsidP="006C3242">
      <w:pPr>
        <w:spacing w:before="0" w:line="240" w:lineRule="auto"/>
      </w:pPr>
      <w:r>
        <w:separator/>
      </w:r>
    </w:p>
  </w:endnote>
  <w:endnote w:type="continuationSeparator" w:id="0">
    <w:p w14:paraId="5F971FD6" w14:textId="77777777" w:rsidR="0020736D" w:rsidRDefault="0020736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09335FD2" w14:textId="77777777" w:rsidTr="00F03E94">
      <w:tc>
        <w:tcPr>
          <w:tcW w:w="991" w:type="dxa"/>
          <w:tcBorders>
            <w:top w:val="single" w:sz="4" w:space="0" w:color="auto"/>
            <w:left w:val="nil"/>
            <w:bottom w:val="nil"/>
            <w:right w:val="nil"/>
          </w:tcBorders>
          <w:shd w:val="clear" w:color="auto" w:fill="FFFFFF" w:themeFill="background1"/>
          <w:hideMark/>
        </w:tcPr>
        <w:p w14:paraId="1952B7B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55DE4F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E2554CF" w14:textId="11E239DE" w:rsidR="00882A17" w:rsidRPr="005874F2" w:rsidRDefault="00D03A64" w:rsidP="00882A17">
          <w:pPr>
            <w:spacing w:before="60" w:after="40" w:line="260" w:lineRule="exact"/>
            <w:rPr>
              <w:position w:val="2"/>
              <w:sz w:val="18"/>
              <w:szCs w:val="18"/>
              <w:rtl/>
              <w:lang w:val="en-GB" w:bidi="ar-EG"/>
            </w:rPr>
          </w:pPr>
          <w:r w:rsidRPr="00656AE5">
            <w:rPr>
              <w:rFonts w:hAnsi="Times New Roman"/>
              <w:szCs w:val="18"/>
              <w:rtl/>
            </w:rPr>
            <w:t xml:space="preserve">السيد عبد الكريم </w:t>
          </w:r>
          <w:proofErr w:type="spellStart"/>
          <w:r w:rsidRPr="00656AE5">
            <w:rPr>
              <w:rFonts w:hAnsi="Times New Roman"/>
              <w:szCs w:val="18"/>
              <w:rtl/>
            </w:rPr>
            <w:t>أولويدي</w:t>
          </w:r>
          <w:proofErr w:type="spellEnd"/>
          <w:r w:rsidRPr="00656AE5">
            <w:rPr>
              <w:rFonts w:hAnsi="Times New Roman"/>
              <w:szCs w:val="18"/>
              <w:rtl/>
            </w:rPr>
            <w:t>، رئيس فريق العمل التابع للفريق الاستشاري لتنمية الاتصالات والمعني بالإعلان، نيجيريا</w:t>
          </w:r>
        </w:p>
      </w:tc>
    </w:tr>
    <w:tr w:rsidR="00882A17" w:rsidRPr="005874F2" w14:paraId="095D0300" w14:textId="77777777" w:rsidTr="00F03E94">
      <w:tc>
        <w:tcPr>
          <w:tcW w:w="991" w:type="dxa"/>
        </w:tcPr>
        <w:p w14:paraId="12EFADDE"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FEDE86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4FA8214" w14:textId="3859BF27" w:rsidR="00882A17" w:rsidRPr="005874F2" w:rsidRDefault="00D03A64" w:rsidP="00882A17">
          <w:pPr>
            <w:spacing w:before="60" w:after="40" w:line="260" w:lineRule="exact"/>
            <w:rPr>
              <w:position w:val="2"/>
              <w:sz w:val="18"/>
              <w:szCs w:val="18"/>
              <w:lang w:val="en-GB" w:bidi="ar-EG"/>
            </w:rPr>
          </w:pPr>
          <w:r w:rsidRPr="00656AE5">
            <w:rPr>
              <w:rFonts w:hAnsi="Times New Roman"/>
              <w:szCs w:val="18"/>
              <w:rtl/>
            </w:rPr>
            <w:t>غير متوفر</w:t>
          </w:r>
        </w:p>
      </w:tc>
    </w:tr>
    <w:tr w:rsidR="003F237C" w:rsidRPr="005874F2" w14:paraId="1FCBE469" w14:textId="77777777" w:rsidTr="00F03E94">
      <w:tc>
        <w:tcPr>
          <w:tcW w:w="991" w:type="dxa"/>
        </w:tcPr>
        <w:p w14:paraId="5048C049" w14:textId="77777777" w:rsidR="003F237C" w:rsidRPr="005874F2" w:rsidRDefault="003F237C" w:rsidP="003F237C">
          <w:pPr>
            <w:spacing w:before="60" w:after="40" w:line="260" w:lineRule="exact"/>
            <w:rPr>
              <w:position w:val="2"/>
              <w:sz w:val="18"/>
              <w:szCs w:val="18"/>
              <w:lang w:val="en-GB"/>
            </w:rPr>
          </w:pPr>
        </w:p>
      </w:tc>
      <w:tc>
        <w:tcPr>
          <w:tcW w:w="2411" w:type="dxa"/>
          <w:hideMark/>
        </w:tcPr>
        <w:p w14:paraId="12058D95" w14:textId="77777777" w:rsidR="003F237C" w:rsidRPr="005874F2" w:rsidRDefault="003F237C" w:rsidP="003F237C">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A155788" w14:textId="3376032E" w:rsidR="003F237C" w:rsidRPr="00421521" w:rsidRDefault="00421521" w:rsidP="00421521">
          <w:pPr>
            <w:spacing w:before="60" w:after="40" w:line="260" w:lineRule="exact"/>
            <w:rPr>
              <w:position w:val="2"/>
              <w:sz w:val="18"/>
              <w:szCs w:val="18"/>
              <w:lang w:val="en-GB" w:bidi="ar-EG"/>
            </w:rPr>
          </w:pPr>
          <w:hyperlink r:id="rId1" w:history="1">
            <w:r w:rsidRPr="00421521">
              <w:rPr>
                <w:rStyle w:val="Hyperlink"/>
                <w:position w:val="2"/>
                <w:sz w:val="18"/>
                <w:szCs w:val="18"/>
                <w:lang w:val="en-GB" w:bidi="ar-EG"/>
              </w:rPr>
              <w:t>oloyede.aa@unilorin.edu.ng</w:t>
            </w:r>
          </w:hyperlink>
          <w:r>
            <w:rPr>
              <w:rFonts w:hint="cs"/>
              <w:position w:val="2"/>
              <w:sz w:val="18"/>
              <w:szCs w:val="18"/>
              <w:rtl/>
              <w:lang w:val="en-GB" w:bidi="ar-EG"/>
            </w:rPr>
            <w:t xml:space="preserve">؛ </w:t>
          </w:r>
          <w:hyperlink r:id="rId2" w:history="1">
            <w:r w:rsidRPr="00421521">
              <w:rPr>
                <w:rStyle w:val="Hyperlink"/>
                <w:position w:val="2"/>
                <w:sz w:val="18"/>
                <w:szCs w:val="18"/>
                <w:lang w:val="en-GB" w:bidi="ar-EG"/>
              </w:rPr>
              <w:t>TDAG-WG-DEC@lists.itu.int</w:t>
            </w:r>
          </w:hyperlink>
        </w:p>
      </w:tc>
    </w:tr>
  </w:tbl>
  <w:p w14:paraId="6C06481D" w14:textId="77777777" w:rsidR="0006468A" w:rsidRPr="00421521" w:rsidRDefault="0006468A" w:rsidP="000F7FE5">
    <w:pPr>
      <w:spacing w:before="0"/>
      <w:rPr>
        <w:sz w:val="2"/>
        <w:szCs w:val="2"/>
        <w:lang w:val="en-GB"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2273" w14:textId="77777777" w:rsidR="0020736D" w:rsidRDefault="0020736D" w:rsidP="006C3242">
      <w:pPr>
        <w:spacing w:before="0" w:line="240" w:lineRule="auto"/>
      </w:pPr>
      <w:r>
        <w:separator/>
      </w:r>
    </w:p>
  </w:footnote>
  <w:footnote w:type="continuationSeparator" w:id="0">
    <w:p w14:paraId="7E4439D4" w14:textId="77777777" w:rsidR="0020736D" w:rsidRDefault="0020736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58CF2E0" w14:textId="0A2EB3A5"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F83E91">
          <w:rPr>
            <w:sz w:val="20"/>
            <w:szCs w:val="20"/>
          </w:rPr>
          <w:t>ARB</w:t>
        </w:r>
        <w:r w:rsidR="000F7FE5">
          <w:rPr>
            <w:sz w:val="20"/>
            <w:szCs w:val="20"/>
            <w:lang w:val="es-ES_tradnl"/>
          </w:rPr>
          <w:t>25/</w:t>
        </w:r>
        <w:r w:rsidR="00D03A64">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E92411"/>
    <w:multiLevelType w:val="hybridMultilevel"/>
    <w:tmpl w:val="1E9ED98C"/>
    <w:lvl w:ilvl="0" w:tplc="EF58B7BC">
      <w:start w:val="13"/>
      <w:numFmt w:val="bullet"/>
      <w:lvlText w:val="-"/>
      <w:lvlJc w:val="left"/>
      <w:pPr>
        <w:ind w:left="720" w:hanging="360"/>
      </w:pPr>
      <w:rPr>
        <w:rFonts w:ascii="Dubai" w:eastAsiaTheme="minorEastAsia"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50629">
    <w:abstractNumId w:val="9"/>
  </w:num>
  <w:num w:numId="2" w16cid:durableId="1251812652">
    <w:abstractNumId w:val="7"/>
  </w:num>
  <w:num w:numId="3" w16cid:durableId="383407533">
    <w:abstractNumId w:val="6"/>
  </w:num>
  <w:num w:numId="4" w16cid:durableId="600647217">
    <w:abstractNumId w:val="5"/>
  </w:num>
  <w:num w:numId="5" w16cid:durableId="903563027">
    <w:abstractNumId w:val="4"/>
  </w:num>
  <w:num w:numId="6" w16cid:durableId="1735543844">
    <w:abstractNumId w:val="8"/>
  </w:num>
  <w:num w:numId="7" w16cid:durableId="1332103474">
    <w:abstractNumId w:val="3"/>
  </w:num>
  <w:num w:numId="8" w16cid:durableId="222958580">
    <w:abstractNumId w:val="2"/>
  </w:num>
  <w:num w:numId="9" w16cid:durableId="93787504">
    <w:abstractNumId w:val="1"/>
  </w:num>
  <w:num w:numId="10" w16cid:durableId="1027828238">
    <w:abstractNumId w:val="0"/>
  </w:num>
  <w:num w:numId="11" w16cid:durableId="628246025">
    <w:abstractNumId w:val="10"/>
  </w:num>
  <w:num w:numId="12" w16cid:durableId="879590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64"/>
    <w:rsid w:val="00026D7C"/>
    <w:rsid w:val="0006468A"/>
    <w:rsid w:val="00090574"/>
    <w:rsid w:val="000C1C0E"/>
    <w:rsid w:val="000C548A"/>
    <w:rsid w:val="000F7FE5"/>
    <w:rsid w:val="00153471"/>
    <w:rsid w:val="0019128D"/>
    <w:rsid w:val="001C0169"/>
    <w:rsid w:val="001D1D50"/>
    <w:rsid w:val="001D6745"/>
    <w:rsid w:val="001E446E"/>
    <w:rsid w:val="001E544A"/>
    <w:rsid w:val="0020736D"/>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75FD9"/>
    <w:rsid w:val="00383829"/>
    <w:rsid w:val="003971E3"/>
    <w:rsid w:val="003C4402"/>
    <w:rsid w:val="003F237C"/>
    <w:rsid w:val="003F4B29"/>
    <w:rsid w:val="00421521"/>
    <w:rsid w:val="0042686F"/>
    <w:rsid w:val="004317D8"/>
    <w:rsid w:val="00434183"/>
    <w:rsid w:val="00443869"/>
    <w:rsid w:val="00447F32"/>
    <w:rsid w:val="004E11DC"/>
    <w:rsid w:val="004F3C48"/>
    <w:rsid w:val="00506E94"/>
    <w:rsid w:val="00524D47"/>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6538C"/>
    <w:rsid w:val="00874F08"/>
    <w:rsid w:val="00882A17"/>
    <w:rsid w:val="008A7F84"/>
    <w:rsid w:val="008D7737"/>
    <w:rsid w:val="0091702E"/>
    <w:rsid w:val="00923B0C"/>
    <w:rsid w:val="0094021C"/>
    <w:rsid w:val="0094065A"/>
    <w:rsid w:val="00952F86"/>
    <w:rsid w:val="00982B28"/>
    <w:rsid w:val="00983DA5"/>
    <w:rsid w:val="009D313F"/>
    <w:rsid w:val="009F4B1D"/>
    <w:rsid w:val="00A24359"/>
    <w:rsid w:val="00A47A5A"/>
    <w:rsid w:val="00A6683B"/>
    <w:rsid w:val="00A97F94"/>
    <w:rsid w:val="00AA7EA2"/>
    <w:rsid w:val="00B0270A"/>
    <w:rsid w:val="00B03099"/>
    <w:rsid w:val="00B05BC8"/>
    <w:rsid w:val="00B64B47"/>
    <w:rsid w:val="00B93B7B"/>
    <w:rsid w:val="00C002DE"/>
    <w:rsid w:val="00C14B86"/>
    <w:rsid w:val="00C53BF8"/>
    <w:rsid w:val="00C56B5F"/>
    <w:rsid w:val="00C66157"/>
    <w:rsid w:val="00C674FE"/>
    <w:rsid w:val="00C67501"/>
    <w:rsid w:val="00C75633"/>
    <w:rsid w:val="00C85CB5"/>
    <w:rsid w:val="00CA08BA"/>
    <w:rsid w:val="00CC4CD5"/>
    <w:rsid w:val="00CE2EE1"/>
    <w:rsid w:val="00CE3349"/>
    <w:rsid w:val="00CE36E5"/>
    <w:rsid w:val="00CF27F5"/>
    <w:rsid w:val="00CF3FFD"/>
    <w:rsid w:val="00D03A64"/>
    <w:rsid w:val="00D10CCF"/>
    <w:rsid w:val="00D77D0F"/>
    <w:rsid w:val="00D8311F"/>
    <w:rsid w:val="00DA1CF0"/>
    <w:rsid w:val="00DC1E02"/>
    <w:rsid w:val="00DC24B4"/>
    <w:rsid w:val="00DC5FB0"/>
    <w:rsid w:val="00DF16DC"/>
    <w:rsid w:val="00E21BB1"/>
    <w:rsid w:val="00E45211"/>
    <w:rsid w:val="00E473C5"/>
    <w:rsid w:val="00E74DA8"/>
    <w:rsid w:val="00E92863"/>
    <w:rsid w:val="00EB796D"/>
    <w:rsid w:val="00EE5CF2"/>
    <w:rsid w:val="00F04B9E"/>
    <w:rsid w:val="00F058DC"/>
    <w:rsid w:val="00F22F8C"/>
    <w:rsid w:val="00F24FC4"/>
    <w:rsid w:val="00F2676C"/>
    <w:rsid w:val="00F43D01"/>
    <w:rsid w:val="00F700ED"/>
    <w:rsid w:val="00F77022"/>
    <w:rsid w:val="00F83E9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5CA6D"/>
  <w15:chartTrackingRefBased/>
  <w15:docId w15:val="{4B3992A8-7FA3-42AB-A67D-1A91998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3F237C"/>
    <w:rPr>
      <w:color w:val="605E5C"/>
      <w:shd w:val="clear" w:color="auto" w:fill="E1DFDD"/>
    </w:rPr>
  </w:style>
  <w:style w:type="character" w:styleId="FollowedHyperlink">
    <w:name w:val="FollowedHyperlink"/>
    <w:basedOn w:val="DefaultParagraphFont"/>
    <w:uiPriority w:val="99"/>
    <w:semiHidden/>
    <w:unhideWhenUsed/>
    <w:rsid w:val="003F2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TDAG.WG.DEC-INF-0001/" TargetMode="External"/><Relationship Id="rId18" Type="http://schemas.openxmlformats.org/officeDocument/2006/relationships/hyperlink" Target="https://www.itu.int/md/D22-TDAG.WG.DEC-C-0004/"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22-TDAG.WG.DEC-C-0007/" TargetMode="External"/><Relationship Id="rId17" Type="http://schemas.openxmlformats.org/officeDocument/2006/relationships/hyperlink" Target="https://www.itu.int/md/D22-TDAG.WG.DEC-C-0004/"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tu.int/en/ITU-D/Conferences/TDAG/Pages/2024/TDAG_WG_DEC.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WG.DEC-C-0006/"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tu.int/md/D22-TDAG31-240520-TD-0004/en" TargetMode="External"/><Relationship Id="rId23" Type="http://schemas.openxmlformats.org/officeDocument/2006/relationships/theme" Target="theme/theme1.xml"/><Relationship Id="rId10" Type="http://schemas.openxmlformats.org/officeDocument/2006/relationships/hyperlink" Target="https://www.itu.int/md/D22-TDAG.WG.DEC-C-0002/" TargetMode="External"/><Relationship Id="rId19" Type="http://schemas.openxmlformats.org/officeDocument/2006/relationships/hyperlink" Target="https://www.itu.int/md/D22-TDAG.WG.DEC-INF-0001/" TargetMode="External"/><Relationship Id="rId4" Type="http://schemas.openxmlformats.org/officeDocument/2006/relationships/settings" Target="settings.xml"/><Relationship Id="rId9" Type="http://schemas.openxmlformats.org/officeDocument/2006/relationships/hyperlink" Target="https://www.itu.int/md/D22-TDAG31-240520-TD-0004/en" TargetMode="External"/><Relationship Id="rId14" Type="http://schemas.openxmlformats.org/officeDocument/2006/relationships/hyperlink" Target="https://www.itu.int/en/ITU-D/Conferences/TDAG/Pages/2024/TDAG_WG_DEC.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DAG-WG-DEC@lists.itu.int" TargetMode="External"/><Relationship Id="rId1" Type="http://schemas.openxmlformats.org/officeDocument/2006/relationships/hyperlink" Target="mailto:oloyede.aa@unilorin.ed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ad%20Kamal\Documents\PA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C3FE68C4-8D2C-44D7-89EB-9420B2C6DAA0}"/>
</file>

<file path=customXml/itemProps3.xml><?xml version="1.0" encoding="utf-8"?>
<ds:datastoreItem xmlns:ds="http://schemas.openxmlformats.org/officeDocument/2006/customXml" ds:itemID="{B01A050D-B478-472A-B0F0-43B96D3D2D9C}"/>
</file>

<file path=customXml/itemProps4.xml><?xml version="1.0" encoding="utf-8"?>
<ds:datastoreItem xmlns:ds="http://schemas.openxmlformats.org/officeDocument/2006/customXml" ds:itemID="{BAE2A670-B5E6-4B68-A210-C7937EF7F1A6}"/>
</file>

<file path=docProps/app.xml><?xml version="1.0" encoding="utf-8"?>
<Properties xmlns="http://schemas.openxmlformats.org/officeDocument/2006/extended-properties" xmlns:vt="http://schemas.openxmlformats.org/officeDocument/2006/docPropsVTypes">
  <Template>PA_RPM-ARB.dotx</Template>
  <TotalTime>5</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PA_I.R</cp:lastModifiedBy>
  <cp:revision>4</cp:revision>
  <dcterms:created xsi:type="dcterms:W3CDTF">2025-01-07T15:55:00Z</dcterms:created>
  <dcterms:modified xsi:type="dcterms:W3CDTF">2025-01-07T16:00:00Z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