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542"/>
        <w:gridCol w:w="2549"/>
      </w:tblGrid>
      <w:tr w:rsidR="0094065A" w:rsidRPr="00E56E20" w14:paraId="7BB42C51" w14:textId="77777777" w:rsidTr="000F7FE5">
        <w:trPr>
          <w:cantSplit/>
          <w:trHeight w:val="1310"/>
          <w:jc w:val="center"/>
        </w:trPr>
        <w:tc>
          <w:tcPr>
            <w:tcW w:w="7090" w:type="dxa"/>
            <w:gridSpan w:val="2"/>
            <w:tcBorders>
              <w:bottom w:val="single" w:sz="12" w:space="0" w:color="auto"/>
            </w:tcBorders>
          </w:tcPr>
          <w:p w14:paraId="036D86B8" w14:textId="77777777" w:rsidR="0094065A" w:rsidRPr="00E56E20" w:rsidRDefault="00E06296" w:rsidP="00E06296">
            <w:pPr>
              <w:spacing w:before="240"/>
              <w:jc w:val="left"/>
              <w:rPr>
                <w:b/>
                <w:bCs/>
                <w:sz w:val="30"/>
                <w:szCs w:val="30"/>
                <w:rtl/>
                <w:lang w:bidi="ar-SY"/>
              </w:rPr>
            </w:pPr>
            <w:r w:rsidRPr="00E56E20">
              <w:rPr>
                <w:b/>
                <w:bCs/>
                <w:spacing w:val="6"/>
                <w:sz w:val="30"/>
                <w:szCs w:val="30"/>
                <w:rtl/>
                <w:lang w:bidi="ar-EG"/>
              </w:rPr>
              <w:t xml:space="preserve">الاجتماعات الإقليمية التحضيرية </w:t>
            </w:r>
            <w:r w:rsidRPr="00E56E20">
              <w:rPr>
                <w:b/>
                <w:bCs/>
                <w:spacing w:val="6"/>
                <w:sz w:val="30"/>
                <w:szCs w:val="30"/>
                <w:lang w:bidi="ar-EG"/>
              </w:rPr>
              <w:t>(RPM)</w:t>
            </w:r>
            <w:r w:rsidRPr="00E56E20">
              <w:rPr>
                <w:b/>
                <w:bCs/>
                <w:spacing w:val="6"/>
                <w:sz w:val="30"/>
                <w:szCs w:val="30"/>
                <w:rtl/>
                <w:lang w:bidi="ar-EG"/>
              </w:rPr>
              <w:t xml:space="preserve"> </w:t>
            </w:r>
            <w:r w:rsidR="004303A7" w:rsidRPr="00E56E20">
              <w:rPr>
                <w:b/>
                <w:bCs/>
                <w:spacing w:val="6"/>
                <w:sz w:val="30"/>
                <w:szCs w:val="30"/>
                <w:rtl/>
                <w:lang w:bidi="ar-EG"/>
              </w:rPr>
              <w:br/>
            </w:r>
            <w:r w:rsidRPr="00E56E20">
              <w:rPr>
                <w:b/>
                <w:bCs/>
                <w:spacing w:val="6"/>
                <w:sz w:val="30"/>
                <w:szCs w:val="30"/>
                <w:rtl/>
                <w:lang w:bidi="ar-EG"/>
              </w:rPr>
              <w:t xml:space="preserve">للمؤتمر العالمي لتنمية الاتصالات لعام </w:t>
            </w:r>
            <w:r w:rsidRPr="00E56E20">
              <w:rPr>
                <w:b/>
                <w:bCs/>
                <w:spacing w:val="6"/>
                <w:sz w:val="30"/>
                <w:szCs w:val="30"/>
                <w:lang w:bidi="ar-EG"/>
              </w:rPr>
              <w:t>2025</w:t>
            </w:r>
            <w:r w:rsidRPr="00E56E20">
              <w:rPr>
                <w:b/>
                <w:bCs/>
                <w:spacing w:val="6"/>
                <w:sz w:val="30"/>
                <w:szCs w:val="30"/>
                <w:rtl/>
                <w:lang w:bidi="ar-EG"/>
              </w:rPr>
              <w:t xml:space="preserve"> </w:t>
            </w:r>
            <w:r w:rsidRPr="00E56E20">
              <w:rPr>
                <w:b/>
                <w:bCs/>
                <w:spacing w:val="6"/>
                <w:sz w:val="30"/>
                <w:szCs w:val="30"/>
                <w:lang w:bidi="ar-EG"/>
              </w:rPr>
              <w:t>(WTDC-25)</w:t>
            </w:r>
          </w:p>
        </w:tc>
        <w:tc>
          <w:tcPr>
            <w:tcW w:w="2549" w:type="dxa"/>
            <w:tcBorders>
              <w:bottom w:val="single" w:sz="12" w:space="0" w:color="auto"/>
            </w:tcBorders>
          </w:tcPr>
          <w:p w14:paraId="1BD5FF69" w14:textId="77777777" w:rsidR="0094065A" w:rsidRPr="00E56E20" w:rsidRDefault="00F77022" w:rsidP="00F77022">
            <w:pPr>
              <w:spacing w:after="120"/>
              <w:jc w:val="right"/>
              <w:rPr>
                <w:lang w:val="en-GB" w:bidi="ar-EG"/>
              </w:rPr>
            </w:pPr>
            <w:bookmarkStart w:id="0" w:name="ditulogo"/>
            <w:bookmarkEnd w:id="0"/>
            <w:r w:rsidRPr="00E56E20">
              <w:rPr>
                <w:noProof/>
                <w:lang w:val="fr-FR" w:eastAsia="fr-FR"/>
              </w:rPr>
              <w:drawing>
                <wp:inline distT="0" distB="0" distL="0" distR="0" wp14:anchorId="3A9DB399" wp14:editId="4EFFDA4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E56E20" w14:paraId="278D2621" w14:textId="77777777" w:rsidTr="00F77022">
        <w:trPr>
          <w:cantSplit/>
          <w:jc w:val="center"/>
        </w:trPr>
        <w:tc>
          <w:tcPr>
            <w:tcW w:w="6548" w:type="dxa"/>
            <w:tcBorders>
              <w:top w:val="single" w:sz="12" w:space="0" w:color="auto"/>
            </w:tcBorders>
          </w:tcPr>
          <w:p w14:paraId="4A152313" w14:textId="77777777" w:rsidR="00CA08BA" w:rsidRPr="00E56E20" w:rsidRDefault="00CA08BA" w:rsidP="00B93B7B">
            <w:pPr>
              <w:spacing w:before="20" w:after="20" w:line="300" w:lineRule="exact"/>
              <w:rPr>
                <w:b/>
                <w:bCs/>
                <w:rtl/>
                <w:lang w:bidi="ar-EG"/>
              </w:rPr>
            </w:pPr>
          </w:p>
        </w:tc>
        <w:tc>
          <w:tcPr>
            <w:tcW w:w="3091" w:type="dxa"/>
            <w:gridSpan w:val="2"/>
            <w:tcBorders>
              <w:top w:val="single" w:sz="12" w:space="0" w:color="auto"/>
            </w:tcBorders>
          </w:tcPr>
          <w:p w14:paraId="27EF6F4A" w14:textId="77777777" w:rsidR="00CA08BA" w:rsidRPr="00E56E20" w:rsidRDefault="00CA08BA" w:rsidP="00B93B7B">
            <w:pPr>
              <w:spacing w:before="20" w:after="20" w:line="300" w:lineRule="exact"/>
              <w:rPr>
                <w:b/>
                <w:bCs/>
                <w:highlight w:val="yellow"/>
                <w:rtl/>
                <w:lang w:bidi="ar-EG"/>
              </w:rPr>
            </w:pPr>
          </w:p>
        </w:tc>
      </w:tr>
      <w:tr w:rsidR="00E56E20" w:rsidRPr="00E56E20" w14:paraId="5F935645" w14:textId="77777777" w:rsidTr="00F77022">
        <w:trPr>
          <w:cantSplit/>
          <w:jc w:val="center"/>
        </w:trPr>
        <w:tc>
          <w:tcPr>
            <w:tcW w:w="6548" w:type="dxa"/>
          </w:tcPr>
          <w:p w14:paraId="6CFC74F6" w14:textId="77777777" w:rsidR="00E56E20" w:rsidRPr="00E56E20" w:rsidRDefault="00E56E20" w:rsidP="00E56E20">
            <w:pPr>
              <w:spacing w:before="20" w:after="20" w:line="300" w:lineRule="exact"/>
              <w:rPr>
                <w:b/>
                <w:bCs/>
                <w:rtl/>
                <w:lang w:bidi="ar-EG"/>
              </w:rPr>
            </w:pPr>
          </w:p>
        </w:tc>
        <w:tc>
          <w:tcPr>
            <w:tcW w:w="3091" w:type="dxa"/>
            <w:gridSpan w:val="2"/>
          </w:tcPr>
          <w:p w14:paraId="2C1FEB51" w14:textId="543534B0" w:rsidR="00E56E20" w:rsidRPr="00E56E20" w:rsidRDefault="00E56E20" w:rsidP="009C0D87">
            <w:pPr>
              <w:jc w:val="left"/>
              <w:rPr>
                <w:bCs/>
                <w:lang w:val="ar-SA" w:eastAsia="zh-TW" w:bidi="en-GB"/>
              </w:rPr>
            </w:pPr>
            <w:r w:rsidRPr="00E56E20">
              <w:rPr>
                <w:b/>
                <w:bCs/>
                <w:rtl/>
              </w:rPr>
              <w:t xml:space="preserve">الإضافة 1 </w:t>
            </w:r>
            <w:r w:rsidRPr="00E56E20">
              <w:rPr>
                <w:b/>
                <w:bCs/>
                <w:rtl/>
              </w:rPr>
              <w:br/>
              <w:t>للوثيقة</w:t>
            </w:r>
            <w:r w:rsidRPr="00E56E20">
              <w:rPr>
                <w:bCs/>
                <w:rtl/>
              </w:rPr>
              <w:t xml:space="preserve"> </w:t>
            </w:r>
            <w:r w:rsidRPr="00E56E20">
              <w:rPr>
                <w:b/>
                <w:bCs/>
              </w:rPr>
              <w:t>RPM/4</w:t>
            </w:r>
            <w:r w:rsidR="00236478" w:rsidRPr="00236478">
              <w:rPr>
                <w:b/>
                <w:bCs/>
              </w:rPr>
              <w:t>(Rev.1)</w:t>
            </w:r>
            <w:r w:rsidRPr="00E56E20">
              <w:rPr>
                <w:b/>
                <w:bCs/>
              </w:rPr>
              <w:t>-A</w:t>
            </w:r>
            <w:bookmarkStart w:id="1" w:name="DocRef1"/>
            <w:bookmarkEnd w:id="1"/>
          </w:p>
        </w:tc>
      </w:tr>
      <w:tr w:rsidR="00E56E20" w:rsidRPr="00E56E20" w14:paraId="085618B6" w14:textId="77777777" w:rsidTr="00F77022">
        <w:trPr>
          <w:cantSplit/>
          <w:jc w:val="center"/>
        </w:trPr>
        <w:tc>
          <w:tcPr>
            <w:tcW w:w="6548" w:type="dxa"/>
          </w:tcPr>
          <w:p w14:paraId="326178B9" w14:textId="77777777" w:rsidR="00E56E20" w:rsidRPr="00E56E20" w:rsidRDefault="00E56E20" w:rsidP="00E56E20">
            <w:pPr>
              <w:spacing w:before="20" w:after="20" w:line="300" w:lineRule="exact"/>
              <w:rPr>
                <w:b/>
                <w:bCs/>
                <w:lang w:bidi="ar-EG"/>
              </w:rPr>
            </w:pPr>
          </w:p>
        </w:tc>
        <w:tc>
          <w:tcPr>
            <w:tcW w:w="3091" w:type="dxa"/>
            <w:gridSpan w:val="2"/>
          </w:tcPr>
          <w:p w14:paraId="60611B02" w14:textId="55B3D151" w:rsidR="00E56E20" w:rsidRPr="00E56E20" w:rsidRDefault="001803C2" w:rsidP="009C0D87">
            <w:pPr>
              <w:rPr>
                <w:b/>
                <w:lang w:val="ar-SA" w:eastAsia="zh-TW" w:bidi="en-GB"/>
              </w:rPr>
            </w:pPr>
            <w:r>
              <w:rPr>
                <w:b/>
                <w:bCs/>
              </w:rPr>
              <w:t>27</w:t>
            </w:r>
            <w:r w:rsidR="00E56E20" w:rsidRPr="00E56E20">
              <w:rPr>
                <w:b/>
                <w:bCs/>
                <w:rtl/>
              </w:rPr>
              <w:t xml:space="preserve"> </w:t>
            </w:r>
            <w:r>
              <w:rPr>
                <w:rFonts w:hint="cs"/>
                <w:b/>
                <w:bCs/>
                <w:rtl/>
              </w:rPr>
              <w:t xml:space="preserve">يناير </w:t>
            </w:r>
            <w:r>
              <w:rPr>
                <w:b/>
                <w:bCs/>
              </w:rPr>
              <w:t>2025</w:t>
            </w:r>
          </w:p>
        </w:tc>
      </w:tr>
      <w:tr w:rsidR="00E56E20" w:rsidRPr="00E56E20" w14:paraId="65063E87" w14:textId="77777777" w:rsidTr="00F77022">
        <w:trPr>
          <w:cantSplit/>
          <w:jc w:val="center"/>
        </w:trPr>
        <w:tc>
          <w:tcPr>
            <w:tcW w:w="6548" w:type="dxa"/>
          </w:tcPr>
          <w:p w14:paraId="69FEB0B1" w14:textId="77777777" w:rsidR="00E56E20" w:rsidRPr="00E56E20" w:rsidRDefault="00E56E20" w:rsidP="00E56E20">
            <w:pPr>
              <w:spacing w:before="20" w:after="20" w:line="300" w:lineRule="exact"/>
              <w:rPr>
                <w:b/>
                <w:bCs/>
                <w:lang w:bidi="ar-EG"/>
              </w:rPr>
            </w:pPr>
          </w:p>
        </w:tc>
        <w:tc>
          <w:tcPr>
            <w:tcW w:w="3091" w:type="dxa"/>
            <w:gridSpan w:val="2"/>
          </w:tcPr>
          <w:p w14:paraId="6ACD6771" w14:textId="77777777" w:rsidR="00E56E20" w:rsidRPr="00E56E20" w:rsidRDefault="00E56E20" w:rsidP="009C0D87">
            <w:pPr>
              <w:rPr>
                <w:lang w:val="ar-SA" w:eastAsia="zh-TW" w:bidi="en-GB"/>
              </w:rPr>
            </w:pPr>
            <w:r w:rsidRPr="00E56E20">
              <w:rPr>
                <w:b/>
                <w:bCs/>
                <w:rtl/>
              </w:rPr>
              <w:t>الأصل: بالإنكليزية</w:t>
            </w:r>
          </w:p>
        </w:tc>
      </w:tr>
      <w:tr w:rsidR="00E56E20" w:rsidRPr="00E56E20" w14:paraId="12303B3D" w14:textId="77777777" w:rsidTr="00EE5CF2">
        <w:trPr>
          <w:cantSplit/>
          <w:jc w:val="center"/>
        </w:trPr>
        <w:tc>
          <w:tcPr>
            <w:tcW w:w="9639" w:type="dxa"/>
            <w:gridSpan w:val="3"/>
          </w:tcPr>
          <w:p w14:paraId="3B99B136" w14:textId="3F7CA7E7" w:rsidR="00E56E20" w:rsidRPr="00E56E20" w:rsidRDefault="00E56E20" w:rsidP="009C0D87">
            <w:pPr>
              <w:pStyle w:val="Source"/>
            </w:pPr>
            <w:r w:rsidRPr="00E56E20">
              <w:rPr>
                <w:rtl/>
              </w:rPr>
              <w:t>مدير مكتب تنمية الاتصالات</w:t>
            </w:r>
          </w:p>
        </w:tc>
      </w:tr>
      <w:tr w:rsidR="00E56E20" w:rsidRPr="00E56E20" w14:paraId="18492E71" w14:textId="77777777" w:rsidTr="00EE5CF2">
        <w:trPr>
          <w:cantSplit/>
          <w:jc w:val="center"/>
        </w:trPr>
        <w:tc>
          <w:tcPr>
            <w:tcW w:w="9639" w:type="dxa"/>
            <w:gridSpan w:val="3"/>
          </w:tcPr>
          <w:p w14:paraId="5F5D45BC" w14:textId="7A1E42F4" w:rsidR="00E56E20" w:rsidRPr="00E56E20" w:rsidRDefault="00E56E20" w:rsidP="00357436">
            <w:pPr>
              <w:pStyle w:val="Title1"/>
              <w:rPr>
                <w:lang w:bidi="ar-EG"/>
              </w:rPr>
            </w:pPr>
            <w:r w:rsidRPr="00E56E20">
              <w:rPr>
                <w:rtl/>
              </w:rPr>
              <w:t xml:space="preserve">نتائج الجمعية العالمية لتقييس الاتصالات لعام 2024 </w:t>
            </w:r>
            <w:r w:rsidR="009C0D87">
              <w:br/>
            </w:r>
            <w:r w:rsidRPr="00E56E20">
              <w:rPr>
                <w:rtl/>
              </w:rPr>
              <w:t>ذات الصلة بقطاع تنمية الاتصالات بالاتحاد</w:t>
            </w:r>
          </w:p>
        </w:tc>
      </w:tr>
    </w:tbl>
    <w:p w14:paraId="4A87632B" w14:textId="77777777" w:rsidR="00EE5CF2" w:rsidRPr="00E56E20" w:rsidRDefault="00EE5CF2" w:rsidP="009C0D87"/>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E56E20" w14:paraId="14BD221B" w14:textId="77777777" w:rsidTr="000F7FE5">
        <w:trPr>
          <w:cantSplit/>
          <w:jc w:val="center"/>
        </w:trPr>
        <w:tc>
          <w:tcPr>
            <w:tcW w:w="9638" w:type="dxa"/>
            <w:tcBorders>
              <w:top w:val="single" w:sz="6" w:space="0" w:color="auto"/>
              <w:left w:val="single" w:sz="6" w:space="0" w:color="auto"/>
              <w:bottom w:val="single" w:sz="6" w:space="0" w:color="auto"/>
              <w:right w:val="single" w:sz="6" w:space="0" w:color="auto"/>
            </w:tcBorders>
          </w:tcPr>
          <w:p w14:paraId="46F4325A" w14:textId="77777777" w:rsidR="000F7FE5" w:rsidRPr="00E56E20" w:rsidRDefault="000F7FE5" w:rsidP="009C0D87">
            <w:pPr>
              <w:rPr>
                <w:b/>
                <w:bCs/>
                <w:rtl/>
                <w:lang w:bidi="ar-SY"/>
              </w:rPr>
            </w:pPr>
            <w:r w:rsidRPr="00E56E20">
              <w:rPr>
                <w:b/>
                <w:bCs/>
                <w:rtl/>
                <w:lang w:bidi="ar-SY"/>
              </w:rPr>
              <w:t>بند جدول الأعمال:</w:t>
            </w:r>
          </w:p>
          <w:p w14:paraId="213C7659" w14:textId="1EE0B628" w:rsidR="000F7FE5" w:rsidRPr="00E56E20" w:rsidRDefault="00E56E20" w:rsidP="009C0D87">
            <w:pPr>
              <w:rPr>
                <w:rtl/>
                <w:lang w:bidi="ar-SY"/>
              </w:rPr>
            </w:pPr>
            <w:r w:rsidRPr="00E56E20">
              <w:rPr>
                <w:rtl/>
              </w:rPr>
              <w:t>البند 6.</w:t>
            </w:r>
          </w:p>
          <w:p w14:paraId="2794EB08" w14:textId="77777777" w:rsidR="00783A69" w:rsidRPr="00E56E20" w:rsidRDefault="00783A69" w:rsidP="009C0D87">
            <w:pPr>
              <w:rPr>
                <w:b/>
                <w:bCs/>
                <w:rtl/>
                <w:lang w:bidi="ar-SY"/>
              </w:rPr>
            </w:pPr>
            <w:r w:rsidRPr="00E56E20">
              <w:rPr>
                <w:b/>
                <w:bCs/>
                <w:rtl/>
                <w:lang w:bidi="ar-SY"/>
              </w:rPr>
              <w:t>ملخص</w:t>
            </w:r>
            <w:r w:rsidR="005874F2" w:rsidRPr="00E56E20">
              <w:rPr>
                <w:b/>
                <w:bCs/>
                <w:rtl/>
                <w:lang w:bidi="ar-SY"/>
              </w:rPr>
              <w:t>:</w:t>
            </w:r>
          </w:p>
          <w:p w14:paraId="09C6A400" w14:textId="0FB6ACE2" w:rsidR="00E56E20" w:rsidRPr="00E56E20" w:rsidRDefault="00E56E20" w:rsidP="00C14C71">
            <w:pPr>
              <w:rPr>
                <w:lang w:val="ar-SA" w:eastAsia="zh-TW" w:bidi="en-GB"/>
              </w:rPr>
            </w:pPr>
            <w:r w:rsidRPr="00E56E20">
              <w:rPr>
                <w:rtl/>
              </w:rPr>
              <w:t>عقدت الجمعية العالمية لتقييس الاتصالات لعام 2024 في نيودلهي، الهند في الفترة من 15 إلى 24 أكتوبر 2024. وسبق المؤتمر الندوة العالمية للمعايير التي عقدت في 14 أكتوبر 2024.</w:t>
            </w:r>
          </w:p>
          <w:p w14:paraId="17095C50" w14:textId="248E57E3" w:rsidR="00783A69" w:rsidRPr="00E56E20" w:rsidRDefault="00E56E20" w:rsidP="009C0D87">
            <w:pPr>
              <w:rPr>
                <w:rtl/>
                <w:lang w:bidi="ar-SY"/>
              </w:rPr>
            </w:pPr>
            <w:r w:rsidRPr="00E56E20">
              <w:rPr>
                <w:rtl/>
              </w:rPr>
              <w:t>‏وتلخص هذه الوثيقة النتائج الرئيسية لهذه الاجتماعات مع تسليط الضوء على القرارات ذات الصلة بعمل قطاع التنمية.‎</w:t>
            </w:r>
          </w:p>
          <w:p w14:paraId="5D272AB3" w14:textId="1FFD61D8" w:rsidR="00783A69" w:rsidRPr="00E56E20" w:rsidRDefault="00993918" w:rsidP="009C0D87">
            <w:pPr>
              <w:rPr>
                <w:b/>
                <w:bCs/>
                <w:rtl/>
                <w:lang w:bidi="ar-SY"/>
              </w:rPr>
            </w:pPr>
            <w:r>
              <w:rPr>
                <w:rFonts w:hint="cs"/>
                <w:b/>
                <w:bCs/>
                <w:rtl/>
                <w:lang w:bidi="ar-SY"/>
              </w:rPr>
              <w:t>الإجراء المطلوب</w:t>
            </w:r>
            <w:r w:rsidR="0086538C" w:rsidRPr="00E56E20">
              <w:rPr>
                <w:b/>
                <w:bCs/>
                <w:rtl/>
                <w:lang w:bidi="ar-SY"/>
              </w:rPr>
              <w:t>:</w:t>
            </w:r>
          </w:p>
          <w:p w14:paraId="429DF35D" w14:textId="7B100B23" w:rsidR="00783A69" w:rsidRPr="00E56E20" w:rsidRDefault="00993918" w:rsidP="00993918">
            <w:pPr>
              <w:rPr>
                <w:rtl/>
                <w:lang w:bidi="ar-EG"/>
              </w:rPr>
            </w:pPr>
            <w:r>
              <w:rPr>
                <w:rFonts w:hint="cs"/>
                <w:rtl/>
                <w:lang w:bidi="ar-EG"/>
              </w:rPr>
              <w:t>تُدعى الاجتماعات الإقليمية التحضيرية</w:t>
            </w:r>
            <w:r w:rsidRPr="00993918">
              <w:rPr>
                <w:rtl/>
                <w:lang w:bidi="ar-EG"/>
              </w:rPr>
              <w:t xml:space="preserve"> إلى </w:t>
            </w:r>
            <w:r w:rsidR="00F21555">
              <w:rPr>
                <w:rFonts w:hint="cs"/>
                <w:rtl/>
                <w:lang w:bidi="ar-EG"/>
              </w:rPr>
              <w:t>العلم</w:t>
            </w:r>
            <w:r>
              <w:rPr>
                <w:rFonts w:hint="cs"/>
                <w:rtl/>
                <w:lang w:bidi="ar-EG"/>
              </w:rPr>
              <w:t xml:space="preserve"> ب</w:t>
            </w:r>
            <w:r w:rsidRPr="00993918">
              <w:rPr>
                <w:rtl/>
                <w:lang w:bidi="ar-EG"/>
              </w:rPr>
              <w:t>هذا التقرير وتقديم الإرشادات حسب ما تراه مناسبا</w:t>
            </w:r>
            <w:r>
              <w:rPr>
                <w:rFonts w:hint="cs"/>
                <w:rtl/>
                <w:lang w:bidi="ar-EG"/>
              </w:rPr>
              <w:t>ً.</w:t>
            </w:r>
          </w:p>
          <w:p w14:paraId="408E0490" w14:textId="77777777" w:rsidR="00783A69" w:rsidRPr="00E56E20" w:rsidRDefault="00783A69" w:rsidP="009C0D87">
            <w:pPr>
              <w:rPr>
                <w:b/>
                <w:bCs/>
                <w:rtl/>
                <w:lang w:bidi="ar-SY"/>
              </w:rPr>
            </w:pPr>
            <w:r w:rsidRPr="00E56E20">
              <w:rPr>
                <w:b/>
                <w:bCs/>
                <w:rtl/>
                <w:lang w:bidi="ar-SY"/>
              </w:rPr>
              <w:t>المراجع</w:t>
            </w:r>
            <w:r w:rsidR="005874F2" w:rsidRPr="00E56E20">
              <w:rPr>
                <w:b/>
                <w:bCs/>
                <w:rtl/>
                <w:lang w:bidi="ar-SY"/>
              </w:rPr>
              <w:t>:</w:t>
            </w:r>
          </w:p>
          <w:p w14:paraId="04BA6A0E" w14:textId="05A0E20E" w:rsidR="00E56E20" w:rsidRPr="00E56E20" w:rsidRDefault="00E56E20" w:rsidP="00357436">
            <w:pPr>
              <w:pStyle w:val="enumlev1"/>
              <w:rPr>
                <w:lang w:val="ar-SA" w:eastAsia="zh-TW" w:bidi="en-GB"/>
              </w:rPr>
            </w:pPr>
            <w:r w:rsidRPr="00E56E20">
              <w:rPr>
                <w:rtl/>
              </w:rPr>
              <w:t>‒</w:t>
            </w:r>
            <w:r w:rsidRPr="00E56E20">
              <w:rPr>
                <w:rtl/>
              </w:rPr>
              <w:tab/>
              <w:t xml:space="preserve">الموقع الإلكتروني للجمعية العالمية لتقييس الاتصالات لعام 2024: </w:t>
            </w:r>
            <w:hyperlink r:id="rId8" w:anchor="/ar" w:tgtFrame="_blank" w:history="1">
              <w:r w:rsidRPr="00846BBA">
                <w:rPr>
                  <w:rStyle w:val="Hyperlink"/>
                </w:rPr>
                <w:t>https://www.itu.int/wtsa/2024/</w:t>
              </w:r>
            </w:hyperlink>
            <w:r w:rsidRPr="00846BBA">
              <w:rPr>
                <w:rStyle w:val="Hyperlink"/>
                <w:rtl/>
              </w:rPr>
              <w:t>.</w:t>
            </w:r>
          </w:p>
          <w:p w14:paraId="7E834D49" w14:textId="77777777" w:rsidR="00E56E20" w:rsidRPr="00E56E20" w:rsidRDefault="00E56E20" w:rsidP="00357436">
            <w:pPr>
              <w:pStyle w:val="enumlev1"/>
              <w:rPr>
                <w:lang w:val="ar-SA" w:eastAsia="zh-TW" w:bidi="en-GB"/>
              </w:rPr>
            </w:pPr>
            <w:r w:rsidRPr="00E56E20">
              <w:rPr>
                <w:rtl/>
              </w:rPr>
              <w:t>‒</w:t>
            </w:r>
            <w:r w:rsidRPr="00E56E20">
              <w:rPr>
                <w:rtl/>
              </w:rPr>
              <w:tab/>
              <w:t xml:space="preserve">مشروع محاضر: </w:t>
            </w:r>
            <w:hyperlink r:id="rId9" w:history="1">
              <w:r w:rsidRPr="00846BBA">
                <w:rPr>
                  <w:rStyle w:val="Hyperlink"/>
                  <w:rtl/>
                </w:rPr>
                <w:t>مشروع وقائع الجمعية WTSA-24</w:t>
              </w:r>
            </w:hyperlink>
          </w:p>
          <w:p w14:paraId="0E38DE30" w14:textId="77777777" w:rsidR="00E56E20" w:rsidRPr="00E56E20" w:rsidRDefault="00E56E20" w:rsidP="00357436">
            <w:pPr>
              <w:pStyle w:val="enumlev1"/>
              <w:rPr>
                <w:lang w:val="ar-SA" w:eastAsia="zh-TW" w:bidi="en-GB"/>
              </w:rPr>
            </w:pPr>
            <w:r w:rsidRPr="00E56E20">
              <w:rPr>
                <w:rtl/>
              </w:rPr>
              <w:t>‒</w:t>
            </w:r>
            <w:r w:rsidRPr="00E56E20">
              <w:rPr>
                <w:rtl/>
              </w:rPr>
              <w:tab/>
              <w:t xml:space="preserve">كتيب الجمعية </w:t>
            </w:r>
            <w:r w:rsidRPr="00E56E20">
              <w:t>WTSA-24</w:t>
            </w:r>
            <w:r w:rsidRPr="00E56E20">
              <w:rPr>
                <w:rtl/>
              </w:rPr>
              <w:t xml:space="preserve">: </w:t>
            </w:r>
            <w:hyperlink r:id="rId10" w:tgtFrame="_blank" w:history="1">
              <w:r w:rsidRPr="00846BBA">
                <w:rPr>
                  <w:rStyle w:val="Hyperlink"/>
                </w:rPr>
                <w:t>https://www.itu.int/en/ITU-T/wtsa24/Documents/WTSA-</w:t>
              </w:r>
            </w:hyperlink>
            <w:hyperlink r:id="rId11" w:tgtFrame="_blank" w:history="1">
              <w:r w:rsidRPr="00846BBA">
                <w:rPr>
                  <w:rStyle w:val="Hyperlink"/>
                </w:rPr>
                <w:t>24_GSS-24_Brochure.pdf</w:t>
              </w:r>
            </w:hyperlink>
          </w:p>
          <w:p w14:paraId="2351D09F" w14:textId="3893AA2A" w:rsidR="00783A69" w:rsidRPr="00E56E20" w:rsidRDefault="00E56E20" w:rsidP="00357436">
            <w:pPr>
              <w:pStyle w:val="enumlev1"/>
              <w:rPr>
                <w:highlight w:val="yellow"/>
                <w:rtl/>
              </w:rPr>
            </w:pPr>
            <w:r w:rsidRPr="00E56E20">
              <w:rPr>
                <w:rtl/>
              </w:rPr>
              <w:t>‒</w:t>
            </w:r>
            <w:r w:rsidRPr="00E56E20">
              <w:rPr>
                <w:rtl/>
              </w:rPr>
              <w:tab/>
              <w:t xml:space="preserve">الأحداث ذات الصلة للجمعية: </w:t>
            </w:r>
            <w:hyperlink r:id="rId12" w:anchor="/ar" w:tgtFrame="_blank" w:history="1">
              <w:r w:rsidRPr="00846BBA">
                <w:rPr>
                  <w:rStyle w:val="Hyperlink"/>
                </w:rPr>
                <w:t>https://www.itu.int/wtsa/2024/related-events/</w:t>
              </w:r>
            </w:hyperlink>
          </w:p>
        </w:tc>
      </w:tr>
    </w:tbl>
    <w:p w14:paraId="36D21E15" w14:textId="77777777" w:rsidR="0006468A" w:rsidRPr="00E56E20" w:rsidRDefault="0006468A" w:rsidP="009C0D87">
      <w:pPr>
        <w:rPr>
          <w:rtl/>
          <w:lang w:bidi="ar-EG"/>
        </w:rPr>
      </w:pPr>
    </w:p>
    <w:p w14:paraId="6B594B55" w14:textId="77777777" w:rsidR="00E56E20" w:rsidRPr="009C0D87" w:rsidRDefault="00E56E20" w:rsidP="009C0D87">
      <w:pPr>
        <w:pStyle w:val="Heading1"/>
      </w:pPr>
      <w:r w:rsidRPr="00E56E20">
        <w:rPr>
          <w:rtl/>
        </w:rPr>
        <w:lastRenderedPageBreak/>
        <w:t>1</w:t>
      </w:r>
      <w:r w:rsidRPr="00E56E20">
        <w:rPr>
          <w:rtl/>
        </w:rPr>
        <w:tab/>
        <w:t>خلفية</w:t>
      </w:r>
    </w:p>
    <w:p w14:paraId="5BABE0BB" w14:textId="6E94BA90" w:rsidR="00E56E20" w:rsidRPr="00E56E20" w:rsidRDefault="00E56E20" w:rsidP="009C0D87">
      <w:pPr>
        <w:textDirection w:val="tbRlV"/>
        <w:rPr>
          <w:rFonts w:hint="cs"/>
          <w:lang w:val="ar-SA" w:eastAsia="zh-TW"/>
        </w:rPr>
      </w:pPr>
      <w:r w:rsidRPr="00E56E20">
        <w:rPr>
          <w:rtl/>
        </w:rPr>
        <w:t xml:space="preserve">عقدت الجمعية العالمية لتقييس الاتصالات لعام 2024 في نيودلهي، الهند في الفترة من 15 إلى 24 أكتوبر 2024. وحضر المؤتمر حوالي </w:t>
      </w:r>
      <w:r w:rsidR="007873D7">
        <w:t>3 700</w:t>
      </w:r>
      <w:r w:rsidRPr="00E56E20">
        <w:rPr>
          <w:rtl/>
        </w:rPr>
        <w:t xml:space="preserve"> مندوب من 164 بلداً، مع أكبر عدد من الدول الأعضاء الممثلة و37 وزيراً. كما سجلت الجمعية </w:t>
      </w:r>
      <w:r w:rsidRPr="00E56E20">
        <w:t>WTSA</w:t>
      </w:r>
      <w:r w:rsidR="007873D7">
        <w:noBreakHyphen/>
      </w:r>
      <w:r w:rsidRPr="00E56E20">
        <w:t>24</w:t>
      </w:r>
      <w:r w:rsidRPr="00E56E20">
        <w:rPr>
          <w:rtl/>
        </w:rPr>
        <w:t xml:space="preserve"> أعلى مستوى من حيث مشاركة الإناث خارج جنيف (</w:t>
      </w:r>
      <w:r w:rsidR="009C0D87">
        <w:t>%27</w:t>
      </w:r>
      <w:r w:rsidRPr="00E56E20">
        <w:rPr>
          <w:rtl/>
        </w:rPr>
        <w:t>).</w:t>
      </w:r>
    </w:p>
    <w:p w14:paraId="6BD952A7" w14:textId="77777777" w:rsidR="00E56E20" w:rsidRPr="00E56E20" w:rsidRDefault="00E56E20" w:rsidP="009C0D87">
      <w:pPr>
        <w:textDirection w:val="tbRlV"/>
        <w:rPr>
          <w:lang w:val="ar-SA" w:eastAsia="zh-TW" w:bidi="en-GB"/>
        </w:rPr>
      </w:pPr>
      <w:r w:rsidRPr="00E56E20">
        <w:rPr>
          <w:rtl/>
        </w:rPr>
        <w:t xml:space="preserve">وتولى السيد </w:t>
      </w:r>
      <w:proofErr w:type="spellStart"/>
      <w:r w:rsidRPr="00E56E20">
        <w:rPr>
          <w:rtl/>
        </w:rPr>
        <w:t>ريتو</w:t>
      </w:r>
      <w:proofErr w:type="spellEnd"/>
      <w:r w:rsidRPr="00E56E20">
        <w:rPr>
          <w:rtl/>
        </w:rPr>
        <w:t xml:space="preserve"> </w:t>
      </w:r>
      <w:proofErr w:type="spellStart"/>
      <w:r w:rsidRPr="00E56E20">
        <w:rPr>
          <w:rtl/>
        </w:rPr>
        <w:t>رانجان</w:t>
      </w:r>
      <w:proofErr w:type="spellEnd"/>
      <w:r w:rsidRPr="00E56E20">
        <w:rPr>
          <w:rtl/>
        </w:rPr>
        <w:t xml:space="preserve"> </w:t>
      </w:r>
      <w:proofErr w:type="spellStart"/>
      <w:r w:rsidRPr="00E56E20">
        <w:rPr>
          <w:rtl/>
        </w:rPr>
        <w:t>ميتار</w:t>
      </w:r>
      <w:proofErr w:type="spellEnd"/>
      <w:r w:rsidRPr="00E56E20">
        <w:rPr>
          <w:rtl/>
        </w:rPr>
        <w:t xml:space="preserve"> (الهند) رئاسة الاجتماع. وحضر حفل الافتتاح معالي رئيس وزراء الهند شري </w:t>
      </w:r>
      <w:proofErr w:type="spellStart"/>
      <w:r w:rsidRPr="00E56E20">
        <w:rPr>
          <w:rtl/>
        </w:rPr>
        <w:t>ناريندرا</w:t>
      </w:r>
      <w:proofErr w:type="spellEnd"/>
      <w:r w:rsidRPr="00E56E20">
        <w:rPr>
          <w:rtl/>
        </w:rPr>
        <w:t xml:space="preserve"> مودي.</w:t>
      </w:r>
    </w:p>
    <w:p w14:paraId="0B44C004" w14:textId="77777777" w:rsidR="00E56E20" w:rsidRPr="00E56E20" w:rsidRDefault="00E56E20" w:rsidP="009C0D87">
      <w:pPr>
        <w:textDirection w:val="tbRlV"/>
        <w:rPr>
          <w:lang w:val="ar-SA" w:eastAsia="zh-TW" w:bidi="en-GB"/>
        </w:rPr>
      </w:pPr>
      <w:r w:rsidRPr="00E56E20">
        <w:rPr>
          <w:rtl/>
        </w:rPr>
        <w:t xml:space="preserve">وعقد أكثر من 20 حدثاً موازياً خلال انعقاد الجمعية </w:t>
      </w:r>
      <w:r w:rsidRPr="00E56E20">
        <w:t>WTSA-24</w:t>
      </w:r>
      <w:r w:rsidRPr="00E56E20">
        <w:rPr>
          <w:rtl/>
        </w:rPr>
        <w:t xml:space="preserve"> (ويمكن الاطلاع على مزيد من المعلومات في الموقع التالي: </w:t>
      </w:r>
      <w:hyperlink r:id="rId13" w:history="1">
        <w:r w:rsidRPr="003E4528">
          <w:rPr>
            <w:rStyle w:val="Hyperlink"/>
          </w:rPr>
          <w:t>https://www.itu.int/wtsa/2024/related-events/</w:t>
        </w:r>
      </w:hyperlink>
      <w:r w:rsidRPr="00E56E20">
        <w:rPr>
          <w:rtl/>
        </w:rPr>
        <w:t>)</w:t>
      </w:r>
    </w:p>
    <w:p w14:paraId="678709EE" w14:textId="77777777" w:rsidR="00E56E20" w:rsidRPr="00E56E20" w:rsidRDefault="00E56E20" w:rsidP="009C0D87">
      <w:pPr>
        <w:textDirection w:val="tbRlV"/>
        <w:rPr>
          <w:lang w:val="ar-SA" w:eastAsia="zh-TW" w:bidi="en-GB"/>
        </w:rPr>
      </w:pPr>
      <w:r w:rsidRPr="00E56E20">
        <w:rPr>
          <w:rtl/>
        </w:rPr>
        <w:t>وسبق المؤتمر الندوة العالمية للمعايير التي عقدت في 14 أكتوبر 2024.</w:t>
      </w:r>
    </w:p>
    <w:p w14:paraId="4294DD4E" w14:textId="77777777" w:rsidR="00E56E20" w:rsidRPr="00E56E20" w:rsidRDefault="00E56E20" w:rsidP="009C0D87">
      <w:pPr>
        <w:pStyle w:val="Heading1"/>
        <w:rPr>
          <w:lang w:val="ar-SA" w:eastAsia="zh-TW" w:bidi="en-GB"/>
        </w:rPr>
      </w:pPr>
      <w:r w:rsidRPr="00E56E20">
        <w:rPr>
          <w:rtl/>
        </w:rPr>
        <w:t>2</w:t>
      </w:r>
      <w:r w:rsidRPr="00E56E20">
        <w:rPr>
          <w:rtl/>
        </w:rPr>
        <w:tab/>
        <w:t>النقاط البارزة:</w:t>
      </w:r>
    </w:p>
    <w:p w14:paraId="63FADE1D" w14:textId="77777777" w:rsidR="00E56E20" w:rsidRPr="00E56E20" w:rsidRDefault="00E56E20" w:rsidP="009C0D87">
      <w:pPr>
        <w:keepNext/>
        <w:keepLines/>
        <w:tabs>
          <w:tab w:val="clear" w:pos="794"/>
        </w:tabs>
        <w:snapToGrid w:val="0"/>
        <w:textDirection w:val="tbRlV"/>
        <w:rPr>
          <w:i/>
          <w:iCs/>
          <w:u w:val="single"/>
          <w:lang w:val="ar-SA" w:eastAsia="zh-TW" w:bidi="en-GB"/>
        </w:rPr>
      </w:pPr>
      <w:r w:rsidRPr="00E56E20">
        <w:rPr>
          <w:i/>
          <w:iCs/>
          <w:u w:val="single"/>
          <w:rtl/>
        </w:rPr>
        <w:t>لجان الدراسات التابعة لقطاع تقييس الاتصالات</w:t>
      </w:r>
    </w:p>
    <w:p w14:paraId="2A27E424" w14:textId="77777777" w:rsidR="00E56E20" w:rsidRPr="00E56E20" w:rsidRDefault="00E56E20" w:rsidP="009C0D87">
      <w:pPr>
        <w:ind w:left="794" w:hanging="794"/>
        <w:textDirection w:val="tbRlV"/>
        <w:rPr>
          <w:lang w:val="ar-SA" w:eastAsia="zh-TW" w:bidi="en-GB"/>
        </w:rPr>
      </w:pPr>
      <w:r w:rsidRPr="00E56E20">
        <w:sym w:font="Symbol" w:char="F0B7"/>
      </w:r>
      <w:r w:rsidRPr="00E56E20">
        <w:rPr>
          <w:rtl/>
        </w:rPr>
        <w:tab/>
        <w:t xml:space="preserve">دمجت لجنتا الدراسات 9 لقطاع تقييس الاتصالات (الشبكات التلفزيونية </w:t>
      </w:r>
      <w:proofErr w:type="spellStart"/>
      <w:r w:rsidRPr="00E56E20">
        <w:rPr>
          <w:rtl/>
        </w:rPr>
        <w:t>والكبلية</w:t>
      </w:r>
      <w:proofErr w:type="spellEnd"/>
      <w:r w:rsidRPr="00E56E20">
        <w:rPr>
          <w:rtl/>
        </w:rPr>
        <w:t xml:space="preserve"> عريضة النطاق) ولجنة الدراسات 16 (الوسائط المتعددة والتكنولوجيات الرقمية ذات الصلة) في لجنة الدراسات 21 الجديدة (تكنولوجيات الوسائط المتعددة وإيصال المحتوى والتلفزيون </w:t>
      </w:r>
      <w:proofErr w:type="spellStart"/>
      <w:r w:rsidRPr="00E56E20">
        <w:rPr>
          <w:rtl/>
        </w:rPr>
        <w:t>الكبلي</w:t>
      </w:r>
      <w:proofErr w:type="spellEnd"/>
      <w:r w:rsidRPr="00E56E20">
        <w:rPr>
          <w:rtl/>
        </w:rPr>
        <w:t>).</w:t>
      </w:r>
    </w:p>
    <w:p w14:paraId="5767F83E" w14:textId="77777777" w:rsidR="00E56E20" w:rsidRPr="00E56E20" w:rsidRDefault="00E56E20" w:rsidP="009C0D87">
      <w:pPr>
        <w:ind w:left="794" w:hanging="794"/>
        <w:textDirection w:val="tbRlV"/>
        <w:rPr>
          <w:lang w:val="ar-SA" w:eastAsia="zh-TW" w:bidi="en-GB"/>
        </w:rPr>
      </w:pPr>
      <w:r w:rsidRPr="00E56E20">
        <w:sym w:font="Symbol" w:char="F0B7"/>
      </w:r>
      <w:r w:rsidRPr="00E56E20">
        <w:rPr>
          <w:rtl/>
        </w:rPr>
        <w:tab/>
        <w:t>تم الإبقاء على لجان الدراسات العشر الأخرى.</w:t>
      </w:r>
    </w:p>
    <w:p w14:paraId="4AAB4115" w14:textId="77777777" w:rsidR="00E56E20" w:rsidRPr="00E56E20" w:rsidRDefault="00E56E20" w:rsidP="009C0D87">
      <w:pPr>
        <w:ind w:left="794" w:hanging="794"/>
        <w:textDirection w:val="tbRlV"/>
        <w:rPr>
          <w:lang w:val="ar-SA" w:eastAsia="zh-TW" w:bidi="en-GB"/>
        </w:rPr>
      </w:pPr>
      <w:r w:rsidRPr="00E56E20">
        <w:sym w:font="Symbol" w:char="F0B7"/>
      </w:r>
      <w:r w:rsidRPr="00E56E20">
        <w:rPr>
          <w:rtl/>
        </w:rPr>
        <w:tab/>
        <w:t>تمت الموافقة على الولايات المحدثة (القرار 2) والمسائل الجديدة للجان الدراسات العشر لقطاع تقييس الاتصالات. والقرار 2 متاح في مشروع وقائع الجمعية (</w:t>
      </w:r>
      <w:hyperlink r:id="rId14">
        <w:r w:rsidRPr="003E4528">
          <w:rPr>
            <w:rStyle w:val="Hyperlink"/>
          </w:rPr>
          <w:t>https://www.itu.int/pub/T-REG-WTSADRAFT-2024</w:t>
        </w:r>
      </w:hyperlink>
      <w:r w:rsidRPr="00E56E20">
        <w:rPr>
          <w:rtl/>
        </w:rPr>
        <w:t>)، ويتاح نص المسائل في مختلف صفحات لجان الدراسات المحدثة (</w:t>
      </w:r>
      <w:hyperlink r:id="rId15">
        <w:r w:rsidRPr="003E4528">
          <w:rPr>
            <w:rStyle w:val="Hyperlink"/>
          </w:rPr>
          <w:t>https://www.itu.int/en/ITU-T/studygroups/2025-2028</w:t>
        </w:r>
      </w:hyperlink>
      <w:r w:rsidRPr="00E56E20">
        <w:rPr>
          <w:rtl/>
        </w:rPr>
        <w:t>).</w:t>
      </w:r>
    </w:p>
    <w:p w14:paraId="26ECA550" w14:textId="77777777" w:rsidR="00E56E20" w:rsidRPr="00E56E20" w:rsidRDefault="00E56E20" w:rsidP="009C0D87">
      <w:pPr>
        <w:keepNext/>
        <w:keepLines/>
        <w:tabs>
          <w:tab w:val="clear" w:pos="794"/>
        </w:tabs>
        <w:snapToGrid w:val="0"/>
        <w:textDirection w:val="tbRlV"/>
        <w:rPr>
          <w:i/>
          <w:iCs/>
          <w:u w:val="single"/>
          <w:lang w:val="ar-SA" w:eastAsia="zh-TW" w:bidi="en-GB"/>
        </w:rPr>
      </w:pPr>
      <w:r w:rsidRPr="00E56E20">
        <w:rPr>
          <w:i/>
          <w:iCs/>
          <w:u w:val="single"/>
          <w:rtl/>
        </w:rPr>
        <w:t>تعيين رؤساء ونواب رؤساء عشر لجان دراسات لقطاع تقييس الاتصالات وللفريق الاستشاري لتقييس الاتصالات وللجنة التقييس المعنية بالمفردات</w:t>
      </w:r>
    </w:p>
    <w:p w14:paraId="5F8EAA01" w14:textId="77777777" w:rsidR="00E56E20" w:rsidRPr="00E56E20" w:rsidRDefault="00E56E20" w:rsidP="009C0D87">
      <w:pPr>
        <w:ind w:left="794" w:hanging="794"/>
        <w:textDirection w:val="tbRlV"/>
        <w:rPr>
          <w:lang w:eastAsia="zh-TW" w:bidi="en-GB"/>
        </w:rPr>
      </w:pPr>
      <w:r w:rsidRPr="00E56E20">
        <w:sym w:font="Symbol" w:char="F0B7"/>
      </w:r>
      <w:r w:rsidRPr="00E56E20">
        <w:rPr>
          <w:rtl/>
        </w:rPr>
        <w:tab/>
        <w:t>ترد قائمة الرؤساء ونواب الرؤساء المعيّنين في الجزء 4 من مشروع وقائع الجمعية (</w:t>
      </w:r>
      <w:hyperlink r:id="rId16" w:history="1">
        <w:r w:rsidRPr="003E4528">
          <w:rPr>
            <w:rStyle w:val="Hyperlink"/>
          </w:rPr>
          <w:t>https://www.itu.int/pub/T-REG-WTSADRAFT-2024</w:t>
        </w:r>
      </w:hyperlink>
      <w:r w:rsidRPr="00E56E20">
        <w:rPr>
          <w:rtl/>
        </w:rPr>
        <w:t>).</w:t>
      </w:r>
    </w:p>
    <w:p w14:paraId="7F1CCE30" w14:textId="2EDF5EF3" w:rsidR="00E56E20" w:rsidRPr="00E56E20" w:rsidRDefault="00E56E20" w:rsidP="009C0D87">
      <w:pPr>
        <w:keepNext/>
        <w:keepLines/>
        <w:tabs>
          <w:tab w:val="clear" w:pos="794"/>
        </w:tabs>
        <w:snapToGrid w:val="0"/>
        <w:textDirection w:val="tbRlV"/>
        <w:rPr>
          <w:i/>
          <w:iCs/>
          <w:u w:val="single"/>
          <w:lang w:val="ar-SA" w:eastAsia="zh-TW" w:bidi="en-GB"/>
        </w:rPr>
      </w:pPr>
      <w:r w:rsidRPr="00E56E20">
        <w:rPr>
          <w:i/>
          <w:iCs/>
          <w:u w:val="single"/>
          <w:rtl/>
        </w:rPr>
        <w:t xml:space="preserve">الموافقة على قرارات جديدة </w:t>
      </w:r>
      <w:r w:rsidR="00F70ABC" w:rsidRPr="00E56E20">
        <w:rPr>
          <w:rFonts w:hint="cs"/>
          <w:i/>
          <w:iCs/>
          <w:u w:val="single"/>
          <w:rtl/>
        </w:rPr>
        <w:t>ومراجعة</w:t>
      </w:r>
      <w:r w:rsidRPr="00E56E20">
        <w:rPr>
          <w:i/>
          <w:iCs/>
          <w:u w:val="single"/>
          <w:rtl/>
        </w:rPr>
        <w:t xml:space="preserve"> لجمعية تقييس الاتصالات وتوصيات لقطاع تقييس الاتصالات في الاتحاد</w:t>
      </w:r>
    </w:p>
    <w:p w14:paraId="0F1F01E0" w14:textId="77777777" w:rsidR="00E56E20" w:rsidRPr="00E56E20" w:rsidRDefault="00E56E20" w:rsidP="009C0D87">
      <w:pPr>
        <w:ind w:left="794" w:hanging="794"/>
        <w:textDirection w:val="tbRlV"/>
      </w:pPr>
      <w:r w:rsidRPr="00E56E20">
        <w:sym w:font="Symbol" w:char="F0B7"/>
      </w:r>
      <w:r w:rsidRPr="00E56E20">
        <w:rPr>
          <w:rtl/>
        </w:rPr>
        <w:tab/>
        <w:t>ثمانية قرارات جديدة (القرارات من 101 إلى 108)</w:t>
      </w:r>
    </w:p>
    <w:p w14:paraId="33979A5C" w14:textId="77777777" w:rsidR="00E56E20" w:rsidRPr="00E56E20" w:rsidRDefault="00E56E20" w:rsidP="009C0D87">
      <w:pPr>
        <w:ind w:left="794" w:hanging="794"/>
        <w:textDirection w:val="tbRlV"/>
      </w:pPr>
      <w:r w:rsidRPr="00E56E20">
        <w:sym w:font="Symbol" w:char="F0B7"/>
      </w:r>
      <w:r w:rsidRPr="00E56E20">
        <w:rPr>
          <w:rtl/>
        </w:rPr>
        <w:tab/>
        <w:t>44 قراراً منقحاً (القرارات 2 و7 و11 و18 و20 و22 و29 و32 و34 و40 و43 و44 و48 و50 و52 و54 و55 و58 و60 و61 و64 و65 و67 و68 و70 و72 و73 و74 و76 و77 و78 و79 و84 و88 و89 و91 و92 و93 و94 و96 و97 و98 و99 و100</w:t>
      </w:r>
      <w:r w:rsidRPr="00E56E20">
        <w:t>(</w:t>
      </w:r>
    </w:p>
    <w:p w14:paraId="5A0986CC" w14:textId="77777777" w:rsidR="00E56E20" w:rsidRPr="00E56E20" w:rsidRDefault="00E56E20" w:rsidP="009C0D87">
      <w:pPr>
        <w:ind w:left="794" w:hanging="794"/>
        <w:textDirection w:val="tbRlV"/>
      </w:pPr>
      <w:r w:rsidRPr="00E56E20">
        <w:sym w:font="Symbol" w:char="F0B7"/>
      </w:r>
      <w:r w:rsidRPr="00E56E20">
        <w:rPr>
          <w:rtl/>
        </w:rPr>
        <w:tab/>
        <w:t>قرار واحد ملغى (القرار 80</w:t>
      </w:r>
      <w:r w:rsidRPr="00E56E20">
        <w:t>(</w:t>
      </w:r>
    </w:p>
    <w:p w14:paraId="3A8535F9" w14:textId="77777777" w:rsidR="00E56E20" w:rsidRPr="00E56E20" w:rsidRDefault="00E56E20" w:rsidP="009C0D87">
      <w:pPr>
        <w:ind w:left="794" w:hanging="794"/>
        <w:textDirection w:val="tbRlV"/>
      </w:pPr>
      <w:r w:rsidRPr="00E56E20">
        <w:sym w:font="Symbol" w:char="F0B7"/>
      </w:r>
      <w:r w:rsidRPr="00E56E20">
        <w:rPr>
          <w:rtl/>
        </w:rPr>
        <w:tab/>
        <w:t>توصية مراجعة واحدة لقطاع تقييس الاتصالات (A.25)</w:t>
      </w:r>
    </w:p>
    <w:p w14:paraId="23746095" w14:textId="77777777" w:rsidR="00E56E20" w:rsidRPr="00E56E20" w:rsidRDefault="00E56E20" w:rsidP="009C0D87">
      <w:pPr>
        <w:ind w:left="794" w:hanging="794"/>
        <w:textDirection w:val="tbRlV"/>
        <w:rPr>
          <w:lang w:val="ar-SA" w:eastAsia="zh-TW" w:bidi="en-GB"/>
        </w:rPr>
      </w:pPr>
      <w:r w:rsidRPr="00E56E20">
        <w:sym w:font="Symbol" w:char="F0B7"/>
      </w:r>
      <w:r w:rsidRPr="00E56E20">
        <w:rPr>
          <w:rtl/>
        </w:rPr>
        <w:tab/>
        <w:t>ترد القرارات الجديدة والمراجعة للجمعية العالمية لتقييس الاتصالات وتوصيات قطاع تقييس الاتصالات في الجزأين 1 و2 من مشروع وقائع الجمعية (</w:t>
      </w:r>
      <w:hyperlink r:id="rId17" w:history="1">
        <w:r w:rsidRPr="003E4528">
          <w:rPr>
            <w:rStyle w:val="Hyperlink"/>
          </w:rPr>
          <w:t>https://www.itu.int/pub/T-REG-WTSADRAFT-2024</w:t>
        </w:r>
      </w:hyperlink>
      <w:r w:rsidRPr="00E56E20">
        <w:rPr>
          <w:rtl/>
        </w:rPr>
        <w:t>).</w:t>
      </w:r>
    </w:p>
    <w:p w14:paraId="42AA06C6" w14:textId="77777777" w:rsidR="00E56E20" w:rsidRPr="00E56E20" w:rsidRDefault="00E56E20" w:rsidP="009C0D87">
      <w:pPr>
        <w:keepNext/>
        <w:keepLines/>
        <w:tabs>
          <w:tab w:val="clear" w:pos="794"/>
        </w:tabs>
        <w:snapToGrid w:val="0"/>
        <w:textDirection w:val="tbRlV"/>
        <w:rPr>
          <w:i/>
          <w:iCs/>
          <w:u w:val="single"/>
          <w:lang w:val="ar-SA" w:eastAsia="zh-TW" w:bidi="en-GB"/>
        </w:rPr>
      </w:pPr>
      <w:r w:rsidRPr="00E56E20">
        <w:rPr>
          <w:i/>
          <w:iCs/>
          <w:u w:val="single"/>
          <w:rtl/>
        </w:rPr>
        <w:t>القرارات الجديدة الصادرة عن الجمعية العالمية لتقييس الاتصالات</w:t>
      </w:r>
    </w:p>
    <w:p w14:paraId="0FD2C12F" w14:textId="77777777" w:rsidR="00E56E20" w:rsidRPr="00E56E20" w:rsidRDefault="00E56E20" w:rsidP="00C1517A">
      <w:pPr>
        <w:pStyle w:val="enumlev1"/>
      </w:pPr>
      <w:r w:rsidRPr="00E56E20">
        <w:sym w:font="Symbol" w:char="F0B7"/>
      </w:r>
      <w:r w:rsidRPr="00E56E20">
        <w:rPr>
          <w:rtl/>
        </w:rPr>
        <w:tab/>
        <w:t>القرار 101 (COM4/AI سابقاً) (نيودلهي، 2024)</w:t>
      </w:r>
      <w:r w:rsidRPr="00E56E20">
        <w:t>:</w:t>
      </w:r>
      <w:r w:rsidRPr="00E56E20">
        <w:rPr>
          <w:rtl/>
        </w:rPr>
        <w:t xml:space="preserve"> أنشطة التقييس التي يضطلع بها قطاع تقييس الاتصالات بالاتحاد الدولي للاتصالات بشأن استخدام تكنولوجيات الذكاء الاصطناعي لدعم الاتصالات/تكنولوجيا المعلومات والاتصالات</w:t>
      </w:r>
    </w:p>
    <w:p w14:paraId="2349E717" w14:textId="77777777" w:rsidR="00E56E20" w:rsidRPr="00E56E20" w:rsidRDefault="00E56E20" w:rsidP="00C1517A">
      <w:pPr>
        <w:pStyle w:val="enumlev1"/>
      </w:pPr>
      <w:r w:rsidRPr="00E56E20">
        <w:sym w:font="Symbol" w:char="F0B7"/>
      </w:r>
      <w:r w:rsidRPr="00E56E20">
        <w:rPr>
          <w:rtl/>
        </w:rPr>
        <w:tab/>
        <w:t>القرار 102 (COM4/CLI-CL سابقاً) (نيودلهي، 2024)</w:t>
      </w:r>
      <w:r w:rsidRPr="00E56E20">
        <w:t>:</w:t>
      </w:r>
      <w:r w:rsidRPr="00E56E20">
        <w:rPr>
          <w:rtl/>
        </w:rPr>
        <w:t xml:space="preserve"> تقديم معلومات عن مواقع طالبي النداء المستمدة من أجهزة اليد لأغراض الاتصالات في حالات الطوارئ</w:t>
      </w:r>
    </w:p>
    <w:p w14:paraId="65332DFA" w14:textId="77777777" w:rsidR="00E56E20" w:rsidRPr="00E56E20" w:rsidRDefault="00E56E20" w:rsidP="00C1517A">
      <w:pPr>
        <w:pStyle w:val="enumlev1"/>
      </w:pPr>
      <w:r w:rsidRPr="00E56E20">
        <w:sym w:font="Symbol" w:char="F0B7"/>
      </w:r>
      <w:r w:rsidRPr="00E56E20">
        <w:rPr>
          <w:rtl/>
        </w:rPr>
        <w:tab/>
        <w:t>القرار 103 (COM4/DPI سابقاً) (نيودلهي، 2024)</w:t>
      </w:r>
      <w:r w:rsidRPr="00E56E20">
        <w:t>:</w:t>
      </w:r>
      <w:r w:rsidRPr="00E56E20">
        <w:rPr>
          <w:rtl/>
        </w:rPr>
        <w:t xml:space="preserve"> تعزيز أنشطة التقييس بشأن البنية التحتية العامة الرقمية</w:t>
      </w:r>
    </w:p>
    <w:p w14:paraId="7777BABD" w14:textId="77777777" w:rsidR="00E56E20" w:rsidRPr="00E56E20" w:rsidRDefault="00E56E20" w:rsidP="00C1517A">
      <w:pPr>
        <w:pStyle w:val="enumlev1"/>
      </w:pPr>
      <w:r w:rsidRPr="00E56E20">
        <w:lastRenderedPageBreak/>
        <w:sym w:font="Symbol" w:char="F0B7"/>
      </w:r>
      <w:r w:rsidRPr="00E56E20">
        <w:rPr>
          <w:rtl/>
        </w:rPr>
        <w:tab/>
        <w:t>القرار 104 (COM4/VC سابقاً) (نيودلهي، 2024)</w:t>
      </w:r>
      <w:r w:rsidRPr="00E56E20">
        <w:t>:</w:t>
      </w:r>
      <w:r w:rsidRPr="00E56E20">
        <w:rPr>
          <w:rtl/>
        </w:rPr>
        <w:t xml:space="preserve"> تشجيع وتعزيز أنشطة التقييس لاتصالات المركبات</w:t>
      </w:r>
    </w:p>
    <w:p w14:paraId="4743EC94" w14:textId="77777777" w:rsidR="00E56E20" w:rsidRPr="00E56E20" w:rsidRDefault="00E56E20" w:rsidP="00C1517A">
      <w:pPr>
        <w:pStyle w:val="enumlev1"/>
      </w:pPr>
      <w:r w:rsidRPr="00E56E20">
        <w:sym w:font="Symbol" w:char="F0B7"/>
      </w:r>
      <w:r w:rsidRPr="00E56E20">
        <w:rPr>
          <w:rtl/>
        </w:rPr>
        <w:tab/>
        <w:t>القرار 105 (COM4/MV سابقاً) (نيودلهي، 2024)</w:t>
      </w:r>
      <w:r w:rsidRPr="00E56E20">
        <w:t>:</w:t>
      </w:r>
      <w:r w:rsidRPr="00E56E20">
        <w:rPr>
          <w:rtl/>
        </w:rPr>
        <w:t xml:space="preserve"> تشجيع وتعزيز تقييس </w:t>
      </w:r>
      <w:proofErr w:type="spellStart"/>
      <w:r w:rsidRPr="00E56E20">
        <w:rPr>
          <w:rtl/>
        </w:rPr>
        <w:t>الميتافيرس</w:t>
      </w:r>
      <w:proofErr w:type="spellEnd"/>
    </w:p>
    <w:p w14:paraId="13D7D6CA" w14:textId="77777777" w:rsidR="00E56E20" w:rsidRPr="00E56E20" w:rsidRDefault="00E56E20" w:rsidP="00C1517A">
      <w:pPr>
        <w:pStyle w:val="enumlev1"/>
      </w:pPr>
      <w:r w:rsidRPr="00E56E20">
        <w:sym w:font="Symbol" w:char="F0B7"/>
      </w:r>
      <w:r w:rsidRPr="00E56E20">
        <w:rPr>
          <w:rtl/>
        </w:rPr>
        <w:tab/>
        <w:t>القرار 106 (COM4/SDT سابقاً) (نيودلهي، 2024)</w:t>
      </w:r>
      <w:r w:rsidRPr="00E56E20">
        <w:t>:</w:t>
      </w:r>
      <w:r w:rsidRPr="00E56E20">
        <w:rPr>
          <w:rtl/>
        </w:rPr>
        <w:t xml:space="preserve"> تعزيز أنشطة التقييس بشأن التحول الرقمي المستدام</w:t>
      </w:r>
    </w:p>
    <w:p w14:paraId="5A57C1DF" w14:textId="77777777" w:rsidR="00E56E20" w:rsidRPr="00E56E20" w:rsidRDefault="00E56E20" w:rsidP="00C1517A">
      <w:pPr>
        <w:pStyle w:val="enumlev1"/>
      </w:pPr>
      <w:r w:rsidRPr="00E56E20">
        <w:sym w:font="Symbol" w:char="F0B7"/>
      </w:r>
      <w:r w:rsidRPr="00E56E20">
        <w:rPr>
          <w:rtl/>
        </w:rPr>
        <w:tab/>
        <w:t>القرار 107 (COM3/NG سابقاً) (نيودلهي، 2024)</w:t>
      </w:r>
      <w:r w:rsidRPr="00E56E20">
        <w:t>:</w:t>
      </w:r>
      <w:r w:rsidRPr="00E56E20">
        <w:rPr>
          <w:rtl/>
        </w:rPr>
        <w:t xml:space="preserve"> تعزيز مشاركة خبراء الجيل القادم في أنشطة التقييس الخاصة بقطاع تقييس الاتصالات بالاتحاد</w:t>
      </w:r>
    </w:p>
    <w:p w14:paraId="73B57494" w14:textId="77777777" w:rsidR="00E56E20" w:rsidRPr="00E56E20" w:rsidRDefault="00E56E20" w:rsidP="00C1517A">
      <w:pPr>
        <w:pStyle w:val="enumlev1"/>
      </w:pPr>
      <w:r w:rsidRPr="00E56E20">
        <w:sym w:font="Symbol" w:char="F0B7"/>
      </w:r>
      <w:r w:rsidRPr="00E56E20">
        <w:rPr>
          <w:rtl/>
        </w:rPr>
        <w:tab/>
        <w:t>القرار 108 (COM3/SP سابقاً) (نيودلهي، 2024)</w:t>
      </w:r>
      <w:r w:rsidRPr="00E56E20">
        <w:t>:</w:t>
      </w:r>
      <w:r w:rsidRPr="00E56E20">
        <w:rPr>
          <w:rtl/>
        </w:rPr>
        <w:t xml:space="preserve"> التخطيط الاستراتيجي في قطاع تقييس الاتصالات بالاتحاد الدولي للاتصالات</w:t>
      </w:r>
    </w:p>
    <w:p w14:paraId="1346598A" w14:textId="77777777" w:rsidR="00E56E20" w:rsidRPr="00E56E20" w:rsidRDefault="00E56E20" w:rsidP="009C0D87">
      <w:pPr>
        <w:pStyle w:val="Heading1"/>
        <w:rPr>
          <w:bCs w:val="0"/>
        </w:rPr>
      </w:pPr>
      <w:r w:rsidRPr="00E56E20">
        <w:rPr>
          <w:rtl/>
        </w:rPr>
        <w:t>3</w:t>
      </w:r>
      <w:r w:rsidRPr="00E56E20">
        <w:rPr>
          <w:rtl/>
        </w:rPr>
        <w:tab/>
        <w:t xml:space="preserve">الصلة بعمل قطاع تنمية الاتصالات </w:t>
      </w:r>
    </w:p>
    <w:p w14:paraId="0CE5BBB5" w14:textId="77777777" w:rsidR="00E56E20" w:rsidRPr="00E56E20" w:rsidRDefault="00E56E20" w:rsidP="009C0D87">
      <w:pPr>
        <w:textDirection w:val="tbRlV"/>
        <w:rPr>
          <w:lang w:val="ar-SA" w:eastAsia="zh-TW" w:bidi="en-GB"/>
        </w:rPr>
      </w:pPr>
      <w:r w:rsidRPr="00E56E20">
        <w:rPr>
          <w:rtl/>
        </w:rPr>
        <w:t xml:space="preserve">يعرض الجدول 1 قرارات الجمعية التي لها تأثير على عمل قطاع تنمية الاتصالات. </w:t>
      </w:r>
    </w:p>
    <w:p w14:paraId="645EC78C" w14:textId="77777777" w:rsidR="00E56E20" w:rsidRPr="00E56E20" w:rsidRDefault="00E56E20" w:rsidP="009C0D87">
      <w:pPr>
        <w:textDirection w:val="tbRlV"/>
        <w:rPr>
          <w:lang w:val="ar-SA" w:eastAsia="zh-TW" w:bidi="en-GB"/>
        </w:rPr>
      </w:pPr>
      <w:r w:rsidRPr="00E56E20">
        <w:rPr>
          <w:rtl/>
        </w:rPr>
        <w:t xml:space="preserve">ويقدم الجدول 2 لمحة عامة عن قرارات الجمعية ذات الصلة بعمل قطاع تنمية الاتصالات مع المقتطفات ذات الصلة المقدمة إلى مدير مكتب تنمية الاتصالات بالاتحاد. </w:t>
      </w:r>
    </w:p>
    <w:p w14:paraId="231A39ED" w14:textId="77777777" w:rsidR="00E56E20" w:rsidRPr="00E56E20" w:rsidRDefault="00E56E20" w:rsidP="009C0D87"/>
    <w:p w14:paraId="402CFA6F" w14:textId="77777777" w:rsidR="00E56E20" w:rsidRPr="00E56E20" w:rsidRDefault="00E56E20" w:rsidP="009C0D87">
      <w:pPr>
        <w:tabs>
          <w:tab w:val="clear" w:pos="794"/>
        </w:tabs>
        <w:rPr>
          <w:b/>
          <w:bCs/>
        </w:rPr>
      </w:pPr>
      <w:r w:rsidRPr="00E56E20">
        <w:rPr>
          <w:b/>
          <w:bCs/>
        </w:rPr>
        <w:br w:type="page"/>
      </w:r>
    </w:p>
    <w:p w14:paraId="18905D27" w14:textId="77777777" w:rsidR="00E56E20" w:rsidRPr="00E56E20" w:rsidRDefault="00E56E20" w:rsidP="009C0D87">
      <w:pPr>
        <w:keepNext/>
        <w:keepLines/>
        <w:tabs>
          <w:tab w:val="clear" w:pos="794"/>
        </w:tabs>
        <w:snapToGrid w:val="0"/>
        <w:rPr>
          <w:b/>
          <w:bCs/>
        </w:rPr>
        <w:sectPr w:rsidR="00E56E20" w:rsidRPr="00E56E20" w:rsidSect="00E56E20">
          <w:headerReference w:type="default" r:id="rId18"/>
          <w:footerReference w:type="first" r:id="rId19"/>
          <w:type w:val="oddPage"/>
          <w:pgSz w:w="11907" w:h="16834" w:code="9"/>
          <w:pgMar w:top="1418" w:right="1134" w:bottom="1418" w:left="1134" w:header="720" w:footer="720" w:gutter="0"/>
          <w:paperSrc w:first="7" w:other="7"/>
          <w:cols w:space="720"/>
          <w:titlePg/>
          <w:docGrid w:linePitch="326"/>
        </w:sectPr>
      </w:pPr>
    </w:p>
    <w:p w14:paraId="75525910" w14:textId="68904262" w:rsidR="00E56E20" w:rsidRPr="00E56E20" w:rsidRDefault="00E56E20" w:rsidP="007873D7">
      <w:pPr>
        <w:spacing w:after="120"/>
        <w:jc w:val="center"/>
        <w:textDirection w:val="tbRlV"/>
        <w:rPr>
          <w:b/>
          <w:lang w:eastAsia="zh-TW" w:bidi="en-GB"/>
        </w:rPr>
      </w:pPr>
      <w:r w:rsidRPr="00E56E20">
        <w:rPr>
          <w:b/>
          <w:bCs/>
          <w:rtl/>
        </w:rPr>
        <w:lastRenderedPageBreak/>
        <w:t xml:space="preserve">الجدول 1 </w:t>
      </w:r>
      <w:r w:rsidR="00BA1F3E" w:rsidRPr="00E56E20">
        <w:rPr>
          <w:rFonts w:hint="cs"/>
          <w:b/>
          <w:bCs/>
          <w:rtl/>
        </w:rPr>
        <w:t>- قرارات</w:t>
      </w:r>
      <w:r w:rsidRPr="00E56E20">
        <w:rPr>
          <w:b/>
          <w:bCs/>
          <w:rtl/>
        </w:rPr>
        <w:t xml:space="preserve"> الجمعية التي لها تأثير على عمل قطاع تنمية الاتصالات.</w:t>
      </w:r>
    </w:p>
    <w:tbl>
      <w:tblPr>
        <w:tblStyle w:val="GridTable4-Accent1"/>
        <w:bidiVisual/>
        <w:tblW w:w="14454" w:type="dxa"/>
        <w:tblInd w:w="-5" w:type="dxa"/>
        <w:tblLayout w:type="fixed"/>
        <w:tblLook w:val="04A0" w:firstRow="1" w:lastRow="0" w:firstColumn="1" w:lastColumn="0" w:noHBand="0" w:noVBand="1"/>
      </w:tblPr>
      <w:tblGrid>
        <w:gridCol w:w="982"/>
        <w:gridCol w:w="1565"/>
        <w:gridCol w:w="11907"/>
      </w:tblGrid>
      <w:tr w:rsidR="00E56E20" w:rsidRPr="00147B93" w14:paraId="5D14B8EF" w14:textId="77777777" w:rsidTr="007873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732FA7FB"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tl/>
              </w:rPr>
              <w:t>الحالة</w:t>
            </w:r>
          </w:p>
        </w:tc>
        <w:tc>
          <w:tcPr>
            <w:tcW w:w="1565" w:type="dxa"/>
            <w:hideMark/>
          </w:tcPr>
          <w:p w14:paraId="064C3B0D" w14:textId="77777777" w:rsidR="00E56E20" w:rsidRPr="00147B93" w:rsidRDefault="00E56E20" w:rsidP="00147B93">
            <w:pPr>
              <w:spacing w:before="80" w:after="60" w:line="260" w:lineRule="exact"/>
              <w:jc w:val="center"/>
              <w:textDirection w:val="tbRlV"/>
              <w:cnfStyle w:val="100000000000" w:firstRow="1"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العدد</w:t>
            </w:r>
          </w:p>
        </w:tc>
        <w:tc>
          <w:tcPr>
            <w:tcW w:w="11907" w:type="dxa"/>
            <w:hideMark/>
          </w:tcPr>
          <w:p w14:paraId="358226BC" w14:textId="77777777" w:rsidR="00E56E20" w:rsidRPr="00147B93" w:rsidRDefault="00E56E20" w:rsidP="00147B93">
            <w:pPr>
              <w:spacing w:before="80" w:after="60" w:line="260" w:lineRule="exact"/>
              <w:jc w:val="center"/>
              <w:textDirection w:val="tbRlV"/>
              <w:cnfStyle w:val="100000000000" w:firstRow="1"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العنوان</w:t>
            </w:r>
          </w:p>
        </w:tc>
      </w:tr>
      <w:tr w:rsidR="00E56E20" w:rsidRPr="00147B93" w14:paraId="7783F111"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7F07A354"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6311CD0B"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2</w:t>
            </w:r>
          </w:p>
        </w:tc>
        <w:tc>
          <w:tcPr>
            <w:tcW w:w="11907" w:type="dxa"/>
            <w:hideMark/>
          </w:tcPr>
          <w:p w14:paraId="3CF3FED4"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نطاق عمل لجان دراسات قطاع تقييس الاتصالات للاتحاد الدولي للاتصالات واختصاصاتها</w:t>
            </w:r>
          </w:p>
        </w:tc>
      </w:tr>
      <w:tr w:rsidR="00E56E20" w:rsidRPr="00147B93" w14:paraId="7BA5CD86"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1BC40227"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49935813"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18</w:t>
            </w:r>
          </w:p>
        </w:tc>
        <w:tc>
          <w:tcPr>
            <w:tcW w:w="11907" w:type="dxa"/>
            <w:hideMark/>
          </w:tcPr>
          <w:p w14:paraId="34A6BCCD"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تعزيز التنسيق والتعاون فيما بين القطاعات الثلاثة للاتحاد الدولي للاتصالات بشأن المسائل ذات الاهتمام المشترك</w:t>
            </w:r>
          </w:p>
        </w:tc>
      </w:tr>
      <w:tr w:rsidR="00E56E20" w:rsidRPr="00147B93" w14:paraId="51015F23"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2CA91B5"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50448254"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22</w:t>
            </w:r>
          </w:p>
        </w:tc>
        <w:tc>
          <w:tcPr>
            <w:tcW w:w="11907" w:type="dxa"/>
          </w:tcPr>
          <w:p w14:paraId="6F48A57B"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تفويض الفريق الاستشاري لتقييس الاتصالات بالتصرف بين دورات انعقاد الجمعية العالمية لتقييس الاتصالات</w:t>
            </w:r>
          </w:p>
        </w:tc>
      </w:tr>
      <w:tr w:rsidR="00E56E20" w:rsidRPr="00147B93" w14:paraId="46EBD289"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3CAB9A81"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1E532A12"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29</w:t>
            </w:r>
          </w:p>
        </w:tc>
        <w:tc>
          <w:tcPr>
            <w:tcW w:w="11907" w:type="dxa"/>
            <w:hideMark/>
          </w:tcPr>
          <w:p w14:paraId="7781BAE5"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إجراءات النداء البديلة على شبكات الاتصالات الدولية</w:t>
            </w:r>
          </w:p>
        </w:tc>
      </w:tr>
      <w:tr w:rsidR="00E56E20" w:rsidRPr="00147B93" w14:paraId="39C1ED89"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FF8A89C"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61695684"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32</w:t>
            </w:r>
          </w:p>
        </w:tc>
        <w:tc>
          <w:tcPr>
            <w:tcW w:w="11907" w:type="dxa"/>
          </w:tcPr>
          <w:p w14:paraId="2128EABC"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تعزيز وسائل العمل الإلكترونية في أعمال قطاع تقييس الاتصالات للاتحاد الدولي للاتصالات</w:t>
            </w:r>
          </w:p>
        </w:tc>
      </w:tr>
      <w:tr w:rsidR="00E56E20" w:rsidRPr="00147B93" w14:paraId="05D86048"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5FC2864C"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44A6F02B"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43</w:t>
            </w:r>
          </w:p>
        </w:tc>
        <w:tc>
          <w:tcPr>
            <w:tcW w:w="11907" w:type="dxa"/>
          </w:tcPr>
          <w:p w14:paraId="5358844D"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الأعمال التحضيرية الإقليمية للجمعيات العالمية لتقييس الاتصالات</w:t>
            </w:r>
          </w:p>
        </w:tc>
      </w:tr>
      <w:tr w:rsidR="00E56E20" w:rsidRPr="00147B93" w14:paraId="4047C035"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58F2699F"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66CACCD4"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44</w:t>
            </w:r>
          </w:p>
        </w:tc>
        <w:tc>
          <w:tcPr>
            <w:tcW w:w="11907" w:type="dxa"/>
            <w:hideMark/>
          </w:tcPr>
          <w:p w14:paraId="0D20D994"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 xml:space="preserve">سد الفجوة </w:t>
            </w:r>
            <w:proofErr w:type="spellStart"/>
            <w:r w:rsidRPr="00147B93">
              <w:rPr>
                <w:position w:val="2"/>
                <w:sz w:val="22"/>
                <w:szCs w:val="22"/>
                <w:rtl/>
              </w:rPr>
              <w:t>التقييسية</w:t>
            </w:r>
            <w:proofErr w:type="spellEnd"/>
            <w:r w:rsidRPr="00147B93">
              <w:rPr>
                <w:position w:val="2"/>
                <w:sz w:val="22"/>
                <w:szCs w:val="22"/>
                <w:rtl/>
              </w:rPr>
              <w:t xml:space="preserve"> بين البلدان النامية والبلدان المتقدمة</w:t>
            </w:r>
          </w:p>
        </w:tc>
      </w:tr>
      <w:tr w:rsidR="00E56E20" w:rsidRPr="00147B93" w14:paraId="1D82ED65"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1BA588FF"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38856D03"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48</w:t>
            </w:r>
          </w:p>
        </w:tc>
        <w:tc>
          <w:tcPr>
            <w:tcW w:w="11907" w:type="dxa"/>
          </w:tcPr>
          <w:p w14:paraId="71B3E5C7"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أسماء الميادين الدولية (متعددة اللغات)</w:t>
            </w:r>
          </w:p>
        </w:tc>
      </w:tr>
      <w:tr w:rsidR="00E56E20" w:rsidRPr="00147B93" w14:paraId="62BA1487"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42D9F6F6"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3EE408D8"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50</w:t>
            </w:r>
          </w:p>
        </w:tc>
        <w:tc>
          <w:tcPr>
            <w:tcW w:w="11907" w:type="dxa"/>
            <w:hideMark/>
          </w:tcPr>
          <w:p w14:paraId="4D341944"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الأمن السيبراني</w:t>
            </w:r>
          </w:p>
        </w:tc>
      </w:tr>
      <w:tr w:rsidR="00E56E20" w:rsidRPr="00147B93" w14:paraId="0D7D50F0"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17B25C2E"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30872216"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52</w:t>
            </w:r>
          </w:p>
        </w:tc>
        <w:tc>
          <w:tcPr>
            <w:tcW w:w="11907" w:type="dxa"/>
            <w:hideMark/>
          </w:tcPr>
          <w:p w14:paraId="4B336382"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مكافحة الرسائل الاقتحامية والتصدي لها</w:t>
            </w:r>
          </w:p>
        </w:tc>
      </w:tr>
      <w:tr w:rsidR="00E56E20" w:rsidRPr="00147B93" w14:paraId="5EB0EE8F"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1B96D172"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03EDB61E"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54</w:t>
            </w:r>
          </w:p>
        </w:tc>
        <w:tc>
          <w:tcPr>
            <w:tcW w:w="11907" w:type="dxa"/>
            <w:hideMark/>
          </w:tcPr>
          <w:p w14:paraId="51705D1C"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الأفرقة الإقليمية للجان الدراسات التابعة لقطاع تقييس الاتصالات</w:t>
            </w:r>
          </w:p>
        </w:tc>
      </w:tr>
      <w:tr w:rsidR="00E56E20" w:rsidRPr="00147B93" w14:paraId="52854BF9"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44BCD9A9"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1BF70FF3"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58</w:t>
            </w:r>
          </w:p>
        </w:tc>
        <w:tc>
          <w:tcPr>
            <w:tcW w:w="11907" w:type="dxa"/>
            <w:hideMark/>
          </w:tcPr>
          <w:p w14:paraId="702B91CD"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تشجيع إنشاء وتعزيز الأفرقة الوطنية للاستجابة في حالات الحوادث الحاسوبية، خاصة للبلدان النامية</w:t>
            </w:r>
          </w:p>
        </w:tc>
      </w:tr>
      <w:tr w:rsidR="00E56E20" w:rsidRPr="00147B93" w14:paraId="0DC45C60"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5EC07BE0"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195D3A36"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64</w:t>
            </w:r>
          </w:p>
        </w:tc>
        <w:tc>
          <w:tcPr>
            <w:tcW w:w="11907" w:type="dxa"/>
            <w:hideMark/>
          </w:tcPr>
          <w:p w14:paraId="288EEA6F"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تشجيع وتسهيل وتعجيل الانتقال إلى الإصدار السادس لبروتوكول الإنترنت (IPv6) ونشره</w:t>
            </w:r>
          </w:p>
        </w:tc>
      </w:tr>
      <w:tr w:rsidR="00E56E20" w:rsidRPr="00147B93" w14:paraId="0966C993"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41187D42"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NOC</w:t>
            </w:r>
          </w:p>
        </w:tc>
        <w:tc>
          <w:tcPr>
            <w:tcW w:w="1565" w:type="dxa"/>
            <w:hideMark/>
          </w:tcPr>
          <w:p w14:paraId="638A1129"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69</w:t>
            </w:r>
          </w:p>
        </w:tc>
        <w:tc>
          <w:tcPr>
            <w:tcW w:w="11907" w:type="dxa"/>
            <w:hideMark/>
          </w:tcPr>
          <w:p w14:paraId="42C136F9"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النفاذ إلى موارد الإنترنت والاتصالات/تكنولوجيا المعلومات والاتصالات واستعمالها على أساس غير تمييزي</w:t>
            </w:r>
          </w:p>
        </w:tc>
      </w:tr>
      <w:tr w:rsidR="00E56E20" w:rsidRPr="00147B93" w14:paraId="6802B604"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474FBB15"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58C8F4B0"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72</w:t>
            </w:r>
          </w:p>
        </w:tc>
        <w:tc>
          <w:tcPr>
            <w:tcW w:w="11907" w:type="dxa"/>
            <w:hideMark/>
          </w:tcPr>
          <w:p w14:paraId="305FD888"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مشاكل القياس والتقييم المتعلقة بالتعرض البشري للمجالات الكهرمغنطيسية</w:t>
            </w:r>
          </w:p>
        </w:tc>
      </w:tr>
      <w:tr w:rsidR="00E56E20" w:rsidRPr="00147B93" w14:paraId="05461ECA"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4B0DA4C6"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65771A4B"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73</w:t>
            </w:r>
          </w:p>
        </w:tc>
        <w:tc>
          <w:tcPr>
            <w:tcW w:w="11907" w:type="dxa"/>
            <w:hideMark/>
          </w:tcPr>
          <w:p w14:paraId="25388B56"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تكنولوجيا المعلومات والاتصالات والبيئة وتغير المناخ والاقتصاد الدائري</w:t>
            </w:r>
          </w:p>
        </w:tc>
      </w:tr>
      <w:tr w:rsidR="00E56E20" w:rsidRPr="00147B93" w14:paraId="16549D4F"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E17D5DD"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23747F1D"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74</w:t>
            </w:r>
          </w:p>
        </w:tc>
        <w:tc>
          <w:tcPr>
            <w:tcW w:w="11907" w:type="dxa"/>
          </w:tcPr>
          <w:p w14:paraId="473D50E1"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تعزيز مشاركة أعضاء القطاع من البلدان النامية في أعمال قطاع تقييس الاتصالات للاتحاد الدولي للاتصالات</w:t>
            </w:r>
          </w:p>
        </w:tc>
      </w:tr>
      <w:tr w:rsidR="00E56E20" w:rsidRPr="00147B93" w14:paraId="4B1ED07E" w14:textId="77777777" w:rsidTr="00D364C0">
        <w:tc>
          <w:tcPr>
            <w:cnfStyle w:val="001000000000" w:firstRow="0" w:lastRow="0" w:firstColumn="1" w:lastColumn="0" w:oddVBand="0" w:evenVBand="0" w:oddHBand="0" w:evenHBand="0" w:firstRowFirstColumn="0" w:firstRowLastColumn="0" w:lastRowFirstColumn="0" w:lastRowLastColumn="0"/>
            <w:tcW w:w="982" w:type="dxa"/>
            <w:hideMark/>
          </w:tcPr>
          <w:p w14:paraId="4723A3CF"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3D501A4F"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76</w:t>
            </w:r>
          </w:p>
        </w:tc>
        <w:tc>
          <w:tcPr>
            <w:tcW w:w="11907" w:type="dxa"/>
            <w:hideMark/>
          </w:tcPr>
          <w:p w14:paraId="450E27EF"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اختبارات المطابقة وقابلية التشغيل البيني ومساعدة البلدان النامية والبرنامج المستقبلي المحتمل الخاص بعلامة الاتحاد</w:t>
            </w:r>
          </w:p>
        </w:tc>
      </w:tr>
      <w:tr w:rsidR="00E56E20" w:rsidRPr="00147B93" w14:paraId="0D5E1808"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hideMark/>
          </w:tcPr>
          <w:p w14:paraId="7831555A"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hideMark/>
          </w:tcPr>
          <w:p w14:paraId="17A446E6"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78</w:t>
            </w:r>
          </w:p>
        </w:tc>
        <w:tc>
          <w:tcPr>
            <w:tcW w:w="11907" w:type="dxa"/>
            <w:hideMark/>
          </w:tcPr>
          <w:p w14:paraId="144099EF"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تطبيقات ومعايير تكنولوجيا المعلومات والاتصالات من أجل تحسين النفاذ إلى خدمات الصحة الإلكترونية</w:t>
            </w:r>
          </w:p>
        </w:tc>
      </w:tr>
      <w:tr w:rsidR="00E56E20" w:rsidRPr="00147B93" w14:paraId="7DC6A449"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6DCC92D7"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5C2A3B30"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79</w:t>
            </w:r>
          </w:p>
        </w:tc>
        <w:tc>
          <w:tcPr>
            <w:tcW w:w="11907" w:type="dxa"/>
          </w:tcPr>
          <w:p w14:paraId="5B2D8EA8" w14:textId="1A4FB85C"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 xml:space="preserve">دور الاتصالات/تكنولوجيا </w:t>
            </w:r>
            <w:r w:rsidRPr="00147B93">
              <w:rPr>
                <w:i/>
                <w:iCs/>
                <w:position w:val="2"/>
                <w:sz w:val="22"/>
                <w:szCs w:val="22"/>
                <w:rtl/>
              </w:rPr>
              <w:t>المعلومات</w:t>
            </w:r>
            <w:r w:rsidRPr="00147B93">
              <w:rPr>
                <w:position w:val="2"/>
                <w:sz w:val="22"/>
                <w:szCs w:val="22"/>
                <w:rtl/>
              </w:rPr>
              <w:t xml:space="preserve"> والاتصالات في إدارة المخلفات الإلكترونية الناتجة عن أجهزة الاتصالات وتكنولوجيا المعلومات والتحكم فيها وطرائق معالجتها</w:t>
            </w:r>
          </w:p>
        </w:tc>
      </w:tr>
      <w:tr w:rsidR="00E56E20" w:rsidRPr="00147B93" w14:paraId="2A71CD2E"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48997BE1"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lastRenderedPageBreak/>
              <w:t>NOC</w:t>
            </w:r>
          </w:p>
        </w:tc>
        <w:tc>
          <w:tcPr>
            <w:tcW w:w="1565" w:type="dxa"/>
          </w:tcPr>
          <w:p w14:paraId="43324E37"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83</w:t>
            </w:r>
          </w:p>
        </w:tc>
        <w:tc>
          <w:tcPr>
            <w:tcW w:w="11907" w:type="dxa"/>
          </w:tcPr>
          <w:p w14:paraId="7BEF67E6"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تقييم تنفيذ قرارات الجمعية العالمية لتقييس الاتصالات</w:t>
            </w:r>
          </w:p>
        </w:tc>
      </w:tr>
      <w:tr w:rsidR="00E56E20" w:rsidRPr="00147B93" w14:paraId="112A42C2"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6AD92378"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2732908E"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84</w:t>
            </w:r>
          </w:p>
        </w:tc>
        <w:tc>
          <w:tcPr>
            <w:tcW w:w="11907" w:type="dxa"/>
          </w:tcPr>
          <w:p w14:paraId="59E06908"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دراسات تتعلق بحماية مستعملي خدمات الاتصالات/تكنولوجيا المعلومات والاتصالات</w:t>
            </w:r>
          </w:p>
        </w:tc>
      </w:tr>
      <w:tr w:rsidR="00E56E20" w:rsidRPr="00147B93" w14:paraId="7DC9BD64"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1D4FC0B4"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NOC</w:t>
            </w:r>
          </w:p>
        </w:tc>
        <w:tc>
          <w:tcPr>
            <w:tcW w:w="1565" w:type="dxa"/>
          </w:tcPr>
          <w:p w14:paraId="17A08406"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86</w:t>
            </w:r>
          </w:p>
        </w:tc>
        <w:tc>
          <w:tcPr>
            <w:tcW w:w="11907" w:type="dxa"/>
          </w:tcPr>
          <w:p w14:paraId="03F58A5D"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تيسير تنفيذ إعلان إفريقيا الذكية</w:t>
            </w:r>
          </w:p>
        </w:tc>
      </w:tr>
      <w:tr w:rsidR="00E56E20" w:rsidRPr="00147B93" w14:paraId="489A638B"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3F739A97"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NOC</w:t>
            </w:r>
          </w:p>
        </w:tc>
        <w:tc>
          <w:tcPr>
            <w:tcW w:w="1565" w:type="dxa"/>
          </w:tcPr>
          <w:p w14:paraId="50FE7709"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88</w:t>
            </w:r>
          </w:p>
        </w:tc>
        <w:tc>
          <w:tcPr>
            <w:tcW w:w="11907" w:type="dxa"/>
          </w:tcPr>
          <w:p w14:paraId="4D29687D"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 xml:space="preserve">التجوال الدولي المتنقل </w:t>
            </w:r>
            <w:r w:rsidRPr="00147B93">
              <w:rPr>
                <w:position w:val="2"/>
                <w:sz w:val="22"/>
                <w:szCs w:val="22"/>
              </w:rPr>
              <w:t>(IMR)</w:t>
            </w:r>
          </w:p>
        </w:tc>
      </w:tr>
      <w:tr w:rsidR="00E56E20" w:rsidRPr="00147B93" w14:paraId="76A5DAF1"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5E9A70E"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4FBAC2F0"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89</w:t>
            </w:r>
          </w:p>
        </w:tc>
        <w:tc>
          <w:tcPr>
            <w:tcW w:w="11907" w:type="dxa"/>
          </w:tcPr>
          <w:p w14:paraId="4AD55EE2"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تعزيز استخدام تكنولوجيات المعلومات والاتصالات لسدّ فجوة الشمول المالي</w:t>
            </w:r>
          </w:p>
        </w:tc>
      </w:tr>
      <w:tr w:rsidR="00E56E20" w:rsidRPr="00147B93" w14:paraId="5C15A479"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53CD3D65"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03B930A0"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92</w:t>
            </w:r>
          </w:p>
        </w:tc>
        <w:tc>
          <w:tcPr>
            <w:tcW w:w="11907" w:type="dxa"/>
          </w:tcPr>
          <w:p w14:paraId="728B10EF"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تعزيز أنشطة التقييس في قطاع تقييس الاتصالات فيما يتعلق بالجوانب غير الراديوية للاتصالات المتنقلة الدولية</w:t>
            </w:r>
          </w:p>
        </w:tc>
      </w:tr>
      <w:tr w:rsidR="00E56E20" w:rsidRPr="00147B93" w14:paraId="02599998"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45539557"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NOC</w:t>
            </w:r>
          </w:p>
        </w:tc>
        <w:tc>
          <w:tcPr>
            <w:tcW w:w="1565" w:type="dxa"/>
          </w:tcPr>
          <w:p w14:paraId="32950D36"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95</w:t>
            </w:r>
          </w:p>
        </w:tc>
        <w:tc>
          <w:tcPr>
            <w:tcW w:w="11907" w:type="dxa"/>
          </w:tcPr>
          <w:p w14:paraId="1B28ABF5"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مبادرات قطاع تقييس الاتصالات لإذكاء الوعي بشأن أفضل الممارسات والسياسات المتعلقة بجودة الخدمة</w:t>
            </w:r>
          </w:p>
        </w:tc>
      </w:tr>
      <w:tr w:rsidR="00E56E20" w:rsidRPr="00147B93" w14:paraId="1B2561C0"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4266098D"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5F893BF1"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96</w:t>
            </w:r>
          </w:p>
        </w:tc>
        <w:tc>
          <w:tcPr>
            <w:tcW w:w="11907" w:type="dxa"/>
          </w:tcPr>
          <w:p w14:paraId="2ECD759A"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دراسات قطاع تقييس الاتصالات في الاتحاد الدولي للاتصالات بشأن مكافحة أجهزة الاتصالات/تكنولوجيا المعلومات والاتصالات الزائفة والمغشوشة</w:t>
            </w:r>
          </w:p>
        </w:tc>
      </w:tr>
      <w:tr w:rsidR="00E56E20" w:rsidRPr="00147B93" w14:paraId="6DC43D96"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0423BD33"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6A1DF4B6"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97</w:t>
            </w:r>
          </w:p>
        </w:tc>
        <w:tc>
          <w:tcPr>
            <w:tcW w:w="11907" w:type="dxa"/>
          </w:tcPr>
          <w:p w14:paraId="1A41EA3F"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مكافحة سرقة أجهزة الاتصالات المتنقلة</w:t>
            </w:r>
          </w:p>
        </w:tc>
      </w:tr>
      <w:tr w:rsidR="00E56E20" w:rsidRPr="00147B93" w14:paraId="61CBD803"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1C7BA75E"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4ED08F00"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98</w:t>
            </w:r>
          </w:p>
        </w:tc>
        <w:tc>
          <w:tcPr>
            <w:tcW w:w="11907" w:type="dxa"/>
          </w:tcPr>
          <w:p w14:paraId="320AC246"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تعزيز تقييس إنترنت الأشياء والمدن والمجتمعات الذكية من أجل التنمية العالمية</w:t>
            </w:r>
          </w:p>
        </w:tc>
      </w:tr>
      <w:tr w:rsidR="00E56E20" w:rsidRPr="00147B93" w14:paraId="1098A23E"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642ACA19"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Rev</w:t>
            </w:r>
          </w:p>
        </w:tc>
        <w:tc>
          <w:tcPr>
            <w:tcW w:w="1565" w:type="dxa"/>
          </w:tcPr>
          <w:p w14:paraId="58980735"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100</w:t>
            </w:r>
          </w:p>
        </w:tc>
        <w:tc>
          <w:tcPr>
            <w:tcW w:w="11907" w:type="dxa"/>
          </w:tcPr>
          <w:p w14:paraId="5B596C32"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رقم طوارئ موحد لإفريقيا</w:t>
            </w:r>
          </w:p>
        </w:tc>
      </w:tr>
      <w:tr w:rsidR="00E56E20" w:rsidRPr="00147B93" w14:paraId="5CE15E27"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4A94E376"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New</w:t>
            </w:r>
          </w:p>
        </w:tc>
        <w:tc>
          <w:tcPr>
            <w:tcW w:w="1565" w:type="dxa"/>
          </w:tcPr>
          <w:p w14:paraId="583F6E25" w14:textId="27D8813D"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b/>
                <w:position w:val="2"/>
                <w:sz w:val="22"/>
                <w:szCs w:val="22"/>
                <w:lang w:val="ar-SA" w:eastAsia="zh-TW" w:bidi="en-GB"/>
              </w:rPr>
            </w:pPr>
            <w:r w:rsidRPr="00147B93">
              <w:rPr>
                <w:b/>
                <w:position w:val="2"/>
                <w:sz w:val="22"/>
                <w:szCs w:val="22"/>
                <w:rtl/>
              </w:rPr>
              <w:t>101</w:t>
            </w:r>
          </w:p>
        </w:tc>
        <w:tc>
          <w:tcPr>
            <w:tcW w:w="11907" w:type="dxa"/>
          </w:tcPr>
          <w:p w14:paraId="147162A0"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en-GB" w:eastAsia="zh-TW" w:bidi="en-GB"/>
              </w:rPr>
            </w:pPr>
            <w:r w:rsidRPr="00147B93">
              <w:rPr>
                <w:position w:val="2"/>
                <w:sz w:val="22"/>
                <w:szCs w:val="22"/>
                <w:rtl/>
              </w:rPr>
              <w:t>أنشطة التقييس التي يضطلع بها قطاع تقييس الاتصالات بالاتحاد الدولي للاتصالات بشأن استخدام تكنولوجيات الذكاء الاصطناعي لدعم الاتصالات/تكنولوجيا المعلومات والاتصالات</w:t>
            </w:r>
          </w:p>
        </w:tc>
      </w:tr>
      <w:tr w:rsidR="00E56E20" w:rsidRPr="00147B93" w14:paraId="136BF37F"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4CE5E9B1"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New</w:t>
            </w:r>
          </w:p>
        </w:tc>
        <w:tc>
          <w:tcPr>
            <w:tcW w:w="1565" w:type="dxa"/>
          </w:tcPr>
          <w:p w14:paraId="2B42F7E1"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b/>
                <w:position w:val="2"/>
                <w:sz w:val="22"/>
                <w:szCs w:val="22"/>
                <w:lang w:val="ar-SA" w:eastAsia="zh-TW" w:bidi="en-GB"/>
              </w:rPr>
            </w:pPr>
            <w:r w:rsidRPr="00147B93">
              <w:rPr>
                <w:b/>
                <w:position w:val="2"/>
                <w:sz w:val="22"/>
                <w:szCs w:val="22"/>
                <w:rtl/>
              </w:rPr>
              <w:t>103</w:t>
            </w:r>
          </w:p>
        </w:tc>
        <w:tc>
          <w:tcPr>
            <w:tcW w:w="11907" w:type="dxa"/>
          </w:tcPr>
          <w:p w14:paraId="432C3EA4"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en-GB" w:eastAsia="zh-TW" w:bidi="en-GB"/>
              </w:rPr>
            </w:pPr>
            <w:r w:rsidRPr="00147B93">
              <w:rPr>
                <w:position w:val="2"/>
                <w:sz w:val="22"/>
                <w:szCs w:val="22"/>
                <w:rtl/>
              </w:rPr>
              <w:t>تعزيز أنشطة التقييس المتعلقة بالبنية التحتية العامة الرقمية</w:t>
            </w:r>
          </w:p>
        </w:tc>
      </w:tr>
      <w:tr w:rsidR="00E56E20" w:rsidRPr="00147B93" w14:paraId="1BE6ED6D" w14:textId="77777777" w:rsidTr="00D364C0">
        <w:tc>
          <w:tcPr>
            <w:cnfStyle w:val="001000000000" w:firstRow="0" w:lastRow="0" w:firstColumn="1" w:lastColumn="0" w:oddVBand="0" w:evenVBand="0" w:oddHBand="0" w:evenHBand="0" w:firstRowFirstColumn="0" w:firstRowLastColumn="0" w:lastRowFirstColumn="0" w:lastRowLastColumn="0"/>
            <w:tcW w:w="982" w:type="dxa"/>
          </w:tcPr>
          <w:p w14:paraId="2F69016A"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New</w:t>
            </w:r>
          </w:p>
        </w:tc>
        <w:tc>
          <w:tcPr>
            <w:tcW w:w="1565" w:type="dxa"/>
          </w:tcPr>
          <w:p w14:paraId="6A6814C6" w14:textId="77777777" w:rsidR="00E56E20" w:rsidRPr="00147B93" w:rsidRDefault="00E56E20" w:rsidP="00147B93">
            <w:pPr>
              <w:spacing w:before="80" w:after="60" w:line="260" w:lineRule="exact"/>
              <w:jc w:val="center"/>
              <w:textDirection w:val="tbRlV"/>
              <w:cnfStyle w:val="000000000000" w:firstRow="0" w:lastRow="0" w:firstColumn="0" w:lastColumn="0" w:oddVBand="0" w:evenVBand="0" w:oddHBand="0" w:evenHBand="0" w:firstRowFirstColumn="0" w:firstRowLastColumn="0" w:lastRowFirstColumn="0" w:lastRowLastColumn="0"/>
              <w:rPr>
                <w:b/>
                <w:position w:val="2"/>
                <w:sz w:val="22"/>
                <w:szCs w:val="22"/>
                <w:lang w:val="ar-SA" w:eastAsia="zh-TW" w:bidi="en-GB"/>
              </w:rPr>
            </w:pPr>
            <w:r w:rsidRPr="00147B93">
              <w:rPr>
                <w:b/>
                <w:position w:val="2"/>
                <w:sz w:val="22"/>
                <w:szCs w:val="22"/>
                <w:rtl/>
              </w:rPr>
              <w:t>104</w:t>
            </w:r>
          </w:p>
        </w:tc>
        <w:tc>
          <w:tcPr>
            <w:tcW w:w="11907" w:type="dxa"/>
          </w:tcPr>
          <w:p w14:paraId="35F1E4E5" w14:textId="77777777" w:rsidR="00E56E20" w:rsidRPr="00147B93" w:rsidRDefault="00E56E20" w:rsidP="00147B93">
            <w:pPr>
              <w:spacing w:before="80" w:after="60" w:line="260" w:lineRule="exact"/>
              <w:textDirection w:val="tbRlV"/>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147B93">
              <w:rPr>
                <w:position w:val="2"/>
                <w:sz w:val="22"/>
                <w:szCs w:val="22"/>
                <w:rtl/>
              </w:rPr>
              <w:t>تشجيع وتعزيز أنشطة التقييس لاتصالات المركبات</w:t>
            </w:r>
          </w:p>
        </w:tc>
      </w:tr>
      <w:tr w:rsidR="00E56E20" w:rsidRPr="00147B93" w14:paraId="67E10897" w14:textId="77777777" w:rsidTr="00D3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052F25F9" w14:textId="77777777" w:rsidR="00E56E20" w:rsidRPr="00147B93" w:rsidRDefault="00E56E20" w:rsidP="00147B93">
            <w:pPr>
              <w:spacing w:before="80" w:after="60" w:line="260" w:lineRule="exact"/>
              <w:jc w:val="center"/>
              <w:textDirection w:val="tbRlV"/>
              <w:rPr>
                <w:position w:val="2"/>
                <w:sz w:val="22"/>
                <w:szCs w:val="22"/>
                <w:lang w:val="ar-SA" w:eastAsia="zh-TW" w:bidi="en-GB"/>
              </w:rPr>
            </w:pPr>
            <w:r w:rsidRPr="00147B93">
              <w:rPr>
                <w:position w:val="2"/>
                <w:sz w:val="22"/>
                <w:szCs w:val="22"/>
              </w:rPr>
              <w:t>New</w:t>
            </w:r>
          </w:p>
        </w:tc>
        <w:tc>
          <w:tcPr>
            <w:tcW w:w="1565" w:type="dxa"/>
          </w:tcPr>
          <w:p w14:paraId="7CD07DD9" w14:textId="77777777" w:rsidR="00E56E20" w:rsidRPr="00147B93" w:rsidRDefault="00E56E20" w:rsidP="00147B93">
            <w:pPr>
              <w:spacing w:before="80" w:after="60" w:line="260" w:lineRule="exact"/>
              <w:jc w:val="center"/>
              <w:textDirection w:val="tbRlV"/>
              <w:cnfStyle w:val="000000100000" w:firstRow="0" w:lastRow="0" w:firstColumn="0" w:lastColumn="0" w:oddVBand="0" w:evenVBand="0" w:oddHBand="1" w:evenHBand="0" w:firstRowFirstColumn="0" w:firstRowLastColumn="0" w:lastRowFirstColumn="0" w:lastRowLastColumn="0"/>
              <w:rPr>
                <w:b/>
                <w:position w:val="2"/>
                <w:sz w:val="22"/>
                <w:szCs w:val="22"/>
                <w:lang w:val="ar-SA" w:eastAsia="zh-TW" w:bidi="en-GB"/>
              </w:rPr>
            </w:pPr>
            <w:r w:rsidRPr="00147B93">
              <w:rPr>
                <w:b/>
                <w:position w:val="2"/>
                <w:sz w:val="22"/>
                <w:szCs w:val="22"/>
                <w:rtl/>
              </w:rPr>
              <w:t>107</w:t>
            </w:r>
          </w:p>
        </w:tc>
        <w:tc>
          <w:tcPr>
            <w:tcW w:w="11907" w:type="dxa"/>
          </w:tcPr>
          <w:p w14:paraId="6578D71B" w14:textId="77777777" w:rsidR="00E56E20" w:rsidRPr="00147B93" w:rsidRDefault="00E56E20" w:rsidP="00147B93">
            <w:pPr>
              <w:spacing w:before="80" w:after="60" w:line="260" w:lineRule="exact"/>
              <w:textDirection w:val="tbRlV"/>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r w:rsidRPr="00147B93">
              <w:rPr>
                <w:position w:val="2"/>
                <w:sz w:val="22"/>
                <w:szCs w:val="22"/>
                <w:rtl/>
              </w:rPr>
              <w:t>تعزيز مشاركة خبراء الجيل القادم في أنشطة التقييس الخاصة بقطاع تقييس الاتصالات بالاتحاد</w:t>
            </w:r>
          </w:p>
        </w:tc>
      </w:tr>
    </w:tbl>
    <w:p w14:paraId="3F136445" w14:textId="77777777" w:rsidR="00E56E20" w:rsidRPr="00E56E20" w:rsidRDefault="00E56E20" w:rsidP="009C0D87">
      <w:pPr>
        <w:tabs>
          <w:tab w:val="clear" w:pos="794"/>
        </w:tabs>
        <w:rPr>
          <w:b/>
          <w:bCs/>
        </w:rPr>
      </w:pPr>
      <w:r w:rsidRPr="00E56E20">
        <w:rPr>
          <w:b/>
          <w:bCs/>
        </w:rPr>
        <w:br w:type="page"/>
      </w:r>
    </w:p>
    <w:p w14:paraId="65FA759E" w14:textId="402307AE" w:rsidR="00E56E20" w:rsidRPr="00616A24" w:rsidRDefault="00E56E20" w:rsidP="00616A24">
      <w:pPr>
        <w:pStyle w:val="AnnexNo"/>
      </w:pPr>
      <w:r w:rsidRPr="00616A24">
        <w:rPr>
          <w:rtl/>
        </w:rPr>
        <w:lastRenderedPageBreak/>
        <w:t>الملحق</w:t>
      </w:r>
    </w:p>
    <w:p w14:paraId="547F2456" w14:textId="77777777" w:rsidR="00E56E20" w:rsidRPr="00616A24" w:rsidRDefault="00E56E20" w:rsidP="00616A24">
      <w:pPr>
        <w:pStyle w:val="Annextitle"/>
      </w:pPr>
      <w:r w:rsidRPr="00616A24">
        <w:rPr>
          <w:rtl/>
        </w:rPr>
        <w:t>نصوص مفصلة لقرارات الجمعية ذات الصلة بأعمال قطاع تنمية الاتصالات</w:t>
      </w:r>
    </w:p>
    <w:tbl>
      <w:tblPr>
        <w:tblStyle w:val="GridTable4-Accent5"/>
        <w:bidiVisual/>
        <w:tblW w:w="5000" w:type="pct"/>
        <w:tblLook w:val="04A0" w:firstRow="1" w:lastRow="0" w:firstColumn="1" w:lastColumn="0" w:noHBand="0" w:noVBand="1"/>
      </w:tblPr>
      <w:tblGrid>
        <w:gridCol w:w="3978"/>
        <w:gridCol w:w="10300"/>
      </w:tblGrid>
      <w:tr w:rsidR="00E56E20" w:rsidRPr="00A61F90" w14:paraId="362888D4" w14:textId="77777777" w:rsidTr="00787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2CA1CD56" w14:textId="77777777" w:rsidR="00E56E20" w:rsidRPr="00A61F90" w:rsidRDefault="00E56E20" w:rsidP="00A61F90">
            <w:pPr>
              <w:spacing w:before="80" w:after="60" w:line="280" w:lineRule="exact"/>
              <w:jc w:val="center"/>
              <w:textDirection w:val="tbRlV"/>
              <w:rPr>
                <w:position w:val="2"/>
                <w:lang w:val="ar-SA" w:eastAsia="zh-TW" w:bidi="en-GB"/>
              </w:rPr>
            </w:pPr>
            <w:r w:rsidRPr="00A61F90">
              <w:rPr>
                <w:position w:val="2"/>
                <w:rtl/>
              </w:rPr>
              <w:t>الرقم/القرار</w:t>
            </w:r>
          </w:p>
        </w:tc>
        <w:tc>
          <w:tcPr>
            <w:tcW w:w="3607" w:type="pct"/>
            <w:hideMark/>
          </w:tcPr>
          <w:p w14:paraId="564F2AC4" w14:textId="77777777" w:rsidR="00E56E20" w:rsidRPr="00A61F90" w:rsidRDefault="00E56E20" w:rsidP="00A61F90">
            <w:pPr>
              <w:spacing w:before="80" w:after="60" w:line="280" w:lineRule="exact"/>
              <w:jc w:val="center"/>
              <w:textDirection w:val="tbRlV"/>
              <w:cnfStyle w:val="100000000000" w:firstRow="1"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النص ذو الصلة</w:t>
            </w:r>
          </w:p>
        </w:tc>
      </w:tr>
      <w:tr w:rsidR="00E56E20" w:rsidRPr="00A61F90" w14:paraId="016118BE"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4C160EDF"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القـرار 2</w:t>
            </w:r>
          </w:p>
          <w:p w14:paraId="0545636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نطاق عمل لجان دراسات قطاع تقييس الاتصالات للاتحاد الدولي للاتصالات واختصاصاتها</w:t>
            </w:r>
          </w:p>
        </w:tc>
        <w:tc>
          <w:tcPr>
            <w:tcW w:w="3607" w:type="pct"/>
            <w:hideMark/>
          </w:tcPr>
          <w:p w14:paraId="5202E020" w14:textId="577FAE16"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535CFB9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أن تنظر لجان دراسات قطاع تقييس الاتصالات في مخرجات ومواد القطاعين الآخرين ومجلس الاتحاد ذات الصلة باختصاصات لجنة الدراسات؛</w:t>
            </w:r>
          </w:p>
          <w:p w14:paraId="312C08F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 xml:space="preserve">تشجيع لجان الدراسات على القيام بأعمال تتعلق بكيفية ضمان زيادة تطبيق توصيات قطاع تقييس الاتصالات على الصعيد الوطني بالتعاون مع لجنتي دراسات قطاع تنمية الاتصالات بالاتحاد الدولي للاتصالات </w:t>
            </w:r>
            <w:r w:rsidRPr="00A61F90">
              <w:rPr>
                <w:position w:val="2"/>
              </w:rPr>
              <w:t>ITU-D)</w:t>
            </w:r>
            <w:r w:rsidRPr="00A61F90">
              <w:rPr>
                <w:position w:val="2"/>
                <w:rtl/>
              </w:rPr>
              <w:t>)؛</w:t>
            </w:r>
          </w:p>
        </w:tc>
      </w:tr>
      <w:tr w:rsidR="00E56E20" w:rsidRPr="00A61F90" w14:paraId="59B57828"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04FEF42A"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القـرار 18</w:t>
            </w:r>
          </w:p>
          <w:p w14:paraId="43E99925" w14:textId="77777777" w:rsidR="00E56E20" w:rsidRPr="00A61F90" w:rsidRDefault="00E56E20" w:rsidP="00A61F90">
            <w:pPr>
              <w:pStyle w:val="Tabletexte"/>
              <w:spacing w:before="80" w:line="280" w:lineRule="exact"/>
              <w:rPr>
                <w:b w:val="0"/>
                <w:bCs w:val="0"/>
                <w:position w:val="2"/>
                <w:sz w:val="22"/>
                <w:szCs w:val="22"/>
                <w:lang w:eastAsia="zh-TW" w:bidi="en-GB"/>
              </w:rPr>
            </w:pPr>
            <w:r w:rsidRPr="00A61F90">
              <w:rPr>
                <w:b w:val="0"/>
                <w:bCs w:val="0"/>
                <w:position w:val="2"/>
                <w:sz w:val="22"/>
                <w:szCs w:val="22"/>
                <w:rtl/>
              </w:rPr>
              <w:t>تعزيز التنسيق والتعاون فيما بين القطاعات الثلاثة للاتحاد الدولي للاتصالات بشأن المسائل ذات الاهتمام المشترك</w:t>
            </w:r>
          </w:p>
        </w:tc>
        <w:tc>
          <w:tcPr>
            <w:tcW w:w="3607" w:type="pct"/>
            <w:hideMark/>
          </w:tcPr>
          <w:p w14:paraId="73A4F404" w14:textId="6894388B"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1A323AA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أن يواصل الفريق الاستشاري للاتصالات الراديوية </w:t>
            </w:r>
            <w:r w:rsidRPr="00A61F90">
              <w:rPr>
                <w:position w:val="2"/>
              </w:rPr>
              <w:t>RAG)</w:t>
            </w:r>
            <w:r w:rsidRPr="00A61F90">
              <w:rPr>
                <w:position w:val="2"/>
                <w:rtl/>
              </w:rPr>
              <w:t>) والفريق الاستشاري لتقييس الاتصالات (</w:t>
            </w:r>
            <w:r w:rsidRPr="00A61F90">
              <w:rPr>
                <w:position w:val="2"/>
              </w:rPr>
              <w:t>TSAG</w:t>
            </w:r>
            <w:r w:rsidRPr="00A61F90">
              <w:rPr>
                <w:position w:val="2"/>
                <w:rtl/>
              </w:rPr>
              <w:t>) والفريق الاستشاري لتنمية الاتصالات (</w:t>
            </w:r>
            <w:r w:rsidRPr="00A61F90">
              <w:rPr>
                <w:position w:val="2"/>
              </w:rPr>
              <w:t>TDAG</w:t>
            </w:r>
            <w:r w:rsidRPr="00A61F90">
              <w:rPr>
                <w:position w:val="2"/>
                <w:rtl/>
              </w:rPr>
              <w:t>)، في اجتماعات مشتركة عند اللزوم، استعراض الأعمال الجديدة والقائمة وتوزيعها بين قطاع الاتصالات الراديوية وقطاع تقييس الاتصالات وقطاع تنمية الاتصالات، لموافقة الدول الأعضاء عليها طبقاً للإجراءات الموضوعة للموافقة على المسائل الجديدة و/أو المراجَعة، على النحو المنصوص عليه في القرار 191 (المراجع في بوخارست، 2022)؛</w:t>
            </w:r>
          </w:p>
          <w:p w14:paraId="14012CF4"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أنه، عند تحديد مسؤوليات كبيرة في أي قطاعين أو في جميع القطاعات في موضوع معين، ينبغي:</w:t>
            </w:r>
          </w:p>
          <w:p w14:paraId="0C265207" w14:textId="16C23B6A"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 xml:space="preserve">1‘ </w:t>
            </w:r>
            <w:r w:rsidRPr="00A61F90">
              <w:rPr>
                <w:position w:val="2"/>
                <w:rtl/>
              </w:rPr>
              <w:tab/>
              <w:t xml:space="preserve">تطبيق الإجراء المبين في الملحق </w:t>
            </w:r>
            <w:r w:rsidRPr="00A61F90">
              <w:rPr>
                <w:position w:val="2"/>
              </w:rPr>
              <w:t>A</w:t>
            </w:r>
            <w:r w:rsidRPr="00A61F90">
              <w:rPr>
                <w:position w:val="2"/>
                <w:rtl/>
              </w:rPr>
              <w:t xml:space="preserve"> بهذا القرار؛ أو</w:t>
            </w:r>
          </w:p>
          <w:p w14:paraId="352591AA" w14:textId="7E62AAF4"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2‘</w:t>
            </w:r>
            <w:r w:rsidRPr="00A61F90">
              <w:rPr>
                <w:position w:val="2"/>
                <w:rtl/>
              </w:rPr>
              <w:tab/>
              <w:t xml:space="preserve">أو دراسة لجان الدراسات المعنية في القطاعات المعنية لهذه المسألة، مع إجراء تنسيق مناسب ومواءمة مواضيع المسائل ذات الاهتمام وذات الصلة بلجان الدراسات في قطاع تنمية الاتصالات وقطاع الاتصالات الراديوية (انظر الملحقين </w:t>
            </w:r>
            <w:r w:rsidRPr="00A61F90">
              <w:rPr>
                <w:position w:val="2"/>
              </w:rPr>
              <w:t>B</w:t>
            </w:r>
            <w:r w:rsidRPr="00A61F90">
              <w:rPr>
                <w:position w:val="2"/>
                <w:rtl/>
              </w:rPr>
              <w:t xml:space="preserve"> و</w:t>
            </w:r>
            <w:r w:rsidRPr="00A61F90">
              <w:rPr>
                <w:position w:val="2"/>
              </w:rPr>
              <w:t>C</w:t>
            </w:r>
            <w:r w:rsidRPr="00A61F90">
              <w:rPr>
                <w:position w:val="2"/>
                <w:rtl/>
              </w:rPr>
              <w:t xml:space="preserve"> بهذا القرار)؛ أو</w:t>
            </w:r>
          </w:p>
          <w:p w14:paraId="7D51E64B" w14:textId="17782154"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أو يمكن للجان الدراسات و/أو لمدراء المكاتب المعنية الترتيب لعقد اجتماع مشترك؛</w:t>
            </w:r>
          </w:p>
          <w:p w14:paraId="49FCCCA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التعاون مع مدير مكتب تنمية الاتصالات في تعزيز قدرة المكاتب الإقليمية ومكاتب المناطق التابعة للاتحاد الدولي للاتصالات على تقديم الدعم لأنشطة لجان الدراسات، علاوةً على الخبرة الضرورية، لتقوية التعاون والتنسيق مع المنظمات الإقليمية ذات الصلة ولتيسير مشاركة جميع الدول الأعضاء وأعضاء القطاع في أنشطة قطاع تقييس الاتصالات؛</w:t>
            </w:r>
          </w:p>
          <w:p w14:paraId="0243CA7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A61F90">
              <w:rPr>
                <w:position w:val="2"/>
                <w:rtl/>
              </w:rPr>
              <w:t xml:space="preserve">5 </w:t>
            </w:r>
            <w:r w:rsidRPr="00A61F90">
              <w:rPr>
                <w:position w:val="2"/>
                <w:rtl/>
              </w:rPr>
              <w:tab/>
              <w:t xml:space="preserve">أن يتعاون مدير مكتب تقييس الاتصالات </w:t>
            </w:r>
            <w:r w:rsidRPr="00A61F90">
              <w:rPr>
                <w:position w:val="2"/>
              </w:rPr>
              <w:t>TSB)</w:t>
            </w:r>
            <w:r w:rsidRPr="00A61F90">
              <w:rPr>
                <w:position w:val="2"/>
                <w:rtl/>
              </w:rPr>
              <w:t>) مع مديرَيْ المكتبين الآخرين فيما يتصل بالأنشطة المضطلع بها في وضع الكتيبات والتقارير وتحديثها بغية تجنب ازدواج الجهود، وبشأن تنفيذ نتائج أنشطة قطاع تقييس الاتصالات،</w:t>
            </w:r>
          </w:p>
          <w:p w14:paraId="7DE379FB" w14:textId="194A14CD" w:rsidR="00E56E20" w:rsidRPr="00A61F90" w:rsidRDefault="00E56E20" w:rsidP="00A61F90">
            <w:pPr>
              <w:pStyle w:val="Tabletexte"/>
              <w:keepNext/>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تدعو</w:t>
            </w:r>
          </w:p>
          <w:p w14:paraId="1ACB89B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الفريق الاستشاري لتقييس الاتصالات </w:t>
            </w:r>
            <w:r w:rsidRPr="00A61F90">
              <w:rPr>
                <w:position w:val="2"/>
              </w:rPr>
              <w:t>TSAG)</w:t>
            </w:r>
            <w:r w:rsidRPr="00A61F90">
              <w:rPr>
                <w:position w:val="2"/>
                <w:rtl/>
              </w:rPr>
              <w:t>) والفريق الاستشاري للاتصالات الراديوية (</w:t>
            </w:r>
            <w:r w:rsidRPr="00A61F90">
              <w:rPr>
                <w:position w:val="2"/>
              </w:rPr>
              <w:t>RAG</w:t>
            </w:r>
            <w:r w:rsidRPr="00A61F90">
              <w:rPr>
                <w:position w:val="2"/>
                <w:rtl/>
              </w:rPr>
              <w:t>) والفريق الاستشاري لتنمية الاتصالات (</w:t>
            </w:r>
            <w:r w:rsidRPr="00A61F90">
              <w:rPr>
                <w:position w:val="2"/>
              </w:rPr>
              <w:t>TDAG</w:t>
            </w:r>
            <w:r w:rsidRPr="00A61F90">
              <w:rPr>
                <w:position w:val="2"/>
                <w:rtl/>
              </w:rPr>
              <w:t xml:space="preserve">) إلى الاستمرار في مساعدة فريق التنسيق المشترك بين القطاعات المعني بالمسائل ذات الاهتمام </w:t>
            </w:r>
            <w:r w:rsidRPr="00A61F90">
              <w:rPr>
                <w:position w:val="2"/>
                <w:rtl/>
              </w:rPr>
              <w:lastRenderedPageBreak/>
              <w:t>المشترك (</w:t>
            </w:r>
            <w:r w:rsidRPr="00A61F90">
              <w:rPr>
                <w:position w:val="2"/>
              </w:rPr>
              <w:t>ISCG</w:t>
            </w:r>
            <w:r w:rsidRPr="00A61F90">
              <w:rPr>
                <w:position w:val="2"/>
                <w:rtl/>
              </w:rPr>
              <w:t>) في تحديد المواضيع ذات الاهتمام المشترك بين القطاعات الثلاثة، والآليات اللازمة لتعزيز التعاون والعمل المشترك بينها؛</w:t>
            </w:r>
          </w:p>
          <w:p w14:paraId="0D6E40B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rPr>
            </w:pPr>
            <w:r w:rsidRPr="00A61F90">
              <w:rPr>
                <w:position w:val="2"/>
                <w:rtl/>
              </w:rPr>
              <w:t xml:space="preserve">2 </w:t>
            </w:r>
            <w:r w:rsidRPr="00A61F90">
              <w:rPr>
                <w:position w:val="2"/>
                <w:rtl/>
              </w:rPr>
              <w:tab/>
              <w:t xml:space="preserve">مديري مكاتب الاتصالات الراديوية وتقييس الاتصالات وتنمية الاتصالات وفريق المهام المعني بالتنسيق بين القطاعات </w:t>
            </w:r>
            <w:r w:rsidRPr="00A61F90">
              <w:rPr>
                <w:position w:val="2"/>
              </w:rPr>
              <w:t>ISC-TF)</w:t>
            </w:r>
            <w:r w:rsidRPr="00A61F90">
              <w:rPr>
                <w:position w:val="2"/>
                <w:rtl/>
              </w:rPr>
              <w:t>) إلى إبلاغ الأفرقة الاستشارية المعنية للقطاعات بالخيارات المتاحة لتحسين التعاون على مستوى الأمانة من أجل ضمان التنسيق الوثيق إلى أقصى حدٍ ممكن،</w:t>
            </w:r>
          </w:p>
        </w:tc>
      </w:tr>
      <w:tr w:rsidR="00E56E20" w:rsidRPr="00A61F90" w14:paraId="2DF7E910"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21CF81E8"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lastRenderedPageBreak/>
              <w:t>القرار 22</w:t>
            </w:r>
          </w:p>
          <w:p w14:paraId="30B75FE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تفويض الفريق الاستشاري لتقييس الاتصالات بالتصرف بين دورات انعقاد الجمعية العالمية لتقييس الاتصالات</w:t>
            </w:r>
          </w:p>
        </w:tc>
        <w:tc>
          <w:tcPr>
            <w:tcW w:w="3607" w:type="pct"/>
          </w:tcPr>
          <w:p w14:paraId="05E7B4E2" w14:textId="4A0CA9F4"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2512F4E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أن تسند إلى الفريق الاستشاري لتقييس الاتصالات المسائل المحددة التالية الواقعة ضمن اختصاصاتها في الفترة بين هذه الجمعية والجمعية التالية لكي يتصرف في المجالات التالية بالتشاور مع مدير مكتب تقييس الاتصالات:</w:t>
            </w:r>
          </w:p>
          <w:p w14:paraId="634A219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i/>
                <w:iCs/>
                <w:position w:val="2"/>
                <w:rtl/>
              </w:rPr>
              <w:t>ل)</w:t>
            </w:r>
            <w:r w:rsidRPr="00A61F90">
              <w:rPr>
                <w:position w:val="2"/>
                <w:rtl/>
              </w:rPr>
              <w:tab/>
              <w:t xml:space="preserve"> التعاون والتنسيق مع قطاعي الاتصالات الراديوية وتنمية الاتصالات بالاتحاد، مع أخذ القرار 18 (المراجَع في جنيف، 2022) الصادر عن هذه الجمعية في الاعتبار؛</w:t>
            </w:r>
          </w:p>
        </w:tc>
      </w:tr>
      <w:tr w:rsidR="00E56E20" w:rsidRPr="00A61F90" w14:paraId="2F5C0253"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1AB4D5AB"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29</w:t>
            </w:r>
          </w:p>
          <w:p w14:paraId="2675C63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إجراءات النداء البديلة على شبكات الاتصالات الدولية</w:t>
            </w:r>
          </w:p>
        </w:tc>
        <w:tc>
          <w:tcPr>
            <w:tcW w:w="3607" w:type="pct"/>
            <w:hideMark/>
          </w:tcPr>
          <w:p w14:paraId="0F41A4DE" w14:textId="62E0D94B"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645E824F"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A61F90">
              <w:rPr>
                <w:position w:val="2"/>
                <w:sz w:val="22"/>
                <w:szCs w:val="22"/>
                <w:rtl/>
              </w:rPr>
              <w:t>مدير مكتب تقييس الاتصالات</w:t>
            </w:r>
          </w:p>
          <w:p w14:paraId="18B9EA3E"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position w:val="2"/>
                <w:sz w:val="22"/>
                <w:szCs w:val="22"/>
                <w:lang w:val="ar-SA" w:eastAsia="zh-TW" w:bidi="en-GB"/>
              </w:rPr>
            </w:pPr>
            <w:r w:rsidRPr="00A61F90">
              <w:rPr>
                <w:position w:val="2"/>
                <w:sz w:val="22"/>
                <w:szCs w:val="22"/>
                <w:rtl/>
              </w:rPr>
              <w:t>بأن يواصل التعاون مع مدير مكتب تنمية الاتصالات من أجل تسهيل مشاركة البلدان النامية في هذه الدراسات والاستفادة من نتائجها ومن أجل تنفيذ هذا القرار،</w:t>
            </w:r>
          </w:p>
        </w:tc>
      </w:tr>
      <w:tr w:rsidR="00E56E20" w:rsidRPr="00A61F90" w14:paraId="2DE7BC64"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77D1EDA9"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t>القرار 32</w:t>
            </w:r>
          </w:p>
          <w:p w14:paraId="4B975F7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وسائل العمل الإلكترونية في أعمال قطاع تقييس الاتصالات للاتحاد الدولي للاتصالات</w:t>
            </w:r>
          </w:p>
        </w:tc>
        <w:tc>
          <w:tcPr>
            <w:tcW w:w="3607" w:type="pct"/>
          </w:tcPr>
          <w:p w14:paraId="0936F1E4"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i/>
                <w:iCs/>
                <w:position w:val="2"/>
                <w:sz w:val="22"/>
                <w:szCs w:val="22"/>
                <w:lang w:val="ar-SA" w:eastAsia="zh-TW" w:bidi="en-GB"/>
              </w:rPr>
            </w:pPr>
            <w:r w:rsidRPr="00A61F90">
              <w:rPr>
                <w:b/>
                <w:bCs/>
                <w:i/>
                <w:iCs/>
                <w:position w:val="2"/>
                <w:sz w:val="22"/>
                <w:szCs w:val="22"/>
                <w:rtl/>
              </w:rPr>
              <w:t>تقرر</w:t>
            </w:r>
          </w:p>
          <w:p w14:paraId="1BEA632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أن تكون الأهداف الرئيسية لوسائل العمل الإلكترونية في قطاع تقييس الاتصالات ما يلي:</w:t>
            </w:r>
          </w:p>
          <w:p w14:paraId="09EA0F1C"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sym w:font="Symbol" w:char="F0B7"/>
            </w:r>
            <w:r w:rsidRPr="00A61F90">
              <w:rPr>
                <w:position w:val="2"/>
                <w:rtl/>
              </w:rPr>
              <w:tab/>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 في ذلك المشاركة عن بُعد، والنفاذ الإلكتروني من خلال المنصات القائمة على المصادر الآمنة والمفتوحة المتاحة، وذلك على وجه الخصوص من أجل مساعدة البلدان النامية التي تعاني من مشكلات في توفير عرض النطاق وغير ذلك من قيود؛</w:t>
            </w:r>
          </w:p>
          <w:p w14:paraId="73524D08"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sym w:font="Symbol" w:char="F0B7"/>
            </w:r>
            <w:r w:rsidRPr="00A61F90">
              <w:rPr>
                <w:position w:val="2"/>
                <w:rtl/>
              </w:rPr>
              <w:tab/>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 رسوم التوصيل بالإنترنت، وذلك في حدود الاعتمادات التي يكون المجلس مخولاً للسماح بها؛</w:t>
            </w:r>
          </w:p>
          <w:p w14:paraId="4A26983B" w14:textId="77777777" w:rsidR="00E56E20" w:rsidRPr="00A61F90" w:rsidRDefault="00E56E20" w:rsidP="00A61F90">
            <w:pPr>
              <w:pStyle w:val="Tabletexte"/>
              <w:keepNext/>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en-GB" w:eastAsia="zh-TW" w:bidi="en-GB"/>
              </w:rPr>
            </w:pPr>
            <w:r w:rsidRPr="00A61F90">
              <w:rPr>
                <w:b/>
                <w:bCs/>
                <w:i/>
                <w:iCs/>
                <w:position w:val="2"/>
                <w:sz w:val="22"/>
                <w:szCs w:val="22"/>
                <w:rtl/>
              </w:rPr>
              <w:t>تكلف</w:t>
            </w:r>
          </w:p>
          <w:p w14:paraId="45AAF74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مدير مكتب تقييس الاتصالات بما يلي:</w:t>
            </w:r>
          </w:p>
          <w:p w14:paraId="4ADD7BEB"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sym w:font="Symbol" w:char="F0B7"/>
            </w:r>
            <w:r w:rsidRPr="00A61F90">
              <w:rPr>
                <w:position w:val="2"/>
                <w:rtl/>
              </w:rPr>
              <w:tab/>
              <w:t>التنسيق مع مديري المكتبين الآخرين لاستكشاف كيف يمكن لأدوات أساليب العمل الإلكترونية أن تعزز التعاون والعمل المشترك بين قطاع الاتصالات الراديوية وقطاع تقييس الاتصالات وقطاع تنمية الاتصالات من أجل تجنب تكرار أنشطة القطاعات، وضمان تنفيذ العمل بكفاءة وفعالية؛</w:t>
            </w:r>
          </w:p>
        </w:tc>
      </w:tr>
      <w:tr w:rsidR="00E56E20" w:rsidRPr="00A61F90" w14:paraId="30DFA20D"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2E330FE3"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43</w:t>
            </w:r>
          </w:p>
          <w:p w14:paraId="77F53CD8"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الأعمال التحضيرية الإقليمية للجمعيات العالمية لتقييس الاتصالات</w:t>
            </w:r>
          </w:p>
        </w:tc>
        <w:tc>
          <w:tcPr>
            <w:tcW w:w="3607" w:type="pct"/>
          </w:tcPr>
          <w:p w14:paraId="162C3251"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i/>
                <w:iCs/>
                <w:position w:val="2"/>
                <w:sz w:val="22"/>
                <w:szCs w:val="22"/>
                <w:lang w:val="ar-SA" w:eastAsia="zh-TW" w:bidi="en-GB"/>
              </w:rPr>
            </w:pPr>
            <w:r w:rsidRPr="00A61F90">
              <w:rPr>
                <w:b/>
                <w:bCs/>
                <w:i/>
                <w:iCs/>
                <w:position w:val="2"/>
                <w:sz w:val="22"/>
                <w:szCs w:val="22"/>
                <w:rtl/>
              </w:rPr>
              <w:t>تدعو الأمين العام، بالتعاون مع مديري مكاتب القطاعات الثلاثة، إلى</w:t>
            </w:r>
          </w:p>
          <w:p w14:paraId="38930D0A" w14:textId="0D60B3B6"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 xml:space="preserve">أن يتشاور مع الدول الأعضاء ومنظمات الاتصالات الإقليمية ودون الإقليمية بشأن الوسائل التي يمكن بها تقديم المساعدة لدعمها في أعمالها التحضيرية للجمعيات العالمية المقبلة لتقييس الاتصالات بما في ذلك دعم تنظيم "منتدى سد الفجوة </w:t>
            </w:r>
            <w:proofErr w:type="spellStart"/>
            <w:r w:rsidRPr="00A61F90">
              <w:rPr>
                <w:position w:val="2"/>
                <w:rtl/>
              </w:rPr>
              <w:t>التقييسية</w:t>
            </w:r>
            <w:proofErr w:type="spellEnd"/>
            <w:r w:rsidRPr="00A61F90">
              <w:rPr>
                <w:position w:val="2"/>
                <w:rtl/>
              </w:rPr>
              <w:t>" لكل منطقة لتناول القضايا الرئيسية ذات الأهمية للبلدان النامية والتي ستتناولها الجمعية العالمية المقبلة لتقييس الاتصالات</w:t>
            </w:r>
            <w:r w:rsidR="00A41A9F" w:rsidRPr="00A61F90">
              <w:rPr>
                <w:rFonts w:hint="eastAsia"/>
                <w:position w:val="2"/>
                <w:rtl/>
              </w:rPr>
              <w:t> </w:t>
            </w:r>
            <w:r w:rsidRPr="00A61F90">
              <w:rPr>
                <w:position w:val="2"/>
                <w:rtl/>
              </w:rPr>
              <w:t>1؛</w:t>
            </w:r>
          </w:p>
          <w:p w14:paraId="7C681AA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أن يقدم، استناداً إلى هذه المشاورات، المساعدة إلى الدول الأعضاء ومنظمات الاتصالات الإقليمية ودون الإقليمية في مجالات من قبيل:</w:t>
            </w:r>
          </w:p>
          <w:p w14:paraId="40D2CF88"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1‘</w:t>
            </w:r>
            <w:r w:rsidRPr="00A61F90">
              <w:rPr>
                <w:position w:val="2"/>
                <w:rtl/>
              </w:rPr>
              <w:tab/>
              <w:t xml:space="preserve">تنظيم اجتماعات تحضيرية غير رسمية على الصعيدين الإقليمي </w:t>
            </w:r>
            <w:proofErr w:type="spellStart"/>
            <w:r w:rsidRPr="00A61F90">
              <w:rPr>
                <w:position w:val="2"/>
                <w:rtl/>
              </w:rPr>
              <w:t>والأقاليمي</w:t>
            </w:r>
            <w:proofErr w:type="spellEnd"/>
            <w:r w:rsidRPr="00A61F90">
              <w:rPr>
                <w:position w:val="2"/>
                <w:rtl/>
              </w:rPr>
              <w:t>، ورسمية على الصعيد الإقليمي إذا طلبت أي منطقة ذلك؛</w:t>
            </w:r>
          </w:p>
          <w:p w14:paraId="72707908"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2‘</w:t>
            </w:r>
            <w:r w:rsidRPr="00A61F90">
              <w:rPr>
                <w:position w:val="2"/>
                <w:rtl/>
              </w:rPr>
              <w:tab/>
              <w:t>تعيين القضايا الكبرى التي يتعين حلها في الجمعية العالمية التالية لتقييس الاتصالات؛</w:t>
            </w:r>
          </w:p>
          <w:p w14:paraId="5FE025EF"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صياغة أساليب التنسيق؛</w:t>
            </w:r>
          </w:p>
          <w:p w14:paraId="351C2FBF"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4‘</w:t>
            </w:r>
            <w:r w:rsidRPr="00A61F90">
              <w:rPr>
                <w:position w:val="2"/>
                <w:rtl/>
              </w:rPr>
              <w:tab/>
              <w:t>تنظيم جلسات إعلامية حول الأعمال المنتظرة للجمعية؛</w:t>
            </w:r>
          </w:p>
          <w:p w14:paraId="156077C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أن يُقدم، في موعد أقصاه دورة مجلس الاتحاد التي تلي الجمعية، تقريراً عن تعليقات الدول الأعضاء بشأن الاجتماعات الإقليمية التحضيرية للجمعية العالمية لتقييس الاتصالات والنتائج التي توصلت إليها وعن تطبيق هذا القرار،</w:t>
            </w:r>
          </w:p>
        </w:tc>
      </w:tr>
      <w:tr w:rsidR="00E56E20" w:rsidRPr="00A61F90" w14:paraId="05E12FF3"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0E588C44"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44</w:t>
            </w:r>
          </w:p>
          <w:p w14:paraId="7609C160"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 xml:space="preserve">سد الفجوة </w:t>
            </w:r>
            <w:proofErr w:type="spellStart"/>
            <w:r w:rsidRPr="00A61F90">
              <w:rPr>
                <w:b w:val="0"/>
                <w:bCs w:val="0"/>
                <w:position w:val="2"/>
                <w:sz w:val="22"/>
                <w:szCs w:val="22"/>
                <w:rtl/>
              </w:rPr>
              <w:t>التقييسية</w:t>
            </w:r>
            <w:proofErr w:type="spellEnd"/>
            <w:r w:rsidRPr="00A61F90">
              <w:rPr>
                <w:b w:val="0"/>
                <w:bCs w:val="0"/>
                <w:position w:val="2"/>
                <w:sz w:val="22"/>
                <w:szCs w:val="22"/>
                <w:rtl/>
              </w:rPr>
              <w:t xml:space="preserve"> بين البلدان النامية والبلدان المتقدمة</w:t>
            </w:r>
          </w:p>
        </w:tc>
        <w:tc>
          <w:tcPr>
            <w:tcW w:w="3607" w:type="pct"/>
            <w:hideMark/>
          </w:tcPr>
          <w:p w14:paraId="6F4C7450"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6317056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مواصلة خطة العمل الملحقة بهذا القرار ومراجعتها على أساس سنوي لمراعاة متطلبات البلدان النامية بهدف سد الفجوة </w:t>
            </w:r>
            <w:proofErr w:type="spellStart"/>
            <w:r w:rsidRPr="00A61F90">
              <w:rPr>
                <w:position w:val="2"/>
                <w:rtl/>
              </w:rPr>
              <w:t>التقييسية</w:t>
            </w:r>
            <w:proofErr w:type="spellEnd"/>
            <w:r w:rsidRPr="00A61F90">
              <w:rPr>
                <w:position w:val="2"/>
                <w:rtl/>
              </w:rPr>
              <w:t xml:space="preserve"> بين البلدان المتقدمة والنامية؛</w:t>
            </w:r>
          </w:p>
          <w:p w14:paraId="0536AF90"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 xml:space="preserve">أن يعدّ قطاع تقييس الاتصالات، بالتعاون مع القطاعين الآخرين، ولا سيما قطاع تنمية الاتصالات </w:t>
            </w:r>
            <w:r w:rsidRPr="00A61F90">
              <w:rPr>
                <w:position w:val="2"/>
              </w:rPr>
              <w:t>(ITU-D)</w:t>
            </w:r>
            <w:r w:rsidRPr="00A61F90">
              <w:rPr>
                <w:position w:val="2"/>
                <w:rtl/>
              </w:rPr>
              <w:t>، حسب الاقتضاء، برنامجاً من أجل القيام بما يلي:</w:t>
            </w:r>
          </w:p>
          <w:p w14:paraId="1DF9DFD0" w14:textId="4C888D8D" w:rsidR="00E56E20" w:rsidRPr="00A61F90" w:rsidRDefault="007873D7"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‘1’</w:t>
            </w:r>
            <w:r w:rsidR="00E56E20" w:rsidRPr="00A61F90">
              <w:rPr>
                <w:position w:val="2"/>
                <w:rtl/>
              </w:rPr>
              <w:tab/>
              <w:t>مساعدة البلدان النامية في وضع الاستراتيجيات والأساليب التي تسهل عملية ربط تحدياتها وابتكاراتها بعملية التقييس دعماً للتحول الرقمي للمجتمع؛</w:t>
            </w:r>
          </w:p>
          <w:p w14:paraId="160BE065" w14:textId="6293E104" w:rsidR="00E56E20" w:rsidRPr="00A61F90" w:rsidRDefault="007873D7"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‘2’</w:t>
            </w:r>
            <w:r w:rsidR="00E56E20" w:rsidRPr="00A61F90">
              <w:rPr>
                <w:position w:val="2"/>
                <w:rtl/>
              </w:rPr>
              <w:tab/>
              <w:t>مساعدة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60AC2E26"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مساعدة البلدان النامية في وضع استراتيجيات لإنشاء مختبرات اختبار معترف بها وطنياً وإقليمياً ودولياً من أجل التكنولوجيات الناشئة؛</w:t>
            </w:r>
          </w:p>
          <w:p w14:paraId="0AAF9157" w14:textId="77777777" w:rsidR="00E56E20" w:rsidRPr="00A61F90" w:rsidRDefault="00E56E20" w:rsidP="0027069A">
            <w:pPr>
              <w:pStyle w:val="Tabletexte"/>
              <w:keepNext/>
              <w:spacing w:before="80" w:line="280" w:lineRule="exact"/>
              <w:cnfStyle w:val="000000100000" w:firstRow="0" w:lastRow="0" w:firstColumn="0" w:lastColumn="0" w:oddVBand="0" w:evenVBand="0" w:oddHBand="1" w:evenHBand="0" w:firstRowFirstColumn="0" w:firstRowLastColumn="0" w:lastRowFirstColumn="0" w:lastRowLastColumn="0"/>
              <w:rPr>
                <w:b/>
                <w:bCs/>
                <w:i/>
                <w:iCs/>
                <w:position w:val="2"/>
                <w:sz w:val="22"/>
                <w:szCs w:val="22"/>
                <w:lang w:val="en-GB" w:eastAsia="zh-TW" w:bidi="en-GB"/>
              </w:rPr>
            </w:pPr>
            <w:r w:rsidRPr="00A61F90">
              <w:rPr>
                <w:b/>
                <w:bCs/>
                <w:i/>
                <w:iCs/>
                <w:position w:val="2"/>
                <w:sz w:val="22"/>
                <w:szCs w:val="22"/>
                <w:rtl/>
              </w:rPr>
              <w:lastRenderedPageBreak/>
              <w:t>تقرر كذلك</w:t>
            </w:r>
          </w:p>
          <w:p w14:paraId="0C675CBF" w14:textId="77777777" w:rsidR="00E56E20" w:rsidRPr="00A61F90" w:rsidRDefault="00E56E20" w:rsidP="0027069A">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أن تقوم المكاتب الإقليمية للاتحاد:</w:t>
            </w:r>
          </w:p>
          <w:p w14:paraId="745DD05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بالمشاركة في أنشطة يحددها الفريق الاستشاري لتقييس الاتصالات من أجل زيادة تعزيز تنفيذ خطة العمل الملحقة بهذا القرار، وتطوير وتنسيق أنشطة التقييس في المناطق بما في ذلك زيادة وعي أعضاء القطاع والمنتسبين والهيئات الأكاديمية المرتقبين من البلدان النامية، وتقديم المساعدة اللازمة إلى الأفرقة الإقليمية للجان دراسات قطاع تقييس الاتصالات؛</w:t>
            </w:r>
          </w:p>
          <w:p w14:paraId="4E0DB7D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بتقديم المساعدة، في الحدود التي تسمح بها ميزانية المكاتب، إلى نواب رؤساء الفريق الاستشاري لتقييس الاتصالات ولجان الدراسات التابعة لقطاع تقييس الاتصالات المعينين بمسؤوليات محددة تشمل ما يلي ضمن جملة أمور:</w:t>
            </w:r>
          </w:p>
          <w:p w14:paraId="7F51F1FD"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 xml:space="preserve">1‘ </w:t>
            </w:r>
            <w:r w:rsidRPr="00A61F90">
              <w:rPr>
                <w:position w:val="2"/>
                <w:rtl/>
              </w:rPr>
              <w:tab/>
              <w:t xml:space="preserve">العمل عن كثب مع أعضاء الاتحاد في المنطقة من أجل تعبئتهم للمشاركة في أنشطة التقييس التي يضطلع بها الاتحاد للمساعدة في سد الفجوة </w:t>
            </w:r>
            <w:proofErr w:type="spellStart"/>
            <w:r w:rsidRPr="00A61F90">
              <w:rPr>
                <w:position w:val="2"/>
                <w:rtl/>
              </w:rPr>
              <w:t>التقييسية</w:t>
            </w:r>
            <w:proofErr w:type="spellEnd"/>
            <w:r w:rsidRPr="00A61F90">
              <w:rPr>
                <w:position w:val="2"/>
                <w:rtl/>
              </w:rPr>
              <w:t>؛</w:t>
            </w:r>
          </w:p>
          <w:p w14:paraId="05BD7D09"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إعداد تقارير تتعلق بالتعبئة والمشاركة وتقديمها إلى الهيئة المعنية بالمنطقة في الاتحاد؛</w:t>
            </w:r>
          </w:p>
          <w:p w14:paraId="51727B24"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إعداد برنامج تعبئة من أجل المناطق التي يمثلونها وتقديمه إلى أول اجتماع للفريق الاستشاري لتقييس الاتصالات أو للجنة دراسات وإرسال تقرير إلى الفريق الاستشاري لتقييس الاتصالات؛</w:t>
            </w:r>
          </w:p>
          <w:p w14:paraId="2FEAE8C0"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 xml:space="preserve">إحاطة أعضاء الاتحاد ببرامج ومبادرات قطاع تنمية الاتصالات التي يمكن أن تساعد في سد الفجوة </w:t>
            </w:r>
            <w:proofErr w:type="spellStart"/>
            <w:r w:rsidRPr="00A61F90">
              <w:rPr>
                <w:position w:val="2"/>
                <w:rtl/>
              </w:rPr>
              <w:t>التقييسية</w:t>
            </w:r>
            <w:proofErr w:type="spellEnd"/>
            <w:r w:rsidRPr="00A61F90">
              <w:rPr>
                <w:position w:val="2"/>
                <w:rtl/>
              </w:rPr>
              <w:t>؛</w:t>
            </w:r>
          </w:p>
          <w:p w14:paraId="61EFCAF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بتنظيم وتنسيق أنشطة الأفرقة الإقليمية للجان دراسات قطاع تقييس الاتصالات،</w:t>
            </w:r>
          </w:p>
          <w:p w14:paraId="08C2DB34"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36600C1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مكتب تنمية الاتصالات ومكتب الاتصالات الراديوية في حدود الموارد المتاحة:</w:t>
            </w:r>
          </w:p>
          <w:p w14:paraId="1DBCC30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بمواصلة العمل على تنفيذ أهداف خطة العمل الملحقة بهذا القرار؛</w:t>
            </w:r>
          </w:p>
          <w:p w14:paraId="6D92698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بتشجيع إقامة شراكات تحت رعاية قطاع تقييس الاتصالات كوسيلة لتمويل وتنفيذ أهداف خطة العمل الملحقة بهذا القرار؛</w:t>
            </w:r>
          </w:p>
          <w:p w14:paraId="24E79AF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بالنظر في عقد ورش عمل بالتزامن مع اجتماعات الأفرقة الإقليمية التابعة لها أو تنظيم ورش عمل أو منتديات أخرى إلى جانب هذه الاجتماعات، كلما أمكن ذلك، بالتنسيق والتعاون مع مدير مكتب تنمية الاتصالات والمكاتب الإقليمية للاتحاد؛</w:t>
            </w:r>
          </w:p>
          <w:p w14:paraId="6431BD3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بمساعدة البلدان النامية في دراساتها وخاصة فيما يتعلق بالمسائل ذات الأولوية لها وإعداد وتنفيذ توصيات قطاع تقييس الاتصالات؛</w:t>
            </w:r>
          </w:p>
          <w:p w14:paraId="6335CB7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بمواصلة أنشطة الفريق المعني بالتنفيذ المشكَّل ضمن مكتب تقييس الاتصالات، ليضطلع بمهام التنظيم وتعبئة الموارد وتنسيق الجهود ورصد الأعمال المرتبطة بهذا القرار وبخطة العمل الخاصة به؛</w:t>
            </w:r>
          </w:p>
          <w:p w14:paraId="21CC5DB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6</w:t>
            </w:r>
            <w:r w:rsidRPr="00A61F90">
              <w:rPr>
                <w:position w:val="2"/>
                <w:rtl/>
              </w:rPr>
              <w:tab/>
              <w:t xml:space="preserve">بمواصلة الاضطلاع بالدراسات اللازمة بشأن دور برامج إدارة الابتكارات وحفز الابتكارات في سد الفجوة </w:t>
            </w:r>
            <w:proofErr w:type="spellStart"/>
            <w:r w:rsidRPr="00A61F90">
              <w:rPr>
                <w:position w:val="2"/>
                <w:rtl/>
              </w:rPr>
              <w:t>التقييسية</w:t>
            </w:r>
            <w:proofErr w:type="spellEnd"/>
            <w:r w:rsidRPr="00A61F90">
              <w:rPr>
                <w:position w:val="2"/>
                <w:rtl/>
              </w:rPr>
              <w:t xml:space="preserve"> بين البلدان المتقدمة والنامية؛</w:t>
            </w:r>
          </w:p>
          <w:p w14:paraId="38331CA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7</w:t>
            </w:r>
            <w:r w:rsidRPr="00A61F90">
              <w:rPr>
                <w:position w:val="2"/>
                <w:rtl/>
              </w:rPr>
              <w:tab/>
              <w:t>بإدراج مخصصات مالية لتنفيذ هذا القرار في الميزانية المقترحة لمكتب تقييس الاتصالات على المجلس، آخذاً بعين الاعتبار الضغوط المالية والأنشطة الحالية والمخطط لها في مكتب تنمية الاتصالات؛</w:t>
            </w:r>
          </w:p>
          <w:p w14:paraId="1BDE115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8</w:t>
            </w:r>
            <w:r w:rsidRPr="00A61F90">
              <w:rPr>
                <w:position w:val="2"/>
                <w:rtl/>
              </w:rPr>
              <w:tab/>
              <w:t>بتقديم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اللازمة في الميزانية؛</w:t>
            </w:r>
          </w:p>
          <w:p w14:paraId="314C5A6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9</w:t>
            </w:r>
            <w:r w:rsidRPr="00A61F90">
              <w:rPr>
                <w:position w:val="2"/>
                <w:rtl/>
              </w:rPr>
              <w:tab/>
              <w:t xml:space="preserve">بتقديم الدعم والمساعدة، عند الطلب، إلى البلدان النامية لصياغة/إعداد مجموعة مبادئ توجيهية بشأن تطبيق توصيات قطاع تقييس الاتصالات على الصعيد الوطني من أجل النهوض بمشاركتها في لجان دراسات قطاع تقييس الاتصالات، بمساعدة من المكاتب الإقليمية للاتحاد من أجل سد الفجوة </w:t>
            </w:r>
            <w:proofErr w:type="spellStart"/>
            <w:r w:rsidRPr="00A61F90">
              <w:rPr>
                <w:position w:val="2"/>
                <w:rtl/>
              </w:rPr>
              <w:t>التقييسية</w:t>
            </w:r>
            <w:proofErr w:type="spellEnd"/>
            <w:r w:rsidRPr="00A61F90">
              <w:rPr>
                <w:position w:val="2"/>
                <w:rtl/>
              </w:rPr>
              <w:t>؛</w:t>
            </w:r>
          </w:p>
          <w:p w14:paraId="5934D77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10</w:t>
            </w:r>
            <w:r w:rsidRPr="00A61F90">
              <w:rPr>
                <w:position w:val="2"/>
                <w:rtl/>
              </w:rPr>
              <w:tab/>
              <w:t>بتعزيز استخدام القنوات الإلكترونية مثل حلقات الدراسة على الويب أو التعلم الإلكتروني في مجال التعليم والتدريب على تنفيذ توصيات قطاع تقييس الاتصالات بالتعاون الوثيق مع أكاديمية الاتحاد ومبادرات بناء القدرات الأخرى لمكتب تنمية الاتصالات؛</w:t>
            </w:r>
          </w:p>
          <w:p w14:paraId="5B39E27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11</w:t>
            </w:r>
            <w:r w:rsidRPr="00A61F90">
              <w:rPr>
                <w:position w:val="2"/>
                <w:rtl/>
              </w:rPr>
              <w:tab/>
              <w:t>بتقديم كل ما يلزم من دعم ومن تدابير لإنشاء أفرقة إقليمية وكفالة سلاسة سير أعمالها، وتسهيل تنظيم اجتماعاتها وورش العمل الخاصة بها من أجل نشر المعلومات وزيادة فهم التوصيات الجديدة لقطاع تقييس الاتصالات، خاصة للبلدان النامية؛</w:t>
            </w:r>
          </w:p>
          <w:p w14:paraId="56B1D5F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12</w:t>
            </w:r>
            <w:r w:rsidRPr="00A61F90">
              <w:rPr>
                <w:position w:val="2"/>
                <w:rtl/>
              </w:rPr>
              <w:tab/>
              <w:t>برفع تقرير إلى المجلس عن فعالية الأفرقة الإقليمية التابعة للجان دراسات قطاع تقييس الاتصالات؛</w:t>
            </w:r>
          </w:p>
          <w:p w14:paraId="7F69F2F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13</w:t>
            </w:r>
            <w:r w:rsidRPr="00A61F90">
              <w:rPr>
                <w:position w:val="2"/>
                <w:rtl/>
              </w:rPr>
              <w:tab/>
              <w:t>بتنظيم ورش عمل وحلقات دراسية، حسب الاقتضاء، لنشر المعلومات وزيادة فهم التوصيات الجديدة وتنفيذ المبادئ التوجيهية المتعلقة بالتوصيات، وخاصةً للبلدان النامية؛</w:t>
            </w:r>
          </w:p>
          <w:p w14:paraId="1E9ADB3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14</w:t>
            </w:r>
            <w:r w:rsidRPr="00A61F90">
              <w:rPr>
                <w:position w:val="2"/>
                <w:rtl/>
              </w:rPr>
              <w:tab/>
              <w:t xml:space="preserve">بضمان المساواة في النفاذ إلى الاجتماعات الإلكترونية للاتحاد إلى أقصى حد ممكن وتوفير المشاركة عن بُعد، كلما أمكن ذلك، في المزيد من ورش العمل والحلقات الدراسية والمنتديات التي ينظمها قطاع تقييس الاتصالات، لتشجيع المزيد من المشاركة من </w:t>
            </w:r>
            <w:proofErr w:type="spellStart"/>
            <w:r w:rsidRPr="00A61F90">
              <w:rPr>
                <w:position w:val="2"/>
                <w:rtl/>
              </w:rPr>
              <w:t>البلدن</w:t>
            </w:r>
            <w:proofErr w:type="spellEnd"/>
            <w:r w:rsidRPr="00A61F90">
              <w:rPr>
                <w:position w:val="2"/>
                <w:rtl/>
              </w:rPr>
              <w:t xml:space="preserve"> النامية؛</w:t>
            </w:r>
          </w:p>
          <w:p w14:paraId="35D81BE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15</w:t>
            </w:r>
            <w:r w:rsidRPr="00A61F90">
              <w:rPr>
                <w:position w:val="2"/>
                <w:rtl/>
              </w:rPr>
              <w:tab/>
              <w:t>بالاستفادة من أدوات قطاع تنمية الاتصالات، من أجل السماح للبلدان النامية بمشاركة أكبر في أعمال التقييس التي يضطلع بها قطاع تقييس الاتصالات؛</w:t>
            </w:r>
          </w:p>
          <w:p w14:paraId="3EB347B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16</w:t>
            </w:r>
            <w:r w:rsidRPr="00A61F90">
              <w:rPr>
                <w:position w:val="2"/>
                <w:rtl/>
              </w:rPr>
              <w:tab/>
              <w:t xml:space="preserve">بدراسة إمكانية تحقيق إيرادات إضافية لأنشطة قطاع تقييس الاتصالات من أجل سد الفجوة </w:t>
            </w:r>
            <w:proofErr w:type="spellStart"/>
            <w:r w:rsidRPr="00A61F90">
              <w:rPr>
                <w:position w:val="2"/>
                <w:rtl/>
              </w:rPr>
              <w:t>التقييسية</w:t>
            </w:r>
            <w:proofErr w:type="spellEnd"/>
            <w:r w:rsidRPr="00A61F90">
              <w:rPr>
                <w:position w:val="2"/>
                <w:rtl/>
              </w:rPr>
              <w:t>، من خلال تحديد موارد مالية جديدة لا علاقة لها بالمساهمات الطوعية المذكورة أعلاه،</w:t>
            </w:r>
          </w:p>
          <w:p w14:paraId="1A25B5C7" w14:textId="77777777" w:rsidR="00E56E20" w:rsidRPr="00A61F90" w:rsidRDefault="00E56E20" w:rsidP="00A61F90">
            <w:pPr>
              <w:pStyle w:val="Tabletexte"/>
              <w:keepNext/>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position w:val="2"/>
                <w:sz w:val="22"/>
                <w:szCs w:val="22"/>
                <w:rtl/>
              </w:rPr>
              <w:t>تُكلّف كذلك لجان الدراسات</w:t>
            </w:r>
          </w:p>
          <w:p w14:paraId="33BB402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بالاستمرار في التواصل مع لجان الدراسات التابعة لقطاع تنمية الاتصالات في الاتحاد، حسب الاقتضاء، عند إعداد توصيات جديدة أو مراجعة في قطاع تقييس الاتصالات، فيما يتعلق بالاحتياجات والمتطلبات الخاصة للبلدان النامية، من أجل زيادة جاذبية التوصيات وإمكانية تطبيقها في تلك البلدان؛</w:t>
            </w:r>
          </w:p>
          <w:p w14:paraId="74E5282B"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تدعو</w:t>
            </w:r>
          </w:p>
          <w:p w14:paraId="1642F39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lang w:val="en-GB" w:eastAsia="zh-TW"/>
              </w:rPr>
            </w:pPr>
            <w:r w:rsidRPr="00A61F90">
              <w:rPr>
                <w:position w:val="2"/>
                <w:rtl/>
              </w:rPr>
              <w:t>مدير مكتب تقييس الاتصالات</w:t>
            </w:r>
            <w:r w:rsidRPr="00A61F90">
              <w:rPr>
                <w:position w:val="2"/>
                <w:rtl/>
                <w:lang w:val="en-GB" w:eastAsia="zh-TW"/>
              </w:rPr>
              <w:t xml:space="preserve"> إلى</w:t>
            </w:r>
          </w:p>
          <w:p w14:paraId="2188500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العمل عن كثب مع مديرَي مكتب تنمية الاتصالات </w:t>
            </w:r>
            <w:r w:rsidRPr="00A61F90">
              <w:rPr>
                <w:position w:val="2"/>
              </w:rPr>
              <w:t>(BDT)</w:t>
            </w:r>
            <w:r w:rsidRPr="00A61F90">
              <w:rPr>
                <w:position w:val="2"/>
                <w:rtl/>
              </w:rPr>
              <w:t xml:space="preserve"> ومكتب الاتصالات الراديوية (</w:t>
            </w:r>
            <w:r w:rsidRPr="00A61F90">
              <w:rPr>
                <w:position w:val="2"/>
              </w:rPr>
              <w:t>BR</w:t>
            </w:r>
            <w:r w:rsidRPr="00A61F90">
              <w:rPr>
                <w:position w:val="2"/>
                <w:rtl/>
              </w:rPr>
              <w:t>) لتشجيع إنشاء شراكات تحت رعاية قطاع تقييس الاتصالات كإحدى وسائل تمويل خطة العمل؛</w:t>
            </w:r>
          </w:p>
          <w:p w14:paraId="0574259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تشجيع أعضاء القطاع من البلدان المتقدمة على تعزيز مشاركة الكيانات التابعة لهم والقائمة في البلدان النامية في أنشطة قطاع تقييس الاتصالات؛</w:t>
            </w:r>
          </w:p>
          <w:p w14:paraId="53D3F3E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3</w:t>
            </w:r>
            <w:r w:rsidRPr="00A61F90">
              <w:rPr>
                <w:position w:val="2"/>
                <w:rtl/>
              </w:rPr>
              <w:tab/>
              <w:t>وضع آليات لدعم المشاركة الفعّالة للأعضاء، بما في ذلك مشغلو الاتصالات من البلدان النامية في أنشطة التقييس؛</w:t>
            </w:r>
          </w:p>
          <w:p w14:paraId="05405556" w14:textId="148BBDC3" w:rsidR="00E56E20" w:rsidRPr="00A61F90" w:rsidRDefault="001803C2"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Pr>
                <w:position w:val="2"/>
              </w:rPr>
              <w:t>5</w:t>
            </w:r>
            <w:r w:rsidR="00E56E20" w:rsidRPr="00A61F90">
              <w:rPr>
                <w:position w:val="2"/>
                <w:rtl/>
              </w:rPr>
              <w:tab/>
              <w:t>النظر في عقد اجتماعات، كلما أمكن، للجان الدراسات التابعة لقطاع تقييس الاتصالات في البلدان النامية،</w:t>
            </w:r>
          </w:p>
          <w:p w14:paraId="4A3D9108"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rtl/>
                <w:lang w:val="ar-SA" w:eastAsia="zh-TW" w:bidi="en-GB"/>
              </w:rPr>
            </w:pPr>
            <w:r w:rsidRPr="00A61F90">
              <w:rPr>
                <w:b/>
                <w:bCs/>
                <w:i/>
                <w:iCs/>
                <w:position w:val="2"/>
                <w:sz w:val="22"/>
                <w:szCs w:val="22"/>
                <w:rtl/>
              </w:rPr>
              <w:t>تكلف</w:t>
            </w:r>
          </w:p>
          <w:p w14:paraId="36F1B81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مدير مكتب تقييس الاتصالات، بالتعاون مع مدير مكتب تنمية الاتصالات </w:t>
            </w:r>
          </w:p>
          <w:p w14:paraId="46354D3E" w14:textId="6124AFC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Pr>
            </w:pPr>
            <w:r w:rsidRPr="00A61F90">
              <w:rPr>
                <w:position w:val="2"/>
                <w:rtl/>
              </w:rPr>
              <w:t xml:space="preserve">بتعزيز الوعي والمساعدة في تنفيذ معايير قطاع تقييس الاتصالات في البلدان النامية، مع مراعاة </w:t>
            </w:r>
            <w:r w:rsidRPr="00A61F90">
              <w:rPr>
                <w:position w:val="2"/>
                <w:u w:val="single"/>
                <w:rtl/>
              </w:rPr>
              <w:t>احتياجاتها الخاصة</w:t>
            </w:r>
            <w:r w:rsidRPr="00A61F90">
              <w:rPr>
                <w:position w:val="2"/>
                <w:rtl/>
              </w:rPr>
              <w:t xml:space="preserve">، بالتعاون مع المنظمات الإقليمية للاتصالات والمكاتب الإقليمية للاتحاد، حسب </w:t>
            </w:r>
            <w:r w:rsidRPr="00A61F90">
              <w:rPr>
                <w:position w:val="2"/>
                <w:u w:val="single"/>
                <w:rtl/>
              </w:rPr>
              <w:t>الاقتضاء</w:t>
            </w:r>
            <w:r w:rsidRPr="00A61F90">
              <w:rPr>
                <w:position w:val="2"/>
                <w:rtl/>
              </w:rPr>
              <w:t>،</w:t>
            </w:r>
          </w:p>
        </w:tc>
      </w:tr>
      <w:tr w:rsidR="00E56E20" w:rsidRPr="00A61F90" w14:paraId="77BE9964"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2AF92A63"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lastRenderedPageBreak/>
              <w:t>القرار 48</w:t>
            </w:r>
          </w:p>
          <w:p w14:paraId="33DBD8C7"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أسماء الميادين الدولية (المتعددة اللغات)</w:t>
            </w:r>
          </w:p>
        </w:tc>
        <w:tc>
          <w:tcPr>
            <w:tcW w:w="3607" w:type="pct"/>
          </w:tcPr>
          <w:p w14:paraId="141828B5"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7DDE562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559B40E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‏بدعم قطاع تنمية الاتصالات في إشراك أصحاب المصلحة وإذكاء الوعي وتحفيز التقدم بين أعضاء قطاع تنمية الاتصالات بما في ذلك الدول الأعضاء وأعضاء القطاع لدعم وتعزيز تعدد اللغات على الإنترنت؛ ‎</w:t>
            </w:r>
          </w:p>
          <w:p w14:paraId="40159CC8"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تدعـو</w:t>
            </w:r>
            <w:r w:rsidRPr="00A61F90">
              <w:rPr>
                <w:b/>
                <w:bCs/>
                <w:position w:val="2"/>
                <w:sz w:val="22"/>
                <w:szCs w:val="22"/>
                <w:rtl/>
              </w:rPr>
              <w:t xml:space="preserve"> </w:t>
            </w:r>
          </w:p>
          <w:p w14:paraId="182C8DB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تنمية الاتصالات</w:t>
            </w:r>
          </w:p>
          <w:p w14:paraId="0045258F"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إلى مواصلة التعاون مع مدير مكتب تقييس الاتصالات بشأن هذه المسائل، بروح "الاتحاد الواحد"،</w:t>
            </w:r>
          </w:p>
        </w:tc>
      </w:tr>
      <w:tr w:rsidR="00E56E20" w:rsidRPr="00A61F90" w14:paraId="79AD76A8"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660F853E"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50</w:t>
            </w:r>
          </w:p>
          <w:p w14:paraId="7C7783BF"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الأمن السيبراني</w:t>
            </w:r>
          </w:p>
        </w:tc>
        <w:tc>
          <w:tcPr>
            <w:tcW w:w="3607" w:type="pct"/>
            <w:hideMark/>
          </w:tcPr>
          <w:p w14:paraId="100629A1"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2554282F" w14:textId="0AEEC1C4" w:rsidR="00816393" w:rsidRDefault="00816393" w:rsidP="00816393">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rPr>
            </w:pPr>
            <w:r>
              <w:rPr>
                <w:rFonts w:hint="cs"/>
                <w:position w:val="2"/>
                <w:rtl/>
              </w:rPr>
              <w:t>6</w:t>
            </w:r>
            <w:r w:rsidR="001803C2">
              <w:rPr>
                <w:position w:val="2"/>
              </w:rPr>
              <w:tab/>
            </w:r>
            <w:r w:rsidR="00E56E20" w:rsidRPr="00A61F90">
              <w:rPr>
                <w:position w:val="2"/>
                <w:rtl/>
              </w:rPr>
              <w:t xml:space="preserve">أن </w:t>
            </w:r>
            <w:r w:rsidRPr="00816393">
              <w:rPr>
                <w:position w:val="2"/>
                <w:rtl/>
              </w:rPr>
              <w:t xml:space="preserve">ينسق </w:t>
            </w:r>
            <w:r w:rsidR="00E56E20" w:rsidRPr="00A61F90">
              <w:rPr>
                <w:position w:val="2"/>
                <w:rtl/>
              </w:rPr>
              <w:t xml:space="preserve">قطاع تقييس الاتصالات مع قطاع تنمية الاتصالات </w:t>
            </w:r>
            <w:r w:rsidRPr="00816393">
              <w:rPr>
                <w:position w:val="2"/>
                <w:rtl/>
              </w:rPr>
              <w:t>ويتعاون مع</w:t>
            </w:r>
            <w:r w:rsidRPr="00816393">
              <w:rPr>
                <w:rFonts w:hint="cs"/>
                <w:position w:val="2"/>
                <w:rtl/>
              </w:rPr>
              <w:t>ه</w:t>
            </w:r>
            <w:r w:rsidRPr="00816393">
              <w:rPr>
                <w:position w:val="2"/>
                <w:rtl/>
              </w:rPr>
              <w:t xml:space="preserve"> في هذا الصدد، سواء في </w:t>
            </w:r>
            <w:r w:rsidR="00E56E20" w:rsidRPr="00A61F90">
              <w:rPr>
                <w:position w:val="2"/>
                <w:rtl/>
              </w:rPr>
              <w:t>المسألة 3/2 ل</w:t>
            </w:r>
            <w:r>
              <w:rPr>
                <w:rFonts w:hint="cs"/>
                <w:position w:val="2"/>
                <w:rtl/>
              </w:rPr>
              <w:t xml:space="preserve">دى </w:t>
            </w:r>
            <w:r w:rsidR="00E56E20" w:rsidRPr="00A61F90">
              <w:rPr>
                <w:position w:val="2"/>
                <w:rtl/>
              </w:rPr>
              <w:t xml:space="preserve">قطاع تنمية الاتصالات (تأمين شبكات المعلومات والاتصالات: الممارسات الفضلى من أجل </w:t>
            </w:r>
            <w:r w:rsidRPr="00816393">
              <w:rPr>
                <w:position w:val="2"/>
                <w:rtl/>
              </w:rPr>
              <w:t>تطوير</w:t>
            </w:r>
            <w:r>
              <w:rPr>
                <w:rFonts w:hint="cs"/>
                <w:position w:val="2"/>
                <w:rtl/>
              </w:rPr>
              <w:t xml:space="preserve"> </w:t>
            </w:r>
            <w:r w:rsidR="00E56E20" w:rsidRPr="00A61F90">
              <w:rPr>
                <w:position w:val="2"/>
                <w:rtl/>
              </w:rPr>
              <w:t xml:space="preserve">ثقافة الأمن السيبراني) </w:t>
            </w:r>
            <w:r>
              <w:rPr>
                <w:rFonts w:hint="cs"/>
                <w:position w:val="2"/>
                <w:rtl/>
              </w:rPr>
              <w:t>أ</w:t>
            </w:r>
            <w:r w:rsidR="00E56E20" w:rsidRPr="00A61F90">
              <w:rPr>
                <w:position w:val="2"/>
                <w:rtl/>
              </w:rPr>
              <w:t>و</w:t>
            </w:r>
            <w:r>
              <w:rPr>
                <w:rFonts w:hint="cs"/>
                <w:position w:val="2"/>
                <w:rtl/>
              </w:rPr>
              <w:t xml:space="preserve"> </w:t>
            </w:r>
            <w:r w:rsidR="00E56E20" w:rsidRPr="00A61F90">
              <w:rPr>
                <w:position w:val="2"/>
                <w:rtl/>
              </w:rPr>
              <w:t xml:space="preserve">في سياق </w:t>
            </w:r>
            <w:r w:rsidRPr="00816393">
              <w:rPr>
                <w:position w:val="2"/>
                <w:rtl/>
              </w:rPr>
              <w:t xml:space="preserve">بناء </w:t>
            </w:r>
            <w:r w:rsidR="00E56E20" w:rsidRPr="00A61F90">
              <w:rPr>
                <w:position w:val="2"/>
                <w:rtl/>
              </w:rPr>
              <w:t xml:space="preserve">القدرات؛ </w:t>
            </w:r>
          </w:p>
          <w:p w14:paraId="291C151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تكلّف لجنة الدراسات 17</w:t>
            </w:r>
          </w:p>
          <w:p w14:paraId="3561E541" w14:textId="47B1B4BA" w:rsidR="00E56E20" w:rsidRPr="00A61F90" w:rsidRDefault="001803C2"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Pr>
                <w:position w:val="2"/>
              </w:rPr>
              <w:t>2</w:t>
            </w:r>
            <w:r>
              <w:rPr>
                <w:position w:val="2"/>
              </w:rPr>
              <w:tab/>
            </w:r>
            <w:r w:rsidR="00E56E20" w:rsidRPr="00A61F90">
              <w:rPr>
                <w:position w:val="2"/>
                <w:rtl/>
              </w:rPr>
              <w:t>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علماً بها، باعتبار ذلك مهمة لجنة الدراسات الرئيسية المعنية بالأمن؛</w:t>
            </w:r>
          </w:p>
          <w:p w14:paraId="07A4B68C"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54FBDAB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5D02B81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بأن يواصل، استناداً إلى قاعدة المعلومات المرتبطة "بخارطة الطريق الخاصة بمعايير الأمن لتكنولوجيات المعلومات والاتصالات" وجهود قطاع تنمية الاتصالات بشأن الأمن السيبراني، وبمساعدة المنظمات الأُخرى ذات الصلة، تحديث قائمة المبادرات والأنشطة الوطنية والإقليمية والدولية، بهدف تعزيز إلى أقصى حد ممكن، المواءمة العالمية للاستراتيجيات والنهج في هذه المجالات ذات الأهمية البالغة، بما في ذلك وضع نهُج مشتركة في مجال الأمن السيبراني؛</w:t>
            </w:r>
          </w:p>
          <w:p w14:paraId="4C5CE56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 xml:space="preserve">7 </w:t>
            </w:r>
            <w:r w:rsidRPr="00A61F90">
              <w:rPr>
                <w:position w:val="2"/>
                <w:rtl/>
              </w:rPr>
              <w:tab/>
              <w:t xml:space="preserve">بأن يدعم مدير مكتب تنمية الاتصالات </w:t>
            </w:r>
            <w:r w:rsidRPr="00A61F90">
              <w:rPr>
                <w:position w:val="2"/>
              </w:rPr>
              <w:t>(BDT</w:t>
            </w:r>
            <w:r w:rsidRPr="00A61F90">
              <w:rPr>
                <w:position w:val="2"/>
                <w:rtl/>
              </w:rPr>
              <w:t xml:space="preserve">) فيما يخص الإشراف على إعداد التوصيات وربما الأدوات الأخرى التي يمكن للدول الأعضاء، لا سيما البلدان النامية، أن تستخدمها لاستباق الاستجابات السريعة في حال وقوع حوادث كبرى، وأن يساعد هذه الهيئات على أن تقترح خطط عمل تستعمل إطاراً ملائماً، حسب الاقتضاء وبناءً على الطلب، لتعزيز حمايتها، مع مراعاة الآليات والشراكات؛ </w:t>
            </w:r>
          </w:p>
          <w:p w14:paraId="22D9903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9</w:t>
            </w:r>
            <w:r w:rsidRPr="00A61F90">
              <w:rPr>
                <w:position w:val="2"/>
                <w:rtl/>
              </w:rPr>
              <w:tab/>
              <w:t>بتعميم المعلومات على جميع أصحاب المصلحة وزيادة فهم أصحاب المصلحة بالأمن السيبراني من خلال تنظيم برامج تدريبية ومنتديات وورش عمل وحلقات دراسية، إلخ. حسب الاقتضاء، بشأن توصيات قطاع تقييس الاتصالات والمبادئ التوجيهية لتنفيذها تستهدف واضعي السياسات والمنظمين والمشغلين وأصحاب المصلحة الآخرين، خاصة من البلدان النامية، لإذكاء الوعي وتحديد الاحتياجات بالتعاون مع مدير مكتب تنمية الاتصالات؛</w:t>
            </w:r>
          </w:p>
          <w:p w14:paraId="0F7E41C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11</w:t>
            </w:r>
            <w:r w:rsidRPr="00A61F90">
              <w:rPr>
                <w:position w:val="2"/>
                <w:rtl/>
              </w:rPr>
              <w:tab/>
              <w:t xml:space="preserve">بأن ينظر، متى أمكن، في إذكاء الوعي عن طريق عقد ورش عمل بالتزامن مع اجتماعات الأفرقة الإقليمية التابعة لكل من لجان الدراسات بقطاع تقييس الاتصالات، أو تنظيم أحداث إلى جانب هذه الاجتماعات بالتنسيق والتعاون مع مدير مكتب تنمية الاتصالات </w:t>
            </w:r>
            <w:r w:rsidRPr="00A61F90">
              <w:rPr>
                <w:position w:val="2"/>
                <w:lang w:val="en-GB"/>
              </w:rPr>
              <w:t>(BDT)</w:t>
            </w:r>
            <w:r w:rsidRPr="00A61F90">
              <w:rPr>
                <w:position w:val="2"/>
                <w:rtl/>
              </w:rPr>
              <w:t xml:space="preserve"> ومكاتب الاتحاد الإقليمية، عند الاقتضاء؛</w:t>
            </w:r>
          </w:p>
        </w:tc>
      </w:tr>
      <w:tr w:rsidR="00E56E20" w:rsidRPr="00A61F90" w14:paraId="4A33812E"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0EADFA4E"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52</w:t>
            </w:r>
          </w:p>
          <w:p w14:paraId="43682BC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مكافحة الرسائل الاقتحامية والتصدي لها</w:t>
            </w:r>
          </w:p>
        </w:tc>
        <w:tc>
          <w:tcPr>
            <w:tcW w:w="3607" w:type="pct"/>
            <w:hideMark/>
          </w:tcPr>
          <w:p w14:paraId="0E640F91"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2FB5EFD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أن تكلف لجان الدراسات ذات الصلة</w:t>
            </w:r>
          </w:p>
          <w:p w14:paraId="71BECD7D"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 xml:space="preserve">بأن تتعاون مع قطاع تنمية الاتصالات للاتحاد الدولي للاتصالات ومع المنظمات ذات الصلة، بما فيها سائر المنظمات المعنية بوضع المعايير ذات الصلة وشركاء التنمية، من أجل مواصلة، وضع توصيات تقنية على وجه السرعة بغية إذكاء الوعي وتبادل المعلومات الممارسات </w:t>
            </w:r>
            <w:r w:rsidRPr="00A61F90">
              <w:rPr>
                <w:position w:val="2"/>
                <w:u w:val="single"/>
                <w:rtl/>
              </w:rPr>
              <w:t>الجيدة</w:t>
            </w:r>
            <w:r w:rsidRPr="00A61F90">
              <w:rPr>
                <w:position w:val="2"/>
                <w:rtl/>
              </w:rPr>
              <w:t xml:space="preserve">، وحوار السياسات، وتوفير التدريب التقني من خلال ورش العمل، بالشراكة مع الدول الأعضاء المستفيدة وأصحاب المصلحة الآخرين، مثل مشغلي الشبكات ومقدمي خدمات الإنترنت ومقدمي الخدمات عبر الإنترنت والمجتمع التقني للإنترنت ورابطات الأعمال والمجتمع المدني؛ </w:t>
            </w:r>
          </w:p>
          <w:p w14:paraId="3FDE321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بدعم لجنة الدراسات 2 لقطاع تنمية الاتصالات المعنية بمكافحة الرسائل الاقتحامية والتصدي لها في عملها المتصل بتقديم الدورات التدريبية التقنية وأنشطة ورش العمل في مختلف المناطق في مجال القضايا السياساتية والتنظيمية والاقتصادية للرسائل الاقتحامية وتأثيرها بما يعود بالنفع على الهيئات التنظيمية ومشغلي الاتصالات؛</w:t>
            </w:r>
          </w:p>
        </w:tc>
      </w:tr>
      <w:tr w:rsidR="00E56E20" w:rsidRPr="00A61F90" w14:paraId="6CF69637"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34EF94BC"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54</w:t>
            </w:r>
          </w:p>
          <w:p w14:paraId="6629ADA9"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أفرقة إقليمية تابعة للجان الدراسات التابعة لقطاع تقييس الاتصالات</w:t>
            </w:r>
          </w:p>
        </w:tc>
        <w:tc>
          <w:tcPr>
            <w:tcW w:w="3607" w:type="pct"/>
            <w:hideMark/>
          </w:tcPr>
          <w:p w14:paraId="67F82387"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3577EAE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 في حدود الموارد المتاحة المخصصة أو المقدمة كمساهمة،</w:t>
            </w:r>
          </w:p>
          <w:p w14:paraId="547B793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بتقديم كل الدعم اللازم لإنشاء أفرقة إقليمية تابعة للجان دراسات قطاع تقييس الاتصالات وكفالة سير أعمالها بدون عقبات؛</w:t>
            </w:r>
          </w:p>
          <w:p w14:paraId="1FE6BA0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بالنظر في عقد فعاليات (ورش عمل، منتديات، ندوات، تدريبات، إلخ) كلما أمكن، بالتزامن مع اجتماعات الأفرقة الإقليمية التابعة لقطاع تقييس الاتصالات، في المناطق ذات الصلة، وبالعكس؛</w:t>
            </w:r>
          </w:p>
          <w:p w14:paraId="717C7AF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باتخاذ كل التدابير اللازمة لتسهيل تنظيم اجتماعات الأفرقة الإقليمية التابعة للجان دراسات قطاع تقييس الاتصالات وورش عملها في المناطق ذات الصلة،</w:t>
            </w:r>
          </w:p>
          <w:p w14:paraId="4F85FAF8" w14:textId="77777777" w:rsidR="00E56E20" w:rsidRPr="00A61F90" w:rsidRDefault="00E56E20" w:rsidP="002F2DFE">
            <w:pPr>
              <w:pStyle w:val="Tabletexte"/>
              <w:keepNext/>
              <w:keepLines/>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lastRenderedPageBreak/>
              <w:t>تطلب من</w:t>
            </w:r>
          </w:p>
          <w:p w14:paraId="61F9E09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التعاون مع مدير مكتب تنمية الاتصالات ومع مدير مكتب الاتصالات الراديوية، حسب الاقتضاء، من أجل:</w:t>
            </w:r>
          </w:p>
          <w:p w14:paraId="4A293122"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 xml:space="preserve">1‘ </w:t>
            </w:r>
            <w:r w:rsidRPr="00A61F90">
              <w:rPr>
                <w:position w:val="2"/>
                <w:rtl/>
              </w:rPr>
              <w:tab/>
              <w:t>مواصلة تقديم مساعدة محددة للأفرقة الإقليمية التابعة للجان دراسات قطاع تقييس الاتصالات؛</w:t>
            </w:r>
          </w:p>
          <w:p w14:paraId="294EB501"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تشجيع استخدام أساليب العمل الإلكترونية لمساعدة أعضاء الأفرقة الإقليمية؛</w:t>
            </w:r>
          </w:p>
          <w:p w14:paraId="4B829E10"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3‘</w:t>
            </w:r>
            <w:r w:rsidRPr="00A61F90">
              <w:rPr>
                <w:position w:val="2"/>
                <w:rtl/>
              </w:rPr>
              <w:tab/>
              <w:t>اتخاذ الخطوات المناسبة لتسهيل اجتماعات الأفرقة الإقليمية الحالية والمستقبلية لتشجيع التآزر اللازم فيما بين القطاعات الثلاثة، ومن ثم تحسين فعالية وكفاءة لجان الدراسات،</w:t>
            </w:r>
          </w:p>
        </w:tc>
      </w:tr>
      <w:tr w:rsidR="00E56E20" w:rsidRPr="00A61F90" w14:paraId="02C9F115"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4AEDA3FB"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58</w:t>
            </w:r>
          </w:p>
          <w:p w14:paraId="19B8B28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تشجيع إنشاء وتعزيز الأفرقة الوطنية للاستجابة في حالات الحوادث الحاسوبية، خاصة للبلدان النامية</w:t>
            </w:r>
          </w:p>
        </w:tc>
        <w:tc>
          <w:tcPr>
            <w:tcW w:w="3607" w:type="pct"/>
            <w:hideMark/>
          </w:tcPr>
          <w:p w14:paraId="5DA56617"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2D4A6F0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لجنة الدراسات 17 لقطاع تقييس الاتصالات</w:t>
            </w:r>
          </w:p>
          <w:p w14:paraId="1B921DE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A61F90">
              <w:rPr>
                <w:position w:val="2"/>
                <w:rtl/>
              </w:rPr>
              <w:t>3</w:t>
            </w:r>
            <w:r w:rsidRPr="00A61F90">
              <w:rPr>
                <w:position w:val="2"/>
                <w:rtl/>
              </w:rPr>
              <w:tab/>
              <w:t>بالتعاون مع قطاع تنمية الاتصالات بالاتحاد الدولي للاتصالات في عمله بشأن إنشاء وتعزيز الأفرقة الوطنية للاستجابة في حالات الحوادث الحاسوبية، حسب الاقتضاء؛</w:t>
            </w:r>
          </w:p>
          <w:p w14:paraId="4F9145B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 xml:space="preserve">بدعم مدير مكتب تقييس الاتصالات </w:t>
            </w:r>
            <w:r w:rsidRPr="00A61F90">
              <w:rPr>
                <w:position w:val="2"/>
                <w:lang w:val="en-GB"/>
              </w:rPr>
              <w:t>(TSB)</w:t>
            </w:r>
            <w:r w:rsidRPr="00A61F90">
              <w:rPr>
                <w:position w:val="2"/>
                <w:rtl/>
              </w:rPr>
              <w:t xml:space="preserve"> في المبادرات التي تساعد على سد الفجوة </w:t>
            </w:r>
            <w:proofErr w:type="spellStart"/>
            <w:r w:rsidRPr="00A61F90">
              <w:rPr>
                <w:position w:val="2"/>
                <w:rtl/>
              </w:rPr>
              <w:t>التقييسية</w:t>
            </w:r>
            <w:proofErr w:type="spellEnd"/>
            <w:r w:rsidRPr="00A61F90">
              <w:rPr>
                <w:position w:val="2"/>
                <w:rtl/>
              </w:rPr>
              <w:t xml:space="preserve"> بين البلدان النامية والبلدان المتقدمة فيما يتعلق بأفرقة الاستجابة في حالات الحوادث الحاسوبية، والتي ينبغي أن تشمل بنود عمل تتعلق بالدراسات المضطلع بها بشأن الإطار المتعلق بأفرقة الاستجابة، وإطلاع الأفرقة ذات الصلة في قطاع تنمية الاتصالات على النتائج باعتبارها مهمة لجنة الدراسات الرائدة المعنية بالأمن،</w:t>
            </w:r>
          </w:p>
          <w:p w14:paraId="132D26F3" w14:textId="77777777" w:rsidR="00E56E20" w:rsidRPr="00A61F90" w:rsidRDefault="00E56E20" w:rsidP="00A61F90">
            <w:pPr>
              <w:pStyle w:val="Tabletexte"/>
              <w:keepNext/>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463BF01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0476D54A"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بتحديد الأماكن التي يتعين إنشاء هذه الأفرقة الوطنية فيها، ولا سيما في البلدان النامية، وتشجيع إنشائها؛</w:t>
            </w:r>
          </w:p>
          <w:p w14:paraId="5DE1221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بالتعاون مع الخبراء الدوليين والهيئات الدولية لمساعدة البلدان في إنشاء وتعزيز الأفرقة الوطنية للاستجابة في حالات الحوادث الحاسوبية، من خلال تحسين وتسريع وضع توصيات وإضافات وتقارير تقنية لقطاع تقييس الاتصالات في هذا المجال؛</w:t>
            </w:r>
          </w:p>
          <w:p w14:paraId="20E4CA2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بدعم تعزيز الممارسات الفضلى الوطنية والإقليمية والدولية المتعلقة بإنشاء الأفرقة الوطنية للاستجابة في حالات الحوادث الحاسوبية من خلال تقديم توصيات وإضافات وتقارير تقنية؛</w:t>
            </w:r>
          </w:p>
          <w:p w14:paraId="042B39A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بإذكاء الوعي بمخرجات لجنة الدراسات 17 مثل التوصيات والإضافات والتقارير التقنية لإنشاء وتعزيز أفرقة الاستجابة في حالات الحوادث الحاسوبية، بما في ذلك الإطار التشغيلي ذي الصلة؛</w:t>
            </w:r>
          </w:p>
          <w:p w14:paraId="09501B4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بتقديم الدعم، حسب الاقتضاء، في حدود الموارد الحالية للميزانية؛</w:t>
            </w:r>
          </w:p>
          <w:p w14:paraId="6132670D"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بتسهيل التعاون بين الأفرقة الوطنية للاستجابة في مجالات مثل بناء القدرات وتبادل المعلومات، ضمن إطار مناسب؛</w:t>
            </w:r>
          </w:p>
          <w:p w14:paraId="65A840C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7 </w:t>
            </w:r>
            <w:r w:rsidRPr="00A61F90">
              <w:rPr>
                <w:position w:val="2"/>
                <w:rtl/>
              </w:rPr>
              <w:tab/>
              <w:t>باتخاذ الإجراءات اللازمة للتقدم في تنفيذ هذا القرار،</w:t>
            </w:r>
          </w:p>
        </w:tc>
      </w:tr>
      <w:tr w:rsidR="00E56E20" w:rsidRPr="00A61F90" w14:paraId="266AAC17"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18325D7E"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64</w:t>
            </w:r>
          </w:p>
          <w:p w14:paraId="5F395A5B"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تشجيع وتسهيل وتعجيل الانتقال إلى الإصدار السادس لبروتوكول الإنترنت (IPv6) ونشره</w:t>
            </w:r>
          </w:p>
        </w:tc>
        <w:tc>
          <w:tcPr>
            <w:tcW w:w="3607" w:type="pct"/>
            <w:hideMark/>
          </w:tcPr>
          <w:p w14:paraId="364C2CA7" w14:textId="77777777" w:rsidR="00E56E20" w:rsidRPr="00A61F90" w:rsidRDefault="00E56E20" w:rsidP="002F2DFE">
            <w:pPr>
              <w:pStyle w:val="Tabletexte"/>
              <w:keepNext/>
              <w:keepLines/>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2359C31C"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الوثيق مع مدير مكتب تنمية الاتصالات:</w:t>
            </w:r>
          </w:p>
          <w:p w14:paraId="459EC4B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بمواصلة الأنشطة الجارية بين مكتب تقييس الاتصالات 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(IPv6)، والاستجابة لاحتياجاتها الإقليمية كما حددها مكتب تنمية الاتصالات مع مراعاة القرار 63 الصادر عن المؤتمر العالمي لتنمية الاتصالات (المراجَع في كيغالي، 2022)؛</w:t>
            </w:r>
          </w:p>
          <w:p w14:paraId="76EE700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بإدارة وتحديث وتعزيز الموقع الإلكتروني الذي يقدم معلومات عن الأنشطة العالمية المتصلة بالإصدار السادس، بما في ذلك الروابط الإلكترونية لرصد المبادرات وتتبعها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A61F90">
              <w:rPr>
                <w:position w:val="2"/>
              </w:rPr>
              <w:t>(RIR)</w:t>
            </w:r>
            <w:r w:rsidRPr="00A61F90">
              <w:rPr>
                <w:position w:val="2"/>
                <w:rtl/>
              </w:rPr>
              <w:t xml:space="preserve"> ومجموعات مشغلي الشبكات وجمعية الإنترنت (</w:t>
            </w:r>
            <w:r w:rsidRPr="00A61F90">
              <w:rPr>
                <w:position w:val="2"/>
              </w:rPr>
              <w:t>ISOC</w:t>
            </w:r>
            <w:r w:rsidRPr="00A61F90">
              <w:rPr>
                <w:position w:val="2"/>
                <w:rtl/>
              </w:rPr>
              <w:t>)؛</w:t>
            </w:r>
          </w:p>
          <w:p w14:paraId="344BE56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بإذكاء الوعي بأهمية الانتقال إلى الإصدار السادس لبروتوكول الإنترنت ونشره وتسهيل أنشطة بناء القدرات البشرية من خلال التدريب المشترك بمشاركة الخبراء المعنيين من الكيانات ذات الصلة وتوفير المعلومات بما في ذلك خرائط طريق ومبادئ توجيهية والمساعدة التقنية في مواصلة إنشاء مختبرات خاصة باختبارات الإصدار السادس لبروتوكول الإنترنت في البلدان النامية بالتعاون مع المنظمات ذات الصلة، وإذكاء الوعي بضرورة نشر الإصدار السادس، نظراً إلى الطلب الكبير على عناوين بروتوكول الإنترنت لأجهزة إنترنت الأشياء؛</w:t>
            </w:r>
          </w:p>
          <w:p w14:paraId="5EAC70D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بتعزيز الممارسات الفضلى في البرامج الحكومية، بما في ذلك المشتريات، لتسهيل الانتقال إلى الإصدار السادس لبروتوكول الإنترنت ونشره؛</w:t>
            </w:r>
          </w:p>
          <w:p w14:paraId="1870D7F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تعزيز المناقشات بين الدول الأعضاء في الاتحاد وأعضاء القطاعات والمنظمات الإقليمية والدولية ذات الصلة بشأن الانتقال إلى الإصدار السادس لبروتوكول الإنترنت ونشره؛</w:t>
            </w:r>
          </w:p>
          <w:p w14:paraId="2BE5B558" w14:textId="43B1FED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Pr>
            </w:pPr>
            <w:r w:rsidRPr="00A61F90">
              <w:rPr>
                <w:position w:val="2"/>
                <w:rtl/>
              </w:rPr>
              <w:t xml:space="preserve">6 </w:t>
            </w:r>
            <w:r w:rsidRPr="00A61F90">
              <w:rPr>
                <w:position w:val="2"/>
                <w:rtl/>
              </w:rPr>
              <w:tab/>
              <w:t>بدعم مكتب تنمية الاتصالات في البرنامج التدريبي ذي الصلة بالإصدار السادس لبروتوكول الإنترنت للمهندسين ومشغلي الشبكات ومقدمي المحتوى والخدمات، بشكل رئيسي في البلدان النامية، والذي من شأنه أن يعزز مهاراتهم ويمكنهم تطبيقه أيضاً في منظماتهم لأغراض التخطيط والنشر والتشغيل،</w:t>
            </w:r>
          </w:p>
        </w:tc>
      </w:tr>
      <w:tr w:rsidR="00E56E20" w:rsidRPr="00A61F90" w14:paraId="63584722"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6558ADE5"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69</w:t>
            </w:r>
          </w:p>
          <w:p w14:paraId="1614053B"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النفاذ إلى موارد الإنترنت والاتصالات/تكنولوجيا المعلومات والاتصالات واستعمالها على أساس غير تمييزي</w:t>
            </w:r>
          </w:p>
        </w:tc>
        <w:tc>
          <w:tcPr>
            <w:tcW w:w="3607" w:type="pct"/>
            <w:hideMark/>
          </w:tcPr>
          <w:p w14:paraId="19197683"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تدعو</w:t>
            </w:r>
          </w:p>
          <w:p w14:paraId="00E43D6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ومدير مكتب الاتصالات الراديوية ومدير مكتب تنمية الاتصالات</w:t>
            </w:r>
          </w:p>
          <w:p w14:paraId="4F14930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إلى المساهمة في إحراز تقدم في تنفيذ هذا القرار،</w:t>
            </w:r>
          </w:p>
        </w:tc>
      </w:tr>
      <w:tr w:rsidR="00E56E20" w:rsidRPr="00A61F90" w14:paraId="09E09805"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4CADCA61"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70</w:t>
            </w:r>
          </w:p>
          <w:p w14:paraId="4239BBB6"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نفاذ الأشخاص ذوي الإعاقة وذوي الاحتياجات المحددة إلى الاتصالات/تكنولوجيا المعلومات والاتصالات</w:t>
            </w:r>
          </w:p>
        </w:tc>
        <w:tc>
          <w:tcPr>
            <w:tcW w:w="3607" w:type="pct"/>
            <w:hideMark/>
          </w:tcPr>
          <w:p w14:paraId="3BE3121B" w14:textId="77777777" w:rsidR="00E56E20" w:rsidRPr="00A61F90" w:rsidRDefault="00E56E20" w:rsidP="002F2DFE">
            <w:pPr>
              <w:pStyle w:val="Tabletexte"/>
              <w:keepNext/>
              <w:keepLines/>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تدعو</w:t>
            </w:r>
          </w:p>
          <w:p w14:paraId="113A593F" w14:textId="77777777" w:rsidR="00E56E20" w:rsidRPr="00A61F90" w:rsidRDefault="00E56E20" w:rsidP="002F2DFE">
            <w:pPr>
              <w:keepNext/>
              <w:keepLine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lang w:eastAsia="zh-TW"/>
              </w:rPr>
            </w:pPr>
            <w:r w:rsidRPr="00A61F90">
              <w:rPr>
                <w:position w:val="2"/>
                <w:rtl/>
              </w:rPr>
              <w:t>مدير مكتب تقييس الاتصالات</w:t>
            </w:r>
            <w:r w:rsidRPr="00A61F90">
              <w:rPr>
                <w:position w:val="2"/>
                <w:lang w:val="en-GB" w:eastAsia="zh-TW" w:bidi="en-GB"/>
              </w:rPr>
              <w:t xml:space="preserve"> </w:t>
            </w:r>
            <w:r w:rsidRPr="00A61F90">
              <w:rPr>
                <w:position w:val="2"/>
                <w:rtl/>
                <w:lang w:eastAsia="zh-TW"/>
              </w:rPr>
              <w:t>إلى</w:t>
            </w:r>
          </w:p>
          <w:p w14:paraId="067E8BA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أن يتعاون في الأنشطة المتعلقة بالنفاذ مع مدير مكتب الاتصالات الراديوية </w:t>
            </w:r>
            <w:r w:rsidRPr="00A61F90">
              <w:rPr>
                <w:position w:val="2"/>
              </w:rPr>
              <w:t>(BR)</w:t>
            </w:r>
            <w:r w:rsidRPr="00A61F90">
              <w:rPr>
                <w:position w:val="2"/>
                <w:rtl/>
              </w:rPr>
              <w:t xml:space="preserve"> ومدير مكتب تنمية الاتصالات (</w:t>
            </w:r>
            <w:r w:rsidRPr="00A61F90">
              <w:rPr>
                <w:position w:val="2"/>
              </w:rPr>
              <w:t>BDT</w:t>
            </w:r>
            <w:r w:rsidRPr="00A61F90">
              <w:rPr>
                <w:position w:val="2"/>
                <w:rtl/>
              </w:rPr>
              <w:t>)، مع مراعاة نشاط التنسيق المشترك بشأن إمكانية النفاذ والعوامل البشرية، لا سيما فيما يتعلق بنشر الوعي بمعايير النفاذ إلى الاتصالات/تكنولوجيا المعلومات والاتصالات وتعميم هذه المعايير، وتقديم تقرير بالنتائج إلى المجلس حسب الاقتضاء؛</w:t>
            </w:r>
          </w:p>
          <w:p w14:paraId="3FC016E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أن يتعاون في الأنشطة المتعلقة بالنفاذ مع قطاع تنمية الاتصالات وأن يعد بوجه خاص برامج من شأنها تمكين البلدان النامية من إدخال خدمات تُمكِّن للأشخاص ذوي الإعاقة باستخدام خدمات الاتصالات بصورة فعّالة؛</w:t>
            </w:r>
          </w:p>
          <w:p w14:paraId="473B6D3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7</w:t>
            </w:r>
            <w:r w:rsidRPr="00A61F90">
              <w:rPr>
                <w:position w:val="2"/>
                <w:rtl/>
              </w:rPr>
              <w:tab/>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p>
          <w:p w14:paraId="4DD9B3E4"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en-GB" w:eastAsia="zh-TW" w:bidi="en-GB"/>
              </w:rPr>
            </w:pPr>
            <w:r w:rsidRPr="00A61F90">
              <w:rPr>
                <w:b/>
                <w:bCs/>
                <w:i/>
                <w:iCs/>
                <w:position w:val="2"/>
                <w:sz w:val="22"/>
                <w:szCs w:val="22"/>
                <w:rtl/>
              </w:rPr>
              <w:t>تدعـو</w:t>
            </w:r>
            <w:r w:rsidRPr="00A61F90">
              <w:rPr>
                <w:b/>
                <w:bCs/>
                <w:position w:val="2"/>
                <w:sz w:val="22"/>
                <w:szCs w:val="22"/>
                <w:rtl/>
              </w:rPr>
              <w:t xml:space="preserve"> </w:t>
            </w:r>
          </w:p>
          <w:p w14:paraId="33D714A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lang w:val="en-GB" w:eastAsia="zh-TW"/>
              </w:rPr>
            </w:pPr>
            <w:r w:rsidRPr="00A61F90">
              <w:rPr>
                <w:position w:val="2"/>
                <w:rtl/>
              </w:rPr>
              <w:t>الدول الأعضاء وأعضاء القطاعات</w:t>
            </w:r>
            <w:r w:rsidRPr="00A61F90">
              <w:rPr>
                <w:position w:val="2"/>
                <w:rtl/>
                <w:lang w:val="en-GB" w:eastAsia="zh-TW"/>
              </w:rPr>
              <w:t xml:space="preserve"> إلى</w:t>
            </w:r>
          </w:p>
          <w:p w14:paraId="5D40614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أن تشارك بصورة فعّالة في الدراسات المتعلقة بالنفاذ في قطاعات الاتصالات الراديوية وتقييس الاتصالات وتنمية الاتصالات، وأن تعزِّز وتنهض بالتمثيل الفعَّال للأشخاص ذوي الإعاقة في عملية التقييس لضمان مراعاة تجاربهم ووجهات نظرهم وآرائهم في جميع أعمال لجان الدراسات؛</w:t>
            </w:r>
          </w:p>
        </w:tc>
      </w:tr>
      <w:tr w:rsidR="00E56E20" w:rsidRPr="00A61F90" w14:paraId="69932C80"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0834A647"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72</w:t>
            </w:r>
          </w:p>
          <w:p w14:paraId="66DB969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مشاكل القياس والتقييم المتعلقة بالتعرض البشري للمجالات الكهرمغنطيسية</w:t>
            </w:r>
          </w:p>
        </w:tc>
        <w:tc>
          <w:tcPr>
            <w:tcW w:w="3607" w:type="pct"/>
            <w:hideMark/>
          </w:tcPr>
          <w:p w14:paraId="112CB317" w14:textId="77777777" w:rsidR="00E56E20" w:rsidRPr="00A61F90" w:rsidRDefault="00E56E20" w:rsidP="00A61F90">
            <w:pPr>
              <w:pStyle w:val="Tabletexte"/>
              <w:keepNext/>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en-GB" w:eastAsia="zh-TW" w:bidi="en-GB"/>
              </w:rPr>
            </w:pPr>
            <w:r w:rsidRPr="00A61F90">
              <w:rPr>
                <w:b/>
                <w:bCs/>
                <w:i/>
                <w:iCs/>
                <w:position w:val="2"/>
                <w:sz w:val="22"/>
                <w:szCs w:val="22"/>
                <w:rtl/>
              </w:rPr>
              <w:t>تقرر</w:t>
            </w:r>
          </w:p>
          <w:p w14:paraId="7ADF2E7A"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أن تدعو قطاع تقييس الاتصالات، وخصوصاً لجنة الدراسات 5 بقطاع تقييس الاتصالات، في إطار ولايتها، إلى أن يوسع من نطاق عمله ودعمه وأن يواصل عمله في هذا المجال وذلك مثلاً من خلال ما يلي</w:t>
            </w:r>
            <w:r w:rsidRPr="00A61F90">
              <w:rPr>
                <w:position w:val="2"/>
              </w:rPr>
              <w:t>:</w:t>
            </w:r>
            <w:r w:rsidRPr="00A61F90">
              <w:rPr>
                <w:position w:val="2"/>
                <w:rtl/>
              </w:rPr>
              <w:t xml:space="preserve"> </w:t>
            </w:r>
          </w:p>
          <w:p w14:paraId="5F06F634" w14:textId="77777777"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1‘</w:t>
            </w:r>
            <w:r w:rsidRPr="00A61F90">
              <w:rPr>
                <w:position w:val="2"/>
                <w:rtl/>
              </w:rPr>
              <w:tab/>
              <w:t>إعداد تقارير وتوصيات جديدة و/أو تحديث التقارير والتوصيات القائمة الصادرة عن قطاع تقييس الاتصالات، مع مراعاة التطورات في التكنولوجيات اللاسلكية، والتقدم في منهجيات القياس/التقييم والممارسات الفضلى، بالتنسيق الوثيق مع قطاعات الاتحاد الأخرى والمنظمات المتخصصة ذات الصلة في هذا المجال؛</w:t>
            </w:r>
          </w:p>
          <w:p w14:paraId="29201AB5" w14:textId="1FB2C604"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Pr>
              <w:t>’</w:t>
            </w:r>
            <w:r w:rsidRPr="00A61F90">
              <w:rPr>
                <w:position w:val="2"/>
                <w:rtl/>
              </w:rPr>
              <w:t>7‘</w:t>
            </w:r>
            <w:r w:rsidRPr="00A61F90">
              <w:rPr>
                <w:position w:val="2"/>
                <w:rtl/>
              </w:rPr>
              <w:tab/>
              <w:t>التعاون بشأن هذه المواضيع مع لجان الدراسات لقطاع الاتصالات الراديوية ومع لجنة الدراسات</w:t>
            </w:r>
            <w:r w:rsidR="00A61F90" w:rsidRPr="00A61F90">
              <w:rPr>
                <w:rFonts w:hint="cs"/>
                <w:position w:val="2"/>
                <w:rtl/>
              </w:rPr>
              <w:t xml:space="preserve"> </w:t>
            </w:r>
            <w:r w:rsidRPr="00A61F90">
              <w:rPr>
                <w:position w:val="2"/>
                <w:rtl/>
              </w:rPr>
              <w:t>2 لقطاع تنمية الاتصالات في إطار قياسات المجالات الكهرمغنطيسية لتقييم التعرض البشري لها، ومواضيع أخرى ذات صلة؛</w:t>
            </w:r>
          </w:p>
          <w:p w14:paraId="4FAD683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b/>
                <w:bCs/>
                <w:position w:val="2"/>
                <w:lang w:val="ar-SA" w:eastAsia="zh-TW" w:bidi="en-GB"/>
              </w:rPr>
            </w:pPr>
            <w:r w:rsidRPr="00A61F90">
              <w:rPr>
                <w:b/>
                <w:bCs/>
                <w:i/>
                <w:iCs/>
                <w:position w:val="2"/>
                <w:rtl/>
              </w:rPr>
              <w:t>تكلف</w:t>
            </w:r>
          </w:p>
          <w:p w14:paraId="4A841DB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المكتبين الآخرين في حدود الموارد المالية المتاحة،</w:t>
            </w:r>
          </w:p>
          <w:p w14:paraId="4974A22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 5 لقطاع تقييس الاتصالات للنظر فيها واتخاذ ما يلزم من إجراءات وفقاً لاختصاصاتها؛</w:t>
            </w:r>
          </w:p>
          <w:p w14:paraId="1A7CFC7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بتحديث بوابة قطاع تقييس الاتصالات المعنية بالأنشطة المتعلقة بالمجالات الكهرمغنطيسية بصورة منتظمة، ومنها على سبيل المثال لا الحصر دليل الاتحاد للمجالات الكهرمغنطيسية وتطبيقه المتنقل والروابط إلى المواقع الإلكترونية والبوابة العالمية بشأن تكنولوجيا المعلومات والاتصالات والبيئة والنشرات والمعلومات المخصصة لعامة الجمهور؛</w:t>
            </w:r>
          </w:p>
          <w:p w14:paraId="47ED723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lastRenderedPageBreak/>
              <w:t xml:space="preserve">3 </w:t>
            </w:r>
            <w:r w:rsidRPr="00A61F90">
              <w:rPr>
                <w:position w:val="2"/>
                <w:rtl/>
              </w:rPr>
              <w:tab/>
              <w:t xml:space="preserve">بعقد ورش عمل في البلدان النامية تقدم فيها عروض ودورات تدريبية عن استعمال المعدات المستخدمة في تقييم التعرض البشري لطاقة الترددات الراديوية بما في ذلك معدل الامتصاص النوعي </w:t>
            </w:r>
            <w:r w:rsidRPr="00A61F90">
              <w:rPr>
                <w:position w:val="2"/>
              </w:rPr>
              <w:t>SAR)</w:t>
            </w:r>
            <w:r w:rsidRPr="00A61F90">
              <w:rPr>
                <w:position w:val="2"/>
                <w:rtl/>
              </w:rPr>
              <w:t>)؛</w:t>
            </w:r>
          </w:p>
          <w:p w14:paraId="7B426DEE"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 xml:space="preserve">بتعيين خبراء في مجال تقييم وقياس التعرض للمجالات الكهرمغنطيسية لمساعدة البلدان النامية في إعداد استراتيجياتها وأنشطتها </w:t>
            </w:r>
            <w:proofErr w:type="spellStart"/>
            <w:r w:rsidRPr="00A61F90">
              <w:rPr>
                <w:position w:val="2"/>
                <w:rtl/>
              </w:rPr>
              <w:t>التقييسية</w:t>
            </w:r>
            <w:proofErr w:type="spellEnd"/>
            <w:r w:rsidRPr="00A61F90">
              <w:rPr>
                <w:position w:val="2"/>
                <w:rtl/>
              </w:rPr>
              <w:t xml:space="preserve"> في هذا المجال؛</w:t>
            </w:r>
          </w:p>
          <w:p w14:paraId="3E804324"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بتقديم الدعم إلى البلدان النامية عند إنشائها المراكز الوطنية و/أو الإقليمية التابعة لها والمزودة بمنصات الاختبار لمواصلة مراقبة مستويات المجالات الكهرمغنطيسية، لا سيما في المناطق المختارة التي تثير شواغل الجمهور وتوفير بيانات للجمهور بصورة شفافة، باتخاذ عدة إجراءات منها ما جاء في القرارين 44 (المراجَع في نيودلهي، 2024) و76 (المراجَع في نيودلهي، 2024) الصادرين عن هذه الجمعية والقرار 177 (المراجَع في بوخارست، 2022) لمؤتمر المندوبين المفوضين، في سياق إنشاء مراكز الاختبار الإقليمية؛</w:t>
            </w:r>
          </w:p>
          <w:p w14:paraId="599C835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 xml:space="preserve">بدعوة لجنة الدراسات 5 لقطاع تقييس الاتصالات إلى التنسيق والتعاون مع مختلف المنظمات الدولية مثل منظمة الصحة العالمية </w:t>
            </w:r>
            <w:r w:rsidRPr="00A61F90">
              <w:rPr>
                <w:position w:val="2"/>
              </w:rPr>
              <w:t>(WHO)</w:t>
            </w:r>
            <w:r w:rsidRPr="00A61F90">
              <w:rPr>
                <w:position w:val="2"/>
                <w:rtl/>
              </w:rPr>
              <w:t>، واللجنة الدولية المعنية بالحماية من الإشعاع غير المؤين (</w:t>
            </w:r>
            <w:r w:rsidRPr="00A61F90">
              <w:rPr>
                <w:position w:val="2"/>
              </w:rPr>
              <w:t>ICNIRP</w:t>
            </w:r>
            <w:r w:rsidRPr="00A61F90">
              <w:rPr>
                <w:position w:val="2"/>
                <w:rtl/>
              </w:rPr>
              <w:t xml:space="preserve">)، واللجنة </w:t>
            </w:r>
            <w:proofErr w:type="spellStart"/>
            <w:r w:rsidRPr="00A61F90">
              <w:rPr>
                <w:position w:val="2"/>
                <w:rtl/>
              </w:rPr>
              <w:t>الكهرتقنية</w:t>
            </w:r>
            <w:proofErr w:type="spellEnd"/>
            <w:r w:rsidRPr="00A61F90">
              <w:rPr>
                <w:position w:val="2"/>
                <w:rtl/>
              </w:rPr>
              <w:t xml:space="preserve"> الدولية (</w:t>
            </w:r>
            <w:r w:rsidRPr="00A61F90">
              <w:rPr>
                <w:position w:val="2"/>
              </w:rPr>
              <w:t>IEC</w:t>
            </w:r>
            <w:r w:rsidRPr="00A61F90">
              <w:rPr>
                <w:position w:val="2"/>
                <w:rtl/>
              </w:rPr>
              <w:t>)، والمنظمة الدولية للتوحيد القياسي (</w:t>
            </w:r>
            <w:r w:rsidRPr="00A61F90">
              <w:rPr>
                <w:position w:val="2"/>
              </w:rPr>
              <w:t>ISO</w:t>
            </w:r>
            <w:r w:rsidRPr="00A61F90">
              <w:rPr>
                <w:position w:val="2"/>
                <w:rtl/>
              </w:rPr>
              <w:t>)، ومعهد مهندسي الكهرباء والإلكترونيات (</w:t>
            </w:r>
            <w:r w:rsidRPr="00A61F90">
              <w:rPr>
                <w:position w:val="2"/>
              </w:rPr>
              <w:t>IEEE</w:t>
            </w:r>
            <w:r w:rsidRPr="00A61F90">
              <w:rPr>
                <w:position w:val="2"/>
                <w:rtl/>
              </w:rPr>
              <w:t>)، وغيرها من المنظمات الدولية والإقليمية، بغية تنسيق عتبات التعرض على الصعيد العالمي ووضع بروتوكولات متسقة للقياس؛</w:t>
            </w:r>
          </w:p>
          <w:p w14:paraId="64674A1D"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7 </w:t>
            </w:r>
            <w:r w:rsidRPr="00A61F90">
              <w:rPr>
                <w:position w:val="2"/>
                <w:rtl/>
              </w:rPr>
              <w:tab/>
              <w:t>بتقديم تقرير إلى الجمعية العالمية المقبلة لتقييس الاتصالات بشأن التدابير المتخذة من أجل تنفيذ هذا القرار،</w:t>
            </w:r>
          </w:p>
        </w:tc>
      </w:tr>
      <w:tr w:rsidR="00E56E20" w:rsidRPr="00A61F90" w14:paraId="3775028F"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4E1F0EE7"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73</w:t>
            </w:r>
          </w:p>
          <w:p w14:paraId="188B9D0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تكنولوجيا المعلومات والاتصالات والبيئة وتغير المناخ والاقتصاد الدائري</w:t>
            </w:r>
          </w:p>
        </w:tc>
        <w:tc>
          <w:tcPr>
            <w:tcW w:w="3607" w:type="pct"/>
            <w:hideMark/>
          </w:tcPr>
          <w:p w14:paraId="3F1482C4"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10E975E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جميع لجان دراسات قطاع تقييس الاتصالات بالاتحاد</w:t>
            </w:r>
          </w:p>
          <w:p w14:paraId="675C79C0"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6</w:t>
            </w:r>
            <w:r w:rsidRPr="00A61F90">
              <w:rPr>
                <w:position w:val="2"/>
                <w:rtl/>
              </w:rPr>
              <w:tab/>
              <w:t>بالاتصال مع لجان الدراسات ذات الصلة في قطاعي الاتصالات الراديوية وتنمية الاتصالات وتشجيع التواصل مع المنظمات الأخرى لوضع المعايير والمنتديات وذلك لتجنب ازدواج العمل وتحقيق الاستعمال الأمثل للموارد وتعجيل توافر المعايير العالمية،</w:t>
            </w:r>
          </w:p>
          <w:p w14:paraId="61B7B75B"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6001FA8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المكتبين الآخرين</w:t>
            </w:r>
          </w:p>
          <w:p w14:paraId="46F49FB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بتقديم تقرير عن التقدم المحرز بشأن تطبيق هذا القرار إلى المجلس سنوياً وإلى الجمعية العالمية المقبلة لتقييس الاتصالات؛</w:t>
            </w:r>
          </w:p>
          <w:p w14:paraId="319F78A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بتحديث الجدول الزمني للأحداث المتعلقة بتكنولوجيا المعلومات والاتصالات والبيئة وتغير المناخ والاقتصاد الدائري بناءً على اقتراحات من الفريق الاستشاري لتقييس الاتصالات وبالتعاون الوثيق مع القطاعين الآخرين؛</w:t>
            </w:r>
          </w:p>
          <w:p w14:paraId="4DE3BA30"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 xml:space="preserve">بإطلاق مشاريع تجريبية تهدف إلى سد الفجوة </w:t>
            </w:r>
            <w:proofErr w:type="spellStart"/>
            <w:r w:rsidRPr="00A61F90">
              <w:rPr>
                <w:position w:val="2"/>
                <w:rtl/>
              </w:rPr>
              <w:t>التقييسية</w:t>
            </w:r>
            <w:proofErr w:type="spellEnd"/>
            <w:r w:rsidRPr="00A61F90">
              <w:rPr>
                <w:position w:val="2"/>
                <w:rtl/>
              </w:rPr>
              <w:t xml:space="preserve"> بشأن قضايا الاستدامة البيئية وخاصةً في البلدان النامية؛</w:t>
            </w:r>
          </w:p>
          <w:p w14:paraId="346AAD6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 xml:space="preserve">بدعم إعداد تقارير بشأن تكنولوجيا المعلومات والاتصالات والبيئة وتغير المناخ والاقتصاد الدائري مع مراعاة الدراسات ذات الصلة وخاصة الأعمال الجارية في لجنة الدراسات 5 لقطاع تقييس الاتصالات، بما في ذلك قضايا تتعلق بأمور، منها الاقتصاد الدائري والتصميم البيئي المستدام للمعدات وللحلول القائمة على تكنولوجيا المعلومات والاتصالات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وحماية التنوع البيولوجي، بالتعاون </w:t>
            </w:r>
            <w:r w:rsidRPr="00A61F90">
              <w:rPr>
                <w:position w:val="2"/>
                <w:rtl/>
              </w:rPr>
              <w:lastRenderedPageBreak/>
              <w:t>مع سائر الهيئات الخبيرة في هذه المجالات، وكيفية إسهام قطاع تكنولوجيا المعلومات والاتصالات في خفض انبعاثات غازات الدفيئة، وتقديم التقارير بأسرع ما يمكن إلى لجنة الدراسات 5 لقطاع تقييس الاتصالات لتنظر فيها؛</w:t>
            </w:r>
          </w:p>
          <w:p w14:paraId="7B8A82A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 المناخ والاقتصاد الدائري؛</w:t>
            </w:r>
          </w:p>
          <w:p w14:paraId="0BC3631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7 </w:t>
            </w:r>
            <w:r w:rsidRPr="00A61F90">
              <w:rPr>
                <w:position w:val="2"/>
                <w:rtl/>
              </w:rPr>
              <w:tab/>
              <w:t xml:space="preserve">بتقديم تقرير عن تقدم فريق المهام المشترك للاتحاد والمنظمة العالمية للأرصاد الجوية </w:t>
            </w:r>
            <w:r w:rsidRPr="00A61F90">
              <w:rPr>
                <w:position w:val="2"/>
              </w:rPr>
              <w:t>(WMO)</w:t>
            </w:r>
            <w:r w:rsidRPr="00A61F90">
              <w:rPr>
                <w:position w:val="2"/>
                <w:rtl/>
              </w:rPr>
              <w:t xml:space="preserve"> واللجنة </w:t>
            </w:r>
            <w:proofErr w:type="spellStart"/>
            <w:r w:rsidRPr="00A61F90">
              <w:rPr>
                <w:position w:val="2"/>
                <w:rtl/>
              </w:rPr>
              <w:t>الأوقيانوغرافية</w:t>
            </w:r>
            <w:proofErr w:type="spellEnd"/>
            <w:r w:rsidRPr="00A61F90">
              <w:rPr>
                <w:position w:val="2"/>
                <w:rtl/>
              </w:rPr>
              <w:t xml:space="preserve"> الحكومية الدولية التابعة لمنظمة الأمم المتحدة للتربية والعلم والثقافة (</w:t>
            </w:r>
            <w:r w:rsidRPr="00A61F90">
              <w:rPr>
                <w:position w:val="2"/>
              </w:rPr>
              <w:t>IOC-UNESCO</w:t>
            </w:r>
            <w:r w:rsidRPr="00A61F90">
              <w:rPr>
                <w:position w:val="2"/>
                <w:rtl/>
              </w:rPr>
              <w:t xml:space="preserve">) في بحث إمكانية استخدام </w:t>
            </w:r>
            <w:proofErr w:type="spellStart"/>
            <w:r w:rsidRPr="00A61F90">
              <w:rPr>
                <w:position w:val="2"/>
                <w:rtl/>
              </w:rPr>
              <w:t>كبلات</w:t>
            </w:r>
            <w:proofErr w:type="spellEnd"/>
            <w:r w:rsidRPr="00A61F90">
              <w:rPr>
                <w:position w:val="2"/>
                <w:rtl/>
              </w:rPr>
              <w:t xml:space="preserve"> الاتصالات البحرية لمراقبة المحيطات والمناخ والتحذير من الكوارث؛</w:t>
            </w:r>
          </w:p>
          <w:p w14:paraId="61BE219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8</w:t>
            </w:r>
            <w:r w:rsidRPr="00A61F90">
              <w:rPr>
                <w:position w:val="2"/>
                <w:rtl/>
              </w:rPr>
              <w:tab/>
              <w:t>بتعزيز البوابة العالمية لقطاع تقييس الاتصالات بشأن البيئة والتحول الرقمي المستدام، واستخدامها كمنتدى إلكتروني لتبادل ونشر الأفكار والخبرات والممارسات الفضلى بشأن تكنولوجيا المعلومات والاتصالات والبيئة وتغير المناخ والاقتصاد الدائري؛</w:t>
            </w:r>
          </w:p>
          <w:p w14:paraId="561B26F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9 </w:t>
            </w:r>
            <w:r w:rsidRPr="00A61F90">
              <w:rPr>
                <w:position w:val="2"/>
                <w:rtl/>
              </w:rPr>
              <w:tab/>
              <w:t>بمساعدة البلدان المعرضة لآثار تغير المناخ مع التركيز بشكل خاص على البلدان النامية:</w:t>
            </w:r>
          </w:p>
          <w:p w14:paraId="6AB3E49E"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Pr>
              <w:t>’</w:t>
            </w:r>
            <w:r w:rsidRPr="00A61F90">
              <w:rPr>
                <w:position w:val="2"/>
                <w:rtl/>
              </w:rPr>
              <w:t>1‘</w:t>
            </w:r>
            <w:r w:rsidRPr="00A61F90">
              <w:rPr>
                <w:position w:val="2"/>
                <w:rtl/>
              </w:rPr>
              <w:tab/>
              <w:t>المعرضة للحرائق والجفاف والفيضانات وغيرها من الكوارث التي يُفاقمها تغير المناخ؛</w:t>
            </w:r>
          </w:p>
          <w:p w14:paraId="12567564" w14:textId="77777777"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rtl/>
              </w:rPr>
            </w:pPr>
            <w:r w:rsidRPr="00A61F90">
              <w:rPr>
                <w:position w:val="2"/>
              </w:rPr>
              <w:t>’</w:t>
            </w:r>
            <w:r w:rsidRPr="00A61F90">
              <w:rPr>
                <w:position w:val="2"/>
                <w:rtl/>
              </w:rPr>
              <w:t xml:space="preserve">2‘ </w:t>
            </w:r>
            <w:r w:rsidRPr="00A61F90">
              <w:rPr>
                <w:position w:val="2"/>
                <w:rtl/>
              </w:rPr>
              <w:tab/>
              <w:t xml:space="preserve">التي تعتمد اقتصاداتها على الاستثمارات الزراعية؛ </w:t>
            </w:r>
          </w:p>
          <w:p w14:paraId="167F949D" w14:textId="28633A2E" w:rsidR="00E56E20" w:rsidRPr="00A61F90" w:rsidRDefault="00E56E20" w:rsidP="00A61F90">
            <w:pPr>
              <w:pStyle w:val="enumlev1"/>
              <w:spacing w:after="60" w:line="280" w:lineRule="exact"/>
              <w:cnfStyle w:val="000000100000" w:firstRow="0" w:lastRow="0" w:firstColumn="0" w:lastColumn="0" w:oddVBand="0" w:evenVBand="0" w:oddHBand="1" w:evenHBand="0" w:firstRowFirstColumn="0" w:firstRowLastColumn="0" w:lastRowFirstColumn="0" w:lastRowLastColumn="0"/>
              <w:rPr>
                <w:position w:val="2"/>
              </w:rPr>
            </w:pPr>
            <w:r w:rsidRPr="00A61F90">
              <w:rPr>
                <w:position w:val="2"/>
                <w:rtl/>
              </w:rPr>
              <w:t>’3‘</w:t>
            </w:r>
            <w:r w:rsidRPr="00A61F90">
              <w:rPr>
                <w:position w:val="2"/>
                <w:lang w:eastAsia="zh-TW" w:bidi="en-GB"/>
              </w:rPr>
              <w:tab/>
            </w:r>
            <w:r w:rsidRPr="00A61F90">
              <w:rPr>
                <w:position w:val="2"/>
                <w:rtl/>
              </w:rPr>
              <w:t>ذات القدرات الضعيفة أو المفتقرة إلى البنية التحتية والأنظمة التقنية لدعم الأرصاد الجوية من أجل التخفيف من آثار تغير المناخ،</w:t>
            </w:r>
          </w:p>
        </w:tc>
      </w:tr>
      <w:tr w:rsidR="00E56E20" w:rsidRPr="00A61F90" w14:paraId="5E07E17E"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1EEFF248" w14:textId="77777777" w:rsidR="00E56E20" w:rsidRPr="00A61F90" w:rsidRDefault="00E56E20" w:rsidP="00A61F90">
            <w:pPr>
              <w:pStyle w:val="Tabletexte"/>
              <w:spacing w:before="80" w:line="280" w:lineRule="exact"/>
              <w:rPr>
                <w:position w:val="2"/>
                <w:sz w:val="22"/>
                <w:szCs w:val="22"/>
                <w:lang w:val="en-GB" w:eastAsia="zh-TW" w:bidi="en-GB"/>
              </w:rPr>
            </w:pPr>
            <w:r w:rsidRPr="00A61F90">
              <w:rPr>
                <w:position w:val="2"/>
                <w:sz w:val="22"/>
                <w:szCs w:val="22"/>
                <w:rtl/>
              </w:rPr>
              <w:lastRenderedPageBreak/>
              <w:t>القرار 74</w:t>
            </w:r>
          </w:p>
          <w:p w14:paraId="762E6ED2"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مشاركة أعضاء القطاع من البلدان النامية في أعمال قطاع تقييس الاتصالات للاتحاد الدولي للاتصالات</w:t>
            </w:r>
          </w:p>
        </w:tc>
        <w:tc>
          <w:tcPr>
            <w:tcW w:w="3607" w:type="pct"/>
          </w:tcPr>
          <w:p w14:paraId="6E5E771B"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390C3AB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 في حدود الموارد المتاحة،</w:t>
            </w:r>
          </w:p>
          <w:p w14:paraId="2535A50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بتنظيم ورش عمل، ويفضل أن يكون ذلك بالتزامن مع اجتماعات الأفرقة الإقليمية لقطاع تقييس الاتصالات أو غيرها من الأحداث الإقليمية للاتحاد، ووضع برامج بشأن حملات التوعية بالفوائد التي تعود على المشغلين ومقدمي الخدمات والصناعات وأعضاء القطاع الآخرين من البلدان النامية من المشاركة في أنشطة قطاع تقييس الاتصالات التي تهدف على وجه الخصوص إلى:</w:t>
            </w:r>
          </w:p>
          <w:p w14:paraId="16098F09" w14:textId="1D1164D6"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w:t>
            </w:r>
            <w:r w:rsidRPr="00A61F90">
              <w:rPr>
                <w:position w:val="2"/>
              </w:rPr>
              <w:t>1</w:t>
            </w:r>
            <w:r w:rsidRPr="00A61F90">
              <w:rPr>
                <w:position w:val="2"/>
                <w:rtl/>
              </w:rPr>
              <w:t>‘</w:t>
            </w:r>
            <w:r w:rsidR="00A61F90" w:rsidRPr="00A61F90">
              <w:rPr>
                <w:position w:val="2"/>
                <w:rtl/>
              </w:rPr>
              <w:tab/>
            </w:r>
            <w:r w:rsidRPr="00A61F90">
              <w:rPr>
                <w:position w:val="2"/>
                <w:rtl/>
              </w:rPr>
              <w:t>تعزيز أهمية قطاع تقييس الاتصالات وأهمية مشاركتهم في أنشطة التقييس؛</w:t>
            </w:r>
          </w:p>
          <w:p w14:paraId="07C0FF4D" w14:textId="6884DA50" w:rsidR="00E56E20" w:rsidRPr="00A61F90" w:rsidRDefault="00E56E20" w:rsidP="00A61F90">
            <w:pPr>
              <w:pStyle w:val="enumlev1"/>
              <w:spacing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w:t>
            </w:r>
            <w:r w:rsidRPr="00A61F90">
              <w:rPr>
                <w:position w:val="2"/>
              </w:rPr>
              <w:t>2</w:t>
            </w:r>
            <w:r w:rsidRPr="00A61F90">
              <w:rPr>
                <w:position w:val="2"/>
                <w:rtl/>
              </w:rPr>
              <w:t>‘</w:t>
            </w:r>
            <w:r w:rsidR="00A61F90" w:rsidRPr="00A61F90">
              <w:rPr>
                <w:position w:val="2"/>
                <w:rtl/>
              </w:rPr>
              <w:tab/>
            </w:r>
            <w:r w:rsidRPr="00A61F90">
              <w:rPr>
                <w:position w:val="2"/>
                <w:rtl/>
              </w:rPr>
              <w:t>تحديد الأولويات والاحتياجات والمخاوف ذات الصلة بالتقييس، ولا سيما فيما يتعلق بالاتجاهات في مجال الاتصالات/تكنولوجيا المعلومات والاتصالات؛</w:t>
            </w:r>
          </w:p>
          <w:p w14:paraId="120ED4D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وضع مقاييس ذات صلة لقياس مشاركة أعضاء القطاع من البلدان النامية في أنشطة قطاع تقييس الاتصالات،</w:t>
            </w:r>
          </w:p>
        </w:tc>
      </w:tr>
      <w:tr w:rsidR="00E56E20" w:rsidRPr="00A61F90" w14:paraId="6C7B5D5D"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6F62911D"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76</w:t>
            </w:r>
          </w:p>
          <w:p w14:paraId="3365E66B" w14:textId="07E97495" w:rsidR="00E56E20" w:rsidRPr="00A61F90" w:rsidRDefault="00E56E20" w:rsidP="00A61F90">
            <w:pPr>
              <w:pStyle w:val="Tabletexte"/>
              <w:spacing w:before="80" w:line="280" w:lineRule="exact"/>
              <w:rPr>
                <w:b w:val="0"/>
                <w:bCs w:val="0"/>
                <w:position w:val="2"/>
                <w:sz w:val="22"/>
                <w:szCs w:val="22"/>
                <w:lang w:eastAsia="zh-TW" w:bidi="en-GB"/>
              </w:rPr>
            </w:pPr>
            <w:r w:rsidRPr="00A61F90">
              <w:rPr>
                <w:b w:val="0"/>
                <w:bCs w:val="0"/>
                <w:position w:val="2"/>
                <w:sz w:val="22"/>
                <w:szCs w:val="22"/>
                <w:rtl/>
              </w:rPr>
              <w:t xml:space="preserve">اختبارات المطابقة وقابلية التشغيل </w:t>
            </w:r>
            <w:r w:rsidR="00B17DBA" w:rsidRPr="00A61F90">
              <w:rPr>
                <w:rFonts w:hint="cs"/>
                <w:b w:val="0"/>
                <w:bCs w:val="0"/>
                <w:position w:val="2"/>
                <w:sz w:val="22"/>
                <w:szCs w:val="22"/>
                <w:rtl/>
              </w:rPr>
              <w:t>البيني ومساعدة</w:t>
            </w:r>
            <w:r w:rsidRPr="00A61F90">
              <w:rPr>
                <w:b w:val="0"/>
                <w:bCs w:val="0"/>
                <w:position w:val="2"/>
                <w:sz w:val="22"/>
                <w:szCs w:val="22"/>
                <w:rtl/>
              </w:rPr>
              <w:t xml:space="preserve"> البلدان النامية والبرنامج المستقبلي المحتمل الخاص بعلامة الاتحاد</w:t>
            </w:r>
          </w:p>
        </w:tc>
        <w:tc>
          <w:tcPr>
            <w:tcW w:w="3607" w:type="pct"/>
            <w:hideMark/>
          </w:tcPr>
          <w:p w14:paraId="67456B77"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تدعـو</w:t>
            </w:r>
            <w:r w:rsidRPr="00A61F90">
              <w:rPr>
                <w:b/>
                <w:bCs/>
                <w:position w:val="2"/>
                <w:sz w:val="22"/>
                <w:szCs w:val="22"/>
                <w:rtl/>
              </w:rPr>
              <w:t xml:space="preserve"> </w:t>
            </w:r>
          </w:p>
          <w:p w14:paraId="6D3890D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الدول الأعضاء وأعضاء قطاع تنمية الاتصالات بالاتحاد إلى</w:t>
            </w:r>
          </w:p>
          <w:p w14:paraId="2E19756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الممارسات الفضلى لتجنب الخسائر؛</w:t>
            </w:r>
          </w:p>
          <w:p w14:paraId="21BAB10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 xml:space="preserve">2 </w:t>
            </w:r>
            <w:r w:rsidRPr="00A61F90">
              <w:rPr>
                <w:position w:val="2"/>
                <w:rtl/>
              </w:rPr>
              <w:tab/>
              <w:t>التعاون على المستوى الإقليمي (خاصةً البلدان النامية) من أجل إنشاء مرافق اختبار المطابقة وقابلية التشغيل البيني من خلال وجود مرافق اختبار مختلفة تقع في بلدان مختلفة والاستفادة من اتفاقات وترتيبات الاعتراف المتبادل؛</w:t>
            </w:r>
          </w:p>
          <w:p w14:paraId="1226895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‏تطوير المهارات التقنية والقدرات المؤسسية في مجال إجراء اختبارات المطابقة وقابلية التشغيل البيني؛</w:t>
            </w:r>
          </w:p>
          <w:p w14:paraId="6B6F13E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‏تعزيز مبادرات التدريب التقني وبناء القدرات المؤسسية في البلدان النامية من خلال دعم مراكز الاختبار وإجراء التدريب العملي وعقد ورش العمل بشأن اختبار المطابقة وقابلية التشغيل البيني‎،</w:t>
            </w:r>
          </w:p>
          <w:p w14:paraId="1F5CAF69"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41C2251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5015A3F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 xml:space="preserve">بأن يواصل، بالتعاون مع مدير مكتب تنمية الاتصالات </w:t>
            </w:r>
            <w:r w:rsidRPr="00A61F90">
              <w:rPr>
                <w:position w:val="2"/>
              </w:rPr>
              <w:t>BDT)</w:t>
            </w:r>
            <w:r w:rsidRPr="00A61F90">
              <w:rPr>
                <w:position w:val="2"/>
                <w:rtl/>
              </w:rPr>
              <w:t>)، التشاور في جميع المناطق آخذاً في الاعتبار احتياجات كل منطقة، بشأن تنفيذ خطة العمل التي أقرها مجلس الاتحاد؛</w:t>
            </w:r>
          </w:p>
          <w:p w14:paraId="693F446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 xml:space="preserve">بأن يدعم مدير مكتب تنمية الاتصالات </w:t>
            </w:r>
            <w:r w:rsidRPr="00A61F90">
              <w:rPr>
                <w:position w:val="2"/>
              </w:rPr>
              <w:t>(‎BDT)</w:t>
            </w:r>
            <w:r w:rsidRPr="00A61F90">
              <w:rPr>
                <w:position w:val="2"/>
                <w:rtl/>
              </w:rPr>
              <w:t xml:space="preserve"> ‏في بناء القدرات البشرية والمساعدة على إنشاء مرافق اختبار في البلدان النامية؛</w:t>
            </w:r>
          </w:p>
          <w:p w14:paraId="3B309DF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بأن ينفذ خطة العمل التي وافق عليها المجلس في دورته لعام 2012 ونقحها في دورته لعام 2014، بالتعاون مع مدير مكتب تنمية الاتصالات؛</w:t>
            </w:r>
          </w:p>
          <w:p w14:paraId="5329693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5</w:t>
            </w:r>
            <w:r w:rsidRPr="00A61F90">
              <w:rPr>
                <w:position w:val="2"/>
                <w:rtl/>
              </w:rPr>
              <w:tab/>
              <w:t xml:space="preserve"> بأن يواصل، ‏بالتعاون مع مدير مكتب تنمية الاتصالات وبالتشاور مع كل منطقة، تنفيذ برنامج الاتحاد الخاص بالمطابقة وقابلية التشغيل البيني، بما في ذلك قاعدة بيانات معامل الاختبار وقاعدة البيانات الاسترشادية للمعلومات بشأن المطابقة التي تحدد مطابقة المنتجات ومنشأها؛</w:t>
            </w:r>
          </w:p>
          <w:p w14:paraId="76B75F2A"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تدعـو</w:t>
            </w:r>
            <w:r w:rsidRPr="00A61F90">
              <w:rPr>
                <w:b/>
                <w:bCs/>
                <w:position w:val="2"/>
                <w:sz w:val="22"/>
                <w:szCs w:val="22"/>
                <w:rtl/>
              </w:rPr>
              <w:t xml:space="preserve"> </w:t>
            </w:r>
          </w:p>
          <w:p w14:paraId="73CAC0D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44542E2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إلى التعاون مع الدول الأعضاء وأعضاء القطاع للمساعدة في تطوير ونشر مختبرات افتراضية لإجراء الاختبارات عن بُعد في البلدان النامية،‎</w:t>
            </w:r>
          </w:p>
        </w:tc>
      </w:tr>
      <w:tr w:rsidR="00E56E20" w:rsidRPr="00A61F90" w14:paraId="1D97CBDE" w14:textId="77777777" w:rsidTr="007873D7">
        <w:tc>
          <w:tcPr>
            <w:cnfStyle w:val="001000000000" w:firstRow="0" w:lastRow="0" w:firstColumn="1" w:lastColumn="0" w:oddVBand="0" w:evenVBand="0" w:oddHBand="0" w:evenHBand="0" w:firstRowFirstColumn="0" w:firstRowLastColumn="0" w:lastRowFirstColumn="0" w:lastRowLastColumn="0"/>
            <w:tcW w:w="1393" w:type="pct"/>
            <w:hideMark/>
          </w:tcPr>
          <w:p w14:paraId="53B9B8C3"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78</w:t>
            </w:r>
          </w:p>
          <w:p w14:paraId="16F1F3F9"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تطبيقات ومعايير تكنولوجيا المعلومات والاتصالات من أجل تحسين النفاذ إلى خدمات الصحة الإلكترونية</w:t>
            </w:r>
          </w:p>
        </w:tc>
        <w:tc>
          <w:tcPr>
            <w:tcW w:w="3607" w:type="pct"/>
            <w:hideMark/>
          </w:tcPr>
          <w:p w14:paraId="5B2956D8"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5BF58FEF"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أن يكلف مدير مكتب تقييس الاتصالات، بالتعاون مع مدير مكتب تنمية الاتصالات</w:t>
            </w:r>
          </w:p>
          <w:p w14:paraId="769F9A2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بالنظر على أساس الأولوية في تعزيز مبادرات الاتصالات/تكنولوجيا المعلومات والاتصالات لأغراض الصحة الإلكترونية، وبتنسيق أنشطة التقييس المتعلقة بذلك؛</w:t>
            </w:r>
          </w:p>
          <w:p w14:paraId="63E93A8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الإلكترونية؛</w:t>
            </w:r>
          </w:p>
          <w:p w14:paraId="0576689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بالعمل بشكل تآزري فيما يتعلق بالأنشطة المتصلة بالصحة الإلكترونية عامةً وبهذا القرار خاصةً مع منظمة الصحة العالمية والمنظمة العالمية للملكية الفكرية والهيئات الأكاديمية والمنظمات الأُخرى ذات الصلة؛</w:t>
            </w:r>
          </w:p>
          <w:p w14:paraId="2A96464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lastRenderedPageBreak/>
              <w:t xml:space="preserve">4 </w:t>
            </w:r>
            <w:r w:rsidRPr="00A61F90">
              <w:rPr>
                <w:position w:val="2"/>
                <w:rtl/>
              </w:rPr>
              <w:tab/>
              <w:t>بتنظيم حلقات دراسية وورش عمل حول الصحة الإلكترونية للبلدان النامية، والوقوف على احتياجات البلدان النامية، حيث إنها أكثر البلدان حاجةً إلى تطبيقات الصحة الإلكترونية؛</w:t>
            </w:r>
          </w:p>
          <w:p w14:paraId="62124C0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بتشجيع أعمال التقييس على أساس نواتج الفريق المتخصص المعني بالذكاء الاصطناعي من أجل الصحة،</w:t>
            </w:r>
          </w:p>
          <w:p w14:paraId="72FBCAFC"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40A71DF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الوثيق مع مدير مكتب تنمية الاتصالات</w:t>
            </w:r>
          </w:p>
          <w:p w14:paraId="663515F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بدعم حملات التوعية التي ينظمها مكتب تنمية الاتصالات بناء على طلبها، والتي تعمل على توعية السكان باستعمال تطبيقات الصحة الإلكترونية مثل التطبيب عن بعد في البلدان النامية، في حدود الموارد المتاحة،</w:t>
            </w:r>
          </w:p>
        </w:tc>
      </w:tr>
      <w:tr w:rsidR="00E56E20" w:rsidRPr="00A61F90" w14:paraId="7C9951FC"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6374CD27"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79</w:t>
            </w:r>
          </w:p>
          <w:p w14:paraId="12EF3247"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p>
        </w:tc>
        <w:tc>
          <w:tcPr>
            <w:tcW w:w="3607" w:type="pct"/>
          </w:tcPr>
          <w:p w14:paraId="7D6890DA"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 أن تُكلّف</w:t>
            </w:r>
            <w:r w:rsidRPr="00A61F90">
              <w:rPr>
                <w:b/>
                <w:bCs/>
                <w:position w:val="2"/>
                <w:sz w:val="22"/>
                <w:szCs w:val="22"/>
                <w:rtl/>
              </w:rPr>
              <w:t xml:space="preserve"> </w:t>
            </w:r>
          </w:p>
          <w:p w14:paraId="2F89EAD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5903067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بمواصلة وزيادة تطوير أنشطة الاتحاد الدولي للاتصالات المتعلقة بإدارة المخلفات الإلكترونية الناتجة عن أجهزة الاتصالات وتكنولوجيا المعلومات والتحكم فيها وطرائق معالجتها، خاصةً</w:t>
            </w:r>
            <w:r w:rsidRPr="00A61F90">
              <w:rPr>
                <w:position w:val="2"/>
                <w:u w:val="single"/>
                <w:rtl/>
              </w:rPr>
              <w:t xml:space="preserve"> </w:t>
            </w:r>
            <w:r w:rsidRPr="00A61F90">
              <w:rPr>
                <w:position w:val="2"/>
                <w:rtl/>
              </w:rPr>
              <w:t>في البلدان النامية؛</w:t>
            </w:r>
          </w:p>
          <w:p w14:paraId="641B93DD"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بمساعدة البلدان النامية على الاضطلاع بتقييم سليم لحجم/كمية المخلفات الإلكترونية الناتجة على نحو منسق؛</w:t>
            </w:r>
          </w:p>
          <w:p w14:paraId="11046B9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بإدارة المخلفات الإلكترونية والتحكم فيها والمساهمة في الجهود العالمية الرامية إلى الحد من المخاطر المتزايدة الناشئة عنها؛</w:t>
            </w:r>
          </w:p>
          <w:p w14:paraId="719F4AD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بالعمل بالتعاون مع أصحاب المصلحة المعنيين بما في ذلك الهيئات الأكاديمية والمنظمات ذات الصلة، وبتنسيق الأنشطة المتعلقة بالمخلفات الإلكترونية فيما بين لجان الدراسات والأفرقة المتخصصة والأفرقة الأخرى ذات الصلة؛</w:t>
            </w:r>
          </w:p>
          <w:p w14:paraId="070686D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بتنظيم حلقات دراسية وورش عمل لإذكاء الوعي حول مخاطر المخلفات الإلكترونية وإدارتها المستدامة، وخاصة في البلدان النامية، والوقوف على احتياجات البلدان النامية، حيث إنها أكثر البلدان تضرراً من مخاطر المخلفات الإلكترونية؛</w:t>
            </w:r>
          </w:p>
          <w:p w14:paraId="207018F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بمساعدة البلدان النامية وتيسير عملها على تنفيذ مبادئ الاقتصاد الدائري؛</w:t>
            </w:r>
          </w:p>
          <w:p w14:paraId="077A5EF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7 </w:t>
            </w:r>
            <w:r w:rsidRPr="00A61F90">
              <w:rPr>
                <w:position w:val="2"/>
                <w:rtl/>
              </w:rPr>
              <w:tab/>
              <w:t>بمواصلة تعزيز جمع بيانات المخلفات الإلكترونية وقواعد البيانات العالمية بشأن المخلفات الإلكترونية، بالتعاون مع أصحاب المصلحة المعنيين، لدعم الصياغة الفعالة للسياسات والاستراتيجيات الإقليمية والوطنية،</w:t>
            </w:r>
          </w:p>
        </w:tc>
      </w:tr>
      <w:tr w:rsidR="00E56E20" w:rsidRPr="00A61F90" w14:paraId="0F1AD2A6"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20EB3C37"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83</w:t>
            </w:r>
          </w:p>
          <w:p w14:paraId="7B71D3A2"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تقييم تنفيذ قرارات الجمعية العالمية لتقييس الاتصالات</w:t>
            </w:r>
          </w:p>
        </w:tc>
        <w:tc>
          <w:tcPr>
            <w:tcW w:w="3607" w:type="pct"/>
          </w:tcPr>
          <w:p w14:paraId="58D0DCE5"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5FB71E8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المكتبين الآخرين باتخاذ الخطوات اللازمة لتقييم تنفيذ قرارات الجمعية من جانب جميع الأطراف المعنية.</w:t>
            </w:r>
          </w:p>
        </w:tc>
      </w:tr>
      <w:tr w:rsidR="00E56E20" w:rsidRPr="00A61F90" w14:paraId="7453033B"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130FE739"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84</w:t>
            </w:r>
          </w:p>
          <w:p w14:paraId="64264308"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دراسات تتعلق بحماية مستعملي خدمات الاتصالات/تكنولوجيا المعلومات والاتصالات</w:t>
            </w:r>
          </w:p>
        </w:tc>
        <w:tc>
          <w:tcPr>
            <w:tcW w:w="3607" w:type="pct"/>
          </w:tcPr>
          <w:p w14:paraId="2AE67521"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66284A0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 xml:space="preserve">أن يواصل قطاع تقييس الاتصالات بالاتحاد، من خلال لجان الدراسات التابعة له، التعاون الوثيق مع قطاع تنمية الاتصالات بالاتحاد </w:t>
            </w:r>
            <w:r w:rsidRPr="00A61F90">
              <w:rPr>
                <w:position w:val="2"/>
              </w:rPr>
              <w:t>ITU-D)</w:t>
            </w:r>
            <w:r w:rsidRPr="00A61F90">
              <w:rPr>
                <w:position w:val="2"/>
                <w:rtl/>
              </w:rPr>
              <w:t xml:space="preserve">) ولجان الدراسات التابعة له بشأن القضايا المتعلقة بحماية مستعملي/مستهلكي خدمات الاتصالات/تكنولوجيا المعلومات والاتصالات، حسب الاقتضاء؛ </w:t>
            </w:r>
          </w:p>
          <w:p w14:paraId="32ADD779" w14:textId="1B95248D" w:rsidR="00E56E20" w:rsidRPr="00A61F90" w:rsidRDefault="001803C2"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Pr>
                <w:rFonts w:hint="cs"/>
                <w:b/>
                <w:bCs/>
                <w:i/>
                <w:iCs/>
                <w:position w:val="2"/>
                <w:sz w:val="22"/>
                <w:szCs w:val="22"/>
                <w:rtl/>
              </w:rPr>
              <w:lastRenderedPageBreak/>
              <w:t>تكلف</w:t>
            </w:r>
          </w:p>
          <w:p w14:paraId="5230155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19B0C43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ببذل الجهود لتنفيذ القرار196 (المراجَع في بوخارست، 2022)؛</w:t>
            </w:r>
          </w:p>
          <w:p w14:paraId="2D653320" w14:textId="6D79DB2F"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ar-EG"/>
              </w:rPr>
            </w:pPr>
            <w:r w:rsidRPr="00A61F90">
              <w:rPr>
                <w:position w:val="2"/>
                <w:rtl/>
              </w:rPr>
              <w:t>2</w:t>
            </w:r>
            <w:r w:rsidRPr="00A61F90">
              <w:rPr>
                <w:position w:val="2"/>
                <w:rtl/>
              </w:rPr>
              <w:tab/>
              <w:t xml:space="preserve">بتشجيع المشاركة الفعالة للبلدان النامية في لجان دراسات قطاع تقييس الاتصالات ذات الصلة وتعزيز العلاقات مع المنظمات الأُخرى المعنية بوضع المعايير </w:t>
            </w:r>
            <w:r w:rsidRPr="00A61F90">
              <w:rPr>
                <w:position w:val="2"/>
              </w:rPr>
              <w:t>SDO</w:t>
            </w:r>
            <w:r w:rsidR="00281D78">
              <w:rPr>
                <w:position w:val="2"/>
              </w:rPr>
              <w:t>)</w:t>
            </w:r>
            <w:r w:rsidRPr="00A61F90">
              <w:rPr>
                <w:position w:val="2"/>
                <w:rtl/>
              </w:rPr>
              <w:t>) المشاركة في حل القضايا المتعلقة بحماية مستعملي/مستهلكي خدمات الاتصالات/تكنولوجيا المعلومات والاتصالات؛</w:t>
            </w:r>
          </w:p>
          <w:p w14:paraId="1E6719BC"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بالمساهمة في المبادرات ذات الصلة المتعلقة بحماية المستعملين/المستهلكين، شريطة ألا يشكل ذلك تداخلاً أو ازدواجية مع أنشطة القطاعين الآخرين،</w:t>
            </w:r>
          </w:p>
        </w:tc>
      </w:tr>
      <w:tr w:rsidR="00E56E20" w:rsidRPr="00A61F90" w14:paraId="48A9659B"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2FAFE8A5"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86</w:t>
            </w:r>
          </w:p>
          <w:p w14:paraId="0A7CBF50"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تيسير تنفيذ إعلان إفريقيا الذكية</w:t>
            </w:r>
          </w:p>
        </w:tc>
        <w:tc>
          <w:tcPr>
            <w:tcW w:w="3607" w:type="pct"/>
          </w:tcPr>
          <w:p w14:paraId="6EC40A78"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71D2967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36E2B98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بإنشاء آليات تعاون وتآزر بين لجان دراسات قطاع تقييس الاتصالات ومكتب إفريقيا الذكية في مجال وضع المعايير؛</w:t>
            </w:r>
          </w:p>
          <w:p w14:paraId="32F464B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بمواصلة دعم إعلان إفريقيا الذكية وفقاً للقرار 195 (بوسان، 2014)؛</w:t>
            </w:r>
          </w:p>
          <w:p w14:paraId="64C84679"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بتقديم المساعدة إلى إفريقيا الذكية والأفرقة الإقليمية الإفريقية في إطار الميزانية المخصصة، لدعم مشاريع تجريبية ترمي إلى تسريع تنفيذ معايير الاتحاد الدولي للاتصالات وتوصياته؛</w:t>
            </w:r>
          </w:p>
          <w:p w14:paraId="72447E2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eastAsia="zh-TW" w:bidi="en-GB"/>
              </w:rPr>
            </w:pPr>
            <w:r w:rsidRPr="00A61F90">
              <w:rPr>
                <w:position w:val="2"/>
                <w:rtl/>
              </w:rPr>
              <w:t>4</w:t>
            </w:r>
            <w:r w:rsidRPr="00A61F90">
              <w:rPr>
                <w:position w:val="2"/>
                <w:rtl/>
              </w:rPr>
              <w:tab/>
              <w:t>بتعزيز الدورات التدريبية وتوفير التوجيه للدول الأعضاء في إفريقيا الذكية، وشركائها من الدوائر الصناعية والمنظمات، في إطار اعتمادها لمعايير قطاع تقييس الاتصالات،</w:t>
            </w:r>
          </w:p>
        </w:tc>
      </w:tr>
      <w:tr w:rsidR="00E56E20" w:rsidRPr="00A61F90" w14:paraId="39A7100A"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25ABBC75"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88</w:t>
            </w:r>
          </w:p>
          <w:p w14:paraId="4869A37A"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 xml:space="preserve">التجوال الدولي المتنقل </w:t>
            </w:r>
            <w:r w:rsidRPr="00A61F90">
              <w:rPr>
                <w:b w:val="0"/>
                <w:bCs w:val="0"/>
                <w:position w:val="2"/>
                <w:sz w:val="22"/>
                <w:szCs w:val="22"/>
              </w:rPr>
              <w:t>IMR)</w:t>
            </w:r>
            <w:r w:rsidRPr="00A61F90">
              <w:rPr>
                <w:b w:val="0"/>
                <w:bCs w:val="0"/>
                <w:position w:val="2"/>
                <w:sz w:val="22"/>
                <w:szCs w:val="22"/>
                <w:rtl/>
              </w:rPr>
              <w:t>)</w:t>
            </w:r>
          </w:p>
        </w:tc>
        <w:tc>
          <w:tcPr>
            <w:tcW w:w="3607" w:type="pct"/>
          </w:tcPr>
          <w:p w14:paraId="17B16A65"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0C4B6DD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44C0F5E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بتنظيم مبادرات لإذكاء الوعي بشأن استفادة المستهلك من خفض أسعار التجوال الدولي المتنقل، وذلك بالتعاون مع مدير مكتب تنمية الاتصالات </w:t>
            </w:r>
            <w:r w:rsidRPr="00A61F90">
              <w:rPr>
                <w:position w:val="2"/>
              </w:rPr>
              <w:t>(BDT)</w:t>
            </w:r>
            <w:r w:rsidRPr="00A61F90">
              <w:rPr>
                <w:position w:val="2"/>
                <w:rtl/>
              </w:rPr>
              <w:t>؛</w:t>
            </w:r>
          </w:p>
        </w:tc>
      </w:tr>
      <w:tr w:rsidR="00E56E20" w:rsidRPr="00A61F90" w14:paraId="6E6E1F41"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591F170A"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89</w:t>
            </w:r>
          </w:p>
          <w:p w14:paraId="18C3B872"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استخدام تكنولوجيات المعلومات والاتصالات لسدّ فجوة الشمول المالي</w:t>
            </w:r>
          </w:p>
        </w:tc>
        <w:tc>
          <w:tcPr>
            <w:tcW w:w="3607" w:type="pct"/>
          </w:tcPr>
          <w:p w14:paraId="2787B0C7"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1B95811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المكتبين الآخرين</w:t>
            </w:r>
          </w:p>
          <w:p w14:paraId="5185E4B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بتقديم تقرير عن التقدم المحرز بشأن تنفيذ هذا القرار إلى مجلس الاتحاد سنوياً وإلى الجمعية العالمية لتقييس الاتصالات؛</w:t>
            </w:r>
          </w:p>
          <w:p w14:paraId="18A3EB0B"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بدعم إعداد تقارير والممارسات الفضلى بشأن خدمات الشمول المالي، مع أخذ الدراسات ذات الصلة في الاعتبار، حيثما يندرج ذلك بصورة واضحة ضمن ولاية الاتحاد ولا يؤدي إلى ازدواجية في العمل الذي تضطلع بمسؤوليته المؤسسات والمنظمات الأُخرى المعنية بوضع المعايير؛</w:t>
            </w:r>
          </w:p>
          <w:p w14:paraId="637CBF1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lastRenderedPageBreak/>
              <w:t>3</w:t>
            </w:r>
            <w:r w:rsidRPr="00A61F90">
              <w:rPr>
                <w:position w:val="2"/>
                <w:rtl/>
              </w:rPr>
              <w:tab/>
              <w:t>بإنشاء منصة، أو التوصيل بالمنصات القائمة حيثما أمكن، للتعلّم من الأقران والحوار وتبادل الخبرات في الخدمات المالية الرقمية بين البلدان والمناطق، والهيئات التنظيمية من قطاعي الاتصالات والخدمات المالية الرقمية وخبراء الصناعة والمنظمات الدولية والإقليمية؛</w:t>
            </w:r>
          </w:p>
          <w:p w14:paraId="43BAC04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بتنظيم حلقات دراسية وورش عمل لأعضاء الاتحاد بالتعاون مع المؤسسات والمنظمات الأُخرى المعنية بوضع المعايير والهيئات الأكاديمية التي تضطلع بمسؤولية رئيسية عن وضع المعايير المالية، وتنفيذها، وبناء القدرات في مجال الخدمات المالية، لزيادة الوعي وتحديد الاحتياجات الخاصة للمنظمين والتحديات التي يواجهونها فيما يتعلق بتعزيز الشمول المالي وفيما يتعلق بتطبيقات التكنولوجيات الناشئة في مجال الخدمات المالية الرقمية، وتبادل الدروس المستفادة من مختلف المناطق،</w:t>
            </w:r>
          </w:p>
        </w:tc>
      </w:tr>
      <w:tr w:rsidR="00E56E20" w:rsidRPr="00A61F90" w14:paraId="63DAC611"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11B1EFCF"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92</w:t>
            </w:r>
          </w:p>
          <w:p w14:paraId="7249A0F4"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أنشطة التقييس في قطاع تقييس الاتصالات فيما يتعلق بالجوانب غير الراديوية للاتصالات المتنقلة الدولية</w:t>
            </w:r>
          </w:p>
        </w:tc>
        <w:tc>
          <w:tcPr>
            <w:tcW w:w="3607" w:type="pct"/>
            <w:hideMark/>
          </w:tcPr>
          <w:p w14:paraId="0DB098CB"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4AE269C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لجنة الدراسات 13</w:t>
            </w:r>
          </w:p>
          <w:p w14:paraId="6B01D74E" w14:textId="1D2C3A77" w:rsidR="00E56E20" w:rsidRPr="00A61F90" w:rsidRDefault="001803C2"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Pr>
                <w:position w:val="2"/>
              </w:rPr>
              <w:t>1</w:t>
            </w:r>
            <w:r>
              <w:rPr>
                <w:position w:val="2"/>
              </w:rPr>
              <w:tab/>
            </w:r>
            <w:r w:rsidR="00E56E20" w:rsidRPr="00A61F90">
              <w:rPr>
                <w:position w:val="2"/>
                <w:rtl/>
              </w:rPr>
              <w:t xml:space="preserve">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 الراديوية لأنظمة الاتصالات المتنقلة الدولية (بما في ذلك الاتصالات المتنقلة الدولية-2020 وما بعدها)، وتبادل هذه المعلومات مع لجان الدراسات ذات 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الدولية-2020 </w:t>
            </w:r>
            <w:r w:rsidR="00E56E20" w:rsidRPr="00A61F90">
              <w:rPr>
                <w:position w:val="2"/>
              </w:rPr>
              <w:t>(JCA-IMT-2020)</w:t>
            </w:r>
            <w:r w:rsidR="00E56E20" w:rsidRPr="00A61F90">
              <w:rPr>
                <w:position w:val="2"/>
                <w:rtl/>
              </w:rPr>
              <w:t>؛</w:t>
            </w:r>
          </w:p>
          <w:p w14:paraId="40ADB283"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62A62A1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w:t>
            </w:r>
          </w:p>
          <w:p w14:paraId="1BA8F69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بإحاطة مديرَي مكتبي الاتصالات الراديوية وتنمية الاتصالات علماً بهذا القرار؛</w:t>
            </w:r>
          </w:p>
          <w:p w14:paraId="3C09CB76"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تشجع</w:t>
            </w:r>
          </w:p>
          <w:p w14:paraId="5ECF535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tl/>
                <w:lang w:eastAsia="zh-TW"/>
              </w:rPr>
            </w:pPr>
            <w:r w:rsidRPr="00A61F90">
              <w:rPr>
                <w:position w:val="2"/>
                <w:rtl/>
              </w:rPr>
              <w:t>مديري المكاتب الثلاثة</w:t>
            </w:r>
            <w:r w:rsidRPr="00A61F90">
              <w:rPr>
                <w:position w:val="2"/>
                <w:rtl/>
                <w:lang w:eastAsia="zh-TW"/>
              </w:rPr>
              <w:t xml:space="preserve"> على</w:t>
            </w:r>
          </w:p>
          <w:p w14:paraId="52BC4861"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بحث طرق جديدة لتحسين كفاءة عمل الاتحاد فيما يتعلق بالاتصالات المتنقلة الدولية ودراسة إمكانية إنشاء مرصد لأنظمة الاتصالات المتنقلة الدولية وما بعدها بما في ذلك المبادئ التوجيهية المناسبة إذا لزم الأمر، مع مراعاة اعتبارات الميزانية؛</w:t>
            </w:r>
          </w:p>
          <w:p w14:paraId="1C31980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تعزيز الدراسات المتعلقة بأنشطة التقييس في مجال المسائل التنظيمية والاقتصادية ذات الصلة باستيعاب الجوانب غير الراديوية للاتصالات المتنقلة الدولية وما بعدها وتشجيع دعم نمو السوق والابتكار والتعاون والاستثمار في البنية التحتية للاتصالات/تكنولوجيا المعلومات والاتصالات؛</w:t>
            </w:r>
          </w:p>
          <w:p w14:paraId="39EA12AA" w14:textId="4BB82693"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rPr>
            </w:pPr>
            <w:r w:rsidRPr="00A61F90">
              <w:rPr>
                <w:position w:val="2"/>
                <w:rtl/>
              </w:rPr>
              <w:t>3</w:t>
            </w:r>
            <w:r w:rsidRPr="00A61F90">
              <w:rPr>
                <w:position w:val="2"/>
                <w:rtl/>
              </w:rPr>
              <w:tab/>
              <w:t>وضع توجيهات بشأن المحركات الاقتصادية للجوانب غير الراديوية لنشر أنظمة الاتصالات المتنقلة الدولية واستدامتها،</w:t>
            </w:r>
          </w:p>
        </w:tc>
      </w:tr>
      <w:tr w:rsidR="00E56E20" w:rsidRPr="00A61F90" w14:paraId="14E85D22"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5AED70DC"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95</w:t>
            </w:r>
          </w:p>
          <w:p w14:paraId="620F9D55" w14:textId="44CBBB00"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مبادرات قطاع تقييس الاتصالات لإذكاء الوعي بشأن أفضل الممارسات والسياسات المتعلقة بجودة الخدمة</w:t>
            </w:r>
          </w:p>
        </w:tc>
        <w:tc>
          <w:tcPr>
            <w:tcW w:w="3607" w:type="pct"/>
          </w:tcPr>
          <w:p w14:paraId="0C13B7EC"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6B839DBE"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الوثيق مع مدير مكتب تنمية الاتصالات:</w:t>
            </w:r>
          </w:p>
          <w:p w14:paraId="3347670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lastRenderedPageBreak/>
              <w:t>1</w:t>
            </w:r>
            <w:r w:rsidRPr="00A61F90">
              <w:rPr>
                <w:position w:val="2"/>
                <w:rtl/>
              </w:rPr>
              <w:tab/>
              <w:t>بمساعدة البلدان النامية وأقل البلدان نمواً في تحديد فرص بناء القدرات البشرية والمؤسسية من أجل وضع أطر وطنية لقياس الجودة؛</w:t>
            </w:r>
          </w:p>
          <w:p w14:paraId="55484BB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بإجراء أنشطة في كل منطقة لتحديد المشاكل التي تواجهها البلدان النامية وأقل البلدان نمواً ووضع أولوياتها فيما يتعلق بتوفير خدمات بجودة مقبولة للمستعملين؛</w:t>
            </w:r>
          </w:p>
          <w:p w14:paraId="518C781A"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استناداً إلى نتائج الفقرة 2 من "تُكلّف" أعلاه، بمساعدة البلدان النامية وأقل البلدان نمواً في تحديد إجراءات لتحسين جودة الخدمة وتنفيذها وإطلاع المستعملين باستمرار على ذلك،</w:t>
            </w:r>
          </w:p>
        </w:tc>
      </w:tr>
      <w:tr w:rsidR="00E56E20" w:rsidRPr="00A61F90" w14:paraId="03B9F9E6"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hideMark/>
          </w:tcPr>
          <w:p w14:paraId="3149931B"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96</w:t>
            </w:r>
          </w:p>
          <w:p w14:paraId="6E9D3DA9"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دراسات قطاع تقييس الاتصالات في الاتحاد الدولي للاتصالات بشأن مكافحة أجهزة الاتصالات/تكنولوجيا المعلومات والاتصالات الزائفة والمغشوشة</w:t>
            </w:r>
          </w:p>
        </w:tc>
        <w:tc>
          <w:tcPr>
            <w:tcW w:w="3607" w:type="pct"/>
            <w:hideMark/>
          </w:tcPr>
          <w:p w14:paraId="215367D8"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17C38F3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الوثيق مع مدير مكتب تنمية الاتصالات:</w:t>
            </w:r>
          </w:p>
          <w:p w14:paraId="445A8208"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بتنظيم ورش عمل وفعاليات في شتى مناطق الاتحاد لتعزيز الأعمال في هذا المجال وإشراك جميع أصحاب المصلحة والتوعية بتأثير أجهزة الاتصالات/تكنولوجيا المعلومات والاتصالات الزائفة والمغشوشة؛</w:t>
            </w:r>
          </w:p>
          <w:p w14:paraId="5F3B3E34"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بمساعدة البلدان النامية في إعداد الموارد البشرية اللازمة لمكافحة انتشار أجهزة الاتصالات/تكنولوجيا المعلومات والاتصالات الزائفة والمغشوشة من خلال تقديم فرص بناء القدرات والتدريب بناءً على حلول تكنولوجية مختلفة؛</w:t>
            </w:r>
          </w:p>
          <w:p w14:paraId="7ECE2DCC"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بالعمل بالتعاون الوثيق مع أصحاب المصلحة المعنيين، مثل منظمة التجارة العالمية </w:t>
            </w:r>
            <w:r w:rsidRPr="00A61F90">
              <w:rPr>
                <w:position w:val="2"/>
              </w:rPr>
              <w:t>WTO)</w:t>
            </w:r>
            <w:r w:rsidRPr="00A61F90">
              <w:rPr>
                <w:position w:val="2"/>
                <w:rtl/>
              </w:rPr>
              <w:t>) والمنظمة العالمية للملكية الفكرية (</w:t>
            </w:r>
            <w:r w:rsidRPr="00A61F90">
              <w:rPr>
                <w:position w:val="2"/>
              </w:rPr>
              <w:t>WIPO</w:t>
            </w:r>
            <w:r w:rsidRPr="00A61F90">
              <w:rPr>
                <w:position w:val="2"/>
                <w:rtl/>
              </w:rPr>
              <w:t>) ومنظمة الصحة العالمية (</w:t>
            </w:r>
            <w:r w:rsidRPr="00A61F90">
              <w:rPr>
                <w:position w:val="2"/>
              </w:rPr>
              <w:t>WHO</w:t>
            </w:r>
            <w:r w:rsidRPr="00A61F90">
              <w:rPr>
                <w:position w:val="2"/>
                <w:rtl/>
              </w:rPr>
              <w:t>) والمنظمة العالمية للجمارك (</w:t>
            </w:r>
            <w:r w:rsidRPr="00A61F90">
              <w:rPr>
                <w:position w:val="2"/>
              </w:rPr>
              <w:t>WCO</w:t>
            </w:r>
            <w:r w:rsidRPr="00A61F90">
              <w:rPr>
                <w:position w:val="2"/>
                <w:rtl/>
              </w:rPr>
              <w:t>)، فيما يتعلق بالأنشطة ذات الصلة بمكافحة تزييف أجهزة الاتصالات/تكنولوجيا المعلومات والاتصالات والغش فيها، بما في ذلك تقييد الإتجار بأجهزة الاتصالات/تكنولوجيا المعلومات والاتصالات وتصديرها وتداولها على الصعيد الدولي؛</w:t>
            </w:r>
          </w:p>
          <w:p w14:paraId="46BFF44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بتنسيق الأنشطة المتعلقة بمكافحة تزييف أجهزة الاتصالات/تكنولوجيا المعلومات والاتصالات والغش فيها من خلال لجنة الدراسات 11 لقطاع تقييس الاتصالات والأفرقة المتخصصة؛</w:t>
            </w:r>
          </w:p>
          <w:p w14:paraId="4D0C1E4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بمساعدة الدول الأعضاء على اتخاذ التدابير اللازمة لتطبيق التوصيات ذات الصلة من توصيات قطاع تقييس الاتصالات في الاتحاد لمكافحة تزييف أجهزة الاتصالات/تكنولوجيا المعلومات والاتصالات والغش فيها، بما في ذلك استخدام نظم تقييم المطابقة؛</w:t>
            </w:r>
          </w:p>
          <w:p w14:paraId="64F2E16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6 </w:t>
            </w:r>
            <w:r w:rsidRPr="00A61F90">
              <w:rPr>
                <w:position w:val="2"/>
                <w:rtl/>
              </w:rPr>
              <w:tab/>
              <w:t>بتعزيز وتبادل معلومات حول أفضل الممارسات والاتجاهات الناشئة التي استحدثتها دوائر الصناعة أو الحكومات في مجال مكافحة أجهزة الاتصالات/تكنولوجيا المعلومات والاتصالات الزائفة والمغشوشة،</w:t>
            </w:r>
          </w:p>
          <w:p w14:paraId="54BF5662"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4B61DF7E"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بأن يقوم، بالتعاون الوثيق مع مدير مكتب تنمية الاتصالات ومدير مكتب الاتصالات الراديوية</w:t>
            </w:r>
          </w:p>
          <w:p w14:paraId="04C7C237"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بمساعدة الدول الأعضاء في معالجة شواغلها فيما يتعلق بأجهزة الاتصالات/تكنولوجيا المعلومات والاتصالات الزائفة والمغشوشة، من خلال تبادل المعلومات على المستوى الإقليمي أو العالمي، بما في ذلك نظم تقييم المطابقة؛</w:t>
            </w:r>
          </w:p>
          <w:p w14:paraId="7E72587F"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بمساعدة جميع الأعضاء، مع مراعاة التوصيات ذات الصلة لقطاع تقييس الاتصالات في الاتحاد، في اتخاذ التدابير اللازمة لمنع أو كشف الغش (إجراء تغييرات غير مسموح بها) في المعرفات الفريدة لأجهزة الاتصالات/تكنولوجيا المعلومات والاتصالات و/أو استنساخها، والتفاعل مع سائر منظمات وضع المعايير ذات الصلة بهذه الشؤون،</w:t>
            </w:r>
          </w:p>
        </w:tc>
      </w:tr>
      <w:tr w:rsidR="00E56E20" w:rsidRPr="00A61F90" w14:paraId="4DE4F9D3"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10B4A67A"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lastRenderedPageBreak/>
              <w:t>القرار 97</w:t>
            </w:r>
          </w:p>
          <w:p w14:paraId="7D635974"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مكافحة سرقة أجهزة الاتصالات المتنقلة</w:t>
            </w:r>
          </w:p>
        </w:tc>
        <w:tc>
          <w:tcPr>
            <w:tcW w:w="3607" w:type="pct"/>
          </w:tcPr>
          <w:p w14:paraId="676BADC0"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28F58D4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مديري مكتب الاتصالات الراديوية ومكتب تنمية الاتصالات</w:t>
            </w:r>
          </w:p>
          <w:p w14:paraId="6F3966D5"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بجمع وتبادل المعلومات المتعلقة بالممارسات الفضلى التي تطورها دوائر الصناعة أو الحكومات والاتجاهات الواعدة في مجال مكافحة سرقة الأجهزة المتنقلة، ولا سيما في المناطق التي انخفض فيها معدل سرقة الهواتف المتنقلة، بما في ذلك إحصاءات عن فعالية هذه الممارسات؛</w:t>
            </w:r>
          </w:p>
          <w:p w14:paraId="082AE042"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بالتعاون مع منظمات الصناعة ومنظمات وضع المعايير </w:t>
            </w:r>
            <w:r w:rsidRPr="00A61F90">
              <w:rPr>
                <w:position w:val="2"/>
              </w:rPr>
              <w:t>(SDO)</w:t>
            </w:r>
            <w:r w:rsidRPr="00A61F90">
              <w:rPr>
                <w:position w:val="2"/>
                <w:rtl/>
              </w:rPr>
              <w:t xml:space="preserve"> لتسهيل نشر التوصيات والتقارير التقنية والمبادئ التوجيهية لمكافحة سرقة الأجهزة المتنقلة وآثارها السلبية، وعلى وجه التحديد فيما يتعلق بتبادل معرفات الأجهزة المتنقلة المبلَّغ عن سرقتها/فقدانها، ومنع الأجهزة المتنقلة المفقودة/المسروقة من النفاذ إلى شبكات الاتصالات المتنقلة؛</w:t>
            </w:r>
          </w:p>
          <w:p w14:paraId="6FEA0696"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بالتشاور مع لجان الدراسات ذات الصلة بالقطاعات ومصنّعي الأجهزة المتنقلة ومصنّعي مكونات شبكات الاتصالات والمشغلين والمنظمات الأُخرى المعنية بوضع المعايير في مجال الاتصالات ومطوري التكنولوجيات الواعدة المتعلقة بهذه المسائل لتحديد التدابير التكنولوجية القائمة والمستقبلية، المتعلقة بالبرمجيات والأجهزة على السواء، للتخفيف من تبعات استخدام الأجهزة المتنقلة المسروقة؛</w:t>
            </w:r>
          </w:p>
          <w:p w14:paraId="000B94B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بتقديم المساعدة إلى الدول الأعضاء، إذا طُلب ذلك، في إطار خبرة قطاع تقييس الاتصالات والموارد المتاحة، حسب الاقتضاء، بالتعاون مع المنظمات ذات الصلة، من أجل الحد من سرقة الأجهزة المتنقلة ومن استخدام الأجهزة المتنقلة المسروقة في بلدانهم؛</w:t>
            </w:r>
          </w:p>
          <w:p w14:paraId="575408DD"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5 </w:t>
            </w:r>
            <w:r w:rsidRPr="00A61F90">
              <w:rPr>
                <w:position w:val="2"/>
                <w:rtl/>
              </w:rPr>
              <w:tab/>
              <w:t>بتبادل المعلومات والخبرات حول كيفية ضبط الغش (التغيير غير المصرح به) لمعرفات الهوية الفريدة لأجهزة الاتصالات/تكنولوجيا المعلومات والاتصالات المتنقلة ومنع الأجهزة المغشوشة من النفاذ إلى الشبكات المتنقلة،</w:t>
            </w:r>
          </w:p>
        </w:tc>
      </w:tr>
      <w:tr w:rsidR="00E56E20" w:rsidRPr="00A61F90" w14:paraId="7CE70CE5"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6450FE93" w14:textId="77777777" w:rsidR="00E56E20" w:rsidRPr="00A61F90" w:rsidRDefault="00E56E20" w:rsidP="00A61F90">
            <w:pPr>
              <w:pStyle w:val="Tabletexte"/>
              <w:spacing w:before="80" w:line="280" w:lineRule="exact"/>
              <w:rPr>
                <w:position w:val="2"/>
                <w:sz w:val="22"/>
                <w:szCs w:val="22"/>
                <w:lang w:val="ar-SA" w:eastAsia="zh-TW" w:bidi="en-GB"/>
              </w:rPr>
            </w:pPr>
            <w:r w:rsidRPr="00A61F90">
              <w:rPr>
                <w:position w:val="2"/>
                <w:sz w:val="22"/>
                <w:szCs w:val="22"/>
                <w:rtl/>
              </w:rPr>
              <w:t>القرار 98</w:t>
            </w:r>
          </w:p>
          <w:p w14:paraId="12432EF6"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تقييس إنترنت الأشياء والمدن والمجتمعات الذكية من أجل التنمية العالمية</w:t>
            </w:r>
          </w:p>
        </w:tc>
        <w:tc>
          <w:tcPr>
            <w:tcW w:w="3607" w:type="pct"/>
            <w:hideMark/>
          </w:tcPr>
          <w:p w14:paraId="366D59E0"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p>
          <w:p w14:paraId="1C1DBD4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مدير مكتب تقييس الاتصالات، بالتعاون مع مديري مكتب تنمية الاتصالات ومكتب الاتصالات الراديوية </w:t>
            </w:r>
          </w:p>
          <w:p w14:paraId="3BF3B4B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eastAsia="zh-TW" w:bidi="en-GB"/>
              </w:rPr>
            </w:pPr>
            <w:r w:rsidRPr="00A61F90">
              <w:rPr>
                <w:position w:val="2"/>
                <w:rtl/>
              </w:rPr>
              <w:t>1</w:t>
            </w:r>
            <w:r w:rsidRPr="00A61F90">
              <w:rPr>
                <w:position w:val="2"/>
                <w:rtl/>
              </w:rPr>
              <w:tab/>
              <w:t>بإعداد تقارير تراعي، بوجه خاص، احتياجات البلدان النامية</w:t>
            </w:r>
            <w:r w:rsidRPr="00A61F90">
              <w:rPr>
                <w:position w:val="2"/>
                <w:rtl/>
              </w:rPr>
              <w:footnoteReference w:id="1"/>
            </w:r>
            <w:r w:rsidRPr="00A61F90">
              <w:rPr>
                <w:position w:val="2"/>
                <w:rtl/>
              </w:rPr>
              <w:t xml:space="preserve"> فيما يتعلق بدراسات إنترنت الأشياء وتطبيقاتها، وشبكات الاستشعار وخدماتها وبنيتها التحتية، مع مراعاة نتائج العمل المضطلع به في قطاعي الاتصالات الراديوية وتنمية الاتصالات لضمان تنسيق الجهود؛</w:t>
            </w:r>
          </w:p>
          <w:p w14:paraId="0F67F153"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2</w:t>
            </w:r>
            <w:r w:rsidRPr="00A61F90">
              <w:rPr>
                <w:position w:val="2"/>
                <w:rtl/>
              </w:rPr>
              <w:tab/>
              <w:t>بتقديم الدعم إلى الدول الأعضاء لتنفيذ مؤشرات الأداء الرئيسية لمبادرة U4SSC من أجل المدن الذكية المستدامة؛</w:t>
            </w:r>
          </w:p>
          <w:p w14:paraId="21A1BCC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3</w:t>
            </w:r>
            <w:r w:rsidRPr="00A61F90">
              <w:rPr>
                <w:position w:val="2"/>
                <w:rtl/>
              </w:rPr>
              <w:tab/>
              <w:t>بتعزيز العمل المشترك بين قطاعات الاتحاد الدولي للاتصالات لمناقشة الجوانب المختلفة المتعلقة بتنمية النظام الإيكولوجي لإنترنت الأشياء والتوائم الرقمية وحلولها للمدن والمجتمعات الذكية، في سياق تحقيق أهداف التنمية المستدامة، وفي إطار القمة العالمية لمجتمع المعلومات؛</w:t>
            </w:r>
          </w:p>
          <w:p w14:paraId="54D38D35"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4 </w:t>
            </w:r>
            <w:r w:rsidRPr="00A61F90">
              <w:rPr>
                <w:position w:val="2"/>
                <w:rtl/>
              </w:rPr>
              <w:tab/>
              <w:t>بمواصلة إصدار منشورات الاتحاد بشأن إنترنت الأشياء والتوائم الرقمية والمدن والمجتمعات الذكية المستدامة؛</w:t>
            </w:r>
          </w:p>
          <w:p w14:paraId="52DD1A92"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lastRenderedPageBreak/>
              <w:t>5</w:t>
            </w:r>
            <w:r w:rsidRPr="00A61F90">
              <w:rPr>
                <w:position w:val="2"/>
                <w:rtl/>
              </w:rPr>
              <w:tab/>
              <w:t xml:space="preserve">بتنظيم منتديات وحلقات دراسية وبرامج تدريبية وورش عمل بما في ذلك حلقات دراسية إلكترونية لحوارات التحول الرقمي </w:t>
            </w:r>
            <w:r w:rsidRPr="00A61F90">
              <w:rPr>
                <w:position w:val="2"/>
              </w:rPr>
              <w:t>DTD)</w:t>
            </w:r>
            <w:r w:rsidRPr="00A61F90">
              <w:rPr>
                <w:position w:val="2"/>
                <w:rtl/>
              </w:rPr>
              <w:t>) لدعم الدول الأعضاء، وخصوصاً الدول الأعضاء من البلدان النامية؛</w:t>
            </w:r>
          </w:p>
          <w:p w14:paraId="07513799"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6</w:t>
            </w:r>
            <w:r w:rsidRPr="00A61F90">
              <w:rPr>
                <w:position w:val="2"/>
                <w:rtl/>
              </w:rPr>
              <w:tab/>
              <w:t>برفع تقرير إلى الجمعية العالمية المقبلة لتقييس الاتصالات بشأن التقدم المحرز في تنظيم منتديات وحلقات دراسية وبرامج تدريبية وورش عمل بهدف تنمية قدرات البلدان النامية بوجه خاص؛</w:t>
            </w:r>
          </w:p>
          <w:p w14:paraId="51CE92E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7</w:t>
            </w:r>
            <w:r w:rsidRPr="00A61F90">
              <w:rPr>
                <w:position w:val="2"/>
                <w:rtl/>
              </w:rPr>
              <w:tab/>
              <w:t>بمساعدة البلدان النامية على تنفيذ التوصيات والتقارير التقنية والمبادئ التوجيهية المتعلقة بإنترنت الأشياء والتوائم الرقمية والمدن والمجتمعات الذكية المستدامة،</w:t>
            </w:r>
          </w:p>
        </w:tc>
      </w:tr>
      <w:tr w:rsidR="00E56E20" w:rsidRPr="00A61F90" w14:paraId="72FF5180"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46E6B0FD"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lastRenderedPageBreak/>
              <w:t>القرار 100</w:t>
            </w:r>
          </w:p>
          <w:p w14:paraId="1B20C73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رقم طوارئ موحد لإفريقيا</w:t>
            </w:r>
          </w:p>
        </w:tc>
        <w:tc>
          <w:tcPr>
            <w:tcW w:w="3607" w:type="pct"/>
          </w:tcPr>
          <w:p w14:paraId="5387FCCC"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تقرر</w:t>
            </w:r>
          </w:p>
          <w:p w14:paraId="22F9FA33"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أن تكلف مدير مكتب تقييس الاتصالات، بالتعاون مع مدير مكتب تنمية الاتصالات</w:t>
            </w:r>
          </w:p>
          <w:p w14:paraId="6B00331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بمواصلة تقديم المساعدة التقنية إلى الدول الأعضاء في إفريقيا بشأن وضع رقم طوارئ موحد وفقاً للتوصية ITU-T E.161.1 وذلك في حدود الموارد المتاحة والميزانية الحالية؛ </w:t>
            </w:r>
          </w:p>
          <w:p w14:paraId="01B40A64"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A61F90">
              <w:rPr>
                <w:position w:val="2"/>
                <w:rtl/>
              </w:rPr>
              <w:t>2</w:t>
            </w:r>
            <w:r w:rsidRPr="00A61F90">
              <w:rPr>
                <w:position w:val="2"/>
                <w:rtl/>
              </w:rPr>
              <w:tab/>
              <w:t>بإعداد التقارير إلى الجمعية العالمية لتقييس الاتصالات عن التقدم المحرز في تنفيذ هذا القرار الذي يهدف إلى تحسين النفاذ إلى خدمات الطوارئ،</w:t>
            </w:r>
          </w:p>
        </w:tc>
      </w:tr>
      <w:tr w:rsidR="00E56E20" w:rsidRPr="00A61F90" w14:paraId="43C49F5C"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47E69E07"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t>القرار 101</w:t>
            </w:r>
          </w:p>
          <w:p w14:paraId="75494D21"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أنشطة التقييس التي يضطلع بها قطاع تقييس الاتصالات بالاتحاد الدولي للاتصالات بشأن استخدام تكنولوجيات الذكاء الاصطناعي لدعم الاتصالات/تكنولوجيا المعلومات والاتصالات</w:t>
            </w:r>
          </w:p>
        </w:tc>
        <w:tc>
          <w:tcPr>
            <w:tcW w:w="3607" w:type="pct"/>
          </w:tcPr>
          <w:p w14:paraId="1820DBFC" w14:textId="77777777" w:rsidR="00E56E20" w:rsidRPr="00A61F90" w:rsidRDefault="00E56E20" w:rsidP="00A61F90">
            <w:pPr>
              <w:pStyle w:val="Tabletexte"/>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3FA402BA"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en-GB" w:eastAsia="zh-TW" w:bidi="en-GB"/>
              </w:rPr>
            </w:pPr>
            <w:r w:rsidRPr="00A61F90">
              <w:rPr>
                <w:position w:val="2"/>
                <w:rtl/>
              </w:rPr>
              <w:t xml:space="preserve">مدير مكتب تقييس الاتصالات، بالتعاون مع الأمين العام ومديري مكتب تنمية الاتصالات ومكتب الاتصالات الراديوية </w:t>
            </w:r>
          </w:p>
          <w:p w14:paraId="12096B8C"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بأن يدعم عمل منصة الذكاء الاصطناعي من أجل تحقيق المصلحة العامة في تحديد التطبيقات العملية للذكاء الاصطناعي بغية النهوض بأهداف التنمية المستدامة وتوسيع نطاق تلك الحلول من أجل تحقيق التأثير العالمي؛</w:t>
            </w:r>
          </w:p>
          <w:p w14:paraId="0E6F8266"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بأن يحدد، حسب الاقتضاء، فرص التعاون في جهود التقييس الدولية والتعاضد مع الجهات المعنية صاحبة المصلحة بشأن الذكاء الاصطناعي فيما يتعلق بالاتصالات/تكنولوجيا المعلومات والاتصالات؛</w:t>
            </w:r>
          </w:p>
          <w:p w14:paraId="66EA40CB" w14:textId="77777777" w:rsidR="00E56E20" w:rsidRPr="00A61F90" w:rsidRDefault="00E56E20" w:rsidP="00A61F9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بأن يقدم إلى البلدان النامية، بصورة خاصة، التوجيه التقني في تنفيذ المعايير الدولية لتنفيذ المعايير الدولية المتعلقة بالذكاء الاصطناعي في مجال الاتصالات/تكنولوجيا المعلومات والاتصالات،</w:t>
            </w:r>
          </w:p>
        </w:tc>
      </w:tr>
      <w:tr w:rsidR="00E56E20" w:rsidRPr="00A61F90" w14:paraId="785CC035"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692270A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t>القرار 103</w:t>
            </w:r>
          </w:p>
          <w:p w14:paraId="69497808"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أنشطة التقييس المتعلقة بالبنية التحتية العامة الرقمية</w:t>
            </w:r>
          </w:p>
        </w:tc>
        <w:tc>
          <w:tcPr>
            <w:tcW w:w="3607" w:type="pct"/>
          </w:tcPr>
          <w:p w14:paraId="428ECD48"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7B661F17"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en-GB" w:eastAsia="zh-TW" w:bidi="en-GB"/>
              </w:rPr>
            </w:pPr>
            <w:r w:rsidRPr="00A61F90">
              <w:rPr>
                <w:position w:val="2"/>
                <w:rtl/>
              </w:rPr>
              <w:t xml:space="preserve">مدير مكتب تقييس الاتصالات، بالتعاون مع الأمين العام ومدير مكتب تنمية الاتصالات </w:t>
            </w:r>
          </w:p>
          <w:p w14:paraId="17C3B0B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بالتعاون مع وكالات الأمم المتحدة ذات الصلة وغيرها من المنظمات الدولية والإقليمية المتعددة أصحاب المصلحة والمنظمات الحكومية الدولية التي تساعد البلدان على تنفيذ البنية التحتية العامة الرقمية، ومع البلدان التي استخلصت دروساً لتبادلها في هذا الصدد،</w:t>
            </w:r>
          </w:p>
          <w:p w14:paraId="495E292D"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3C5E8A00"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11E0F5FF"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lastRenderedPageBreak/>
              <w:t xml:space="preserve">1 </w:t>
            </w:r>
            <w:r w:rsidRPr="00A61F90">
              <w:rPr>
                <w:position w:val="2"/>
                <w:rtl/>
              </w:rPr>
              <w:tab/>
              <w:t>بالتعاون مع المنظمات الأخرى المعنية بوضع المعايير والهيئات الأكاديمية والمنظمات المسؤولة عن وضع المعايير وتنفيذها وبناء القدرات في جوانب الاتصالات/تكنولوجيا المعلومات والاتصالات من البنية التحتية العامة الرقمية، لدعم الأعضاء في وضع ونشر مبادرات البنية التحتية العامة الرقمية، مع مراعاة الاحتياجات الخاصة للبلدان النامية‎؛</w:t>
            </w:r>
          </w:p>
          <w:p w14:paraId="7E4A02D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بتنظيم ورش عمل لأعضاء الاتحاد بالتعاون مع المنظمات الأخرى المعنية بوضع المعايير والهيئات الأكاديمية والمؤسسات ذات الصلة المسؤولة بصفة رئيسية عن تنفيذ البنية التحتية العامة الرقمية، من أجل إذكاء الوعي وتحديد الفرص والتحديات في جوانب تقييس الاتصالات/تكنولوجيا المعلومات والاتصالات للبنية التحتية العامة الرقمية، لا سيما بالنسبة للبلدان النامية،</w:t>
            </w:r>
          </w:p>
        </w:tc>
      </w:tr>
      <w:tr w:rsidR="00E56E20" w:rsidRPr="00A61F90" w14:paraId="4E1EF9C5" w14:textId="77777777" w:rsidTr="0078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1946AF10" w14:textId="77777777" w:rsidR="00E56E20" w:rsidRPr="00A61F90" w:rsidRDefault="00E56E20" w:rsidP="00452DB4">
            <w:pPr>
              <w:pStyle w:val="Tabletexte"/>
              <w:keepNext/>
              <w:spacing w:before="80" w:line="280" w:lineRule="exact"/>
              <w:rPr>
                <w:b w:val="0"/>
                <w:bCs w:val="0"/>
                <w:position w:val="2"/>
                <w:sz w:val="22"/>
                <w:szCs w:val="22"/>
                <w:lang w:val="ar-SA" w:eastAsia="zh-TW" w:bidi="en-GB"/>
              </w:rPr>
            </w:pPr>
            <w:r w:rsidRPr="00A61F90">
              <w:rPr>
                <w:position w:val="2"/>
                <w:sz w:val="22"/>
                <w:szCs w:val="22"/>
                <w:rtl/>
              </w:rPr>
              <w:lastRenderedPageBreak/>
              <w:t>القرار 104</w:t>
            </w:r>
          </w:p>
          <w:p w14:paraId="47B6AB64" w14:textId="77777777" w:rsidR="00E56E20" w:rsidRPr="00A61F90" w:rsidRDefault="00E56E20" w:rsidP="00452DB4">
            <w:pPr>
              <w:pStyle w:val="Tabletexte"/>
              <w:keepNext/>
              <w:spacing w:before="80" w:line="280" w:lineRule="exact"/>
              <w:rPr>
                <w:b w:val="0"/>
                <w:bCs w:val="0"/>
                <w:position w:val="2"/>
                <w:sz w:val="22"/>
                <w:szCs w:val="22"/>
                <w:lang w:val="en-GB" w:eastAsia="zh-TW" w:bidi="en-GB"/>
              </w:rPr>
            </w:pPr>
            <w:r w:rsidRPr="00A61F90">
              <w:rPr>
                <w:b w:val="0"/>
                <w:bCs w:val="0"/>
                <w:position w:val="2"/>
                <w:sz w:val="22"/>
                <w:szCs w:val="22"/>
                <w:rtl/>
              </w:rPr>
              <w:t>تشجيع وتعزيز أنشطة التقييس لاتصالات المركبات</w:t>
            </w:r>
          </w:p>
        </w:tc>
        <w:tc>
          <w:tcPr>
            <w:tcW w:w="3607" w:type="pct"/>
          </w:tcPr>
          <w:p w14:paraId="45D9E61B" w14:textId="77777777" w:rsidR="00E56E20" w:rsidRPr="00A61F90" w:rsidRDefault="00E56E20" w:rsidP="00452DB4">
            <w:pPr>
              <w:pStyle w:val="Tabletexte"/>
              <w:keepNext/>
              <w:spacing w:before="80" w:line="280" w:lineRule="exact"/>
              <w:cnfStyle w:val="000000100000" w:firstRow="0" w:lastRow="0" w:firstColumn="0" w:lastColumn="0" w:oddVBand="0" w:evenVBand="0" w:oddHBand="1"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535D7E49" w14:textId="77777777" w:rsidR="00E56E20" w:rsidRPr="00A61F90" w:rsidRDefault="00E56E20" w:rsidP="00452DB4">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44C2A69D" w14:textId="77777777" w:rsidR="00E56E20" w:rsidRPr="00A61F90" w:rsidRDefault="00E56E20" w:rsidP="00452DB4">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1 </w:t>
            </w:r>
            <w:r w:rsidRPr="00A61F90">
              <w:rPr>
                <w:position w:val="2"/>
                <w:rtl/>
              </w:rPr>
              <w:tab/>
              <w:t>بدعم الدول الأعضاء في تنفيذ تطبيقات ونشر اتصالات المركبات مثل من مركبة إلى كل شيء (V2X) وأنظمة النقل الذكية (</w:t>
            </w:r>
            <w:r w:rsidRPr="00A61F90">
              <w:rPr>
                <w:position w:val="2"/>
              </w:rPr>
              <w:t>ITS</w:t>
            </w:r>
            <w:r w:rsidRPr="00A61F90">
              <w:rPr>
                <w:position w:val="2"/>
                <w:rtl/>
              </w:rPr>
              <w:t>)، بما في ذلك اتصالات المركبات لدعم القيادة المؤتمتة؛</w:t>
            </w:r>
          </w:p>
          <w:p w14:paraId="7A7EA4AE" w14:textId="77777777" w:rsidR="00E56E20" w:rsidRPr="00A61F90" w:rsidRDefault="00E56E20" w:rsidP="00452DB4">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بدعم الدول الأعضاء، وخصوصاً البلدان النامية، في تنظيم منتديات وحلقات دراسية وورش عمل تتعلق باتصالات المركبات مثل من مركبة إلى كل شيء (V2X) وأنظمة النقل الذكية (</w:t>
            </w:r>
            <w:r w:rsidRPr="00A61F90">
              <w:rPr>
                <w:position w:val="2"/>
              </w:rPr>
              <w:t>ITS</w:t>
            </w:r>
            <w:r w:rsidRPr="00A61F90">
              <w:rPr>
                <w:position w:val="2"/>
                <w:rtl/>
              </w:rPr>
              <w:t>)، بما يشمل اتصالات المركبات لدعم القيادة المؤتمتة، من أجل تعزيز الابتكار والتنمية والنمو في مجال التكنولوجيا والحلول، ‏شريطة توافر البرامج والميزانية المناسبة؛</w:t>
            </w:r>
          </w:p>
          <w:p w14:paraId="6780AAA2" w14:textId="77777777" w:rsidR="00E56E20" w:rsidRPr="00A61F90" w:rsidRDefault="00E56E20" w:rsidP="00452DB4">
            <w:pPr>
              <w:keepNext/>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بمساعدة البلدان النامية في تنفيذ اتصالات المركبات مثل من مركبة إلى كل شيء (V2X) وأنظمة النقل الذكية (</w:t>
            </w:r>
            <w:r w:rsidRPr="00A61F90">
              <w:rPr>
                <w:position w:val="2"/>
              </w:rPr>
              <w:t>ITS</w:t>
            </w:r>
            <w:r w:rsidRPr="00A61F90">
              <w:rPr>
                <w:position w:val="2"/>
                <w:rtl/>
              </w:rPr>
              <w:t>)، بما في ذلك اتصالات المركبات لدعم القيادة المؤتمتة، من خلال توصيات قطاع تقييس الاتصالات والتقارير التقنية والمبادئ التوجيهية، فيما يخص جوانبها المتعلقة بالاتصالات وتكنولوجيا المعلومات والاتصالات،</w:t>
            </w:r>
          </w:p>
        </w:tc>
      </w:tr>
      <w:tr w:rsidR="00E56E20" w:rsidRPr="00A61F90" w14:paraId="67DF896B" w14:textId="77777777" w:rsidTr="007873D7">
        <w:tc>
          <w:tcPr>
            <w:cnfStyle w:val="001000000000" w:firstRow="0" w:lastRow="0" w:firstColumn="1" w:lastColumn="0" w:oddVBand="0" w:evenVBand="0" w:oddHBand="0" w:evenHBand="0" w:firstRowFirstColumn="0" w:firstRowLastColumn="0" w:lastRowFirstColumn="0" w:lastRowLastColumn="0"/>
            <w:tcW w:w="1393" w:type="pct"/>
          </w:tcPr>
          <w:p w14:paraId="1560CA25"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position w:val="2"/>
                <w:sz w:val="22"/>
                <w:szCs w:val="22"/>
                <w:rtl/>
              </w:rPr>
              <w:t xml:space="preserve">القرار 107 </w:t>
            </w:r>
          </w:p>
          <w:p w14:paraId="3D379D2C" w14:textId="77777777" w:rsidR="00E56E20" w:rsidRPr="00A61F90" w:rsidRDefault="00E56E20" w:rsidP="00A61F90">
            <w:pPr>
              <w:pStyle w:val="Tabletexte"/>
              <w:spacing w:before="80" w:line="280" w:lineRule="exact"/>
              <w:rPr>
                <w:b w:val="0"/>
                <w:bCs w:val="0"/>
                <w:position w:val="2"/>
                <w:sz w:val="22"/>
                <w:szCs w:val="22"/>
                <w:lang w:val="ar-SA" w:eastAsia="zh-TW" w:bidi="en-GB"/>
              </w:rPr>
            </w:pPr>
            <w:r w:rsidRPr="00A61F90">
              <w:rPr>
                <w:b w:val="0"/>
                <w:bCs w:val="0"/>
                <w:position w:val="2"/>
                <w:sz w:val="22"/>
                <w:szCs w:val="22"/>
                <w:rtl/>
              </w:rPr>
              <w:t>تعزيز مشاركة خبراء الجيل القادم في أنشطة التقييس الخاصة بقطاع تقييس الاتصالات بالاتحاد</w:t>
            </w:r>
          </w:p>
        </w:tc>
        <w:tc>
          <w:tcPr>
            <w:tcW w:w="3607" w:type="pct"/>
          </w:tcPr>
          <w:p w14:paraId="19956F83" w14:textId="77777777" w:rsidR="00E56E20" w:rsidRPr="00A61F90" w:rsidRDefault="00E56E20" w:rsidP="00A61F90">
            <w:pPr>
              <w:pStyle w:val="Tabletexte"/>
              <w:spacing w:before="80" w:line="280" w:lineRule="exact"/>
              <w:cnfStyle w:val="000000000000" w:firstRow="0" w:lastRow="0" w:firstColumn="0" w:lastColumn="0" w:oddVBand="0" w:evenVBand="0" w:oddHBand="0" w:evenHBand="0" w:firstRowFirstColumn="0" w:firstRowLastColumn="0" w:lastRowFirstColumn="0" w:lastRowLastColumn="0"/>
              <w:rPr>
                <w:b/>
                <w:bCs/>
                <w:position w:val="2"/>
                <w:sz w:val="22"/>
                <w:szCs w:val="22"/>
                <w:lang w:val="ar-SA" w:eastAsia="zh-TW" w:bidi="en-GB"/>
              </w:rPr>
            </w:pPr>
            <w:r w:rsidRPr="00A61F90">
              <w:rPr>
                <w:b/>
                <w:bCs/>
                <w:i/>
                <w:iCs/>
                <w:position w:val="2"/>
                <w:sz w:val="22"/>
                <w:szCs w:val="22"/>
                <w:rtl/>
              </w:rPr>
              <w:t>تكلف</w:t>
            </w:r>
            <w:r w:rsidRPr="00A61F90">
              <w:rPr>
                <w:b/>
                <w:bCs/>
                <w:position w:val="2"/>
                <w:sz w:val="22"/>
                <w:szCs w:val="22"/>
                <w:rtl/>
              </w:rPr>
              <w:t xml:space="preserve"> </w:t>
            </w:r>
          </w:p>
          <w:p w14:paraId="14E3B5DB"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مدير مكتب تقييس الاتصالات، بالتعاون مع مدير مكتب تنمية الاتصالات</w:t>
            </w:r>
          </w:p>
          <w:p w14:paraId="7EC44E0C"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1</w:t>
            </w:r>
            <w:r w:rsidRPr="00A61F90">
              <w:rPr>
                <w:position w:val="2"/>
                <w:rtl/>
              </w:rPr>
              <w:tab/>
              <w:t xml:space="preserve">بتعزيز إعادة استخدام محتوى سد الفجوة </w:t>
            </w:r>
            <w:proofErr w:type="spellStart"/>
            <w:r w:rsidRPr="00A61F90">
              <w:rPr>
                <w:position w:val="2"/>
                <w:rtl/>
              </w:rPr>
              <w:t>التقييسية</w:t>
            </w:r>
            <w:proofErr w:type="spellEnd"/>
            <w:r w:rsidRPr="00A61F90">
              <w:rPr>
                <w:position w:val="2"/>
                <w:rtl/>
              </w:rPr>
              <w:t>، بالتعاون الوثيق مع أكاديمية الاتحاد وغيرها من مبادرات بناء القدرات التابعة لمكتب تنمية الاتصالات لجذب خبراء الجيل القادم من مختلف البلدان المتقدمة والنامية؛</w:t>
            </w:r>
          </w:p>
          <w:p w14:paraId="4BF32B1A"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2 </w:t>
            </w:r>
            <w:r w:rsidRPr="00A61F90">
              <w:rPr>
                <w:position w:val="2"/>
                <w:rtl/>
              </w:rPr>
              <w:tab/>
              <w:t>بطلب مساهمات طوعية من الأعضاء لإعداد مواد تدريبية محسنة بشأن تقييس الاتصالات/تكنولوجيا المعلومات والاتصالات لفائدة خبراء الجيل القادم، والترويج لهذه المنتجات ونشرها؛</w:t>
            </w:r>
          </w:p>
          <w:p w14:paraId="4AC97151"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 xml:space="preserve">3 </w:t>
            </w:r>
            <w:r w:rsidRPr="00A61F90">
              <w:rPr>
                <w:position w:val="2"/>
                <w:rtl/>
              </w:rPr>
              <w:tab/>
              <w:t>بتقييم الفرص، مثل الجوائز، لتكريم خبراء الجيل القادم والمساعدة بذلك في تطوير أعمال التقييس في قطاع تقييس الاتصالات؛</w:t>
            </w:r>
          </w:p>
          <w:p w14:paraId="2D0D0758" w14:textId="77777777" w:rsidR="00E56E20" w:rsidRPr="00A61F90" w:rsidRDefault="00E56E20" w:rsidP="00A61F9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lang w:val="ar-SA" w:eastAsia="zh-TW" w:bidi="en-GB"/>
              </w:rPr>
            </w:pPr>
            <w:r w:rsidRPr="00A61F90">
              <w:rPr>
                <w:position w:val="2"/>
                <w:rtl/>
              </w:rPr>
              <w:t>4</w:t>
            </w:r>
            <w:r w:rsidRPr="00A61F90">
              <w:rPr>
                <w:position w:val="2"/>
                <w:rtl/>
              </w:rPr>
              <w:tab/>
              <w:t>بتقديم تقارير سنوية إلى الفريق الاستشاري لتنمية الاتصالات بشأن تنفيذ هذا القرار،</w:t>
            </w:r>
          </w:p>
        </w:tc>
      </w:tr>
    </w:tbl>
    <w:p w14:paraId="37DD29E9" w14:textId="77777777" w:rsidR="007B4FA0" w:rsidRPr="00E56E20" w:rsidRDefault="00153471" w:rsidP="00A61F90">
      <w:pPr>
        <w:spacing w:before="600"/>
        <w:jc w:val="center"/>
        <w:rPr>
          <w:lang w:bidi="ar-EG"/>
        </w:rPr>
      </w:pPr>
      <w:r w:rsidRPr="00E56E20">
        <w:rPr>
          <w:rtl/>
          <w:lang w:bidi="ar-EG"/>
        </w:rPr>
        <w:t>ــــــــــــــــــــــــــــــــــــــــــــــــــــــــــــــــــــــــــــــــــــــــــــــــ</w:t>
      </w:r>
    </w:p>
    <w:sectPr w:rsidR="007B4FA0" w:rsidRPr="00E56E20" w:rsidSect="00E56E20">
      <w:headerReference w:type="default" r:id="rId20"/>
      <w:headerReference w:type="first" r:id="rId21"/>
      <w:footerReference w:type="first" r:id="rId22"/>
      <w:type w:val="oddPage"/>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B3B3" w14:textId="77777777" w:rsidR="00F25EF0" w:rsidRDefault="00F25EF0" w:rsidP="006C3242">
      <w:pPr>
        <w:spacing w:before="0" w:line="240" w:lineRule="auto"/>
      </w:pPr>
      <w:r>
        <w:separator/>
      </w:r>
    </w:p>
  </w:endnote>
  <w:endnote w:type="continuationSeparator" w:id="0">
    <w:p w14:paraId="429CB68E" w14:textId="77777777" w:rsidR="00F25EF0" w:rsidRDefault="00F25EF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923" w:type="dxa"/>
      <w:tblLayout w:type="fixed"/>
      <w:tblLook w:val="04A0" w:firstRow="1" w:lastRow="0" w:firstColumn="1" w:lastColumn="0" w:noHBand="0" w:noVBand="1"/>
    </w:tblPr>
    <w:tblGrid>
      <w:gridCol w:w="1526"/>
      <w:gridCol w:w="2410"/>
      <w:gridCol w:w="5987"/>
    </w:tblGrid>
    <w:tr w:rsidR="00E56E20" w:rsidRPr="00CD2814" w14:paraId="49AB011D" w14:textId="77777777" w:rsidTr="00520986">
      <w:tc>
        <w:tcPr>
          <w:tcW w:w="1526" w:type="dxa"/>
          <w:tcBorders>
            <w:top w:val="single" w:sz="4" w:space="0" w:color="000000"/>
          </w:tcBorders>
          <w:shd w:val="clear" w:color="auto" w:fill="auto"/>
        </w:tcPr>
        <w:p w14:paraId="5C9C349B" w14:textId="77777777" w:rsidR="00E56E20" w:rsidRPr="00CD2814" w:rsidRDefault="00E56E20" w:rsidP="00357436">
          <w:pPr>
            <w:pStyle w:val="Footer"/>
            <w:bidi/>
            <w:rPr>
              <w:lang w:val="ar-SA" w:eastAsia="zh-TW" w:bidi="en-GB"/>
            </w:rPr>
          </w:pPr>
          <w:r w:rsidRPr="00CD2814">
            <w:rPr>
              <w:rtl/>
            </w:rPr>
            <w:t>للاتصال:</w:t>
          </w:r>
        </w:p>
      </w:tc>
      <w:tc>
        <w:tcPr>
          <w:tcW w:w="2410" w:type="dxa"/>
          <w:tcBorders>
            <w:top w:val="single" w:sz="4" w:space="0" w:color="000000"/>
          </w:tcBorders>
          <w:shd w:val="clear" w:color="auto" w:fill="auto"/>
        </w:tcPr>
        <w:p w14:paraId="6F9B02EF" w14:textId="77777777" w:rsidR="00E56E20" w:rsidRPr="00CD2814" w:rsidRDefault="00E56E20" w:rsidP="00357436">
          <w:pPr>
            <w:pStyle w:val="Footer"/>
            <w:bidi/>
            <w:rPr>
              <w:lang w:val="ar-SA" w:eastAsia="zh-TW" w:bidi="en-GB"/>
            </w:rPr>
          </w:pPr>
          <w:r w:rsidRPr="00CD2814">
            <w:rPr>
              <w:rtl/>
            </w:rPr>
            <w:t>الاسم/المنظمة/الكيان:</w:t>
          </w:r>
        </w:p>
      </w:tc>
      <w:tc>
        <w:tcPr>
          <w:tcW w:w="5987" w:type="dxa"/>
          <w:tcBorders>
            <w:top w:val="single" w:sz="4" w:space="0" w:color="000000"/>
          </w:tcBorders>
        </w:tcPr>
        <w:p w14:paraId="28CC88DB" w14:textId="272F226A" w:rsidR="00E56E20" w:rsidRPr="00CD2814" w:rsidRDefault="00E56E20" w:rsidP="00357436">
          <w:pPr>
            <w:pStyle w:val="Footer"/>
            <w:bidi/>
            <w:rPr>
              <w:lang w:val="ar-SA" w:eastAsia="zh-TW" w:bidi="en-GB"/>
            </w:rPr>
          </w:pPr>
          <w:r w:rsidRPr="00CD2814">
            <w:rPr>
              <w:rtl/>
            </w:rPr>
            <w:t xml:space="preserve">الدكتور </w:t>
          </w:r>
          <w:proofErr w:type="spellStart"/>
          <w:r w:rsidRPr="00CD2814">
            <w:rPr>
              <w:rtl/>
            </w:rPr>
            <w:t>كو</w:t>
          </w:r>
          <w:r w:rsidR="009C0D87">
            <w:rPr>
              <w:rFonts w:hint="cs"/>
              <w:rtl/>
            </w:rPr>
            <w:t>س</w:t>
          </w:r>
          <w:r w:rsidRPr="00CD2814">
            <w:rPr>
              <w:rtl/>
            </w:rPr>
            <w:t>ماس</w:t>
          </w:r>
          <w:proofErr w:type="spellEnd"/>
          <w:r w:rsidRPr="00CD2814">
            <w:rPr>
              <w:rtl/>
            </w:rPr>
            <w:t xml:space="preserve"> </w:t>
          </w:r>
          <w:proofErr w:type="spellStart"/>
          <w:r w:rsidRPr="00CD2814">
            <w:rPr>
              <w:rtl/>
            </w:rPr>
            <w:t>لاكيسون</w:t>
          </w:r>
          <w:proofErr w:type="spellEnd"/>
          <w:r w:rsidRPr="00CD2814">
            <w:rPr>
              <w:rtl/>
            </w:rPr>
            <w:t xml:space="preserve"> </w:t>
          </w:r>
          <w:proofErr w:type="spellStart"/>
          <w:r w:rsidRPr="00CD2814">
            <w:rPr>
              <w:rtl/>
            </w:rPr>
            <w:t>زافازافا</w:t>
          </w:r>
          <w:proofErr w:type="spellEnd"/>
          <w:r w:rsidRPr="00CD2814">
            <w:rPr>
              <w:rtl/>
            </w:rPr>
            <w:t>، مدير مكتب تنمية الاتصالات</w:t>
          </w:r>
        </w:p>
      </w:tc>
      <w:bookmarkStart w:id="2" w:name="OrgName"/>
      <w:bookmarkEnd w:id="2"/>
    </w:tr>
    <w:tr w:rsidR="00E56E20" w:rsidRPr="00CD2814" w14:paraId="783FE8EF" w14:textId="77777777" w:rsidTr="00520986">
      <w:tc>
        <w:tcPr>
          <w:tcW w:w="1526" w:type="dxa"/>
          <w:shd w:val="clear" w:color="auto" w:fill="auto"/>
        </w:tcPr>
        <w:p w14:paraId="4056A148" w14:textId="77777777" w:rsidR="00E56E20" w:rsidRPr="00CD2814" w:rsidRDefault="00E56E20" w:rsidP="00357436">
          <w:pPr>
            <w:pStyle w:val="Footer"/>
          </w:pPr>
        </w:p>
      </w:tc>
      <w:tc>
        <w:tcPr>
          <w:tcW w:w="2410" w:type="dxa"/>
          <w:shd w:val="clear" w:color="auto" w:fill="auto"/>
        </w:tcPr>
        <w:p w14:paraId="567628A3" w14:textId="77777777" w:rsidR="00E56E20" w:rsidRPr="00CD2814" w:rsidRDefault="00E56E20" w:rsidP="00357436">
          <w:pPr>
            <w:pStyle w:val="Footer"/>
            <w:bidi/>
            <w:rPr>
              <w:lang w:val="ar-SA" w:eastAsia="zh-TW" w:bidi="en-GB"/>
            </w:rPr>
          </w:pPr>
          <w:r w:rsidRPr="00CD2814">
            <w:rPr>
              <w:rtl/>
            </w:rPr>
            <w:t>رقم الهاتف:</w:t>
          </w:r>
        </w:p>
      </w:tc>
      <w:tc>
        <w:tcPr>
          <w:tcW w:w="5987" w:type="dxa"/>
        </w:tcPr>
        <w:p w14:paraId="0E01DB1F" w14:textId="77777777" w:rsidR="00E56E20" w:rsidRPr="00CD2814" w:rsidRDefault="00E56E20" w:rsidP="00357436">
          <w:pPr>
            <w:pStyle w:val="Footer"/>
            <w:bidi/>
            <w:rPr>
              <w:lang w:eastAsia="zh-TW" w:bidi="en-GB"/>
            </w:rPr>
          </w:pPr>
          <w:r w:rsidRPr="00CD2814">
            <w:t>+41 22 730 5533</w:t>
          </w:r>
        </w:p>
      </w:tc>
      <w:bookmarkStart w:id="3" w:name="PhoneNo"/>
      <w:bookmarkEnd w:id="3"/>
    </w:tr>
    <w:tr w:rsidR="00E56E20" w:rsidRPr="00CD2814" w14:paraId="5777D4AF" w14:textId="77777777" w:rsidTr="00520986">
      <w:tc>
        <w:tcPr>
          <w:tcW w:w="1526" w:type="dxa"/>
          <w:shd w:val="clear" w:color="auto" w:fill="auto"/>
        </w:tcPr>
        <w:p w14:paraId="46D80D43" w14:textId="77777777" w:rsidR="00E56E20" w:rsidRPr="00CD2814" w:rsidRDefault="00E56E20" w:rsidP="00357436">
          <w:pPr>
            <w:pStyle w:val="Footer"/>
          </w:pPr>
        </w:p>
      </w:tc>
      <w:tc>
        <w:tcPr>
          <w:tcW w:w="2410" w:type="dxa"/>
          <w:shd w:val="clear" w:color="auto" w:fill="auto"/>
        </w:tcPr>
        <w:p w14:paraId="6981A7AB" w14:textId="77777777" w:rsidR="00E56E20" w:rsidRPr="00CD2814" w:rsidRDefault="00E56E20" w:rsidP="00357436">
          <w:pPr>
            <w:pStyle w:val="Footer"/>
            <w:bidi/>
            <w:rPr>
              <w:lang w:val="ar-SA" w:eastAsia="zh-TW" w:bidi="en-GB"/>
            </w:rPr>
          </w:pPr>
          <w:r w:rsidRPr="00CD2814">
            <w:rPr>
              <w:rtl/>
            </w:rPr>
            <w:t>البريد الإلكتروني:</w:t>
          </w:r>
        </w:p>
      </w:tc>
      <w:tc>
        <w:tcPr>
          <w:tcW w:w="5987" w:type="dxa"/>
        </w:tcPr>
        <w:p w14:paraId="2E0A2D47" w14:textId="209FF378" w:rsidR="00E56E20" w:rsidRPr="00846BBA" w:rsidRDefault="00010D96" w:rsidP="00357436">
          <w:pPr>
            <w:pStyle w:val="Footer"/>
            <w:bidi/>
            <w:rPr>
              <w:rStyle w:val="Hyperlink"/>
            </w:rPr>
          </w:pPr>
          <w:hyperlink r:id="rId1" w:history="1">
            <w:r w:rsidR="00846BBA" w:rsidRPr="008E6A68">
              <w:rPr>
                <w:rStyle w:val="Hyperlink"/>
              </w:rPr>
              <w:t>bdtdirector@itu.int</w:t>
            </w:r>
          </w:hyperlink>
        </w:p>
      </w:tc>
      <w:bookmarkStart w:id="4" w:name="Email"/>
      <w:bookmarkEnd w:id="4"/>
    </w:tr>
  </w:tbl>
  <w:p w14:paraId="2B2719E3" w14:textId="77777777" w:rsidR="00E56E20" w:rsidRPr="007873D7" w:rsidRDefault="00E56E20" w:rsidP="0035743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A933"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ECE0" w14:textId="77777777" w:rsidR="00F25EF0" w:rsidRDefault="00F25EF0" w:rsidP="006C3242">
      <w:pPr>
        <w:spacing w:before="0" w:line="240" w:lineRule="auto"/>
      </w:pPr>
      <w:r>
        <w:separator/>
      </w:r>
    </w:p>
  </w:footnote>
  <w:footnote w:type="continuationSeparator" w:id="0">
    <w:p w14:paraId="74B5BD3C" w14:textId="77777777" w:rsidR="00F25EF0" w:rsidRDefault="00F25EF0" w:rsidP="006C3242">
      <w:pPr>
        <w:spacing w:before="0" w:line="240" w:lineRule="auto"/>
      </w:pPr>
      <w:r>
        <w:continuationSeparator/>
      </w:r>
    </w:p>
  </w:footnote>
  <w:footnote w:id="1">
    <w:p w14:paraId="05A7AE88" w14:textId="77777777" w:rsidR="00E56E20" w:rsidRDefault="00E56E20" w:rsidP="00E56E20">
      <w:pPr>
        <w:pStyle w:val="Figurelegend"/>
        <w:rPr>
          <w:rtl/>
        </w:rPr>
      </w:pPr>
      <w:r w:rsidRPr="002F2DFE">
        <w:rPr>
          <w:sz w:val="18"/>
          <w:szCs w:val="18"/>
        </w:rPr>
        <w:footnoteRef/>
      </w:r>
      <w:r>
        <w:t xml:space="preserve"> </w:t>
      </w:r>
      <w:r w:rsidRPr="006A08D1">
        <w:rPr>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5706" w14:textId="25FF739D" w:rsidR="00E56E20" w:rsidRPr="00CD2814" w:rsidRDefault="00E56E20" w:rsidP="00E56E20">
    <w:pPr>
      <w:tabs>
        <w:tab w:val="clear" w:pos="794"/>
        <w:tab w:val="center" w:pos="4820"/>
        <w:tab w:val="right" w:pos="10206"/>
      </w:tabs>
      <w:ind w:right="1"/>
      <w:rPr>
        <w:smallCaps/>
        <w:spacing w:val="24"/>
        <w:sz w:val="20"/>
        <w:szCs w:val="20"/>
        <w:lang w:val="es-ES_tradnl"/>
      </w:rPr>
    </w:pPr>
    <w:r w:rsidRPr="00CD2814">
      <w:rPr>
        <w:sz w:val="20"/>
        <w:szCs w:val="20"/>
      </w:rPr>
      <w:tab/>
    </w:r>
    <w:r w:rsidRPr="00CD2814">
      <w:rPr>
        <w:sz w:val="20"/>
        <w:szCs w:val="20"/>
        <w:lang w:val="es-ES_tradnl"/>
      </w:rPr>
      <w:t>ITU-D/RPM/4</w:t>
    </w:r>
    <w:r w:rsidR="00236478" w:rsidRPr="00236478">
      <w:t xml:space="preserve"> </w:t>
    </w:r>
    <w:r w:rsidR="00236478" w:rsidRPr="00236478">
      <w:rPr>
        <w:sz w:val="20"/>
        <w:szCs w:val="20"/>
        <w:lang w:val="es-ES_tradnl"/>
      </w:rPr>
      <w:t>(Rev.</w:t>
    </w:r>
    <w:proofErr w:type="gramStart"/>
    <w:r w:rsidR="00236478" w:rsidRPr="00236478">
      <w:rPr>
        <w:sz w:val="20"/>
        <w:szCs w:val="20"/>
        <w:lang w:val="es-ES_tradnl"/>
      </w:rPr>
      <w:t>1)</w:t>
    </w:r>
    <w:r w:rsidRPr="00CD2814">
      <w:rPr>
        <w:sz w:val="20"/>
        <w:szCs w:val="20"/>
        <w:lang w:val="es-ES_tradnl"/>
      </w:rPr>
      <w:t>(</w:t>
    </w:r>
    <w:proofErr w:type="gramEnd"/>
    <w:r w:rsidRPr="00CD2814">
      <w:rPr>
        <w:sz w:val="20"/>
        <w:szCs w:val="20"/>
        <w:lang w:val="es-ES_tradnl"/>
      </w:rPr>
      <w:t>Add.1)-</w:t>
    </w:r>
    <w:r>
      <w:rPr>
        <w:sz w:val="20"/>
        <w:szCs w:val="20"/>
        <w:lang w:val="es-ES_tradnl"/>
      </w:rPr>
      <w:t>A</w:t>
    </w:r>
    <w:r w:rsidRPr="00CD2814">
      <w:rPr>
        <w:sz w:val="20"/>
        <w:szCs w:val="20"/>
        <w:lang w:val="es-ES_tradnl"/>
      </w:rPr>
      <w:tab/>
    </w:r>
    <w:r>
      <w:rPr>
        <w:rFonts w:hint="cs"/>
        <w:sz w:val="20"/>
        <w:szCs w:val="20"/>
        <w:rtl/>
        <w:lang w:val="es-ES_tradnl"/>
      </w:rPr>
      <w:t>الصفحة</w:t>
    </w:r>
    <w:r w:rsidRPr="00CD2814">
      <w:rPr>
        <w:sz w:val="20"/>
        <w:szCs w:val="20"/>
        <w:rtl/>
        <w:lang w:val="es-ES_tradnl"/>
      </w:rPr>
      <w:t xml:space="preserve"> </w:t>
    </w:r>
    <w:r w:rsidRPr="00CD2814">
      <w:rPr>
        <w:sz w:val="20"/>
        <w:szCs w:val="20"/>
        <w:rtl/>
      </w:rPr>
      <w:fldChar w:fldCharType="begin"/>
    </w:r>
    <w:r w:rsidRPr="00CD2814">
      <w:rPr>
        <w:sz w:val="20"/>
        <w:szCs w:val="20"/>
        <w:rtl/>
        <w:lang w:val="es-ES_tradnl"/>
      </w:rPr>
      <w:instrText xml:space="preserve"> PAGE </w:instrText>
    </w:r>
    <w:r w:rsidRPr="00CD2814">
      <w:rPr>
        <w:sz w:val="20"/>
        <w:szCs w:val="20"/>
        <w:rtl/>
      </w:rPr>
      <w:fldChar w:fldCharType="separate"/>
    </w:r>
    <w:r w:rsidRPr="00CD2814">
      <w:rPr>
        <w:sz w:val="20"/>
        <w:szCs w:val="20"/>
        <w:rtl/>
        <w:lang w:val="es-ES"/>
      </w:rPr>
      <w:t>2</w:t>
    </w:r>
    <w:r w:rsidRPr="00CD2814">
      <w:rPr>
        <w:sz w:val="20"/>
        <w:szCs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2E27" w14:textId="1E9758C1" w:rsidR="007873D7" w:rsidRPr="00CD2814" w:rsidRDefault="007873D7" w:rsidP="007873D7">
    <w:pPr>
      <w:tabs>
        <w:tab w:val="clear" w:pos="794"/>
        <w:tab w:val="center" w:pos="4820"/>
        <w:tab w:val="right" w:pos="12020"/>
      </w:tabs>
      <w:spacing w:before="0" w:after="240"/>
      <w:ind w:right="1"/>
      <w:jc w:val="right"/>
      <w:rPr>
        <w:smallCaps/>
        <w:spacing w:val="24"/>
        <w:sz w:val="20"/>
        <w:szCs w:val="20"/>
        <w:lang w:val="es-ES_tradnl"/>
      </w:rPr>
    </w:pPr>
    <w:r w:rsidRPr="00CD2814">
      <w:rPr>
        <w:sz w:val="20"/>
        <w:szCs w:val="20"/>
      </w:rPr>
      <w:tab/>
    </w:r>
    <w:r w:rsidRPr="00CD2814">
      <w:rPr>
        <w:sz w:val="20"/>
        <w:szCs w:val="20"/>
        <w:lang w:val="es-ES_tradnl"/>
      </w:rPr>
      <w:t>ITU-D/RPM/4</w:t>
    </w:r>
    <w:r w:rsidR="00236478" w:rsidRPr="00236478">
      <w:t xml:space="preserve"> </w:t>
    </w:r>
    <w:r w:rsidR="00236478" w:rsidRPr="00236478">
      <w:rPr>
        <w:sz w:val="20"/>
        <w:szCs w:val="20"/>
        <w:lang w:val="es-ES_tradnl"/>
      </w:rPr>
      <w:t>(Rev.</w:t>
    </w:r>
    <w:proofErr w:type="gramStart"/>
    <w:r w:rsidR="00236478" w:rsidRPr="00236478">
      <w:rPr>
        <w:sz w:val="20"/>
        <w:szCs w:val="20"/>
        <w:lang w:val="es-ES_tradnl"/>
      </w:rPr>
      <w:t>1)</w:t>
    </w:r>
    <w:r w:rsidRPr="00CD2814">
      <w:rPr>
        <w:sz w:val="20"/>
        <w:szCs w:val="20"/>
        <w:lang w:val="es-ES_tradnl"/>
      </w:rPr>
      <w:t>(</w:t>
    </w:r>
    <w:proofErr w:type="gramEnd"/>
    <w:r w:rsidRPr="00CD2814">
      <w:rPr>
        <w:sz w:val="20"/>
        <w:szCs w:val="20"/>
        <w:lang w:val="es-ES_tradnl"/>
      </w:rPr>
      <w:t>Add.1)-</w:t>
    </w:r>
    <w:r>
      <w:rPr>
        <w:sz w:val="20"/>
        <w:szCs w:val="20"/>
        <w:lang w:val="es-ES_tradnl"/>
      </w:rPr>
      <w:t>A</w:t>
    </w:r>
    <w:r w:rsidRPr="00CD2814">
      <w:rPr>
        <w:sz w:val="20"/>
        <w:szCs w:val="20"/>
        <w:lang w:val="es-ES_tradnl"/>
      </w:rPr>
      <w:tab/>
    </w:r>
    <w:r>
      <w:rPr>
        <w:rFonts w:hint="cs"/>
        <w:sz w:val="20"/>
        <w:szCs w:val="20"/>
        <w:rtl/>
        <w:lang w:val="es-ES_tradnl"/>
      </w:rPr>
      <w:t>الصفحة</w:t>
    </w:r>
    <w:r w:rsidRPr="00CD2814">
      <w:rPr>
        <w:sz w:val="20"/>
        <w:szCs w:val="20"/>
        <w:rtl/>
        <w:lang w:val="es-ES_tradnl"/>
      </w:rPr>
      <w:t xml:space="preserve"> </w:t>
    </w:r>
    <w:r w:rsidRPr="00CD2814">
      <w:rPr>
        <w:sz w:val="20"/>
        <w:szCs w:val="20"/>
        <w:rtl/>
      </w:rPr>
      <w:fldChar w:fldCharType="begin"/>
    </w:r>
    <w:r w:rsidRPr="00CD2814">
      <w:rPr>
        <w:sz w:val="20"/>
        <w:szCs w:val="20"/>
        <w:rtl/>
        <w:lang w:val="es-ES_tradnl"/>
      </w:rPr>
      <w:instrText xml:space="preserve"> PAGE </w:instrText>
    </w:r>
    <w:r w:rsidRPr="00CD2814">
      <w:rPr>
        <w:sz w:val="20"/>
        <w:szCs w:val="20"/>
        <w:rtl/>
      </w:rPr>
      <w:fldChar w:fldCharType="separate"/>
    </w:r>
    <w:r>
      <w:rPr>
        <w:sz w:val="20"/>
        <w:szCs w:val="20"/>
        <w:rtl/>
      </w:rPr>
      <w:t>5</w:t>
    </w:r>
    <w:r w:rsidRPr="00CD2814">
      <w:rPr>
        <w:sz w:val="20"/>
        <w:szCs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3F95" w14:textId="62045D76" w:rsidR="007873D7" w:rsidRPr="00CD2814" w:rsidRDefault="007873D7" w:rsidP="007873D7">
    <w:pPr>
      <w:tabs>
        <w:tab w:val="clear" w:pos="794"/>
        <w:tab w:val="center" w:pos="4820"/>
        <w:tab w:val="right" w:pos="12020"/>
      </w:tabs>
      <w:spacing w:before="0" w:after="240"/>
      <w:ind w:right="1"/>
      <w:jc w:val="right"/>
      <w:rPr>
        <w:smallCaps/>
        <w:spacing w:val="24"/>
        <w:sz w:val="20"/>
        <w:szCs w:val="20"/>
        <w:lang w:val="es-ES_tradnl"/>
      </w:rPr>
    </w:pPr>
    <w:r w:rsidRPr="00CD2814">
      <w:rPr>
        <w:sz w:val="20"/>
        <w:szCs w:val="20"/>
      </w:rPr>
      <w:tab/>
    </w:r>
    <w:r w:rsidRPr="00CD2814">
      <w:rPr>
        <w:sz w:val="20"/>
        <w:szCs w:val="20"/>
        <w:lang w:val="es-ES_tradnl"/>
      </w:rPr>
      <w:t>ITU-D/RPM/4</w:t>
    </w:r>
    <w:r w:rsidR="00236478" w:rsidRPr="00236478">
      <w:t xml:space="preserve"> </w:t>
    </w:r>
    <w:r w:rsidR="00236478" w:rsidRPr="00236478">
      <w:rPr>
        <w:sz w:val="20"/>
        <w:szCs w:val="20"/>
        <w:lang w:val="es-ES_tradnl"/>
      </w:rPr>
      <w:t>(Rev.</w:t>
    </w:r>
    <w:proofErr w:type="gramStart"/>
    <w:r w:rsidR="00236478" w:rsidRPr="00236478">
      <w:rPr>
        <w:sz w:val="20"/>
        <w:szCs w:val="20"/>
        <w:lang w:val="es-ES_tradnl"/>
      </w:rPr>
      <w:t>1)</w:t>
    </w:r>
    <w:r w:rsidRPr="00CD2814">
      <w:rPr>
        <w:sz w:val="20"/>
        <w:szCs w:val="20"/>
        <w:lang w:val="es-ES_tradnl"/>
      </w:rPr>
      <w:t>(</w:t>
    </w:r>
    <w:proofErr w:type="gramEnd"/>
    <w:r w:rsidRPr="00CD2814">
      <w:rPr>
        <w:sz w:val="20"/>
        <w:szCs w:val="20"/>
        <w:lang w:val="es-ES_tradnl"/>
      </w:rPr>
      <w:t>Add.1)-</w:t>
    </w:r>
    <w:r>
      <w:rPr>
        <w:sz w:val="20"/>
        <w:szCs w:val="20"/>
        <w:lang w:val="es-ES_tradnl"/>
      </w:rPr>
      <w:t>A</w:t>
    </w:r>
    <w:r w:rsidRPr="00CD2814">
      <w:rPr>
        <w:sz w:val="20"/>
        <w:szCs w:val="20"/>
        <w:lang w:val="es-ES_tradnl"/>
      </w:rPr>
      <w:tab/>
    </w:r>
    <w:r>
      <w:rPr>
        <w:rFonts w:hint="cs"/>
        <w:sz w:val="20"/>
        <w:szCs w:val="20"/>
        <w:rtl/>
        <w:lang w:val="es-ES_tradnl"/>
      </w:rPr>
      <w:t>الصفحة</w:t>
    </w:r>
    <w:r w:rsidRPr="00CD2814">
      <w:rPr>
        <w:sz w:val="20"/>
        <w:szCs w:val="20"/>
        <w:rtl/>
        <w:lang w:val="es-ES_tradnl"/>
      </w:rPr>
      <w:t xml:space="preserve"> </w:t>
    </w:r>
    <w:r w:rsidRPr="00CD2814">
      <w:rPr>
        <w:sz w:val="20"/>
        <w:szCs w:val="20"/>
        <w:rtl/>
      </w:rPr>
      <w:fldChar w:fldCharType="begin"/>
    </w:r>
    <w:r w:rsidRPr="00CD2814">
      <w:rPr>
        <w:sz w:val="20"/>
        <w:szCs w:val="20"/>
        <w:rtl/>
        <w:lang w:val="es-ES_tradnl"/>
      </w:rPr>
      <w:instrText xml:space="preserve"> PAGE </w:instrText>
    </w:r>
    <w:r w:rsidRPr="00CD2814">
      <w:rPr>
        <w:sz w:val="20"/>
        <w:szCs w:val="20"/>
        <w:rtl/>
      </w:rPr>
      <w:fldChar w:fldCharType="separate"/>
    </w:r>
    <w:r>
      <w:rPr>
        <w:sz w:val="20"/>
        <w:rtl/>
      </w:rPr>
      <w:t>3</w:t>
    </w:r>
    <w:r w:rsidRPr="00CD2814">
      <w:rPr>
        <w:sz w:val="20"/>
        <w:szCs w:val="20"/>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20"/>
    <w:rsid w:val="00010D96"/>
    <w:rsid w:val="00026D7C"/>
    <w:rsid w:val="0006468A"/>
    <w:rsid w:val="00090574"/>
    <w:rsid w:val="000C1C0E"/>
    <w:rsid w:val="000C548A"/>
    <w:rsid w:val="000F7FE5"/>
    <w:rsid w:val="0010336E"/>
    <w:rsid w:val="00147B93"/>
    <w:rsid w:val="00153471"/>
    <w:rsid w:val="001803C2"/>
    <w:rsid w:val="0019128D"/>
    <w:rsid w:val="001B380E"/>
    <w:rsid w:val="001C0169"/>
    <w:rsid w:val="001D1D50"/>
    <w:rsid w:val="001D6745"/>
    <w:rsid w:val="001E446E"/>
    <w:rsid w:val="001E544A"/>
    <w:rsid w:val="0021016E"/>
    <w:rsid w:val="002154EE"/>
    <w:rsid w:val="002276D2"/>
    <w:rsid w:val="0023283D"/>
    <w:rsid w:val="00236478"/>
    <w:rsid w:val="00242319"/>
    <w:rsid w:val="00251E03"/>
    <w:rsid w:val="0026373E"/>
    <w:rsid w:val="0027069A"/>
    <w:rsid w:val="00271C43"/>
    <w:rsid w:val="00281D78"/>
    <w:rsid w:val="00284ABA"/>
    <w:rsid w:val="00290728"/>
    <w:rsid w:val="002978F4"/>
    <w:rsid w:val="002B028D"/>
    <w:rsid w:val="002E6541"/>
    <w:rsid w:val="002F2DFE"/>
    <w:rsid w:val="00317741"/>
    <w:rsid w:val="00334924"/>
    <w:rsid w:val="003409BC"/>
    <w:rsid w:val="00357185"/>
    <w:rsid w:val="00357436"/>
    <w:rsid w:val="00375FD9"/>
    <w:rsid w:val="00383829"/>
    <w:rsid w:val="00384212"/>
    <w:rsid w:val="003865E0"/>
    <w:rsid w:val="003971E3"/>
    <w:rsid w:val="003B44E6"/>
    <w:rsid w:val="003C4402"/>
    <w:rsid w:val="003E4528"/>
    <w:rsid w:val="003F4B29"/>
    <w:rsid w:val="0042686F"/>
    <w:rsid w:val="004303A7"/>
    <w:rsid w:val="004317D8"/>
    <w:rsid w:val="00434183"/>
    <w:rsid w:val="00443869"/>
    <w:rsid w:val="00447F32"/>
    <w:rsid w:val="00452DB4"/>
    <w:rsid w:val="00456BDA"/>
    <w:rsid w:val="00491565"/>
    <w:rsid w:val="004B7DE5"/>
    <w:rsid w:val="004E11DC"/>
    <w:rsid w:val="004F3C48"/>
    <w:rsid w:val="00506E94"/>
    <w:rsid w:val="00525DDD"/>
    <w:rsid w:val="005409AC"/>
    <w:rsid w:val="00541FA1"/>
    <w:rsid w:val="0055516A"/>
    <w:rsid w:val="0058491B"/>
    <w:rsid w:val="005874F2"/>
    <w:rsid w:val="00592EA5"/>
    <w:rsid w:val="005A3170"/>
    <w:rsid w:val="005B2C89"/>
    <w:rsid w:val="005B4D1B"/>
    <w:rsid w:val="005D610E"/>
    <w:rsid w:val="005E1E6D"/>
    <w:rsid w:val="005E7D90"/>
    <w:rsid w:val="005F4764"/>
    <w:rsid w:val="006128FC"/>
    <w:rsid w:val="00616A24"/>
    <w:rsid w:val="00620E2F"/>
    <w:rsid w:val="00677396"/>
    <w:rsid w:val="0069200F"/>
    <w:rsid w:val="006A65CB"/>
    <w:rsid w:val="006C3242"/>
    <w:rsid w:val="006C7CC0"/>
    <w:rsid w:val="006F63F7"/>
    <w:rsid w:val="007025C7"/>
    <w:rsid w:val="00706D7A"/>
    <w:rsid w:val="00722F0D"/>
    <w:rsid w:val="00736E5D"/>
    <w:rsid w:val="0074420E"/>
    <w:rsid w:val="00747A70"/>
    <w:rsid w:val="00783A69"/>
    <w:rsid w:val="00783E26"/>
    <w:rsid w:val="007873D7"/>
    <w:rsid w:val="007A1D77"/>
    <w:rsid w:val="007B0D96"/>
    <w:rsid w:val="007B4FA0"/>
    <w:rsid w:val="007C3BC7"/>
    <w:rsid w:val="007C3BCD"/>
    <w:rsid w:val="007D4ACF"/>
    <w:rsid w:val="007F0787"/>
    <w:rsid w:val="00810B7B"/>
    <w:rsid w:val="00816393"/>
    <w:rsid w:val="0082358A"/>
    <w:rsid w:val="008235CD"/>
    <w:rsid w:val="008247DE"/>
    <w:rsid w:val="00840B10"/>
    <w:rsid w:val="00846BBA"/>
    <w:rsid w:val="008513CB"/>
    <w:rsid w:val="008562F3"/>
    <w:rsid w:val="0086538C"/>
    <w:rsid w:val="00874F08"/>
    <w:rsid w:val="00882A17"/>
    <w:rsid w:val="008A7F84"/>
    <w:rsid w:val="008F634E"/>
    <w:rsid w:val="0091702E"/>
    <w:rsid w:val="00923B0C"/>
    <w:rsid w:val="0094021C"/>
    <w:rsid w:val="0094065A"/>
    <w:rsid w:val="00952F86"/>
    <w:rsid w:val="00982B28"/>
    <w:rsid w:val="00983DA5"/>
    <w:rsid w:val="00993918"/>
    <w:rsid w:val="0099466E"/>
    <w:rsid w:val="009C0D87"/>
    <w:rsid w:val="009C70CD"/>
    <w:rsid w:val="009D313F"/>
    <w:rsid w:val="009F4B1D"/>
    <w:rsid w:val="00A24359"/>
    <w:rsid w:val="00A41A9F"/>
    <w:rsid w:val="00A47A5A"/>
    <w:rsid w:val="00A61F90"/>
    <w:rsid w:val="00A6683B"/>
    <w:rsid w:val="00A97F94"/>
    <w:rsid w:val="00AA7EA2"/>
    <w:rsid w:val="00AB6DD9"/>
    <w:rsid w:val="00AF4D02"/>
    <w:rsid w:val="00B0270A"/>
    <w:rsid w:val="00B03099"/>
    <w:rsid w:val="00B05BC8"/>
    <w:rsid w:val="00B17DBA"/>
    <w:rsid w:val="00B6057B"/>
    <w:rsid w:val="00B64B47"/>
    <w:rsid w:val="00B93B7B"/>
    <w:rsid w:val="00BA1F3E"/>
    <w:rsid w:val="00BC5DD0"/>
    <w:rsid w:val="00C002DE"/>
    <w:rsid w:val="00C14C71"/>
    <w:rsid w:val="00C1517A"/>
    <w:rsid w:val="00C53BF8"/>
    <w:rsid w:val="00C56B5F"/>
    <w:rsid w:val="00C66157"/>
    <w:rsid w:val="00C674FE"/>
    <w:rsid w:val="00C67501"/>
    <w:rsid w:val="00C75633"/>
    <w:rsid w:val="00C85CB5"/>
    <w:rsid w:val="00CA08BA"/>
    <w:rsid w:val="00CC4CD5"/>
    <w:rsid w:val="00CE2EE1"/>
    <w:rsid w:val="00CE3349"/>
    <w:rsid w:val="00CE36E5"/>
    <w:rsid w:val="00CF27F5"/>
    <w:rsid w:val="00CF3FFD"/>
    <w:rsid w:val="00CF43E9"/>
    <w:rsid w:val="00D10CCF"/>
    <w:rsid w:val="00D364C0"/>
    <w:rsid w:val="00D453BF"/>
    <w:rsid w:val="00D6259D"/>
    <w:rsid w:val="00D77D0F"/>
    <w:rsid w:val="00D8311F"/>
    <w:rsid w:val="00DA1CF0"/>
    <w:rsid w:val="00DA5E52"/>
    <w:rsid w:val="00DC0F4F"/>
    <w:rsid w:val="00DC1E02"/>
    <w:rsid w:val="00DC24B4"/>
    <w:rsid w:val="00DC5FB0"/>
    <w:rsid w:val="00DD1499"/>
    <w:rsid w:val="00DF16DC"/>
    <w:rsid w:val="00E06296"/>
    <w:rsid w:val="00E45211"/>
    <w:rsid w:val="00E473C5"/>
    <w:rsid w:val="00E56E20"/>
    <w:rsid w:val="00E74DA8"/>
    <w:rsid w:val="00E92863"/>
    <w:rsid w:val="00EB796D"/>
    <w:rsid w:val="00EE5CF2"/>
    <w:rsid w:val="00EF6FFB"/>
    <w:rsid w:val="00F058DC"/>
    <w:rsid w:val="00F21555"/>
    <w:rsid w:val="00F24FC4"/>
    <w:rsid w:val="00F25EF0"/>
    <w:rsid w:val="00F2676C"/>
    <w:rsid w:val="00F43D01"/>
    <w:rsid w:val="00F63F57"/>
    <w:rsid w:val="00F700ED"/>
    <w:rsid w:val="00F70ABC"/>
    <w:rsid w:val="00F77022"/>
    <w:rsid w:val="00F83E91"/>
    <w:rsid w:val="00F84366"/>
    <w:rsid w:val="00F85089"/>
    <w:rsid w:val="00F974C5"/>
    <w:rsid w:val="00FA6F46"/>
    <w:rsid w:val="00FC5E36"/>
    <w:rsid w:val="00FE5872"/>
    <w:rsid w:val="00FE7FCA"/>
    <w:rsid w:val="00FF6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1DCB2"/>
  <w15:chartTrackingRefBased/>
  <w15:docId w15:val="{47FCD398-828C-463A-977B-6A723966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E56E20"/>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autoRedefine/>
    <w:unhideWhenUsed/>
    <w:qFormat/>
    <w:rsid w:val="00747A70"/>
    <w:pPr>
      <w:spacing w:before="60" w:line="168" w:lineRule="auto"/>
    </w:pPr>
    <w:rPr>
      <w:sz w:val="18"/>
      <w:szCs w:val="18"/>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747A70"/>
    <w:rPr>
      <w:rFonts w:ascii="Dubai" w:hAnsi="Dubai" w:cs="Dubai"/>
      <w:sz w:val="18"/>
      <w:szCs w:val="18"/>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uiPriority w:val="99"/>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Index5">
    <w:name w:val="index 5"/>
    <w:basedOn w:val="Normal"/>
    <w:next w:val="Normal"/>
    <w:semiHidden/>
    <w:rsid w:val="00E56E20"/>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MS Mincho" w:hAnsi="CG Times" w:cs="Simplified Arabic" w:hint="cs"/>
      <w:sz w:val="24"/>
      <w:szCs w:val="30"/>
    </w:rPr>
  </w:style>
  <w:style w:type="character" w:styleId="LineNumber">
    <w:name w:val="line number"/>
    <w:basedOn w:val="DefaultParagraphFont"/>
    <w:rsid w:val="00E56E20"/>
  </w:style>
  <w:style w:type="paragraph" w:styleId="NormalIndent">
    <w:name w:val="Normal Indent"/>
    <w:basedOn w:val="Normal"/>
    <w:rsid w:val="00E56E20"/>
    <w:pPr>
      <w:tabs>
        <w:tab w:val="left" w:pos="1191"/>
        <w:tab w:val="left" w:pos="1588"/>
        <w:tab w:val="left" w:pos="1985"/>
      </w:tabs>
      <w:overflowPunct w:val="0"/>
      <w:autoSpaceDE w:val="0"/>
      <w:autoSpaceDN w:val="0"/>
      <w:bidi w:val="0"/>
      <w:adjustRightInd w:val="0"/>
      <w:spacing w:line="240" w:lineRule="auto"/>
      <w:ind w:left="794"/>
      <w:jc w:val="left"/>
      <w:textAlignment w:val="baseline"/>
    </w:pPr>
    <w:rPr>
      <w:rFonts w:ascii="Times New Roman" w:eastAsia="MS Mincho" w:hAnsi="CG Times" w:cs="Simplified Arabic" w:hint="cs"/>
      <w:sz w:val="24"/>
      <w:szCs w:val="30"/>
    </w:rPr>
  </w:style>
  <w:style w:type="paragraph" w:customStyle="1" w:styleId="enumlev10">
    <w:name w:val="enumlev1"/>
    <w:basedOn w:val="Normal"/>
    <w:link w:val="enumlev1Char"/>
    <w:qFormat/>
    <w:rsid w:val="00E56E20"/>
    <w:pPr>
      <w:tabs>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ascii="Times New Roman" w:eastAsia="MS Mincho" w:hAnsi="CG Times" w:cs="Simplified Arabic"/>
      <w:sz w:val="24"/>
      <w:szCs w:val="30"/>
    </w:rPr>
  </w:style>
  <w:style w:type="character" w:customStyle="1" w:styleId="enumlev1Char">
    <w:name w:val="enumlev1 Char"/>
    <w:basedOn w:val="DefaultParagraphFont"/>
    <w:link w:val="enumlev10"/>
    <w:rsid w:val="00E56E20"/>
    <w:rPr>
      <w:rFonts w:ascii="Times New Roman" w:eastAsia="MS Mincho" w:hAnsi="CG Times" w:cs="Simplified Arabic"/>
      <w:sz w:val="24"/>
      <w:szCs w:val="30"/>
    </w:rPr>
  </w:style>
  <w:style w:type="paragraph" w:customStyle="1" w:styleId="enumlev20">
    <w:name w:val="enumlev2"/>
    <w:basedOn w:val="enumlev10"/>
    <w:rsid w:val="00E56E20"/>
    <w:pPr>
      <w:ind w:left="1191" w:hanging="397"/>
    </w:pPr>
  </w:style>
  <w:style w:type="paragraph" w:customStyle="1" w:styleId="enumlev30">
    <w:name w:val="enumlev3"/>
    <w:basedOn w:val="enumlev20"/>
    <w:rsid w:val="00E56E20"/>
    <w:pPr>
      <w:ind w:left="1588"/>
    </w:pPr>
  </w:style>
  <w:style w:type="paragraph" w:customStyle="1" w:styleId="Equation">
    <w:name w:val="Equation"/>
    <w:basedOn w:val="Normal"/>
    <w:rsid w:val="00E56E20"/>
    <w:pPr>
      <w:tabs>
        <w:tab w:val="center" w:pos="4820"/>
        <w:tab w:val="right" w:pos="9639"/>
      </w:tabs>
      <w:overflowPunct w:val="0"/>
      <w:autoSpaceDE w:val="0"/>
      <w:autoSpaceDN w:val="0"/>
      <w:bidi w:val="0"/>
      <w:adjustRightInd w:val="0"/>
      <w:spacing w:line="240" w:lineRule="auto"/>
      <w:jc w:val="left"/>
      <w:textAlignment w:val="baseline"/>
    </w:pPr>
    <w:rPr>
      <w:rFonts w:ascii="Times New Roman" w:eastAsia="MS Mincho" w:hAnsi="CG Times" w:cs="Simplified Arabic" w:hint="cs"/>
      <w:sz w:val="24"/>
      <w:szCs w:val="30"/>
    </w:rPr>
  </w:style>
  <w:style w:type="paragraph" w:customStyle="1" w:styleId="toc0">
    <w:name w:val="toc 0"/>
    <w:basedOn w:val="Normal"/>
    <w:next w:val="TOC1"/>
    <w:rsid w:val="00E56E20"/>
    <w:pPr>
      <w:tabs>
        <w:tab w:val="clear" w:pos="794"/>
        <w:tab w:val="right" w:pos="9781"/>
      </w:tabs>
      <w:overflowPunct w:val="0"/>
      <w:autoSpaceDE w:val="0"/>
      <w:autoSpaceDN w:val="0"/>
      <w:bidi w:val="0"/>
      <w:adjustRightInd w:val="0"/>
      <w:spacing w:line="240" w:lineRule="auto"/>
      <w:jc w:val="left"/>
      <w:textAlignment w:val="baseline"/>
    </w:pPr>
    <w:rPr>
      <w:rFonts w:ascii="Times New Roman" w:eastAsia="MS Mincho" w:hAnsi="CG Times" w:cs="Simplified Arabic" w:hint="cs"/>
      <w:b/>
      <w:sz w:val="24"/>
      <w:szCs w:val="30"/>
    </w:rPr>
  </w:style>
  <w:style w:type="paragraph" w:customStyle="1" w:styleId="AnnexNo0">
    <w:name w:val="Annex_No"/>
    <w:basedOn w:val="Normal"/>
    <w:next w:val="Annexref"/>
    <w:rsid w:val="00E56E20"/>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MS Mincho" w:hAnsi="CG Times" w:cs="Simplified Arabic" w:hint="cs"/>
      <w:sz w:val="28"/>
      <w:szCs w:val="30"/>
    </w:rPr>
  </w:style>
  <w:style w:type="paragraph" w:customStyle="1" w:styleId="Annexref">
    <w:name w:val="Annex_ref"/>
    <w:basedOn w:val="Normal"/>
    <w:next w:val="Annextitle0"/>
    <w:rsid w:val="00E56E20"/>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MS Mincho" w:hAnsi="CG Times" w:cs="Simplified Arabic" w:hint="cs"/>
      <w:sz w:val="24"/>
      <w:szCs w:val="30"/>
    </w:rPr>
  </w:style>
  <w:style w:type="paragraph" w:customStyle="1" w:styleId="Annextitle0">
    <w:name w:val="Annex_title"/>
    <w:basedOn w:val="Normal"/>
    <w:next w:val="Normalaftertitle"/>
    <w:rsid w:val="00E56E20"/>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MS Mincho" w:hAnsi="CG Times" w:cs="Simplified Arabic" w:hint="cs"/>
      <w:b/>
      <w:sz w:val="28"/>
      <w:szCs w:val="30"/>
    </w:rPr>
  </w:style>
  <w:style w:type="paragraph" w:customStyle="1" w:styleId="ASN1">
    <w:name w:val="ASN.1"/>
    <w:basedOn w:val="Normal"/>
    <w:rsid w:val="00E56E20"/>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MS Mincho" w:hAnsi="Times New Roman Bold" w:cs="Simplified Arabic" w:hint="cs"/>
      <w:b/>
      <w:noProof/>
      <w:sz w:val="20"/>
      <w:szCs w:val="30"/>
    </w:rPr>
  </w:style>
  <w:style w:type="paragraph" w:customStyle="1" w:styleId="Title4">
    <w:name w:val="Title 4"/>
    <w:basedOn w:val="Title3"/>
    <w:next w:val="Heading1"/>
    <w:rsid w:val="00E56E20"/>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after="120" w:line="240" w:lineRule="auto"/>
      <w:textAlignment w:val="baseline"/>
    </w:pPr>
    <w:rPr>
      <w:rFonts w:ascii="Times New Roman" w:eastAsia="MS Mincho" w:hAnsi="CG Times" w:cs="Times New Roman Bold" w:hint="cs"/>
      <w:sz w:val="28"/>
      <w:szCs w:val="30"/>
    </w:rPr>
  </w:style>
  <w:style w:type="paragraph" w:customStyle="1" w:styleId="FirstFooter">
    <w:name w:val="FirstFooter"/>
    <w:basedOn w:val="Footer"/>
    <w:rsid w:val="00E56E20"/>
    <w:pPr>
      <w:tabs>
        <w:tab w:val="clear" w:pos="794"/>
        <w:tab w:val="clear" w:pos="4153"/>
        <w:tab w:val="clear" w:pos="8306"/>
      </w:tabs>
      <w:spacing w:before="40"/>
    </w:pPr>
    <w:rPr>
      <w:rFonts w:ascii="Times New Roman" w:eastAsia="MS Mincho" w:hAnsi="CG Times" w:cs="Simplified Arabic" w:hint="cs"/>
      <w:sz w:val="16"/>
      <w:szCs w:val="30"/>
      <w:lang w:eastAsia="zh-CN"/>
    </w:rPr>
  </w:style>
  <w:style w:type="character" w:customStyle="1" w:styleId="Appdef">
    <w:name w:val="App_def"/>
    <w:basedOn w:val="DefaultParagraphFont"/>
    <w:rsid w:val="00E56E20"/>
    <w:rPr>
      <w:rFonts w:asciiTheme="minorHAnsi" w:hAnsiTheme="minorHAnsi"/>
      <w:b/>
    </w:rPr>
  </w:style>
  <w:style w:type="character" w:customStyle="1" w:styleId="Appref">
    <w:name w:val="App_ref"/>
    <w:basedOn w:val="DefaultParagraphFont"/>
    <w:rsid w:val="00E56E20"/>
    <w:rPr>
      <w:rFonts w:asciiTheme="minorHAnsi" w:hAnsiTheme="minorHAnsi"/>
    </w:rPr>
  </w:style>
  <w:style w:type="paragraph" w:customStyle="1" w:styleId="AppendixNo0">
    <w:name w:val="Appendix_No"/>
    <w:basedOn w:val="AnnexNo0"/>
    <w:next w:val="Annexref"/>
    <w:rsid w:val="00E56E20"/>
  </w:style>
  <w:style w:type="paragraph" w:customStyle="1" w:styleId="Appendixref">
    <w:name w:val="Appendix_ref"/>
    <w:basedOn w:val="Annexref"/>
    <w:next w:val="Annextitle0"/>
    <w:rsid w:val="00E56E20"/>
  </w:style>
  <w:style w:type="paragraph" w:customStyle="1" w:styleId="Appendixtitle0">
    <w:name w:val="Appendix_title"/>
    <w:basedOn w:val="Annextitle0"/>
    <w:next w:val="Normalaftertitle"/>
    <w:rsid w:val="00E56E20"/>
  </w:style>
  <w:style w:type="character" w:customStyle="1" w:styleId="Artdef">
    <w:name w:val="Art_def"/>
    <w:basedOn w:val="DefaultParagraphFont"/>
    <w:rsid w:val="00E56E20"/>
    <w:rPr>
      <w:rFonts w:asciiTheme="minorHAnsi" w:hAnsiTheme="minorHAnsi"/>
      <w:b/>
    </w:rPr>
  </w:style>
  <w:style w:type="paragraph" w:customStyle="1" w:styleId="Artheading">
    <w:name w:val="Art_heading"/>
    <w:basedOn w:val="Normal"/>
    <w:next w:val="Normalaftertitle"/>
    <w:rsid w:val="00E56E20"/>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CG Times" w:cs="Simplified Arabic" w:hint="cs"/>
      <w:b/>
      <w:sz w:val="28"/>
      <w:szCs w:val="30"/>
    </w:rPr>
  </w:style>
  <w:style w:type="paragraph" w:customStyle="1" w:styleId="ArtNo">
    <w:name w:val="Art_No"/>
    <w:basedOn w:val="Normal"/>
    <w:next w:val="Arttitle"/>
    <w:rsid w:val="00E56E20"/>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MS Mincho" w:hAnsi="CG Times" w:cs="Simplified Arabic" w:hint="cs"/>
      <w:sz w:val="28"/>
      <w:szCs w:val="30"/>
    </w:rPr>
  </w:style>
  <w:style w:type="paragraph" w:customStyle="1" w:styleId="Arttitle">
    <w:name w:val="Art_title"/>
    <w:basedOn w:val="Normal"/>
    <w:next w:val="Normalaftertitle"/>
    <w:rsid w:val="00E56E20"/>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MS Mincho" w:hAnsi="CG Times" w:cs="Simplified Arabic" w:hint="cs"/>
      <w:b/>
      <w:sz w:val="28"/>
      <w:szCs w:val="30"/>
    </w:rPr>
  </w:style>
  <w:style w:type="character" w:customStyle="1" w:styleId="Artref">
    <w:name w:val="Art_ref"/>
    <w:basedOn w:val="DefaultParagraphFont"/>
    <w:rsid w:val="00E56E20"/>
  </w:style>
  <w:style w:type="paragraph" w:customStyle="1" w:styleId="ChapNo">
    <w:name w:val="Chap_No"/>
    <w:basedOn w:val="ArtNo"/>
    <w:next w:val="Chaptitle"/>
    <w:rsid w:val="00E56E20"/>
    <w:rPr>
      <w:b/>
    </w:rPr>
  </w:style>
  <w:style w:type="paragraph" w:customStyle="1" w:styleId="Chaptitle">
    <w:name w:val="Chap_title"/>
    <w:basedOn w:val="Arttitle"/>
    <w:next w:val="Normalaftertitle"/>
    <w:rsid w:val="00E56E20"/>
  </w:style>
  <w:style w:type="paragraph" w:customStyle="1" w:styleId="ddate">
    <w:name w:val="ddate"/>
    <w:basedOn w:val="Normal"/>
    <w:rsid w:val="00E56E20"/>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MS Mincho" w:hAnsi="CG Times" w:cs="Simplified Arabic" w:hint="cs"/>
      <w:b/>
      <w:bCs/>
      <w:sz w:val="24"/>
      <w:szCs w:val="30"/>
    </w:rPr>
  </w:style>
  <w:style w:type="paragraph" w:customStyle="1" w:styleId="dnum">
    <w:name w:val="dnum"/>
    <w:basedOn w:val="Normal"/>
    <w:rsid w:val="00E56E20"/>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MS Mincho" w:hAnsi="CG Times" w:cs="Simplified Arabic" w:hint="cs"/>
      <w:b/>
      <w:bCs/>
      <w:sz w:val="24"/>
      <w:szCs w:val="30"/>
    </w:rPr>
  </w:style>
  <w:style w:type="paragraph" w:customStyle="1" w:styleId="dorlang">
    <w:name w:val="dorlang"/>
    <w:basedOn w:val="Normal"/>
    <w:rsid w:val="00E56E20"/>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MS Mincho" w:hAnsi="CG Times" w:cs="Simplified Arabic" w:hint="cs"/>
      <w:b/>
      <w:bCs/>
      <w:sz w:val="24"/>
      <w:szCs w:val="30"/>
    </w:rPr>
  </w:style>
  <w:style w:type="paragraph" w:customStyle="1" w:styleId="Equationlegend">
    <w:name w:val="Equation_legend"/>
    <w:basedOn w:val="Normal"/>
    <w:rsid w:val="00E56E20"/>
    <w:pPr>
      <w:tabs>
        <w:tab w:val="clear"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MS Mincho" w:hAnsi="CG Times" w:cs="Simplified Arabic" w:hint="cs"/>
      <w:sz w:val="24"/>
      <w:szCs w:val="30"/>
    </w:rPr>
  </w:style>
  <w:style w:type="paragraph" w:customStyle="1" w:styleId="Figurelegend0">
    <w:name w:val="Figure_legend"/>
    <w:basedOn w:val="Normal"/>
    <w:rsid w:val="00E56E20"/>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MS Mincho" w:hAnsi="CG Times" w:cs="Simplified Arabic" w:hint="cs"/>
      <w:sz w:val="18"/>
      <w:szCs w:val="30"/>
    </w:rPr>
  </w:style>
  <w:style w:type="paragraph" w:customStyle="1" w:styleId="FigureNo0">
    <w:name w:val="Figure_No"/>
    <w:basedOn w:val="Normal"/>
    <w:next w:val="Figuretitle0"/>
    <w:rsid w:val="00E56E20"/>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MS Mincho" w:hAnsi="CG Times" w:cs="Simplified Arabic" w:hint="cs"/>
      <w:sz w:val="24"/>
      <w:szCs w:val="30"/>
    </w:rPr>
  </w:style>
  <w:style w:type="paragraph" w:customStyle="1" w:styleId="Figuretitle0">
    <w:name w:val="Figure_title"/>
    <w:basedOn w:val="Tabletitle0"/>
    <w:next w:val="Normal"/>
    <w:rsid w:val="00E56E20"/>
    <w:pPr>
      <w:keepNext w:val="0"/>
      <w:spacing w:after="480"/>
    </w:pPr>
  </w:style>
  <w:style w:type="paragraph" w:customStyle="1" w:styleId="Tabletitle0">
    <w:name w:val="Table_title"/>
    <w:basedOn w:val="Normal"/>
    <w:next w:val="Tabletext"/>
    <w:rsid w:val="00E56E20"/>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MS Mincho" w:hAnsi="CG Times" w:cs="Simplified Arabic" w:hint="cs"/>
      <w:b/>
      <w:sz w:val="24"/>
      <w:szCs w:val="30"/>
    </w:rPr>
  </w:style>
  <w:style w:type="paragraph" w:customStyle="1" w:styleId="Tabletext">
    <w:name w:val="Table_text"/>
    <w:basedOn w:val="Normal"/>
    <w:rsid w:val="00E56E2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MS Mincho" w:hAnsi="CG Times" w:cs="Simplified Arabic" w:hint="cs"/>
      <w:szCs w:val="30"/>
    </w:rPr>
  </w:style>
  <w:style w:type="paragraph" w:customStyle="1" w:styleId="Figurewithouttitle">
    <w:name w:val="Figure_without_title"/>
    <w:basedOn w:val="FigureNo0"/>
    <w:next w:val="Normal"/>
    <w:rsid w:val="00E56E20"/>
    <w:pPr>
      <w:keepNext w:val="0"/>
    </w:pPr>
  </w:style>
  <w:style w:type="paragraph" w:customStyle="1" w:styleId="Headingb0">
    <w:name w:val="Heading_b"/>
    <w:basedOn w:val="Normal"/>
    <w:next w:val="Normal"/>
    <w:qFormat/>
    <w:rsid w:val="00E56E20"/>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MS Mincho" w:hAnsi="CG Times" w:cs="Simplified Arabic" w:hint="cs"/>
      <w:b/>
      <w:sz w:val="24"/>
      <w:szCs w:val="30"/>
    </w:rPr>
  </w:style>
  <w:style w:type="paragraph" w:customStyle="1" w:styleId="Headingi0">
    <w:name w:val="Heading_i"/>
    <w:basedOn w:val="Normal"/>
    <w:next w:val="Normal"/>
    <w:rsid w:val="00E56E20"/>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MS Mincho" w:hAnsi="CG Times" w:cs="Simplified Arabic" w:hint="cs"/>
      <w:i/>
      <w:sz w:val="24"/>
      <w:szCs w:val="30"/>
    </w:rPr>
  </w:style>
  <w:style w:type="paragraph" w:customStyle="1" w:styleId="PartNo0">
    <w:name w:val="Part_No"/>
    <w:basedOn w:val="AnnexNo0"/>
    <w:next w:val="Partref"/>
    <w:rsid w:val="00E56E20"/>
  </w:style>
  <w:style w:type="paragraph" w:customStyle="1" w:styleId="Partref">
    <w:name w:val="Part_ref"/>
    <w:basedOn w:val="Annexref"/>
    <w:next w:val="Parttitle0"/>
    <w:rsid w:val="00E56E20"/>
  </w:style>
  <w:style w:type="paragraph" w:customStyle="1" w:styleId="Parttitle0">
    <w:name w:val="Part_title"/>
    <w:basedOn w:val="Annextitle0"/>
    <w:next w:val="Normalaftertitle"/>
    <w:rsid w:val="00E56E20"/>
  </w:style>
  <w:style w:type="paragraph" w:customStyle="1" w:styleId="Recref">
    <w:name w:val="Rec_ref"/>
    <w:basedOn w:val="Rectitle"/>
    <w:next w:val="Recdate"/>
    <w:rsid w:val="00E56E20"/>
    <w:pPr>
      <w:tabs>
        <w:tab w:val="clear" w:pos="794"/>
      </w:tabs>
      <w:overflowPunct w:val="0"/>
      <w:autoSpaceDE w:val="0"/>
      <w:autoSpaceDN w:val="0"/>
      <w:bidi w:val="0"/>
      <w:adjustRightInd w:val="0"/>
      <w:spacing w:after="0" w:line="240" w:lineRule="auto"/>
      <w:textAlignment w:val="baseline"/>
    </w:pPr>
    <w:rPr>
      <w:rFonts w:ascii="Times New Roman" w:eastAsia="MS Mincho" w:hAnsi="CG Times" w:cs="Simplified Arabic" w:hint="cs"/>
      <w:b w:val="0"/>
      <w:bCs w:val="0"/>
      <w:i/>
      <w:sz w:val="24"/>
      <w:szCs w:val="30"/>
    </w:rPr>
  </w:style>
  <w:style w:type="paragraph" w:customStyle="1" w:styleId="Recdate">
    <w:name w:val="Rec_date"/>
    <w:basedOn w:val="Recref"/>
    <w:next w:val="Normalaftertitle"/>
    <w:rsid w:val="00E56E20"/>
    <w:pPr>
      <w:jc w:val="right"/>
    </w:pPr>
    <w:rPr>
      <w:sz w:val="22"/>
    </w:rPr>
  </w:style>
  <w:style w:type="paragraph" w:customStyle="1" w:styleId="Questiondate">
    <w:name w:val="Question_date"/>
    <w:basedOn w:val="Recdate"/>
    <w:next w:val="Normalaftertitle"/>
    <w:rsid w:val="00E56E20"/>
  </w:style>
  <w:style w:type="paragraph" w:customStyle="1" w:styleId="QuestionNo">
    <w:name w:val="Question_No"/>
    <w:basedOn w:val="RecNo"/>
    <w:next w:val="Questiontitle"/>
    <w:rsid w:val="00E56E20"/>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MS Mincho" w:hAnsi="CG Times" w:cs="Simplified Arabic" w:hint="cs"/>
      <w:sz w:val="28"/>
      <w:szCs w:val="30"/>
    </w:rPr>
  </w:style>
  <w:style w:type="paragraph" w:customStyle="1" w:styleId="Questiontitle">
    <w:name w:val="Question_title"/>
    <w:basedOn w:val="Rectitle"/>
    <w:next w:val="Questionref"/>
    <w:rsid w:val="00E56E20"/>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MS Mincho" w:hAnsi="CG Times" w:cs="Simplified Arabic" w:hint="cs"/>
      <w:bCs w:val="0"/>
      <w:szCs w:val="30"/>
    </w:rPr>
  </w:style>
  <w:style w:type="paragraph" w:customStyle="1" w:styleId="Questionref">
    <w:name w:val="Question_ref"/>
    <w:basedOn w:val="Recref"/>
    <w:next w:val="Questiondate"/>
    <w:rsid w:val="00E56E20"/>
  </w:style>
  <w:style w:type="character" w:customStyle="1" w:styleId="Recdef">
    <w:name w:val="Rec_def"/>
    <w:basedOn w:val="DefaultParagraphFont"/>
    <w:rsid w:val="00E56E20"/>
    <w:rPr>
      <w:rFonts w:asciiTheme="minorHAnsi" w:hAnsiTheme="minorHAnsi"/>
      <w:b/>
    </w:rPr>
  </w:style>
  <w:style w:type="paragraph" w:customStyle="1" w:styleId="Reftext">
    <w:name w:val="Ref_text"/>
    <w:basedOn w:val="Normal"/>
    <w:rsid w:val="00E56E20"/>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MS Mincho" w:hAnsi="CG Times" w:cs="Simplified Arabic" w:hint="cs"/>
      <w:sz w:val="24"/>
      <w:szCs w:val="30"/>
    </w:rPr>
  </w:style>
  <w:style w:type="paragraph" w:customStyle="1" w:styleId="Repdate">
    <w:name w:val="Rep_date"/>
    <w:basedOn w:val="Recdate"/>
    <w:next w:val="Normalaftertitle"/>
    <w:rsid w:val="00E56E20"/>
  </w:style>
  <w:style w:type="paragraph" w:customStyle="1" w:styleId="RepNo">
    <w:name w:val="Rep_No"/>
    <w:basedOn w:val="RecNo"/>
    <w:next w:val="Reptitle"/>
    <w:rsid w:val="00E56E20"/>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MS Mincho" w:hAnsi="CG Times" w:cs="Simplified Arabic" w:hint="cs"/>
      <w:sz w:val="28"/>
      <w:szCs w:val="30"/>
    </w:rPr>
  </w:style>
  <w:style w:type="paragraph" w:customStyle="1" w:styleId="Reptitle">
    <w:name w:val="Rep_title"/>
    <w:basedOn w:val="Rectitle"/>
    <w:next w:val="Repref"/>
    <w:rsid w:val="00E56E20"/>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MS Mincho" w:hAnsi="CG Times" w:cs="Simplified Arabic" w:hint="cs"/>
      <w:bCs w:val="0"/>
      <w:szCs w:val="30"/>
    </w:rPr>
  </w:style>
  <w:style w:type="paragraph" w:customStyle="1" w:styleId="Repref">
    <w:name w:val="Rep_ref"/>
    <w:basedOn w:val="Recref"/>
    <w:next w:val="Repdate"/>
    <w:rsid w:val="00E56E20"/>
  </w:style>
  <w:style w:type="paragraph" w:customStyle="1" w:styleId="Resdate">
    <w:name w:val="Res_date"/>
    <w:basedOn w:val="Recdate"/>
    <w:next w:val="Normalaftertitle"/>
    <w:rsid w:val="00E56E20"/>
  </w:style>
  <w:style w:type="character" w:customStyle="1" w:styleId="Resdef">
    <w:name w:val="Res_def"/>
    <w:basedOn w:val="DefaultParagraphFont"/>
    <w:rsid w:val="00E56E20"/>
    <w:rPr>
      <w:rFonts w:asciiTheme="minorHAnsi" w:hAnsiTheme="minorHAnsi"/>
      <w:b/>
    </w:rPr>
  </w:style>
  <w:style w:type="paragraph" w:customStyle="1" w:styleId="Resref">
    <w:name w:val="Res_ref"/>
    <w:basedOn w:val="Recref"/>
    <w:next w:val="Resdate"/>
    <w:rsid w:val="00E56E20"/>
  </w:style>
  <w:style w:type="paragraph" w:customStyle="1" w:styleId="SectionNo0">
    <w:name w:val="Section_No"/>
    <w:basedOn w:val="AnnexNo0"/>
    <w:next w:val="Sectiontitle0"/>
    <w:rsid w:val="00E56E20"/>
  </w:style>
  <w:style w:type="paragraph" w:customStyle="1" w:styleId="Sectiontitle0">
    <w:name w:val="Section_title"/>
    <w:basedOn w:val="Annextitle0"/>
    <w:next w:val="Normalaftertitle"/>
    <w:rsid w:val="00E56E20"/>
  </w:style>
  <w:style w:type="paragraph" w:customStyle="1" w:styleId="SpecialFooter">
    <w:name w:val="Special Footer"/>
    <w:basedOn w:val="Footer"/>
    <w:rsid w:val="00E56E20"/>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MS Mincho" w:hAnsi="CG Times" w:cs="Simplified Arabic" w:hint="cs"/>
      <w:sz w:val="16"/>
      <w:szCs w:val="30"/>
      <w:lang w:eastAsia="zh-CN"/>
    </w:rPr>
  </w:style>
  <w:style w:type="character" w:customStyle="1" w:styleId="Tablefreq">
    <w:name w:val="Table_freq"/>
    <w:basedOn w:val="DefaultParagraphFont"/>
    <w:rsid w:val="00E56E20"/>
    <w:rPr>
      <w:rFonts w:asciiTheme="minorHAnsi" w:hAnsiTheme="minorHAnsi"/>
      <w:b/>
      <w:color w:val="auto"/>
    </w:rPr>
  </w:style>
  <w:style w:type="paragraph" w:customStyle="1" w:styleId="Tablehead0">
    <w:name w:val="Table_head"/>
    <w:basedOn w:val="Tabletext"/>
    <w:next w:val="Tabletext"/>
    <w:rsid w:val="00E56E20"/>
    <w:pPr>
      <w:keepNext/>
      <w:spacing w:before="80" w:after="80"/>
      <w:jc w:val="center"/>
    </w:pPr>
    <w:rPr>
      <w:b/>
    </w:rPr>
  </w:style>
  <w:style w:type="paragraph" w:customStyle="1" w:styleId="Tablelegend0">
    <w:name w:val="Table_legend"/>
    <w:basedOn w:val="Tabletext"/>
    <w:rsid w:val="00E56E20"/>
    <w:pPr>
      <w:spacing w:before="120"/>
    </w:pPr>
  </w:style>
  <w:style w:type="paragraph" w:customStyle="1" w:styleId="TableNo0">
    <w:name w:val="Table_No"/>
    <w:basedOn w:val="Normal"/>
    <w:next w:val="Tabletitle0"/>
    <w:rsid w:val="00E56E20"/>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MS Mincho" w:hAnsi="CG Times" w:cs="Simplified Arabic" w:hint="cs"/>
      <w:sz w:val="24"/>
      <w:szCs w:val="30"/>
    </w:rPr>
  </w:style>
  <w:style w:type="paragraph" w:customStyle="1" w:styleId="Tableref">
    <w:name w:val="Table_ref"/>
    <w:basedOn w:val="Normal"/>
    <w:next w:val="Tabletitle0"/>
    <w:rsid w:val="00E56E20"/>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MS Mincho" w:hAnsi="CG Times" w:cs="Simplified Arabic" w:hint="cs"/>
      <w:sz w:val="24"/>
      <w:szCs w:val="30"/>
    </w:rPr>
  </w:style>
  <w:style w:type="character" w:styleId="PageNumber">
    <w:name w:val="page number"/>
    <w:basedOn w:val="DefaultParagraphFont"/>
    <w:rsid w:val="00E56E20"/>
    <w:rPr>
      <w:rFonts w:asciiTheme="minorHAnsi" w:hAnsiTheme="minorHAnsi"/>
    </w:rPr>
  </w:style>
  <w:style w:type="paragraph" w:customStyle="1" w:styleId="Committee">
    <w:name w:val="Committee"/>
    <w:basedOn w:val="Normal"/>
    <w:qFormat/>
    <w:rsid w:val="00E56E20"/>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MS Mincho" w:hAnsi="CG Times" w:cs="Times New Roman Bold" w:hint="cs"/>
      <w:b/>
      <w:sz w:val="24"/>
      <w:szCs w:val="30"/>
    </w:rPr>
  </w:style>
  <w:style w:type="paragraph" w:customStyle="1" w:styleId="BDTLogo">
    <w:name w:val="BDT_Logo"/>
    <w:uiPriority w:val="99"/>
    <w:rsid w:val="00E56E20"/>
    <w:pPr>
      <w:spacing w:after="0" w:line="240" w:lineRule="auto"/>
      <w:jc w:val="center"/>
    </w:pPr>
    <w:rPr>
      <w:rFonts w:ascii="Calibri" w:eastAsia="SimHei" w:hAnsi="Calibri" w:cs="Simplified Arabic"/>
      <w:szCs w:val="28"/>
    </w:rPr>
  </w:style>
  <w:style w:type="paragraph" w:customStyle="1" w:styleId="AppArtNo">
    <w:name w:val="App_Art_No"/>
    <w:basedOn w:val="ArtNo"/>
    <w:qFormat/>
    <w:rsid w:val="00E56E2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E56E2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E56E20"/>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E56E20"/>
    <w:pPr>
      <w:tabs>
        <w:tab w:val="clear" w:pos="794"/>
        <w:tab w:val="left" w:pos="1871"/>
      </w:tabs>
      <w:bidi w:val="0"/>
      <w:spacing w:before="0" w:line="240" w:lineRule="auto"/>
      <w:jc w:val="left"/>
    </w:pPr>
    <w:rPr>
      <w:rFonts w:ascii="Times New Roman" w:eastAsia="MS Mincho" w:hAnsi="CG Times" w:cs="Simplified Arabic" w:hint="cs"/>
      <w:b/>
      <w:sz w:val="28"/>
      <w:szCs w:val="30"/>
    </w:rPr>
  </w:style>
  <w:style w:type="character" w:customStyle="1" w:styleId="spelle">
    <w:name w:val="spelle"/>
    <w:basedOn w:val="DefaultParagraphFont"/>
    <w:rsid w:val="00E56E20"/>
    <w:rPr>
      <w:rFonts w:cs="Times New Roman"/>
    </w:rPr>
  </w:style>
  <w:style w:type="table" w:styleId="GridTable5Dark-Accent1">
    <w:name w:val="Grid Table 5 Dark Accent 1"/>
    <w:basedOn w:val="TableNormal"/>
    <w:uiPriority w:val="50"/>
    <w:rsid w:val="00E56E20"/>
    <w:pPr>
      <w:spacing w:after="0" w:line="240" w:lineRule="auto"/>
    </w:pPr>
    <w:rPr>
      <w:rFonts w:ascii="CG Times" w:eastAsia="MS Mincho" w:hAnsi="CG 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PlainTable2">
    <w:name w:val="Plain Table 2"/>
    <w:basedOn w:val="TableNormal"/>
    <w:uiPriority w:val="42"/>
    <w:rsid w:val="00E56E20"/>
    <w:pPr>
      <w:spacing w:after="0" w:line="240" w:lineRule="auto"/>
    </w:pPr>
    <w:rPr>
      <w:rFonts w:ascii="CG Times" w:eastAsia="MS Mincho" w:hAnsi="CG Times"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56E20"/>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CommentText">
    <w:name w:val="annotation text"/>
    <w:basedOn w:val="Normal"/>
    <w:link w:val="CommentTextChar"/>
    <w:unhideWhenUsed/>
    <w:rsid w:val="00E56E20"/>
    <w:pPr>
      <w:tabs>
        <w:tab w:val="left" w:pos="1191"/>
        <w:tab w:val="left" w:pos="1588"/>
        <w:tab w:val="left" w:pos="1985"/>
      </w:tabs>
      <w:overflowPunct w:val="0"/>
      <w:autoSpaceDE w:val="0"/>
      <w:autoSpaceDN w:val="0"/>
      <w:bidi w:val="0"/>
      <w:adjustRightInd w:val="0"/>
      <w:spacing w:before="160" w:line="240" w:lineRule="auto"/>
      <w:textAlignment w:val="baseline"/>
    </w:pPr>
    <w:rPr>
      <w:rFonts w:ascii="Calibri" w:eastAsia="MS Mincho" w:hAnsi="Calibri" w:cs="Calibri" w:hint="cs"/>
      <w:sz w:val="20"/>
      <w:szCs w:val="30"/>
    </w:rPr>
  </w:style>
  <w:style w:type="character" w:customStyle="1" w:styleId="CommentTextChar">
    <w:name w:val="Comment Text Char"/>
    <w:basedOn w:val="DefaultParagraphFont"/>
    <w:link w:val="CommentText"/>
    <w:rsid w:val="00E56E20"/>
    <w:rPr>
      <w:rFonts w:ascii="Calibri" w:eastAsia="MS Mincho" w:hAnsi="Calibri" w:cs="Calibri"/>
      <w:sz w:val="20"/>
      <w:szCs w:val="30"/>
    </w:rPr>
  </w:style>
  <w:style w:type="character" w:customStyle="1" w:styleId="CommentSubjectChar">
    <w:name w:val="Comment Subject Char"/>
    <w:basedOn w:val="CommentTextChar"/>
    <w:link w:val="CommentSubject"/>
    <w:semiHidden/>
    <w:rsid w:val="00E56E20"/>
    <w:rPr>
      <w:rFonts w:ascii="Calibri" w:eastAsia="MS Mincho" w:hAnsi="Calibri" w:cs="Calibri"/>
      <w:b/>
      <w:bCs/>
      <w:sz w:val="20"/>
      <w:szCs w:val="30"/>
    </w:rPr>
  </w:style>
  <w:style w:type="paragraph" w:styleId="CommentSubject">
    <w:name w:val="annotation subject"/>
    <w:basedOn w:val="CommentText"/>
    <w:next w:val="CommentText"/>
    <w:link w:val="CommentSubjectChar"/>
    <w:semiHidden/>
    <w:unhideWhenUsed/>
    <w:rsid w:val="00E56E20"/>
    <w:rPr>
      <w:b/>
      <w:bCs/>
    </w:rPr>
  </w:style>
  <w:style w:type="character" w:customStyle="1" w:styleId="normaltextrun">
    <w:name w:val="normaltextrun"/>
    <w:basedOn w:val="DefaultParagraphFont"/>
    <w:rsid w:val="00E56E20"/>
  </w:style>
  <w:style w:type="character" w:customStyle="1" w:styleId="eop">
    <w:name w:val="eop"/>
    <w:basedOn w:val="DefaultParagraphFont"/>
    <w:rsid w:val="00E56E20"/>
  </w:style>
  <w:style w:type="table" w:styleId="TableGridLight">
    <w:name w:val="Grid Table Light"/>
    <w:basedOn w:val="TableNormal"/>
    <w:uiPriority w:val="40"/>
    <w:rsid w:val="00E56E20"/>
    <w:pPr>
      <w:spacing w:after="0" w:line="240" w:lineRule="auto"/>
    </w:pPr>
    <w:rPr>
      <w:rFonts w:ascii="CG Times" w:eastAsia="MS Mincho" w:hAnsi="CG Time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E56E20"/>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EONormalChar">
    <w:name w:val="CEO_Normal Char"/>
    <w:link w:val="CEONormal"/>
    <w:locked/>
    <w:rsid w:val="00E56E20"/>
    <w:rPr>
      <w:rFonts w:ascii="Verdana" w:eastAsia="SimSun" w:hAnsi="Verdana"/>
      <w:sz w:val="19"/>
      <w:szCs w:val="19"/>
    </w:rPr>
  </w:style>
  <w:style w:type="paragraph" w:customStyle="1" w:styleId="CEONormal">
    <w:name w:val="CEO_Normal"/>
    <w:link w:val="CEONormalChar"/>
    <w:rsid w:val="00E56E20"/>
    <w:pPr>
      <w:spacing w:before="120" w:after="120" w:line="240" w:lineRule="auto"/>
    </w:pPr>
    <w:rPr>
      <w:rFonts w:ascii="Verdana" w:eastAsia="SimSun" w:hAnsi="Verdana"/>
      <w:sz w:val="19"/>
      <w:szCs w:val="19"/>
    </w:rPr>
  </w:style>
  <w:style w:type="character" w:styleId="UnresolvedMention">
    <w:name w:val="Unresolved Mention"/>
    <w:basedOn w:val="DefaultParagraphFont"/>
    <w:uiPriority w:val="99"/>
    <w:semiHidden/>
    <w:unhideWhenUsed/>
    <w:rsid w:val="00846BBA"/>
    <w:rPr>
      <w:color w:val="605E5C"/>
      <w:shd w:val="clear" w:color="auto" w:fill="E1DFDD"/>
    </w:rPr>
  </w:style>
  <w:style w:type="table" w:styleId="GridTable4-Accent5">
    <w:name w:val="Grid Table 4 Accent 5"/>
    <w:basedOn w:val="TableNormal"/>
    <w:uiPriority w:val="49"/>
    <w:rsid w:val="00616A2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semiHidden/>
    <w:unhideWhenUsed/>
    <w:rsid w:val="00FC5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wtsa/2024/" TargetMode="External"/><Relationship Id="rId13" Type="http://schemas.openxmlformats.org/officeDocument/2006/relationships/hyperlink" Target="https://www.itu.int/wtsa/2024/related-events/"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tu.int/wtsa/2024/related-events/" TargetMode="External"/><Relationship Id="rId17" Type="http://schemas.openxmlformats.org/officeDocument/2006/relationships/hyperlink" Target="https://www.itu.int/pub/T-REG-WTSADRAFT-2024"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itu.int/pub/T-REG-WTSADRAFT-20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ITU-T/wtsa24/Documents/WTSA-24_GSS-24_Brochur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ITU-T/studygroups/2025-2028" TargetMode="External"/><Relationship Id="rId23" Type="http://schemas.openxmlformats.org/officeDocument/2006/relationships/fontTable" Target="fontTable.xml"/><Relationship Id="rId10" Type="http://schemas.openxmlformats.org/officeDocument/2006/relationships/hyperlink" Target="https://www.itu.int/en/ITU-T/wtsa24/Documents/WTSA-24_GSS-24_Brochur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T-REG-WTSADRAFT-2024" TargetMode="External"/><Relationship Id="rId14" Type="http://schemas.openxmlformats.org/officeDocument/2006/relationships/hyperlink" Target="https://www.itu.int/pub/T-REG-WTSADRAFT-2024"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D%20(BDT)\PA_RPM%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8825483C-D279-4A49-97BA-2FE873A082F3}"/>
</file>

<file path=customXml/itemProps3.xml><?xml version="1.0" encoding="utf-8"?>
<ds:datastoreItem xmlns:ds="http://schemas.openxmlformats.org/officeDocument/2006/customXml" ds:itemID="{0EBC530C-18D9-45CB-8C1B-82EDE771AF61}"/>
</file>

<file path=customXml/itemProps4.xml><?xml version="1.0" encoding="utf-8"?>
<ds:datastoreItem xmlns:ds="http://schemas.openxmlformats.org/officeDocument/2006/customXml" ds:itemID="{DD38384D-BB4B-4C70-B5C0-908F41005F0D}"/>
</file>

<file path=docProps/app.xml><?xml version="1.0" encoding="utf-8"?>
<Properties xmlns="http://schemas.openxmlformats.org/officeDocument/2006/extended-properties" xmlns:vt="http://schemas.openxmlformats.org/officeDocument/2006/docPropsVTypes">
  <Template>PA_RPM 2025.dotx</Template>
  <TotalTime>18</TotalTime>
  <Pages>26</Pages>
  <Words>8229</Words>
  <Characters>46908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PA_I.R</cp:lastModifiedBy>
  <cp:revision>6</cp:revision>
  <dcterms:created xsi:type="dcterms:W3CDTF">2025-01-31T09:44:00Z</dcterms:created>
  <dcterms:modified xsi:type="dcterms:W3CDTF">2025-01-31T10:02:00Z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