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6237"/>
        <w:gridCol w:w="3651"/>
      </w:tblGrid>
      <w:tr w:rsidR="00307769" w:rsidRPr="005F7253" w14:paraId="3F0E9EC4" w14:textId="77777777" w:rsidTr="00CE7BC6">
        <w:trPr>
          <w:cantSplit/>
          <w:trHeight w:val="1134"/>
        </w:trPr>
        <w:tc>
          <w:tcPr>
            <w:tcW w:w="6237" w:type="dxa"/>
          </w:tcPr>
          <w:p w14:paraId="088A3440" w14:textId="49FD3655" w:rsidR="0019303F" w:rsidRPr="005F7253" w:rsidRDefault="006B503E" w:rsidP="0019303F">
            <w:pPr>
              <w:tabs>
                <w:tab w:val="clear" w:pos="1191"/>
                <w:tab w:val="clear" w:pos="1588"/>
                <w:tab w:val="clear" w:pos="1985"/>
              </w:tabs>
              <w:ind w:left="34"/>
              <w:rPr>
                <w:b/>
                <w:bCs/>
                <w:sz w:val="32"/>
                <w:szCs w:val="32"/>
              </w:rPr>
            </w:pPr>
            <w:r w:rsidRPr="005F7253">
              <w:rPr>
                <w:b/>
                <w:bCs/>
                <w:sz w:val="32"/>
                <w:szCs w:val="32"/>
              </w:rPr>
              <w:t xml:space="preserve">Regional Preparatory Meeting </w:t>
            </w:r>
            <w:r w:rsidR="00784AB3" w:rsidRPr="005F7253">
              <w:rPr>
                <w:b/>
                <w:bCs/>
                <w:sz w:val="32"/>
                <w:szCs w:val="32"/>
              </w:rPr>
              <w:br/>
            </w:r>
            <w:r w:rsidR="006D6BF2" w:rsidRPr="005F7253">
              <w:rPr>
                <w:b/>
                <w:bCs/>
                <w:sz w:val="32"/>
                <w:szCs w:val="32"/>
              </w:rPr>
              <w:t>for Arab States</w:t>
            </w:r>
            <w:r w:rsidR="0065322F" w:rsidRPr="005F7253">
              <w:rPr>
                <w:b/>
                <w:bCs/>
                <w:sz w:val="32"/>
                <w:szCs w:val="32"/>
              </w:rPr>
              <w:t xml:space="preserve"> </w:t>
            </w:r>
            <w:r w:rsidRPr="005F7253">
              <w:rPr>
                <w:b/>
                <w:bCs/>
                <w:sz w:val="32"/>
                <w:szCs w:val="32"/>
              </w:rPr>
              <w:t>for WTDC-25</w:t>
            </w:r>
            <w:r w:rsidR="00121846" w:rsidRPr="005F7253">
              <w:rPr>
                <w:b/>
                <w:bCs/>
                <w:sz w:val="32"/>
                <w:szCs w:val="32"/>
              </w:rPr>
              <w:t xml:space="preserve"> (RPM-</w:t>
            </w:r>
            <w:r w:rsidR="0065322F" w:rsidRPr="005F7253">
              <w:rPr>
                <w:b/>
                <w:bCs/>
                <w:sz w:val="32"/>
                <w:szCs w:val="32"/>
              </w:rPr>
              <w:t>A</w:t>
            </w:r>
            <w:r w:rsidR="00CD50C5" w:rsidRPr="005F7253">
              <w:rPr>
                <w:b/>
                <w:bCs/>
                <w:sz w:val="32"/>
                <w:szCs w:val="32"/>
              </w:rPr>
              <w:t>RB</w:t>
            </w:r>
            <w:r w:rsidR="00121846" w:rsidRPr="005F7253">
              <w:rPr>
                <w:b/>
                <w:bCs/>
                <w:sz w:val="32"/>
                <w:szCs w:val="32"/>
              </w:rPr>
              <w:t>)</w:t>
            </w:r>
          </w:p>
          <w:p w14:paraId="5F5F590A" w14:textId="6B3C4C79" w:rsidR="00307769" w:rsidRPr="005F7253" w:rsidRDefault="00D14DC2" w:rsidP="00307769">
            <w:pPr>
              <w:tabs>
                <w:tab w:val="clear" w:pos="1191"/>
                <w:tab w:val="clear" w:pos="1588"/>
                <w:tab w:val="clear" w:pos="1985"/>
              </w:tabs>
              <w:spacing w:after="120"/>
              <w:ind w:left="34"/>
              <w:rPr>
                <w:rFonts w:ascii="Verdana" w:hAnsi="Verdana"/>
                <w:sz w:val="28"/>
                <w:szCs w:val="28"/>
              </w:rPr>
            </w:pPr>
            <w:r w:rsidRPr="005F7253">
              <w:rPr>
                <w:b/>
                <w:bCs/>
                <w:sz w:val="26"/>
                <w:szCs w:val="26"/>
              </w:rPr>
              <w:t>Amman</w:t>
            </w:r>
            <w:r w:rsidR="00CF374F" w:rsidRPr="005F7253">
              <w:rPr>
                <w:b/>
                <w:bCs/>
                <w:sz w:val="26"/>
                <w:szCs w:val="26"/>
              </w:rPr>
              <w:t xml:space="preserve">, </w:t>
            </w:r>
            <w:r w:rsidR="00AD3FDD" w:rsidRPr="005F7253">
              <w:rPr>
                <w:b/>
                <w:bCs/>
                <w:sz w:val="26"/>
                <w:szCs w:val="26"/>
              </w:rPr>
              <w:t>Jordan</w:t>
            </w:r>
            <w:r w:rsidR="001E5D41" w:rsidRPr="005F7253">
              <w:rPr>
                <w:b/>
                <w:bCs/>
                <w:sz w:val="26"/>
                <w:szCs w:val="26"/>
              </w:rPr>
              <w:t xml:space="preserve">, </w:t>
            </w:r>
            <w:r w:rsidR="00E702CC" w:rsidRPr="005F7253">
              <w:rPr>
                <w:b/>
                <w:bCs/>
                <w:sz w:val="26"/>
                <w:szCs w:val="26"/>
              </w:rPr>
              <w:t>4</w:t>
            </w:r>
            <w:r w:rsidR="00EB7FAC" w:rsidRPr="005F7253">
              <w:rPr>
                <w:b/>
                <w:bCs/>
                <w:sz w:val="26"/>
                <w:szCs w:val="26"/>
              </w:rPr>
              <w:t>-</w:t>
            </w:r>
            <w:r w:rsidR="00E702CC" w:rsidRPr="005F7253">
              <w:rPr>
                <w:b/>
                <w:bCs/>
                <w:sz w:val="26"/>
                <w:szCs w:val="26"/>
              </w:rPr>
              <w:t>5</w:t>
            </w:r>
            <w:r w:rsidR="0069537D" w:rsidRPr="005F7253">
              <w:rPr>
                <w:b/>
                <w:bCs/>
                <w:sz w:val="26"/>
                <w:szCs w:val="26"/>
              </w:rPr>
              <w:t xml:space="preserve"> </w:t>
            </w:r>
            <w:r w:rsidR="001042B1" w:rsidRPr="005F7253">
              <w:rPr>
                <w:b/>
                <w:bCs/>
                <w:sz w:val="26"/>
                <w:szCs w:val="26"/>
              </w:rPr>
              <w:t>February</w:t>
            </w:r>
            <w:r w:rsidR="00E25DA3" w:rsidRPr="005F7253">
              <w:rPr>
                <w:b/>
                <w:bCs/>
                <w:sz w:val="26"/>
                <w:szCs w:val="26"/>
              </w:rPr>
              <w:t xml:space="preserve"> </w:t>
            </w:r>
            <w:r w:rsidR="006F24AF" w:rsidRPr="005F7253">
              <w:rPr>
                <w:b/>
                <w:bCs/>
                <w:sz w:val="26"/>
                <w:szCs w:val="26"/>
              </w:rPr>
              <w:t>202</w:t>
            </w:r>
            <w:r w:rsidR="00EB7FAC" w:rsidRPr="005F7253">
              <w:rPr>
                <w:b/>
                <w:bCs/>
                <w:sz w:val="26"/>
                <w:szCs w:val="26"/>
              </w:rPr>
              <w:t>5</w:t>
            </w:r>
          </w:p>
        </w:tc>
        <w:tc>
          <w:tcPr>
            <w:tcW w:w="3651" w:type="dxa"/>
          </w:tcPr>
          <w:p w14:paraId="67E7B4C4" w14:textId="0F52E4CC" w:rsidR="00307769" w:rsidRPr="005F7253" w:rsidRDefault="00307769" w:rsidP="00952667">
            <w:pPr>
              <w:spacing w:after="120"/>
              <w:ind w:right="142"/>
              <w:jc w:val="right"/>
            </w:pPr>
            <w:r w:rsidRPr="000C120C">
              <w:rPr>
                <w:noProof/>
              </w:rPr>
              <w:drawing>
                <wp:inline distT="0" distB="0" distL="0" distR="0" wp14:anchorId="7A20172F" wp14:editId="3C26654E">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5F7253" w14:paraId="3C13197B" w14:textId="77777777" w:rsidTr="00CE7BC6">
        <w:trPr>
          <w:cantSplit/>
        </w:trPr>
        <w:tc>
          <w:tcPr>
            <w:tcW w:w="6237" w:type="dxa"/>
            <w:tcBorders>
              <w:top w:val="single" w:sz="12" w:space="0" w:color="auto"/>
            </w:tcBorders>
          </w:tcPr>
          <w:p w14:paraId="2EED9DB2" w14:textId="77777777" w:rsidR="00683C32" w:rsidRPr="005F7253" w:rsidRDefault="00683C32" w:rsidP="00107E85">
            <w:pPr>
              <w:spacing w:before="0"/>
              <w:rPr>
                <w:rFonts w:cs="Arial"/>
                <w:b/>
                <w:bCs/>
                <w:sz w:val="20"/>
              </w:rPr>
            </w:pPr>
          </w:p>
        </w:tc>
        <w:tc>
          <w:tcPr>
            <w:tcW w:w="3651" w:type="dxa"/>
            <w:tcBorders>
              <w:top w:val="single" w:sz="12" w:space="0" w:color="auto"/>
            </w:tcBorders>
          </w:tcPr>
          <w:p w14:paraId="6CC77CFE" w14:textId="77777777" w:rsidR="00683C32" w:rsidRPr="005F7253" w:rsidRDefault="00683C32" w:rsidP="00107E85">
            <w:pPr>
              <w:spacing w:before="0"/>
              <w:rPr>
                <w:b/>
                <w:bCs/>
                <w:sz w:val="20"/>
              </w:rPr>
            </w:pPr>
          </w:p>
        </w:tc>
      </w:tr>
      <w:tr w:rsidR="00706440" w:rsidRPr="001862A9" w14:paraId="0BB3FBC4" w14:textId="77777777" w:rsidTr="00CE7BC6">
        <w:trPr>
          <w:cantSplit/>
        </w:trPr>
        <w:tc>
          <w:tcPr>
            <w:tcW w:w="6237" w:type="dxa"/>
          </w:tcPr>
          <w:p w14:paraId="43C54B3D" w14:textId="77777777" w:rsidR="00706440" w:rsidRPr="005F7253" w:rsidRDefault="00706440" w:rsidP="00706440">
            <w:pPr>
              <w:pStyle w:val="Committee"/>
              <w:spacing w:before="0"/>
              <w:rPr>
                <w:b w:val="0"/>
                <w:szCs w:val="24"/>
              </w:rPr>
            </w:pPr>
          </w:p>
        </w:tc>
        <w:tc>
          <w:tcPr>
            <w:tcW w:w="3651" w:type="dxa"/>
          </w:tcPr>
          <w:p w14:paraId="02E44EE9" w14:textId="5DE02B0C" w:rsidR="00706440" w:rsidRPr="00CE7BC6" w:rsidRDefault="00706440" w:rsidP="00706440">
            <w:pPr>
              <w:spacing w:before="0"/>
              <w:jc w:val="both"/>
              <w:rPr>
                <w:lang w:val="fr-FR"/>
              </w:rPr>
            </w:pPr>
            <w:r w:rsidRPr="00CE7BC6">
              <w:rPr>
                <w:b/>
                <w:lang w:val="fr-FR"/>
              </w:rPr>
              <w:t xml:space="preserve">Document </w:t>
            </w:r>
            <w:bookmarkStart w:id="0" w:name="DocRef1"/>
            <w:bookmarkEnd w:id="0"/>
            <w:r w:rsidR="00121846" w:rsidRPr="00CE7BC6">
              <w:rPr>
                <w:b/>
                <w:lang w:val="fr-FR"/>
              </w:rPr>
              <w:t>RPM-</w:t>
            </w:r>
            <w:r w:rsidR="001E5D41" w:rsidRPr="00CE7BC6">
              <w:rPr>
                <w:b/>
                <w:lang w:val="fr-FR"/>
              </w:rPr>
              <w:t>A</w:t>
            </w:r>
            <w:r w:rsidR="007D14A1" w:rsidRPr="00CE7BC6">
              <w:rPr>
                <w:b/>
                <w:lang w:val="fr-FR"/>
              </w:rPr>
              <w:t>RB</w:t>
            </w:r>
            <w:r w:rsidR="00121846" w:rsidRPr="00CE7BC6">
              <w:rPr>
                <w:b/>
                <w:lang w:val="fr-FR"/>
              </w:rPr>
              <w:t>25</w:t>
            </w:r>
            <w:r w:rsidRPr="00CE7BC6">
              <w:rPr>
                <w:b/>
                <w:lang w:val="fr-FR"/>
              </w:rPr>
              <w:t>/</w:t>
            </w:r>
            <w:r w:rsidR="001862A9">
              <w:rPr>
                <w:b/>
                <w:lang w:val="fr-FR"/>
              </w:rPr>
              <w:t>3</w:t>
            </w:r>
            <w:r w:rsidR="00CE7BC6" w:rsidRPr="00CE7BC6">
              <w:rPr>
                <w:b/>
                <w:lang w:val="fr-FR"/>
              </w:rPr>
              <w:t>(Rev.</w:t>
            </w:r>
            <w:proofErr w:type="gramStart"/>
            <w:r w:rsidR="00CE7BC6" w:rsidRPr="00CE7BC6">
              <w:rPr>
                <w:b/>
                <w:lang w:val="fr-FR"/>
              </w:rPr>
              <w:t>2)</w:t>
            </w:r>
            <w:r w:rsidR="00B22F90" w:rsidRPr="00CE7BC6">
              <w:rPr>
                <w:b/>
                <w:lang w:val="fr-FR"/>
              </w:rPr>
              <w:t>-</w:t>
            </w:r>
            <w:proofErr w:type="gramEnd"/>
            <w:r w:rsidR="00B22F90" w:rsidRPr="00CE7BC6">
              <w:rPr>
                <w:b/>
                <w:lang w:val="fr-FR"/>
              </w:rPr>
              <w:t>E</w:t>
            </w:r>
          </w:p>
        </w:tc>
      </w:tr>
      <w:tr w:rsidR="00706440" w:rsidRPr="005F7253" w14:paraId="24D04936" w14:textId="77777777" w:rsidTr="00CE7BC6">
        <w:trPr>
          <w:cantSplit/>
        </w:trPr>
        <w:tc>
          <w:tcPr>
            <w:tcW w:w="6237" w:type="dxa"/>
          </w:tcPr>
          <w:p w14:paraId="12CE4DBF" w14:textId="77777777" w:rsidR="00706440" w:rsidRPr="00CE7BC6" w:rsidRDefault="00706440" w:rsidP="00706440">
            <w:pPr>
              <w:spacing w:before="0"/>
              <w:rPr>
                <w:b/>
                <w:smallCaps/>
                <w:lang w:val="fr-FR"/>
              </w:rPr>
            </w:pPr>
          </w:p>
        </w:tc>
        <w:tc>
          <w:tcPr>
            <w:tcW w:w="3651" w:type="dxa"/>
          </w:tcPr>
          <w:p w14:paraId="0F89640F" w14:textId="38F79131" w:rsidR="00706440" w:rsidRPr="005F7253" w:rsidRDefault="00CE7BC6" w:rsidP="00706440">
            <w:pPr>
              <w:spacing w:before="0"/>
              <w:rPr>
                <w:b/>
                <w:szCs w:val="24"/>
              </w:rPr>
            </w:pPr>
            <w:bookmarkStart w:id="1" w:name="CreationDate"/>
            <w:bookmarkEnd w:id="1"/>
            <w:r>
              <w:rPr>
                <w:b/>
                <w:bCs/>
                <w:szCs w:val="28"/>
              </w:rPr>
              <w:t>29</w:t>
            </w:r>
            <w:r w:rsidR="00B22F90" w:rsidRPr="005F7253">
              <w:rPr>
                <w:b/>
                <w:bCs/>
                <w:szCs w:val="28"/>
              </w:rPr>
              <w:t xml:space="preserve"> </w:t>
            </w:r>
            <w:r>
              <w:rPr>
                <w:b/>
                <w:bCs/>
                <w:szCs w:val="28"/>
              </w:rPr>
              <w:t>January</w:t>
            </w:r>
            <w:r w:rsidR="00B22F90" w:rsidRPr="005F7253">
              <w:rPr>
                <w:b/>
                <w:bCs/>
                <w:szCs w:val="28"/>
              </w:rPr>
              <w:t xml:space="preserve"> 2025</w:t>
            </w:r>
          </w:p>
        </w:tc>
      </w:tr>
      <w:tr w:rsidR="00706440" w:rsidRPr="005F7253" w14:paraId="7B96545F" w14:textId="77777777" w:rsidTr="00CE7BC6">
        <w:trPr>
          <w:cantSplit/>
        </w:trPr>
        <w:tc>
          <w:tcPr>
            <w:tcW w:w="6237" w:type="dxa"/>
          </w:tcPr>
          <w:p w14:paraId="65956FD3" w14:textId="77777777" w:rsidR="00706440" w:rsidRPr="005F7253" w:rsidRDefault="00706440" w:rsidP="00706440">
            <w:pPr>
              <w:spacing w:before="0"/>
              <w:rPr>
                <w:b/>
                <w:bCs/>
                <w:smallCaps/>
                <w:szCs w:val="24"/>
              </w:rPr>
            </w:pPr>
          </w:p>
        </w:tc>
        <w:tc>
          <w:tcPr>
            <w:tcW w:w="3651" w:type="dxa"/>
          </w:tcPr>
          <w:p w14:paraId="30EFD39F" w14:textId="7F09BA89" w:rsidR="00706440" w:rsidRPr="005F7253" w:rsidRDefault="00211AA5" w:rsidP="00706440">
            <w:pPr>
              <w:spacing w:before="0"/>
              <w:rPr>
                <w:szCs w:val="24"/>
              </w:rPr>
            </w:pPr>
            <w:bookmarkStart w:id="2" w:name="Original"/>
            <w:bookmarkEnd w:id="2"/>
            <w:r w:rsidRPr="005F7253">
              <w:rPr>
                <w:b/>
              </w:rPr>
              <w:t xml:space="preserve">Original: </w:t>
            </w:r>
            <w:r w:rsidR="00706440" w:rsidRPr="005F7253">
              <w:rPr>
                <w:b/>
              </w:rPr>
              <w:t>Englis</w:t>
            </w:r>
            <w:r w:rsidRPr="005F7253">
              <w:rPr>
                <w:b/>
              </w:rPr>
              <w:t>h</w:t>
            </w:r>
          </w:p>
        </w:tc>
      </w:tr>
      <w:tr w:rsidR="00A13162" w:rsidRPr="005F7253" w14:paraId="31656E31" w14:textId="77777777" w:rsidTr="00107E85">
        <w:trPr>
          <w:cantSplit/>
          <w:trHeight w:val="852"/>
        </w:trPr>
        <w:tc>
          <w:tcPr>
            <w:tcW w:w="9888" w:type="dxa"/>
            <w:gridSpan w:val="2"/>
          </w:tcPr>
          <w:p w14:paraId="512FCA01" w14:textId="2F8B68F3" w:rsidR="00A13162" w:rsidRPr="005F7253" w:rsidRDefault="002D0346" w:rsidP="0030353C">
            <w:pPr>
              <w:pStyle w:val="Source"/>
            </w:pPr>
            <w:bookmarkStart w:id="3" w:name="Source"/>
            <w:bookmarkEnd w:id="3"/>
            <w:r w:rsidRPr="005F7253">
              <w:t>Director, Telecommunication Development Bureau</w:t>
            </w:r>
          </w:p>
        </w:tc>
      </w:tr>
      <w:tr w:rsidR="00AC6F14" w:rsidRPr="005F7253" w14:paraId="2CBD3A36" w14:textId="77777777" w:rsidTr="00107E85">
        <w:trPr>
          <w:cantSplit/>
        </w:trPr>
        <w:tc>
          <w:tcPr>
            <w:tcW w:w="9888" w:type="dxa"/>
            <w:gridSpan w:val="2"/>
          </w:tcPr>
          <w:p w14:paraId="1B4121DF" w14:textId="75E9E518" w:rsidR="00AC6F14" w:rsidRPr="005F7253" w:rsidRDefault="00511FF3" w:rsidP="00B22F90">
            <w:pPr>
              <w:pStyle w:val="Title1"/>
              <w:rPr>
                <w:rFonts w:cs="Times New Roman"/>
                <w:bCs/>
              </w:rPr>
            </w:pPr>
            <w:bookmarkStart w:id="4" w:name="Title"/>
            <w:bookmarkEnd w:id="4"/>
            <w:r w:rsidRPr="005F7253">
              <w:rPr>
                <w:rFonts w:cs="Times New Roman"/>
                <w:bCs/>
              </w:rPr>
              <w:t>State of digital development and trends in the Arab States</w:t>
            </w:r>
            <w:r w:rsidR="00C61EC7">
              <w:rPr>
                <w:rFonts w:cs="Times New Roman"/>
                <w:bCs/>
              </w:rPr>
              <w:t xml:space="preserve"> </w:t>
            </w:r>
            <w:r w:rsidR="002A6316">
              <w:rPr>
                <w:rFonts w:cs="Times New Roman"/>
                <w:bCs/>
              </w:rPr>
              <w:t>r</w:t>
            </w:r>
            <w:r w:rsidR="00C61EC7">
              <w:rPr>
                <w:rFonts w:cs="Times New Roman"/>
                <w:bCs/>
              </w:rPr>
              <w:t>egion</w:t>
            </w:r>
            <w:r w:rsidRPr="005F7253">
              <w:rPr>
                <w:rFonts w:cs="Times New Roman"/>
                <w:bCs/>
              </w:rPr>
              <w:t xml:space="preserve">: </w:t>
            </w:r>
            <w:r w:rsidR="00B22F90" w:rsidRPr="005F7253">
              <w:rPr>
                <w:rFonts w:cs="Times New Roman"/>
                <w:bCs/>
              </w:rPr>
              <w:br/>
            </w:r>
            <w:r w:rsidRPr="005F7253">
              <w:rPr>
                <w:rFonts w:cs="Times New Roman"/>
                <w:bCs/>
              </w:rPr>
              <w:t>Challenges and opportunities</w:t>
            </w:r>
          </w:p>
        </w:tc>
      </w:tr>
      <w:tr w:rsidR="00A721F4" w:rsidRPr="005F7253" w14:paraId="23A30231" w14:textId="77777777" w:rsidTr="00A721F4">
        <w:trPr>
          <w:cantSplit/>
        </w:trPr>
        <w:tc>
          <w:tcPr>
            <w:tcW w:w="9888" w:type="dxa"/>
            <w:gridSpan w:val="2"/>
            <w:tcBorders>
              <w:bottom w:val="single" w:sz="4" w:space="0" w:color="auto"/>
            </w:tcBorders>
          </w:tcPr>
          <w:p w14:paraId="726EE70E" w14:textId="77777777" w:rsidR="00A721F4" w:rsidRPr="005F7253" w:rsidRDefault="00A721F4" w:rsidP="0030353C"/>
        </w:tc>
      </w:tr>
      <w:tr w:rsidR="00A721F4" w:rsidRPr="005F7253" w14:paraId="590033C8" w14:textId="77777777" w:rsidTr="00A721F4">
        <w:trPr>
          <w:cantSplit/>
        </w:trPr>
        <w:tc>
          <w:tcPr>
            <w:tcW w:w="9888" w:type="dxa"/>
            <w:gridSpan w:val="2"/>
            <w:tcBorders>
              <w:top w:val="single" w:sz="4" w:space="0" w:color="auto"/>
              <w:left w:val="single" w:sz="4" w:space="0" w:color="auto"/>
              <w:bottom w:val="single" w:sz="4" w:space="0" w:color="auto"/>
              <w:right w:val="single" w:sz="4" w:space="0" w:color="auto"/>
            </w:tcBorders>
          </w:tcPr>
          <w:p w14:paraId="2E9C8590" w14:textId="77777777" w:rsidR="008D1CCB" w:rsidRPr="005F7253" w:rsidRDefault="008D1CCB" w:rsidP="00B22F90">
            <w:pPr>
              <w:pStyle w:val="Title1"/>
              <w:jc w:val="left"/>
              <w:rPr>
                <w:rFonts w:cstheme="minorHAnsi"/>
                <w:b/>
                <w:bCs/>
                <w:caps/>
                <w:sz w:val="24"/>
                <w:szCs w:val="24"/>
              </w:rPr>
            </w:pPr>
            <w:r w:rsidRPr="005F7253">
              <w:rPr>
                <w:rFonts w:cstheme="minorHAnsi"/>
                <w:b/>
                <w:bCs/>
                <w:sz w:val="24"/>
                <w:szCs w:val="24"/>
              </w:rPr>
              <w:t>Agenda item:</w:t>
            </w:r>
          </w:p>
          <w:p w14:paraId="45BC9F9B" w14:textId="212AE17C" w:rsidR="008D1CCB" w:rsidRPr="005F7253" w:rsidRDefault="00AF5178" w:rsidP="00B22F90">
            <w:pPr>
              <w:pStyle w:val="Title1"/>
              <w:jc w:val="left"/>
              <w:rPr>
                <w:rFonts w:cstheme="minorHAnsi"/>
                <w:caps/>
                <w:sz w:val="24"/>
                <w:szCs w:val="24"/>
              </w:rPr>
            </w:pPr>
            <w:r w:rsidRPr="005F7253">
              <w:rPr>
                <w:rFonts w:cstheme="minorHAnsi"/>
                <w:sz w:val="24"/>
                <w:szCs w:val="24"/>
              </w:rPr>
              <w:t xml:space="preserve">Item </w:t>
            </w:r>
            <w:r w:rsidR="00BF1164" w:rsidRPr="005F7253">
              <w:rPr>
                <w:rFonts w:cstheme="minorHAnsi"/>
                <w:sz w:val="24"/>
                <w:szCs w:val="24"/>
              </w:rPr>
              <w:t>5</w:t>
            </w:r>
          </w:p>
          <w:p w14:paraId="7043E349" w14:textId="77777777" w:rsidR="008D1CCB" w:rsidRPr="005F7253" w:rsidRDefault="008D1CCB" w:rsidP="00B22F90">
            <w:pPr>
              <w:pStyle w:val="Title1"/>
              <w:jc w:val="left"/>
              <w:rPr>
                <w:rFonts w:cstheme="minorHAnsi"/>
                <w:b/>
                <w:bCs/>
                <w:caps/>
                <w:sz w:val="24"/>
                <w:szCs w:val="24"/>
              </w:rPr>
            </w:pPr>
            <w:r w:rsidRPr="005F7253">
              <w:rPr>
                <w:rFonts w:cstheme="minorHAnsi"/>
                <w:b/>
                <w:bCs/>
                <w:sz w:val="24"/>
                <w:szCs w:val="24"/>
              </w:rPr>
              <w:t xml:space="preserve">Summary: </w:t>
            </w:r>
          </w:p>
          <w:p w14:paraId="19ACDF5B" w14:textId="5C837D2B" w:rsidR="0072774E" w:rsidRPr="005F7253" w:rsidRDefault="0072774E" w:rsidP="00B22F90">
            <w:pPr>
              <w:spacing w:after="120"/>
            </w:pPr>
            <w:r w:rsidRPr="005F7253">
              <w:t>This document, prepared for the RPM for the Arab States</w:t>
            </w:r>
            <w:r w:rsidR="002312FA">
              <w:t xml:space="preserve"> region</w:t>
            </w:r>
            <w:r w:rsidRPr="005F7253">
              <w:t xml:space="preserve">, aims to </w:t>
            </w:r>
            <w:r w:rsidR="00511FF3" w:rsidRPr="005F7253">
              <w:t xml:space="preserve">inform </w:t>
            </w:r>
            <w:r w:rsidRPr="005F7253">
              <w:t>participants and stakeholders in setting the region’s digital agenda.</w:t>
            </w:r>
            <w:r w:rsidRPr="000C120C">
              <w:t xml:space="preserve"> </w:t>
            </w:r>
            <w:r w:rsidRPr="005F7253">
              <w:t>It is structured in two parts: the first provides an overview of the state of digital connectivity in the Arab States</w:t>
            </w:r>
            <w:r w:rsidR="007A657F">
              <w:t xml:space="preserve"> Region</w:t>
            </w:r>
            <w:r w:rsidRPr="005F7253">
              <w:t xml:space="preserve"> through key indicators, and the second highlights impactful case studies from the region.</w:t>
            </w:r>
          </w:p>
          <w:p w14:paraId="1CD88A00" w14:textId="77777777" w:rsidR="008D1CCB" w:rsidRPr="005F7253" w:rsidRDefault="008D1CCB" w:rsidP="00B22F90">
            <w:pPr>
              <w:pStyle w:val="Title1"/>
              <w:jc w:val="left"/>
              <w:rPr>
                <w:rFonts w:cstheme="minorHAnsi"/>
                <w:b/>
                <w:bCs/>
                <w:caps/>
                <w:sz w:val="24"/>
                <w:szCs w:val="24"/>
              </w:rPr>
            </w:pPr>
            <w:r w:rsidRPr="005F7253">
              <w:rPr>
                <w:rFonts w:cstheme="minorHAnsi"/>
                <w:b/>
                <w:bCs/>
                <w:sz w:val="24"/>
                <w:szCs w:val="24"/>
              </w:rPr>
              <w:t>Expected results:</w:t>
            </w:r>
          </w:p>
          <w:p w14:paraId="5C751A3F" w14:textId="25533A07" w:rsidR="002D0346" w:rsidRPr="005F7253" w:rsidRDefault="00B22F90" w:rsidP="00B22F90">
            <w:pPr>
              <w:pStyle w:val="Title1"/>
              <w:jc w:val="left"/>
              <w:rPr>
                <w:rFonts w:cstheme="minorHAnsi"/>
                <w:sz w:val="24"/>
                <w:szCs w:val="24"/>
              </w:rPr>
            </w:pPr>
            <w:r w:rsidRPr="005F7253">
              <w:rPr>
                <w:rFonts w:cstheme="minorHAnsi"/>
                <w:sz w:val="24"/>
                <w:szCs w:val="24"/>
              </w:rPr>
              <w:t>R</w:t>
            </w:r>
            <w:r w:rsidR="002D0346" w:rsidRPr="005F7253">
              <w:rPr>
                <w:rFonts w:cstheme="minorHAnsi"/>
                <w:sz w:val="24"/>
                <w:szCs w:val="24"/>
              </w:rPr>
              <w:t>PM-ARB is invited to note this document</w:t>
            </w:r>
            <w:r w:rsidRPr="005F7253">
              <w:rPr>
                <w:rFonts w:cstheme="minorHAnsi"/>
                <w:sz w:val="24"/>
                <w:szCs w:val="24"/>
              </w:rPr>
              <w:t>.</w:t>
            </w:r>
          </w:p>
          <w:p w14:paraId="4CD2685E" w14:textId="3B80EF9C" w:rsidR="008D1CCB" w:rsidRPr="005F7253" w:rsidRDefault="008D1CCB" w:rsidP="00B22F90">
            <w:pPr>
              <w:pStyle w:val="Title1"/>
              <w:jc w:val="left"/>
              <w:rPr>
                <w:rFonts w:cstheme="minorHAnsi"/>
                <w:b/>
                <w:bCs/>
                <w:caps/>
                <w:sz w:val="24"/>
                <w:szCs w:val="24"/>
              </w:rPr>
            </w:pPr>
            <w:r w:rsidRPr="005F7253">
              <w:rPr>
                <w:rFonts w:cstheme="minorHAnsi"/>
                <w:b/>
                <w:bCs/>
                <w:sz w:val="24"/>
                <w:szCs w:val="24"/>
              </w:rPr>
              <w:t>References:</w:t>
            </w:r>
          </w:p>
          <w:p w14:paraId="1ECDD20E" w14:textId="55031060" w:rsidR="00A721F4" w:rsidRPr="005F7253" w:rsidRDefault="002D0346" w:rsidP="00B22F90">
            <w:pPr>
              <w:spacing w:after="120"/>
            </w:pPr>
            <w:r w:rsidRPr="005F7253">
              <w:t>N/A</w:t>
            </w:r>
          </w:p>
        </w:tc>
      </w:tr>
    </w:tbl>
    <w:p w14:paraId="72F5CF96" w14:textId="77777777" w:rsidR="00923CF1" w:rsidRPr="005F7253" w:rsidRDefault="00923CF1" w:rsidP="00935FF0"/>
    <w:p w14:paraId="66A31481" w14:textId="012D3A90" w:rsidR="006C41B5" w:rsidRPr="005F7253" w:rsidRDefault="00923CF1" w:rsidP="006C41B5">
      <w:pPr>
        <w:pStyle w:val="Title"/>
        <w:rPr>
          <w:rFonts w:ascii="Aptos Display" w:eastAsia="Yu Gothic Light" w:hAnsi="Aptos Display"/>
          <w:sz w:val="48"/>
          <w14:ligatures w14:val="standardContextual"/>
        </w:rPr>
      </w:pPr>
      <w:r w:rsidRPr="00B27AE7">
        <w:br w:type="page"/>
      </w:r>
      <w:r w:rsidR="006C41B5" w:rsidRPr="005F7253">
        <w:rPr>
          <w:rFonts w:ascii="Aptos Display" w:eastAsia="Yu Gothic Light" w:hAnsi="Aptos Display"/>
          <w:sz w:val="48"/>
          <w14:ligatures w14:val="standardContextual"/>
        </w:rPr>
        <w:lastRenderedPageBreak/>
        <w:t>State of digital development and trends in the Arab States</w:t>
      </w:r>
      <w:r w:rsidR="007A657F">
        <w:rPr>
          <w:rFonts w:ascii="Aptos Display" w:eastAsia="Yu Gothic Light" w:hAnsi="Aptos Display"/>
          <w:sz w:val="48"/>
          <w14:ligatures w14:val="standardContextual"/>
        </w:rPr>
        <w:t xml:space="preserve"> </w:t>
      </w:r>
      <w:r w:rsidR="002A6316">
        <w:rPr>
          <w:rFonts w:ascii="Aptos Display" w:eastAsia="Yu Gothic Light" w:hAnsi="Aptos Display"/>
          <w:sz w:val="48"/>
          <w14:ligatures w14:val="standardContextual"/>
        </w:rPr>
        <w:t>r</w:t>
      </w:r>
      <w:r w:rsidR="007A657F">
        <w:rPr>
          <w:rFonts w:ascii="Aptos Display" w:eastAsia="Yu Gothic Light" w:hAnsi="Aptos Display"/>
          <w:sz w:val="48"/>
          <w14:ligatures w14:val="standardContextual"/>
        </w:rPr>
        <w:t>egion</w:t>
      </w:r>
      <w:r w:rsidR="006C41B5" w:rsidRPr="005F7253">
        <w:rPr>
          <w:rFonts w:ascii="Aptos Display" w:eastAsia="Yu Gothic Light" w:hAnsi="Aptos Display"/>
          <w:sz w:val="48"/>
          <w14:ligatures w14:val="standardContextual"/>
        </w:rPr>
        <w:t xml:space="preserve">: Challenges and opportunities </w:t>
      </w:r>
    </w:p>
    <w:p w14:paraId="195698D8"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Display" w:eastAsia="Aptos" w:hAnsi="Aptos Display" w:cs="Arial"/>
          <w:kern w:val="2"/>
          <w:sz w:val="28"/>
          <w:szCs w:val="28"/>
          <w14:ligatures w14:val="standardContextual"/>
        </w:rPr>
      </w:pPr>
      <w:r w:rsidRPr="005F7253">
        <w:rPr>
          <w:rFonts w:ascii="Aptos Display" w:eastAsia="Aptos" w:hAnsi="Aptos Display" w:cs="Arial"/>
          <w:kern w:val="2"/>
          <w:sz w:val="28"/>
          <w:szCs w:val="28"/>
          <w14:ligatures w14:val="standardContextual"/>
        </w:rPr>
        <w:t>December 2024</w:t>
      </w:r>
    </w:p>
    <w:p w14:paraId="2A32533D"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bookmarkStart w:id="5" w:name="_Toc184940627"/>
      <w:r w:rsidRPr="005F7253">
        <w:rPr>
          <w:rFonts w:ascii="Aptos Display" w:eastAsia="Yu Gothic Light" w:hAnsi="Aptos Display"/>
          <w:color w:val="0F4761"/>
          <w:kern w:val="2"/>
          <w:sz w:val="40"/>
          <w:szCs w:val="40"/>
          <w14:ligatures w14:val="standardContextual"/>
        </w:rPr>
        <w:t>Contents</w:t>
      </w:r>
      <w:bookmarkEnd w:id="5"/>
    </w:p>
    <w:p w14:paraId="67B00A8C" w14:textId="77777777" w:rsidR="006C41B5" w:rsidRPr="005F7253" w:rsidRDefault="006C41B5" w:rsidP="006C41B5">
      <w:pPr>
        <w:rPr>
          <w:rFonts w:ascii="Aptos" w:eastAsia="Aptos" w:hAnsi="Aptos" w:cs="Arial"/>
          <w:kern w:val="2"/>
          <w:sz w:val="22"/>
          <w:szCs w:val="22"/>
          <w14:ligatures w14:val="standardContextual"/>
        </w:rPr>
      </w:pPr>
    </w:p>
    <w:p w14:paraId="67919052" w14:textId="04AC8F45"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textAlignment w:val="auto"/>
        <w:rPr>
          <w:rFonts w:ascii="Aptos" w:eastAsia="Yu Gothic" w:hAnsi="Aptos" w:cs="Arial"/>
          <w:noProof/>
          <w:kern w:val="2"/>
          <w:szCs w:val="24"/>
          <w:lang w:eastAsia="en-GB"/>
          <w14:ligatures w14:val="standardContextual"/>
        </w:rPr>
      </w:pPr>
      <w:r w:rsidRPr="005F7253">
        <w:rPr>
          <w:rFonts w:ascii="Aptos" w:eastAsia="Aptos" w:hAnsi="Aptos" w:cs="Arial"/>
          <w:kern w:val="2"/>
          <w:sz w:val="22"/>
          <w:szCs w:val="22"/>
          <w14:ligatures w14:val="standardContextual"/>
        </w:rPr>
        <w:fldChar w:fldCharType="begin"/>
      </w:r>
      <w:r w:rsidRPr="005F7253">
        <w:rPr>
          <w:rFonts w:ascii="Aptos" w:eastAsia="Aptos" w:hAnsi="Aptos" w:cs="Arial"/>
          <w:kern w:val="2"/>
          <w:sz w:val="22"/>
          <w:szCs w:val="22"/>
          <w14:ligatures w14:val="standardContextual"/>
        </w:rPr>
        <w:instrText xml:space="preserve"> TOC \o "1-2" \h \z \u </w:instrText>
      </w:r>
      <w:r w:rsidRPr="005F7253">
        <w:rPr>
          <w:rFonts w:ascii="Aptos" w:eastAsia="Aptos" w:hAnsi="Aptos" w:cs="Arial"/>
          <w:kern w:val="2"/>
          <w:sz w:val="22"/>
          <w:szCs w:val="22"/>
          <w14:ligatures w14:val="standardContextual"/>
        </w:rPr>
        <w:fldChar w:fldCharType="separate"/>
      </w:r>
      <w:hyperlink w:anchor="_Toc184940627" w:history="1">
        <w:r w:rsidRPr="005F7253">
          <w:rPr>
            <w:rFonts w:ascii="Aptos" w:eastAsia="Aptos" w:hAnsi="Aptos" w:cs="Arial"/>
            <w:noProof/>
            <w:color w:val="467886"/>
            <w:kern w:val="2"/>
            <w:sz w:val="22"/>
            <w:szCs w:val="22"/>
            <w:u w:val="single"/>
            <w14:ligatures w14:val="standardContextual"/>
          </w:rPr>
          <w:t>Contents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_Toc184940627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8F21AF">
          <w:rPr>
            <w:rFonts w:ascii="Aptos" w:eastAsia="Aptos" w:hAnsi="Aptos" w:cs="Arial"/>
            <w:noProof/>
            <w:webHidden/>
            <w:kern w:val="2"/>
            <w:sz w:val="22"/>
            <w:szCs w:val="22"/>
            <w14:ligatures w14:val="standardContextual"/>
          </w:rPr>
          <w:t>2</w:t>
        </w:r>
        <w:r w:rsidRPr="005F7253">
          <w:rPr>
            <w:rFonts w:ascii="Aptos" w:eastAsia="Aptos" w:hAnsi="Aptos" w:cs="Arial"/>
            <w:noProof/>
            <w:webHidden/>
            <w:kern w:val="2"/>
            <w:sz w:val="22"/>
            <w:szCs w:val="22"/>
            <w14:ligatures w14:val="standardContextual"/>
          </w:rPr>
          <w:fldChar w:fldCharType="end"/>
        </w:r>
      </w:hyperlink>
    </w:p>
    <w:p w14:paraId="565A9678" w14:textId="606FD2A2"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textAlignment w:val="auto"/>
        <w:rPr>
          <w:rFonts w:ascii="Aptos" w:eastAsia="Yu Gothic" w:hAnsi="Aptos" w:cs="Arial"/>
          <w:noProof/>
          <w:kern w:val="2"/>
          <w:szCs w:val="24"/>
          <w:lang w:eastAsia="en-GB"/>
          <w14:ligatures w14:val="standardContextual"/>
        </w:rPr>
      </w:pPr>
      <w:hyperlink w:anchor="_Toc184940628" w:history="1">
        <w:r w:rsidRPr="005F7253">
          <w:rPr>
            <w:rFonts w:ascii="Aptos" w:eastAsia="Aptos" w:hAnsi="Aptos" w:cs="Arial"/>
            <w:noProof/>
            <w:color w:val="467886"/>
            <w:kern w:val="2"/>
            <w:sz w:val="22"/>
            <w:szCs w:val="22"/>
            <w:u w:val="single"/>
            <w14:ligatures w14:val="standardContextual"/>
          </w:rPr>
          <w:t>Introduction</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_Toc184940628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8F21AF">
          <w:rPr>
            <w:rFonts w:ascii="Aptos" w:eastAsia="Aptos" w:hAnsi="Aptos" w:cs="Arial"/>
            <w:noProof/>
            <w:webHidden/>
            <w:kern w:val="2"/>
            <w:sz w:val="22"/>
            <w:szCs w:val="22"/>
            <w14:ligatures w14:val="standardContextual"/>
          </w:rPr>
          <w:t>3</w:t>
        </w:r>
        <w:r w:rsidRPr="005F7253">
          <w:rPr>
            <w:rFonts w:ascii="Aptos" w:eastAsia="Aptos" w:hAnsi="Aptos" w:cs="Arial"/>
            <w:noProof/>
            <w:webHidden/>
            <w:kern w:val="2"/>
            <w:sz w:val="22"/>
            <w:szCs w:val="22"/>
            <w14:ligatures w14:val="standardContextual"/>
          </w:rPr>
          <w:fldChar w:fldCharType="end"/>
        </w:r>
      </w:hyperlink>
    </w:p>
    <w:p w14:paraId="6C4B5D05" w14:textId="0F83F8BB"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textAlignment w:val="auto"/>
        <w:rPr>
          <w:rFonts w:ascii="Aptos" w:eastAsia="Yu Gothic" w:hAnsi="Aptos" w:cs="Arial"/>
          <w:noProof/>
          <w:kern w:val="2"/>
          <w:szCs w:val="24"/>
          <w:lang w:eastAsia="en-GB"/>
          <w14:ligatures w14:val="standardContextual"/>
        </w:rPr>
      </w:pPr>
      <w:hyperlink w:anchor="_Toc184940629" w:history="1">
        <w:r w:rsidRPr="005F7253">
          <w:rPr>
            <w:rFonts w:ascii="Aptos" w:eastAsia="Aptos" w:hAnsi="Aptos" w:cs="Arial"/>
            <w:noProof/>
            <w:color w:val="467886"/>
            <w:kern w:val="2"/>
            <w:sz w:val="22"/>
            <w:szCs w:val="22"/>
            <w:u w:val="single"/>
            <w14:ligatures w14:val="standardContextual"/>
          </w:rPr>
          <w:t>Part 1. The state of digital connectivity in the Arab States and recent trends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_Toc184940629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8F21AF">
          <w:rPr>
            <w:rFonts w:ascii="Aptos" w:eastAsia="Aptos" w:hAnsi="Aptos" w:cs="Arial"/>
            <w:noProof/>
            <w:webHidden/>
            <w:kern w:val="2"/>
            <w:sz w:val="22"/>
            <w:szCs w:val="22"/>
            <w14:ligatures w14:val="standardContextual"/>
          </w:rPr>
          <w:t>5</w:t>
        </w:r>
        <w:r w:rsidRPr="005F7253">
          <w:rPr>
            <w:rFonts w:ascii="Aptos" w:eastAsia="Aptos" w:hAnsi="Aptos" w:cs="Arial"/>
            <w:noProof/>
            <w:webHidden/>
            <w:kern w:val="2"/>
            <w:sz w:val="22"/>
            <w:szCs w:val="22"/>
            <w14:ligatures w14:val="standardContextual"/>
          </w:rPr>
          <w:fldChar w:fldCharType="end"/>
        </w:r>
      </w:hyperlink>
    </w:p>
    <w:p w14:paraId="223C8A72" w14:textId="2C970A73"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0" w:history="1">
        <w:r w:rsidRPr="005F7253">
          <w:rPr>
            <w:rFonts w:ascii="Aptos" w:eastAsia="Aptos" w:hAnsi="Aptos" w:cs="Arial"/>
            <w:noProof/>
            <w:color w:val="467886"/>
            <w:kern w:val="2"/>
            <w:sz w:val="22"/>
            <w:szCs w:val="22"/>
            <w:u w:val="single"/>
            <w14:ligatures w14:val="standardContextual"/>
          </w:rPr>
          <w:t>ICT regulation and digital policy frameworks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_Toc184940630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8F21AF">
          <w:rPr>
            <w:rFonts w:ascii="Aptos" w:eastAsia="Aptos" w:hAnsi="Aptos" w:cs="Arial"/>
            <w:noProof/>
            <w:webHidden/>
            <w:kern w:val="2"/>
            <w:sz w:val="22"/>
            <w:szCs w:val="22"/>
            <w14:ligatures w14:val="standardContextual"/>
          </w:rPr>
          <w:t>5</w:t>
        </w:r>
        <w:r w:rsidRPr="005F7253">
          <w:rPr>
            <w:rFonts w:ascii="Aptos" w:eastAsia="Aptos" w:hAnsi="Aptos" w:cs="Arial"/>
            <w:noProof/>
            <w:webHidden/>
            <w:kern w:val="2"/>
            <w:sz w:val="22"/>
            <w:szCs w:val="22"/>
            <w14:ligatures w14:val="standardContextual"/>
          </w:rPr>
          <w:fldChar w:fldCharType="end"/>
        </w:r>
      </w:hyperlink>
    </w:p>
    <w:p w14:paraId="0797F42F" w14:textId="367A654D"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1" w:history="1">
        <w:r w:rsidRPr="005F7253">
          <w:rPr>
            <w:rFonts w:ascii="Aptos" w:eastAsia="Aptos" w:hAnsi="Aptos" w:cs="Arial"/>
            <w:noProof/>
            <w:color w:val="467886"/>
            <w:kern w:val="2"/>
            <w:sz w:val="22"/>
            <w:szCs w:val="22"/>
            <w:u w:val="single"/>
            <w14:ligatures w14:val="standardContextual"/>
          </w:rPr>
          <w:t>Internet use</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_Toc184940631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8F21AF">
          <w:rPr>
            <w:rFonts w:ascii="Aptos" w:eastAsia="Aptos" w:hAnsi="Aptos" w:cs="Arial"/>
            <w:noProof/>
            <w:webHidden/>
            <w:kern w:val="2"/>
            <w:sz w:val="22"/>
            <w:szCs w:val="22"/>
            <w14:ligatures w14:val="standardContextual"/>
          </w:rPr>
          <w:t>11</w:t>
        </w:r>
        <w:r w:rsidRPr="005F7253">
          <w:rPr>
            <w:rFonts w:ascii="Aptos" w:eastAsia="Aptos" w:hAnsi="Aptos" w:cs="Arial"/>
            <w:noProof/>
            <w:webHidden/>
            <w:kern w:val="2"/>
            <w:sz w:val="22"/>
            <w:szCs w:val="22"/>
            <w14:ligatures w14:val="standardContextual"/>
          </w:rPr>
          <w:fldChar w:fldCharType="end"/>
        </w:r>
      </w:hyperlink>
    </w:p>
    <w:p w14:paraId="6B7F6E76" w14:textId="61EE6E21"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2" w:history="1">
        <w:r w:rsidRPr="005F7253">
          <w:rPr>
            <w:rFonts w:ascii="Aptos" w:eastAsia="Aptos" w:hAnsi="Aptos" w:cs="Arial"/>
            <w:noProof/>
            <w:color w:val="467886"/>
            <w:kern w:val="2"/>
            <w:sz w:val="22"/>
            <w:szCs w:val="22"/>
            <w:u w:val="single"/>
            <w14:ligatures w14:val="standardContextual"/>
          </w:rPr>
          <w:t>Broadband subscriptions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_Toc184940632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8F21AF">
          <w:rPr>
            <w:rFonts w:ascii="Aptos" w:eastAsia="Aptos" w:hAnsi="Aptos" w:cs="Arial"/>
            <w:noProof/>
            <w:webHidden/>
            <w:kern w:val="2"/>
            <w:sz w:val="22"/>
            <w:szCs w:val="22"/>
            <w14:ligatures w14:val="standardContextual"/>
          </w:rPr>
          <w:t>16</w:t>
        </w:r>
        <w:r w:rsidRPr="005F7253">
          <w:rPr>
            <w:rFonts w:ascii="Aptos" w:eastAsia="Aptos" w:hAnsi="Aptos" w:cs="Arial"/>
            <w:noProof/>
            <w:webHidden/>
            <w:kern w:val="2"/>
            <w:sz w:val="22"/>
            <w:szCs w:val="22"/>
            <w14:ligatures w14:val="standardContextual"/>
          </w:rPr>
          <w:fldChar w:fldCharType="end"/>
        </w:r>
      </w:hyperlink>
    </w:p>
    <w:p w14:paraId="12BD9856" w14:textId="0EC4BEC6"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3" w:history="1">
        <w:r w:rsidRPr="005F7253">
          <w:rPr>
            <w:rFonts w:ascii="Aptos" w:eastAsia="Aptos" w:hAnsi="Aptos" w:cs="Arial"/>
            <w:noProof/>
            <w:color w:val="467886"/>
            <w:kern w:val="2"/>
            <w:sz w:val="22"/>
            <w:szCs w:val="22"/>
            <w:u w:val="single"/>
            <w14:ligatures w14:val="standardContextual"/>
          </w:rPr>
          <w:t>Mobile network coverage</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_Toc184940633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8F21AF">
          <w:rPr>
            <w:rFonts w:ascii="Aptos" w:eastAsia="Aptos" w:hAnsi="Aptos" w:cs="Arial"/>
            <w:noProof/>
            <w:webHidden/>
            <w:kern w:val="2"/>
            <w:sz w:val="22"/>
            <w:szCs w:val="22"/>
            <w14:ligatures w14:val="standardContextual"/>
          </w:rPr>
          <w:t>18</w:t>
        </w:r>
        <w:r w:rsidRPr="005F7253">
          <w:rPr>
            <w:rFonts w:ascii="Aptos" w:eastAsia="Aptos" w:hAnsi="Aptos" w:cs="Arial"/>
            <w:noProof/>
            <w:webHidden/>
            <w:kern w:val="2"/>
            <w:sz w:val="22"/>
            <w:szCs w:val="22"/>
            <w14:ligatures w14:val="standardContextual"/>
          </w:rPr>
          <w:fldChar w:fldCharType="end"/>
        </w:r>
      </w:hyperlink>
    </w:p>
    <w:p w14:paraId="0E89CB46" w14:textId="1F3F69A8"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4" w:history="1">
        <w:r w:rsidRPr="005F7253">
          <w:rPr>
            <w:rFonts w:ascii="Aptos" w:eastAsia="Aptos" w:hAnsi="Aptos" w:cs="Arial"/>
            <w:noProof/>
            <w:color w:val="467886"/>
            <w:kern w:val="2"/>
            <w:sz w:val="22"/>
            <w:szCs w:val="22"/>
            <w:u w:val="single"/>
            <w14:ligatures w14:val="standardContextual"/>
          </w:rPr>
          <w:t>Availability of fixed-broadband infrastructure</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_Toc184940634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8F21AF">
          <w:rPr>
            <w:rFonts w:ascii="Aptos" w:eastAsia="Aptos" w:hAnsi="Aptos" w:cs="Arial"/>
            <w:noProof/>
            <w:webHidden/>
            <w:kern w:val="2"/>
            <w:sz w:val="22"/>
            <w:szCs w:val="22"/>
            <w14:ligatures w14:val="standardContextual"/>
          </w:rPr>
          <w:t>21</w:t>
        </w:r>
        <w:r w:rsidRPr="005F7253">
          <w:rPr>
            <w:rFonts w:ascii="Aptos" w:eastAsia="Aptos" w:hAnsi="Aptos" w:cs="Arial"/>
            <w:noProof/>
            <w:webHidden/>
            <w:kern w:val="2"/>
            <w:sz w:val="22"/>
            <w:szCs w:val="22"/>
            <w14:ligatures w14:val="standardContextual"/>
          </w:rPr>
          <w:fldChar w:fldCharType="end"/>
        </w:r>
      </w:hyperlink>
    </w:p>
    <w:p w14:paraId="57480077" w14:textId="17FB5BDC"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5" w:history="1">
        <w:r w:rsidRPr="005F7253">
          <w:rPr>
            <w:rFonts w:ascii="Aptos" w:eastAsia="Aptos" w:hAnsi="Aptos" w:cs="Arial"/>
            <w:noProof/>
            <w:color w:val="467886"/>
            <w:kern w:val="2"/>
            <w:sz w:val="22"/>
            <w:szCs w:val="22"/>
            <w:u w:val="single"/>
            <w14:ligatures w14:val="standardContextual"/>
          </w:rPr>
          <w:t>Internet traffic and international bandwidth</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_Toc184940635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8F21AF">
          <w:rPr>
            <w:rFonts w:ascii="Aptos" w:eastAsia="Aptos" w:hAnsi="Aptos" w:cs="Arial"/>
            <w:noProof/>
            <w:webHidden/>
            <w:kern w:val="2"/>
            <w:sz w:val="22"/>
            <w:szCs w:val="22"/>
            <w14:ligatures w14:val="standardContextual"/>
          </w:rPr>
          <w:t>23</w:t>
        </w:r>
        <w:r w:rsidRPr="005F7253">
          <w:rPr>
            <w:rFonts w:ascii="Aptos" w:eastAsia="Aptos" w:hAnsi="Aptos" w:cs="Arial"/>
            <w:noProof/>
            <w:webHidden/>
            <w:kern w:val="2"/>
            <w:sz w:val="22"/>
            <w:szCs w:val="22"/>
            <w14:ligatures w14:val="standardContextual"/>
          </w:rPr>
          <w:fldChar w:fldCharType="end"/>
        </w:r>
      </w:hyperlink>
    </w:p>
    <w:p w14:paraId="0046AC60" w14:textId="3BB85F14"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6" w:history="1">
        <w:r w:rsidRPr="005F7253">
          <w:rPr>
            <w:rFonts w:ascii="Aptos" w:eastAsia="Aptos" w:hAnsi="Aptos" w:cs="Arial"/>
            <w:noProof/>
            <w:color w:val="467886"/>
            <w:kern w:val="2"/>
            <w:sz w:val="22"/>
            <w:szCs w:val="22"/>
            <w:u w:val="single"/>
            <w14:ligatures w14:val="standardContextual"/>
          </w:rPr>
          <w:t>Affordability of ICT services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_Toc184940636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8F21AF">
          <w:rPr>
            <w:rFonts w:ascii="Aptos" w:eastAsia="Aptos" w:hAnsi="Aptos" w:cs="Arial"/>
            <w:noProof/>
            <w:webHidden/>
            <w:kern w:val="2"/>
            <w:sz w:val="22"/>
            <w:szCs w:val="22"/>
            <w14:ligatures w14:val="standardContextual"/>
          </w:rPr>
          <w:t>27</w:t>
        </w:r>
        <w:r w:rsidRPr="005F7253">
          <w:rPr>
            <w:rFonts w:ascii="Aptos" w:eastAsia="Aptos" w:hAnsi="Aptos" w:cs="Arial"/>
            <w:noProof/>
            <w:webHidden/>
            <w:kern w:val="2"/>
            <w:sz w:val="22"/>
            <w:szCs w:val="22"/>
            <w14:ligatures w14:val="standardContextual"/>
          </w:rPr>
          <w:fldChar w:fldCharType="end"/>
        </w:r>
      </w:hyperlink>
    </w:p>
    <w:p w14:paraId="324F9BDE" w14:textId="7270BBA0"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7" w:history="1">
        <w:r w:rsidRPr="005F7253">
          <w:rPr>
            <w:rFonts w:ascii="Aptos" w:eastAsia="Aptos" w:hAnsi="Aptos" w:cs="Arial"/>
            <w:noProof/>
            <w:color w:val="467886"/>
            <w:kern w:val="2"/>
            <w:sz w:val="22"/>
            <w:szCs w:val="22"/>
            <w:u w:val="single"/>
            <w14:ligatures w14:val="standardContextual"/>
          </w:rPr>
          <w:t>Mobile phone ownership and subscriptions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_Toc184940637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8F21AF">
          <w:rPr>
            <w:rFonts w:ascii="Aptos" w:eastAsia="Aptos" w:hAnsi="Aptos" w:cs="Arial"/>
            <w:noProof/>
            <w:webHidden/>
            <w:kern w:val="2"/>
            <w:sz w:val="22"/>
            <w:szCs w:val="22"/>
            <w14:ligatures w14:val="standardContextual"/>
          </w:rPr>
          <w:t>29</w:t>
        </w:r>
        <w:r w:rsidRPr="005F7253">
          <w:rPr>
            <w:rFonts w:ascii="Aptos" w:eastAsia="Aptos" w:hAnsi="Aptos" w:cs="Arial"/>
            <w:noProof/>
            <w:webHidden/>
            <w:kern w:val="2"/>
            <w:sz w:val="22"/>
            <w:szCs w:val="22"/>
            <w14:ligatures w14:val="standardContextual"/>
          </w:rPr>
          <w:fldChar w:fldCharType="end"/>
        </w:r>
      </w:hyperlink>
    </w:p>
    <w:p w14:paraId="331B67F2" w14:textId="2418E45B"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8" w:history="1">
        <w:r w:rsidRPr="005F7253">
          <w:rPr>
            <w:rFonts w:ascii="Aptos" w:eastAsia="Aptos" w:hAnsi="Aptos" w:cs="Arial"/>
            <w:noProof/>
            <w:color w:val="467886"/>
            <w:kern w:val="2"/>
            <w:sz w:val="22"/>
            <w:szCs w:val="22"/>
            <w:u w:val="single"/>
            <w14:ligatures w14:val="standardContextual"/>
          </w:rPr>
          <w:t>ICT skills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_Toc184940638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8F21AF">
          <w:rPr>
            <w:rFonts w:ascii="Aptos" w:eastAsia="Aptos" w:hAnsi="Aptos" w:cs="Arial"/>
            <w:noProof/>
            <w:webHidden/>
            <w:kern w:val="2"/>
            <w:sz w:val="22"/>
            <w:szCs w:val="22"/>
            <w14:ligatures w14:val="standardContextual"/>
          </w:rPr>
          <w:t>32</w:t>
        </w:r>
        <w:r w:rsidRPr="005F7253">
          <w:rPr>
            <w:rFonts w:ascii="Aptos" w:eastAsia="Aptos" w:hAnsi="Aptos" w:cs="Arial"/>
            <w:noProof/>
            <w:webHidden/>
            <w:kern w:val="2"/>
            <w:sz w:val="22"/>
            <w:szCs w:val="22"/>
            <w14:ligatures w14:val="standardContextual"/>
          </w:rPr>
          <w:fldChar w:fldCharType="end"/>
        </w:r>
      </w:hyperlink>
    </w:p>
    <w:p w14:paraId="3D6F7E0A" w14:textId="24E1074D"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9" w:history="1">
        <w:r w:rsidRPr="005F7253">
          <w:rPr>
            <w:rFonts w:ascii="Aptos" w:eastAsia="Aptos" w:hAnsi="Aptos" w:cs="Arial"/>
            <w:noProof/>
            <w:color w:val="467886"/>
            <w:kern w:val="2"/>
            <w:sz w:val="22"/>
            <w:szCs w:val="22"/>
            <w:u w:val="single"/>
            <w14:ligatures w14:val="standardContextual"/>
          </w:rPr>
          <w:t>Revenues and investment</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_Toc184940639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8F21AF">
          <w:rPr>
            <w:rFonts w:ascii="Aptos" w:eastAsia="Aptos" w:hAnsi="Aptos" w:cs="Arial"/>
            <w:noProof/>
            <w:webHidden/>
            <w:kern w:val="2"/>
            <w:sz w:val="22"/>
            <w:szCs w:val="22"/>
            <w14:ligatures w14:val="standardContextual"/>
          </w:rPr>
          <w:t>37</w:t>
        </w:r>
        <w:r w:rsidRPr="005F7253">
          <w:rPr>
            <w:rFonts w:ascii="Aptos" w:eastAsia="Aptos" w:hAnsi="Aptos" w:cs="Arial"/>
            <w:noProof/>
            <w:webHidden/>
            <w:kern w:val="2"/>
            <w:sz w:val="22"/>
            <w:szCs w:val="22"/>
            <w14:ligatures w14:val="standardContextual"/>
          </w:rPr>
          <w:fldChar w:fldCharType="end"/>
        </w:r>
      </w:hyperlink>
    </w:p>
    <w:p w14:paraId="79431847" w14:textId="3DB34AE1"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0" w:history="1">
        <w:r w:rsidRPr="005F7253">
          <w:rPr>
            <w:rFonts w:ascii="Aptos" w:eastAsia="Aptos" w:hAnsi="Aptos" w:cs="Arial"/>
            <w:noProof/>
            <w:color w:val="467886"/>
            <w:kern w:val="2"/>
            <w:sz w:val="22"/>
            <w:szCs w:val="22"/>
            <w:u w:val="single"/>
            <w14:ligatures w14:val="standardContextual"/>
          </w:rPr>
          <w:t>Cybersecurity</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_Toc184940640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8F21AF">
          <w:rPr>
            <w:rFonts w:ascii="Aptos" w:eastAsia="Aptos" w:hAnsi="Aptos" w:cs="Arial"/>
            <w:noProof/>
            <w:webHidden/>
            <w:kern w:val="2"/>
            <w:sz w:val="22"/>
            <w:szCs w:val="22"/>
            <w14:ligatures w14:val="standardContextual"/>
          </w:rPr>
          <w:t>39</w:t>
        </w:r>
        <w:r w:rsidRPr="005F7253">
          <w:rPr>
            <w:rFonts w:ascii="Aptos" w:eastAsia="Aptos" w:hAnsi="Aptos" w:cs="Arial"/>
            <w:noProof/>
            <w:webHidden/>
            <w:kern w:val="2"/>
            <w:sz w:val="22"/>
            <w:szCs w:val="22"/>
            <w14:ligatures w14:val="standardContextual"/>
          </w:rPr>
          <w:fldChar w:fldCharType="end"/>
        </w:r>
      </w:hyperlink>
    </w:p>
    <w:p w14:paraId="1E07430C" w14:textId="723F6DB1"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1" w:history="1">
        <w:r w:rsidRPr="005F7253">
          <w:rPr>
            <w:rFonts w:ascii="Aptos" w:eastAsia="Aptos" w:hAnsi="Aptos" w:cs="Arial"/>
            <w:noProof/>
            <w:color w:val="467886"/>
            <w:kern w:val="2"/>
            <w:sz w:val="22"/>
            <w:szCs w:val="22"/>
            <w:u w:val="single"/>
            <w14:ligatures w14:val="standardContextual"/>
          </w:rPr>
          <w:t>E-waste management</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_Toc184940641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8F21AF">
          <w:rPr>
            <w:rFonts w:ascii="Aptos" w:eastAsia="Aptos" w:hAnsi="Aptos" w:cs="Arial"/>
            <w:noProof/>
            <w:webHidden/>
            <w:kern w:val="2"/>
            <w:sz w:val="22"/>
            <w:szCs w:val="22"/>
            <w14:ligatures w14:val="standardContextual"/>
          </w:rPr>
          <w:t>41</w:t>
        </w:r>
        <w:r w:rsidRPr="005F7253">
          <w:rPr>
            <w:rFonts w:ascii="Aptos" w:eastAsia="Aptos" w:hAnsi="Aptos" w:cs="Arial"/>
            <w:noProof/>
            <w:webHidden/>
            <w:kern w:val="2"/>
            <w:sz w:val="22"/>
            <w:szCs w:val="22"/>
            <w14:ligatures w14:val="standardContextual"/>
          </w:rPr>
          <w:fldChar w:fldCharType="end"/>
        </w:r>
      </w:hyperlink>
    </w:p>
    <w:p w14:paraId="17A3E287" w14:textId="0AF00179"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2" w:history="1">
        <w:r w:rsidRPr="005F7253">
          <w:rPr>
            <w:rFonts w:ascii="Aptos" w:eastAsia="Aptos" w:hAnsi="Aptos" w:cs="Arial"/>
            <w:noProof/>
            <w:color w:val="467886"/>
            <w:kern w:val="2"/>
            <w:sz w:val="22"/>
            <w:szCs w:val="22"/>
            <w:u w:val="single"/>
            <w14:ligatures w14:val="standardContextual"/>
          </w:rPr>
          <w:t>Disparity within the region</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_Toc184940642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8F21AF">
          <w:rPr>
            <w:rFonts w:ascii="Aptos" w:eastAsia="Aptos" w:hAnsi="Aptos" w:cs="Arial"/>
            <w:noProof/>
            <w:webHidden/>
            <w:kern w:val="2"/>
            <w:sz w:val="22"/>
            <w:szCs w:val="22"/>
            <w14:ligatures w14:val="standardContextual"/>
          </w:rPr>
          <w:t>44</w:t>
        </w:r>
        <w:r w:rsidRPr="005F7253">
          <w:rPr>
            <w:rFonts w:ascii="Aptos" w:eastAsia="Aptos" w:hAnsi="Aptos" w:cs="Arial"/>
            <w:noProof/>
            <w:webHidden/>
            <w:kern w:val="2"/>
            <w:sz w:val="22"/>
            <w:szCs w:val="22"/>
            <w14:ligatures w14:val="standardContextual"/>
          </w:rPr>
          <w:fldChar w:fldCharType="end"/>
        </w:r>
      </w:hyperlink>
    </w:p>
    <w:p w14:paraId="05360D3E" w14:textId="0BA7D510"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3" w:history="1">
        <w:r w:rsidRPr="005F7253">
          <w:rPr>
            <w:rFonts w:ascii="Aptos" w:eastAsia="Aptos" w:hAnsi="Aptos" w:cs="Arial"/>
            <w:noProof/>
            <w:color w:val="467886"/>
            <w:kern w:val="2"/>
            <w:sz w:val="22"/>
            <w:szCs w:val="22"/>
            <w:u w:val="single"/>
            <w14:ligatures w14:val="standardContextual"/>
          </w:rPr>
          <w:t>Overview of data availability in the Arab States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_Toc184940643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8F21AF">
          <w:rPr>
            <w:rFonts w:ascii="Aptos" w:eastAsia="Aptos" w:hAnsi="Aptos" w:cs="Arial"/>
            <w:noProof/>
            <w:webHidden/>
            <w:kern w:val="2"/>
            <w:sz w:val="22"/>
            <w:szCs w:val="22"/>
            <w14:ligatures w14:val="standardContextual"/>
          </w:rPr>
          <w:t>46</w:t>
        </w:r>
        <w:r w:rsidRPr="005F7253">
          <w:rPr>
            <w:rFonts w:ascii="Aptos" w:eastAsia="Aptos" w:hAnsi="Aptos" w:cs="Arial"/>
            <w:noProof/>
            <w:webHidden/>
            <w:kern w:val="2"/>
            <w:sz w:val="22"/>
            <w:szCs w:val="22"/>
            <w14:ligatures w14:val="standardContextual"/>
          </w:rPr>
          <w:fldChar w:fldCharType="end"/>
        </w:r>
      </w:hyperlink>
    </w:p>
    <w:p w14:paraId="05A6BFD8" w14:textId="1A0B7E71"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textAlignment w:val="auto"/>
        <w:rPr>
          <w:rFonts w:ascii="Aptos" w:eastAsia="Yu Gothic" w:hAnsi="Aptos" w:cs="Arial"/>
          <w:noProof/>
          <w:kern w:val="2"/>
          <w:szCs w:val="24"/>
          <w:lang w:eastAsia="en-GB"/>
          <w14:ligatures w14:val="standardContextual"/>
        </w:rPr>
      </w:pPr>
      <w:hyperlink w:anchor="_Toc184940644" w:history="1">
        <w:r w:rsidRPr="005F7253">
          <w:rPr>
            <w:rFonts w:ascii="Aptos" w:eastAsia="Aptos" w:hAnsi="Aptos" w:cs="Arial"/>
            <w:noProof/>
            <w:color w:val="467886"/>
            <w:kern w:val="2"/>
            <w:sz w:val="22"/>
            <w:szCs w:val="22"/>
            <w:u w:val="single"/>
            <w14:ligatures w14:val="standardContextual"/>
          </w:rPr>
          <w:t>Part 2. BDT4Impact: Selected case studies from the Arab States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_Toc184940644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8F21AF">
          <w:rPr>
            <w:rFonts w:ascii="Aptos" w:eastAsia="Aptos" w:hAnsi="Aptos" w:cs="Arial"/>
            <w:noProof/>
            <w:webHidden/>
            <w:kern w:val="2"/>
            <w:sz w:val="22"/>
            <w:szCs w:val="22"/>
            <w14:ligatures w14:val="standardContextual"/>
          </w:rPr>
          <w:t>48</w:t>
        </w:r>
        <w:r w:rsidRPr="005F7253">
          <w:rPr>
            <w:rFonts w:ascii="Aptos" w:eastAsia="Aptos" w:hAnsi="Aptos" w:cs="Arial"/>
            <w:noProof/>
            <w:webHidden/>
            <w:kern w:val="2"/>
            <w:sz w:val="22"/>
            <w:szCs w:val="22"/>
            <w14:ligatures w14:val="standardContextual"/>
          </w:rPr>
          <w:fldChar w:fldCharType="end"/>
        </w:r>
      </w:hyperlink>
    </w:p>
    <w:p w14:paraId="691A7D69" w14:textId="561104B5"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5" w:history="1">
        <w:r w:rsidRPr="005F7253">
          <w:rPr>
            <w:rFonts w:ascii="Aptos" w:eastAsia="Aptos" w:hAnsi="Aptos" w:cs="Arial"/>
            <w:noProof/>
            <w:color w:val="467886"/>
            <w:kern w:val="2"/>
            <w:sz w:val="22"/>
            <w:szCs w:val="22"/>
            <w:u w:val="single"/>
            <w14:ligatures w14:val="standardContextual"/>
          </w:rPr>
          <w:t>Record-breaking cyber response trainings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_Toc184940645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8F21AF">
          <w:rPr>
            <w:rFonts w:ascii="Aptos" w:eastAsia="Aptos" w:hAnsi="Aptos" w:cs="Arial"/>
            <w:noProof/>
            <w:webHidden/>
            <w:kern w:val="2"/>
            <w:sz w:val="22"/>
            <w:szCs w:val="22"/>
            <w14:ligatures w14:val="standardContextual"/>
          </w:rPr>
          <w:t>48</w:t>
        </w:r>
        <w:r w:rsidRPr="005F7253">
          <w:rPr>
            <w:rFonts w:ascii="Aptos" w:eastAsia="Aptos" w:hAnsi="Aptos" w:cs="Arial"/>
            <w:noProof/>
            <w:webHidden/>
            <w:kern w:val="2"/>
            <w:sz w:val="22"/>
            <w:szCs w:val="22"/>
            <w14:ligatures w14:val="standardContextual"/>
          </w:rPr>
          <w:fldChar w:fldCharType="end"/>
        </w:r>
      </w:hyperlink>
    </w:p>
    <w:p w14:paraId="384A0AF9" w14:textId="37FBFA4C"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6" w:history="1">
        <w:r w:rsidRPr="005F7253">
          <w:rPr>
            <w:rFonts w:ascii="Aptos" w:eastAsia="Aptos" w:hAnsi="Aptos" w:cs="Arial"/>
            <w:noProof/>
            <w:color w:val="467886"/>
            <w:kern w:val="2"/>
            <w:sz w:val="22"/>
            <w:szCs w:val="22"/>
            <w:u w:val="single"/>
            <w14:ligatures w14:val="standardContextual"/>
          </w:rPr>
          <w:t>Transforming government services in Djibouti</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_Toc184940646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8F21AF">
          <w:rPr>
            <w:rFonts w:ascii="Aptos" w:eastAsia="Aptos" w:hAnsi="Aptos" w:cs="Arial"/>
            <w:noProof/>
            <w:webHidden/>
            <w:kern w:val="2"/>
            <w:sz w:val="22"/>
            <w:szCs w:val="22"/>
            <w14:ligatures w14:val="standardContextual"/>
          </w:rPr>
          <w:t>48</w:t>
        </w:r>
        <w:r w:rsidRPr="005F7253">
          <w:rPr>
            <w:rFonts w:ascii="Aptos" w:eastAsia="Aptos" w:hAnsi="Aptos" w:cs="Arial"/>
            <w:noProof/>
            <w:webHidden/>
            <w:kern w:val="2"/>
            <w:sz w:val="22"/>
            <w:szCs w:val="22"/>
            <w14:ligatures w14:val="standardContextual"/>
          </w:rPr>
          <w:fldChar w:fldCharType="end"/>
        </w:r>
      </w:hyperlink>
    </w:p>
    <w:p w14:paraId="0B93C688" w14:textId="55522347"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7" w:history="1">
        <w:r w:rsidRPr="005F7253">
          <w:rPr>
            <w:rFonts w:ascii="Aptos" w:eastAsia="Aptos" w:hAnsi="Aptos" w:cs="Arial"/>
            <w:noProof/>
            <w:color w:val="467886"/>
            <w:kern w:val="2"/>
            <w:sz w:val="22"/>
            <w:szCs w:val="22"/>
            <w:u w:val="single"/>
            <w14:ligatures w14:val="standardContextual"/>
          </w:rPr>
          <w:t>Enhancing the growth and reach of start-ups in the Arab States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_Toc184940647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8F21AF">
          <w:rPr>
            <w:rFonts w:ascii="Aptos" w:eastAsia="Aptos" w:hAnsi="Aptos" w:cs="Arial"/>
            <w:noProof/>
            <w:webHidden/>
            <w:kern w:val="2"/>
            <w:sz w:val="22"/>
            <w:szCs w:val="22"/>
            <w14:ligatures w14:val="standardContextual"/>
          </w:rPr>
          <w:t>49</w:t>
        </w:r>
        <w:r w:rsidRPr="005F7253">
          <w:rPr>
            <w:rFonts w:ascii="Aptos" w:eastAsia="Aptos" w:hAnsi="Aptos" w:cs="Arial"/>
            <w:noProof/>
            <w:webHidden/>
            <w:kern w:val="2"/>
            <w:sz w:val="22"/>
            <w:szCs w:val="22"/>
            <w14:ligatures w14:val="standardContextual"/>
          </w:rPr>
          <w:fldChar w:fldCharType="end"/>
        </w:r>
      </w:hyperlink>
    </w:p>
    <w:p w14:paraId="3F33FB3D" w14:textId="718809EA"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8" w:history="1">
        <w:r w:rsidRPr="005F7253">
          <w:rPr>
            <w:rFonts w:ascii="Aptos" w:eastAsia="Aptos" w:hAnsi="Aptos" w:cs="Arial"/>
            <w:noProof/>
            <w:color w:val="467886"/>
            <w:kern w:val="2"/>
            <w:sz w:val="22"/>
            <w:szCs w:val="22"/>
            <w:u w:val="single"/>
            <w14:ligatures w14:val="standardContextual"/>
          </w:rPr>
          <w:t>Building capacity and developing specialized trainer skills in Jordan</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_Toc184940648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8F21AF">
          <w:rPr>
            <w:rFonts w:ascii="Aptos" w:eastAsia="Aptos" w:hAnsi="Aptos" w:cs="Arial"/>
            <w:noProof/>
            <w:webHidden/>
            <w:kern w:val="2"/>
            <w:sz w:val="22"/>
            <w:szCs w:val="22"/>
            <w14:ligatures w14:val="standardContextual"/>
          </w:rPr>
          <w:t>49</w:t>
        </w:r>
        <w:r w:rsidRPr="005F7253">
          <w:rPr>
            <w:rFonts w:ascii="Aptos" w:eastAsia="Aptos" w:hAnsi="Aptos" w:cs="Arial"/>
            <w:noProof/>
            <w:webHidden/>
            <w:kern w:val="2"/>
            <w:sz w:val="22"/>
            <w:szCs w:val="22"/>
            <w14:ligatures w14:val="standardContextual"/>
          </w:rPr>
          <w:fldChar w:fldCharType="end"/>
        </w:r>
      </w:hyperlink>
    </w:p>
    <w:p w14:paraId="483A36F7" w14:textId="65C0A1AB"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9" w:history="1">
        <w:r w:rsidRPr="005F7253">
          <w:rPr>
            <w:rFonts w:ascii="Aptos" w:eastAsia="Aptos" w:hAnsi="Aptos" w:cs="Arial"/>
            <w:noProof/>
            <w:color w:val="467886"/>
            <w:kern w:val="2"/>
            <w:sz w:val="22"/>
            <w:szCs w:val="22"/>
            <w:u w:val="single"/>
            <w14:ligatures w14:val="standardContextual"/>
          </w:rPr>
          <w:t>Preparing National Emergency Telecommunications Plans in the Arab States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_Toc184940649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8F21AF">
          <w:rPr>
            <w:rFonts w:ascii="Aptos" w:eastAsia="Aptos" w:hAnsi="Aptos" w:cs="Arial"/>
            <w:noProof/>
            <w:webHidden/>
            <w:kern w:val="2"/>
            <w:sz w:val="22"/>
            <w:szCs w:val="22"/>
            <w14:ligatures w14:val="standardContextual"/>
          </w:rPr>
          <w:t>49</w:t>
        </w:r>
        <w:r w:rsidRPr="005F7253">
          <w:rPr>
            <w:rFonts w:ascii="Aptos" w:eastAsia="Aptos" w:hAnsi="Aptos" w:cs="Arial"/>
            <w:noProof/>
            <w:webHidden/>
            <w:kern w:val="2"/>
            <w:sz w:val="22"/>
            <w:szCs w:val="22"/>
            <w14:ligatures w14:val="standardContextual"/>
          </w:rPr>
          <w:fldChar w:fldCharType="end"/>
        </w:r>
      </w:hyperlink>
    </w:p>
    <w:p w14:paraId="7C5B7978" w14:textId="06E37B38"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50" w:history="1">
        <w:r w:rsidRPr="005F7253">
          <w:rPr>
            <w:rFonts w:ascii="Aptos" w:eastAsia="Aptos" w:hAnsi="Aptos" w:cs="Arial"/>
            <w:noProof/>
            <w:color w:val="467886"/>
            <w:kern w:val="2"/>
            <w:sz w:val="22"/>
            <w:szCs w:val="22"/>
            <w:u w:val="single"/>
            <w14:ligatures w14:val="standardContextual"/>
          </w:rPr>
          <w:t>Partner2Connect implementation for impact in Egypt</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_Toc184940650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8F21AF">
          <w:rPr>
            <w:rFonts w:ascii="Aptos" w:eastAsia="Aptos" w:hAnsi="Aptos" w:cs="Arial"/>
            <w:noProof/>
            <w:webHidden/>
            <w:kern w:val="2"/>
            <w:sz w:val="22"/>
            <w:szCs w:val="22"/>
            <w14:ligatures w14:val="standardContextual"/>
          </w:rPr>
          <w:t>50</w:t>
        </w:r>
        <w:r w:rsidRPr="005F7253">
          <w:rPr>
            <w:rFonts w:ascii="Aptos" w:eastAsia="Aptos" w:hAnsi="Aptos" w:cs="Arial"/>
            <w:noProof/>
            <w:webHidden/>
            <w:kern w:val="2"/>
            <w:sz w:val="22"/>
            <w:szCs w:val="22"/>
            <w14:ligatures w14:val="standardContextual"/>
          </w:rPr>
          <w:fldChar w:fldCharType="end"/>
        </w:r>
      </w:hyperlink>
    </w:p>
    <w:p w14:paraId="5C4FE555" w14:textId="2040A198"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textAlignment w:val="auto"/>
        <w:rPr>
          <w:rFonts w:ascii="Aptos" w:eastAsia="Yu Gothic" w:hAnsi="Aptos" w:cs="Arial"/>
          <w:noProof/>
          <w:kern w:val="2"/>
          <w:szCs w:val="24"/>
          <w:lang w:eastAsia="en-GB"/>
          <w14:ligatures w14:val="standardContextual"/>
        </w:rPr>
      </w:pPr>
      <w:hyperlink w:anchor="_Toc184940651" w:history="1">
        <w:r w:rsidRPr="005F7253">
          <w:rPr>
            <w:rFonts w:ascii="Aptos" w:eastAsia="Aptos" w:hAnsi="Aptos" w:cs="Arial"/>
            <w:noProof/>
            <w:color w:val="467886"/>
            <w:kern w:val="2"/>
            <w:sz w:val="22"/>
            <w:szCs w:val="22"/>
            <w:u w:val="single"/>
            <w14:ligatures w14:val="standardContextual"/>
          </w:rPr>
          <w:t>Annex: Data resources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_Toc184940651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8F21AF">
          <w:rPr>
            <w:rFonts w:ascii="Aptos" w:eastAsia="Aptos" w:hAnsi="Aptos" w:cs="Arial"/>
            <w:noProof/>
            <w:webHidden/>
            <w:kern w:val="2"/>
            <w:sz w:val="22"/>
            <w:szCs w:val="22"/>
            <w14:ligatures w14:val="standardContextual"/>
          </w:rPr>
          <w:t>51</w:t>
        </w:r>
        <w:r w:rsidRPr="005F7253">
          <w:rPr>
            <w:rFonts w:ascii="Aptos" w:eastAsia="Aptos" w:hAnsi="Aptos" w:cs="Arial"/>
            <w:noProof/>
            <w:webHidden/>
            <w:kern w:val="2"/>
            <w:sz w:val="22"/>
            <w:szCs w:val="22"/>
            <w14:ligatures w14:val="standardContextual"/>
          </w:rPr>
          <w:fldChar w:fldCharType="end"/>
        </w:r>
      </w:hyperlink>
    </w:p>
    <w:p w14:paraId="5F424F54" w14:textId="77777777" w:rsidR="006C41B5" w:rsidRPr="005F7253" w:rsidRDefault="006C41B5" w:rsidP="00227D2C">
      <w:pPr>
        <w:rPr>
          <w:rFonts w:eastAsia="Yu Gothic Light"/>
        </w:rPr>
      </w:pPr>
      <w:r w:rsidRPr="005F7253">
        <w:rPr>
          <w:rFonts w:eastAsia="Yu Gothic Light"/>
        </w:rPr>
        <w:fldChar w:fldCharType="end"/>
      </w:r>
      <w:bookmarkStart w:id="6" w:name="_Toc184940628"/>
    </w:p>
    <w:p w14:paraId="6A8EE966" w14:textId="77777777" w:rsidR="006C41B5" w:rsidRPr="005F7253" w:rsidRDefault="006C41B5">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40"/>
          <w:szCs w:val="40"/>
          <w14:ligatures w14:val="standardContextual"/>
        </w:rPr>
      </w:pPr>
      <w:r w:rsidRPr="005F7253">
        <w:rPr>
          <w:rFonts w:ascii="Aptos Display" w:eastAsia="Yu Gothic Light" w:hAnsi="Aptos Display"/>
          <w:color w:val="0F4761"/>
          <w:kern w:val="2"/>
          <w:sz w:val="40"/>
          <w:szCs w:val="40"/>
          <w14:ligatures w14:val="standardContextual"/>
        </w:rPr>
        <w:br w:type="page"/>
      </w:r>
    </w:p>
    <w:p w14:paraId="001DC7B9" w14:textId="0DEA24B5" w:rsidR="006C41B5" w:rsidRPr="005F7253" w:rsidRDefault="006C41B5" w:rsidP="006C41B5">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r w:rsidRPr="005F7253">
        <w:rPr>
          <w:rFonts w:ascii="Aptos Display" w:eastAsia="Yu Gothic Light" w:hAnsi="Aptos Display"/>
          <w:color w:val="0F4761"/>
          <w:kern w:val="2"/>
          <w:sz w:val="40"/>
          <w:szCs w:val="40"/>
          <w14:ligatures w14:val="standardContextual"/>
        </w:rPr>
        <w:lastRenderedPageBreak/>
        <w:t>Introduction</w:t>
      </w:r>
      <w:bookmarkEnd w:id="6"/>
    </w:p>
    <w:p w14:paraId="1183AF85" w14:textId="7B81FA2E"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Regional </w:t>
      </w:r>
      <w:r w:rsidR="005F7253" w:rsidRPr="005F7253">
        <w:rPr>
          <w:rFonts w:ascii="Aptos" w:eastAsia="Aptos" w:hAnsi="Aptos" w:cs="Arial"/>
          <w:kern w:val="2"/>
          <w:sz w:val="22"/>
          <w:szCs w:val="22"/>
          <w14:ligatures w14:val="standardContextual"/>
        </w:rPr>
        <w:t>preparatory</w:t>
      </w:r>
      <w:r w:rsidRPr="005F7253">
        <w:rPr>
          <w:rFonts w:ascii="Aptos" w:eastAsia="Aptos" w:hAnsi="Aptos" w:cs="Arial"/>
          <w:kern w:val="2"/>
          <w:sz w:val="22"/>
          <w:szCs w:val="22"/>
          <w14:ligatures w14:val="standardContextual"/>
        </w:rPr>
        <w:t xml:space="preserve"> </w:t>
      </w:r>
      <w:r w:rsidR="004B1C60" w:rsidRPr="005F7253">
        <w:rPr>
          <w:rFonts w:ascii="Aptos" w:eastAsia="Aptos" w:hAnsi="Aptos" w:cs="Arial"/>
          <w:kern w:val="2"/>
          <w:sz w:val="22"/>
          <w:szCs w:val="22"/>
          <w14:ligatures w14:val="standardContextual"/>
        </w:rPr>
        <w:t>m</w:t>
      </w:r>
      <w:r w:rsidRPr="005F7253">
        <w:rPr>
          <w:rFonts w:ascii="Aptos" w:eastAsia="Aptos" w:hAnsi="Aptos" w:cs="Arial"/>
          <w:kern w:val="2"/>
          <w:sz w:val="22"/>
          <w:szCs w:val="22"/>
          <w14:ligatures w14:val="standardContextual"/>
        </w:rPr>
        <w:t xml:space="preserve">eetings (RPMs) aim at engaging the membership in the preparations of the </w:t>
      </w:r>
      <w:r w:rsidR="00FB45A9">
        <w:rPr>
          <w:rFonts w:ascii="Aptos" w:eastAsia="Aptos" w:hAnsi="Aptos" w:cs="Arial"/>
          <w:kern w:val="2"/>
          <w:sz w:val="22"/>
          <w:szCs w:val="22"/>
          <w14:ligatures w14:val="standardContextual"/>
        </w:rPr>
        <w:t xml:space="preserve">ITU </w:t>
      </w:r>
      <w:r w:rsidRPr="005F7253">
        <w:rPr>
          <w:rFonts w:ascii="Aptos" w:eastAsia="Aptos" w:hAnsi="Aptos" w:cs="Arial"/>
          <w:kern w:val="2"/>
          <w:sz w:val="22"/>
          <w:szCs w:val="22"/>
          <w14:ligatures w14:val="standardContextual"/>
        </w:rPr>
        <w:t xml:space="preserve">World Telecommunication Development Conference 2025 (WTDC-25). This document, prepared for the RPM for the Arab States </w:t>
      </w:r>
      <w:r w:rsidR="00C71032">
        <w:rPr>
          <w:rFonts w:ascii="Aptos" w:eastAsia="Aptos" w:hAnsi="Aptos" w:cs="Arial"/>
          <w:kern w:val="2"/>
          <w:sz w:val="22"/>
          <w:szCs w:val="22"/>
          <w14:ligatures w14:val="standardContextual"/>
        </w:rPr>
        <w:t xml:space="preserve">region </w:t>
      </w:r>
      <w:r w:rsidRPr="005F7253">
        <w:rPr>
          <w:rFonts w:ascii="Aptos" w:eastAsia="Aptos" w:hAnsi="Aptos" w:cs="Arial"/>
          <w:kern w:val="2"/>
          <w:sz w:val="22"/>
          <w:szCs w:val="22"/>
          <w14:ligatures w14:val="standardContextual"/>
        </w:rPr>
        <w:t>on 4-5 February 2025, seeks to inform participants and stakeholders as they set the region’s digital agenda.</w:t>
      </w:r>
      <w:r w:rsidRPr="005F7253">
        <w:rPr>
          <w:rFonts w:ascii="Aptos" w:eastAsia="Aptos" w:hAnsi="Aptos" w:cs="Arial"/>
          <w:kern w:val="2"/>
          <w:sz w:val="22"/>
          <w:szCs w:val="22"/>
          <w:vertAlign w:val="superscript"/>
          <w14:ligatures w14:val="standardContextual"/>
        </w:rPr>
        <w:footnoteReference w:id="2"/>
      </w:r>
      <w:r w:rsidRPr="005F7253">
        <w:rPr>
          <w:rFonts w:ascii="Aptos" w:eastAsia="Aptos" w:hAnsi="Aptos" w:cs="Arial"/>
          <w:kern w:val="2"/>
          <w:sz w:val="22"/>
          <w:szCs w:val="22"/>
          <w14:ligatures w14:val="standardContextual"/>
        </w:rPr>
        <w:t xml:space="preserve"> It is structured in two parts: the first provides an overview of the state of digital connectivity in the Arab States through key indicators, and the second highlights impactful case studies from the region.</w:t>
      </w:r>
    </w:p>
    <w:p w14:paraId="03F13459" w14:textId="3DA7900E"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A region marked by digital diversity.</w:t>
      </w:r>
      <w:r w:rsidRPr="005F7253">
        <w:rPr>
          <w:rFonts w:ascii="Aptos" w:eastAsia="Aptos" w:hAnsi="Aptos" w:cs="Arial"/>
          <w:kern w:val="2"/>
          <w:sz w:val="22"/>
          <w:szCs w:val="22"/>
          <w14:ligatures w14:val="standardContextual"/>
        </w:rPr>
        <w:t xml:space="preserve"> The</w:t>
      </w:r>
      <w:r w:rsidR="0057583C">
        <w:rPr>
          <w:rFonts w:ascii="Aptos" w:eastAsia="Aptos" w:hAnsi="Aptos" w:cs="Arial"/>
          <w:kern w:val="2"/>
          <w:sz w:val="22"/>
          <w:szCs w:val="22"/>
          <w14:ligatures w14:val="standardContextual"/>
        </w:rPr>
        <w:t xml:space="preserve"> countries in the</w:t>
      </w:r>
      <w:r w:rsidRPr="005F7253">
        <w:rPr>
          <w:rFonts w:ascii="Aptos" w:eastAsia="Aptos" w:hAnsi="Aptos" w:cs="Arial"/>
          <w:kern w:val="2"/>
          <w:sz w:val="22"/>
          <w:szCs w:val="22"/>
          <w14:ligatures w14:val="standardContextual"/>
        </w:rPr>
        <w:t xml:space="preserve"> Arab States </w:t>
      </w:r>
      <w:r w:rsidR="0039110F">
        <w:rPr>
          <w:rFonts w:ascii="Aptos" w:eastAsia="Aptos" w:hAnsi="Aptos" w:cs="Arial"/>
          <w:kern w:val="2"/>
          <w:sz w:val="22"/>
          <w:szCs w:val="22"/>
          <w14:ligatures w14:val="standardContextual"/>
        </w:rPr>
        <w:t>r</w:t>
      </w:r>
      <w:r w:rsidR="0057583C">
        <w:rPr>
          <w:rFonts w:ascii="Aptos" w:eastAsia="Aptos" w:hAnsi="Aptos" w:cs="Arial"/>
          <w:kern w:val="2"/>
          <w:sz w:val="22"/>
          <w:szCs w:val="22"/>
          <w14:ligatures w14:val="standardContextual"/>
        </w:rPr>
        <w:t xml:space="preserve">egion </w:t>
      </w:r>
      <w:r w:rsidRPr="005F7253">
        <w:rPr>
          <w:rFonts w:ascii="Aptos" w:eastAsia="Aptos" w:hAnsi="Aptos" w:cs="Arial"/>
          <w:kern w:val="2"/>
          <w:sz w:val="22"/>
          <w:szCs w:val="22"/>
          <w14:ligatures w14:val="standardContextual"/>
        </w:rPr>
        <w:t xml:space="preserve">are characterized by stark diversity in digital development, shaped by socio-economic, geographic, demographic and geopolitical factors. Regional averages conceal vast disparities across and within countries and should be interpreted with caution. For instance, there is an 82-percentage-point gap between the country with the region’s lowest Internet penetration and those </w:t>
      </w:r>
      <w:r w:rsidR="00C71032">
        <w:rPr>
          <w:rFonts w:ascii="Aptos" w:eastAsia="Aptos" w:hAnsi="Aptos" w:cs="Arial"/>
          <w:kern w:val="2"/>
          <w:sz w:val="22"/>
          <w:szCs w:val="22"/>
          <w14:ligatures w14:val="standardContextual"/>
        </w:rPr>
        <w:t xml:space="preserve">countries </w:t>
      </w:r>
      <w:r w:rsidRPr="005F7253">
        <w:rPr>
          <w:rFonts w:ascii="Aptos" w:eastAsia="Aptos" w:hAnsi="Aptos" w:cs="Arial"/>
          <w:kern w:val="2"/>
          <w:sz w:val="22"/>
          <w:szCs w:val="22"/>
          <w14:ligatures w14:val="standardContextual"/>
        </w:rPr>
        <w:t xml:space="preserve">with universal usage. Country-level data featured in this document </w:t>
      </w:r>
      <w:r w:rsidR="00C71032">
        <w:rPr>
          <w:rFonts w:ascii="Aptos" w:eastAsia="Aptos" w:hAnsi="Aptos" w:cs="Arial"/>
          <w:kern w:val="2"/>
          <w:sz w:val="22"/>
          <w:szCs w:val="22"/>
          <w14:ligatures w14:val="standardContextual"/>
        </w:rPr>
        <w:t>provides the necessary granularity for the analysis</w:t>
      </w:r>
      <w:r w:rsidRPr="005F7253">
        <w:rPr>
          <w:rFonts w:ascii="Aptos" w:eastAsia="Aptos" w:hAnsi="Aptos" w:cs="Arial"/>
          <w:kern w:val="2"/>
          <w:sz w:val="22"/>
          <w:szCs w:val="22"/>
          <w14:ligatures w14:val="standardContextual"/>
        </w:rPr>
        <w:t xml:space="preserve">. </w:t>
      </w:r>
    </w:p>
    <w:p w14:paraId="5771F08F" w14:textId="0DEBB1CD"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Universal access within reach.</w:t>
      </w:r>
      <w:r w:rsidRPr="005F7253">
        <w:rPr>
          <w:rFonts w:ascii="Aptos" w:eastAsia="Aptos" w:hAnsi="Aptos" w:cs="Arial"/>
          <w:kern w:val="2"/>
          <w:sz w:val="22"/>
          <w:szCs w:val="22"/>
          <w14:ligatures w14:val="standardContextual"/>
        </w:rPr>
        <w:t xml:space="preserve"> An estimated 95 per cent of the population in the </w:t>
      </w:r>
      <w:r w:rsidR="00D54CAD">
        <w:rPr>
          <w:rFonts w:ascii="Aptos" w:eastAsia="Aptos" w:hAnsi="Aptos" w:cs="Arial"/>
          <w:kern w:val="2"/>
          <w:sz w:val="22"/>
          <w:szCs w:val="22"/>
          <w14:ligatures w14:val="standardContextual"/>
        </w:rPr>
        <w:t xml:space="preserve">region </w:t>
      </w:r>
      <w:r w:rsidRPr="005F7253">
        <w:rPr>
          <w:rFonts w:ascii="Aptos" w:eastAsia="Aptos" w:hAnsi="Aptos" w:cs="Arial"/>
          <w:kern w:val="2"/>
          <w:sz w:val="22"/>
          <w:szCs w:val="22"/>
          <w14:ligatures w14:val="standardContextual"/>
        </w:rPr>
        <w:t xml:space="preserve">is covered by a mobile broadband network which </w:t>
      </w:r>
      <w:r w:rsidR="00C71032">
        <w:rPr>
          <w:rFonts w:ascii="Aptos" w:eastAsia="Aptos" w:hAnsi="Aptos" w:cs="Arial"/>
          <w:kern w:val="2"/>
          <w:sz w:val="22"/>
          <w:szCs w:val="22"/>
          <w14:ligatures w14:val="standardContextual"/>
        </w:rPr>
        <w:t xml:space="preserve">supports </w:t>
      </w:r>
      <w:r w:rsidRPr="005F7253">
        <w:rPr>
          <w:rFonts w:ascii="Aptos" w:eastAsia="Aptos" w:hAnsi="Aptos" w:cs="Arial"/>
          <w:kern w:val="2"/>
          <w:sz w:val="22"/>
          <w:szCs w:val="22"/>
          <w14:ligatures w14:val="standardContextual"/>
        </w:rPr>
        <w:t xml:space="preserve">access to the Internet. </w:t>
      </w:r>
      <w:r w:rsidR="00C71032">
        <w:rPr>
          <w:rFonts w:ascii="Aptos" w:eastAsia="Aptos" w:hAnsi="Aptos" w:cs="Arial"/>
          <w:kern w:val="2"/>
          <w:sz w:val="22"/>
          <w:szCs w:val="22"/>
          <w14:ligatures w14:val="standardContextual"/>
        </w:rPr>
        <w:t>T</w:t>
      </w:r>
      <w:r w:rsidRPr="005F7253">
        <w:rPr>
          <w:rFonts w:ascii="Aptos" w:eastAsia="Aptos" w:hAnsi="Aptos" w:cs="Arial"/>
          <w:kern w:val="2"/>
          <w:sz w:val="22"/>
          <w:szCs w:val="22"/>
          <w14:ligatures w14:val="standardContextual"/>
        </w:rPr>
        <w:t xml:space="preserve">he region is </w:t>
      </w:r>
      <w:r w:rsidR="00C71032">
        <w:rPr>
          <w:rFonts w:ascii="Aptos" w:eastAsia="Aptos" w:hAnsi="Aptos" w:cs="Arial"/>
          <w:kern w:val="2"/>
          <w:sz w:val="22"/>
          <w:szCs w:val="22"/>
          <w14:ligatures w14:val="standardContextual"/>
        </w:rPr>
        <w:t xml:space="preserve">thus </w:t>
      </w:r>
      <w:r w:rsidRPr="005F7253">
        <w:rPr>
          <w:rFonts w:ascii="Aptos" w:eastAsia="Aptos" w:hAnsi="Aptos" w:cs="Arial"/>
          <w:kern w:val="2"/>
          <w:sz w:val="22"/>
          <w:szCs w:val="22"/>
          <w14:ligatures w14:val="standardContextual"/>
        </w:rPr>
        <w:t xml:space="preserve">on the </w:t>
      </w:r>
      <w:r w:rsidR="00C71032">
        <w:rPr>
          <w:rFonts w:ascii="Aptos" w:eastAsia="Aptos" w:hAnsi="Aptos" w:cs="Arial"/>
          <w:kern w:val="2"/>
          <w:sz w:val="22"/>
          <w:szCs w:val="22"/>
          <w14:ligatures w14:val="standardContextual"/>
        </w:rPr>
        <w:t xml:space="preserve">cusp </w:t>
      </w:r>
      <w:r w:rsidRPr="005F7253">
        <w:rPr>
          <w:rFonts w:ascii="Aptos" w:eastAsia="Aptos" w:hAnsi="Aptos" w:cs="Arial"/>
          <w:kern w:val="2"/>
          <w:sz w:val="22"/>
          <w:szCs w:val="22"/>
          <w14:ligatures w14:val="standardContextual"/>
        </w:rPr>
        <w:t xml:space="preserve">of achieving universal access. The focus must now shift </w:t>
      </w:r>
      <w:r w:rsidR="002312FA">
        <w:rPr>
          <w:rFonts w:ascii="Aptos" w:eastAsia="Aptos" w:hAnsi="Aptos" w:cs="Arial"/>
          <w:kern w:val="2"/>
          <w:sz w:val="22"/>
          <w:szCs w:val="22"/>
          <w14:ligatures w14:val="standardContextual"/>
        </w:rPr>
        <w:t>towards</w:t>
      </w:r>
      <w:r w:rsidRPr="005F7253">
        <w:rPr>
          <w:rFonts w:ascii="Aptos" w:eastAsia="Aptos" w:hAnsi="Aptos" w:cs="Arial"/>
          <w:kern w:val="2"/>
          <w:sz w:val="22"/>
          <w:szCs w:val="22"/>
          <w14:ligatures w14:val="standardContextual"/>
        </w:rPr>
        <w:t xml:space="preserve"> addressing barriers to usage and improving the quality of the online experience. </w:t>
      </w:r>
    </w:p>
    <w:p w14:paraId="4926931E" w14:textId="1E30B721"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Barriers continue to limit Internet use.</w:t>
      </w:r>
      <w:r w:rsidRPr="005F7253">
        <w:rPr>
          <w:rFonts w:ascii="Aptos" w:eastAsia="Aptos" w:hAnsi="Aptos" w:cs="Arial"/>
          <w:kern w:val="2"/>
          <w:sz w:val="22"/>
          <w:szCs w:val="22"/>
          <w14:ligatures w14:val="standardContextual"/>
        </w:rPr>
        <w:t xml:space="preserve"> Even though over 90 per cent of the region’s population had access to the Internet</w:t>
      </w:r>
      <w:r w:rsidR="00C71032">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only 70 per cent was online as of 2024. This indicates that connectivity </w:t>
      </w:r>
      <w:r w:rsidR="00C71032">
        <w:rPr>
          <w:rFonts w:ascii="Aptos" w:eastAsia="Aptos" w:hAnsi="Aptos" w:cs="Arial"/>
          <w:kern w:val="2"/>
          <w:sz w:val="22"/>
          <w:szCs w:val="22"/>
          <w14:ligatures w14:val="standardContextual"/>
        </w:rPr>
        <w:t xml:space="preserve">faces </w:t>
      </w:r>
      <w:r w:rsidRPr="005F7253">
        <w:rPr>
          <w:rFonts w:ascii="Aptos" w:eastAsia="Aptos" w:hAnsi="Aptos" w:cs="Arial"/>
          <w:kern w:val="2"/>
          <w:sz w:val="22"/>
          <w:szCs w:val="22"/>
          <w14:ligatures w14:val="standardContextual"/>
        </w:rPr>
        <w:t>challenge</w:t>
      </w:r>
      <w:r w:rsidR="00C71032">
        <w:rPr>
          <w:rFonts w:ascii="Aptos" w:eastAsia="Aptos" w:hAnsi="Aptos" w:cs="Arial"/>
          <w:kern w:val="2"/>
          <w:sz w:val="22"/>
          <w:szCs w:val="22"/>
          <w14:ligatures w14:val="standardContextual"/>
        </w:rPr>
        <w:t>s</w:t>
      </w:r>
      <w:r w:rsidRPr="005F7253">
        <w:rPr>
          <w:rFonts w:ascii="Aptos" w:eastAsia="Aptos" w:hAnsi="Aptos" w:cs="Arial"/>
          <w:kern w:val="2"/>
          <w:sz w:val="22"/>
          <w:szCs w:val="22"/>
          <w14:ligatures w14:val="standardContextual"/>
        </w:rPr>
        <w:t xml:space="preserve"> </w:t>
      </w:r>
      <w:r w:rsidR="00C71032">
        <w:rPr>
          <w:rFonts w:ascii="Aptos" w:eastAsia="Aptos" w:hAnsi="Aptos" w:cs="Arial"/>
          <w:kern w:val="2"/>
          <w:sz w:val="22"/>
          <w:szCs w:val="22"/>
          <w14:ligatures w14:val="standardContextual"/>
        </w:rPr>
        <w:t xml:space="preserve">that go </w:t>
      </w:r>
      <w:r w:rsidRPr="005F7253">
        <w:rPr>
          <w:rFonts w:ascii="Aptos" w:eastAsia="Aptos" w:hAnsi="Aptos" w:cs="Arial"/>
          <w:kern w:val="2"/>
          <w:sz w:val="22"/>
          <w:szCs w:val="22"/>
          <w14:ligatures w14:val="standardContextual"/>
        </w:rPr>
        <w:t>beyond infrastructure. Other barriers include lack of awareness about the Internet and its benefits, lack of affordability, and limited digital skills. These not only prevent individuals from using the Internet but also affect the quality of the online experience</w:t>
      </w:r>
      <w:r w:rsidR="00C71032">
        <w:rPr>
          <w:rFonts w:ascii="Aptos" w:eastAsia="Aptos" w:hAnsi="Aptos" w:cs="Arial"/>
          <w:kern w:val="2"/>
          <w:sz w:val="22"/>
          <w:szCs w:val="22"/>
          <w14:ligatures w14:val="standardContextual"/>
        </w:rPr>
        <w:t xml:space="preserve"> for those that do</w:t>
      </w:r>
      <w:r w:rsidRPr="005F7253">
        <w:rPr>
          <w:rFonts w:ascii="Aptos" w:eastAsia="Aptos" w:hAnsi="Aptos" w:cs="Arial"/>
          <w:kern w:val="2"/>
          <w:sz w:val="22"/>
          <w:szCs w:val="22"/>
          <w14:ligatures w14:val="standardContextual"/>
        </w:rPr>
        <w:t>.</w:t>
      </w:r>
    </w:p>
    <w:p w14:paraId="67E6CAE6" w14:textId="6E5D17EA"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Mobile Internet is generally affordable.</w:t>
      </w:r>
      <w:r w:rsidRPr="005F7253">
        <w:rPr>
          <w:rFonts w:ascii="Aptos" w:eastAsia="Aptos" w:hAnsi="Aptos" w:cs="Arial"/>
          <w:kern w:val="2"/>
          <w:sz w:val="22"/>
          <w:szCs w:val="22"/>
          <w14:ligatures w14:val="standardContextual"/>
        </w:rPr>
        <w:t xml:space="preserve"> Affordability remains a significant barrier to both usage and an improved online experience. While mobile broadband is generally affordable across the region, </w:t>
      </w:r>
      <w:r w:rsidR="00AD37FE" w:rsidRPr="005F7253">
        <w:rPr>
          <w:rFonts w:ascii="Aptos" w:eastAsia="Aptos" w:hAnsi="Aptos" w:cs="Arial"/>
          <w:kern w:val="2"/>
          <w:sz w:val="22"/>
          <w:szCs w:val="22"/>
          <w14:ligatures w14:val="standardContextual"/>
        </w:rPr>
        <w:t xml:space="preserve">in low-income economies </w:t>
      </w:r>
      <w:r w:rsidRPr="005F7253">
        <w:rPr>
          <w:rFonts w:ascii="Aptos" w:eastAsia="Aptos" w:hAnsi="Aptos" w:cs="Arial"/>
          <w:kern w:val="2"/>
          <w:sz w:val="22"/>
          <w:szCs w:val="22"/>
          <w14:ligatures w14:val="standardContextual"/>
        </w:rPr>
        <w:t>fixed broadband costs frequently exceed 5 per cent of gross national income per capita.</w:t>
      </w:r>
    </w:p>
    <w:p w14:paraId="1C02D411" w14:textId="5F83EBFE"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Infrastructure challenges hinder connectivity.</w:t>
      </w:r>
      <w:r w:rsidRPr="005F7253">
        <w:rPr>
          <w:rFonts w:ascii="Aptos" w:eastAsia="Aptos" w:hAnsi="Aptos" w:cs="Arial"/>
          <w:kern w:val="2"/>
          <w:sz w:val="22"/>
          <w:szCs w:val="22"/>
          <w14:ligatures w14:val="standardContextual"/>
        </w:rPr>
        <w:t xml:space="preserve"> The ability to fully reap the benefit</w:t>
      </w:r>
      <w:r w:rsidR="00C71032">
        <w:rPr>
          <w:rFonts w:ascii="Aptos" w:eastAsia="Aptos" w:hAnsi="Aptos" w:cs="Arial"/>
          <w:kern w:val="2"/>
          <w:sz w:val="22"/>
          <w:szCs w:val="22"/>
          <w14:ligatures w14:val="standardContextual"/>
        </w:rPr>
        <w:t>s</w:t>
      </w:r>
      <w:r w:rsidRPr="005F7253">
        <w:rPr>
          <w:rFonts w:ascii="Aptos" w:eastAsia="Aptos" w:hAnsi="Aptos" w:cs="Arial"/>
          <w:kern w:val="2"/>
          <w:sz w:val="22"/>
          <w:szCs w:val="22"/>
          <w14:ligatures w14:val="standardContextual"/>
        </w:rPr>
        <w:t xml:space="preserve"> of the Internet is heavily shaped by the reliability and speed of the connection. In the Arab States, 5G roll-out has been significantly slower than the global average. As of 2024, 5G remained unavailable in 75 per cent of the region's </w:t>
      </w:r>
      <w:proofErr w:type="gramStart"/>
      <w:r w:rsidRPr="005F7253">
        <w:rPr>
          <w:rFonts w:ascii="Aptos" w:eastAsia="Aptos" w:hAnsi="Aptos" w:cs="Arial"/>
          <w:kern w:val="2"/>
          <w:sz w:val="22"/>
          <w:szCs w:val="22"/>
          <w14:ligatures w14:val="standardContextual"/>
        </w:rPr>
        <w:t>economies, and</w:t>
      </w:r>
      <w:proofErr w:type="gramEnd"/>
      <w:r w:rsidRPr="005F7253">
        <w:rPr>
          <w:rFonts w:ascii="Aptos" w:eastAsia="Aptos" w:hAnsi="Aptos" w:cs="Arial"/>
          <w:kern w:val="2"/>
          <w:sz w:val="22"/>
          <w:szCs w:val="22"/>
          <w14:ligatures w14:val="standardContextual"/>
        </w:rPr>
        <w:t xml:space="preserve"> was only available to 13 per cent of the population. Additionally, fixed broadband penetration remains very low, at just </w:t>
      </w:r>
      <w:r w:rsidR="00C71032">
        <w:rPr>
          <w:rFonts w:ascii="Aptos" w:eastAsia="Aptos" w:hAnsi="Aptos" w:cs="Arial"/>
          <w:kern w:val="2"/>
          <w:sz w:val="22"/>
          <w:szCs w:val="22"/>
          <w14:ligatures w14:val="standardContextual"/>
        </w:rPr>
        <w:t>one-</w:t>
      </w:r>
      <w:r w:rsidRPr="005F7253">
        <w:rPr>
          <w:rFonts w:ascii="Aptos" w:eastAsia="Aptos" w:hAnsi="Aptos" w:cs="Arial"/>
          <w:kern w:val="2"/>
          <w:sz w:val="22"/>
          <w:szCs w:val="22"/>
          <w14:ligatures w14:val="standardContextual"/>
        </w:rPr>
        <w:t>half the global average.</w:t>
      </w:r>
    </w:p>
    <w:p w14:paraId="338E42FA" w14:textId="08666C2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 xml:space="preserve">ICT skills </w:t>
      </w:r>
      <w:r w:rsidR="00C71032">
        <w:rPr>
          <w:rFonts w:ascii="Aptos" w:eastAsia="Aptos" w:hAnsi="Aptos" w:cs="Arial"/>
          <w:b/>
          <w:bCs/>
          <w:kern w:val="2"/>
          <w:sz w:val="22"/>
          <w:szCs w:val="22"/>
          <w14:ligatures w14:val="standardContextual"/>
        </w:rPr>
        <w:t xml:space="preserve">are crucial for realizing the potential of the </w:t>
      </w:r>
      <w:r w:rsidRPr="005F7253">
        <w:rPr>
          <w:rFonts w:ascii="Aptos" w:eastAsia="Aptos" w:hAnsi="Aptos" w:cs="Arial"/>
          <w:b/>
          <w:bCs/>
          <w:kern w:val="2"/>
          <w:sz w:val="22"/>
          <w:szCs w:val="22"/>
          <w14:ligatures w14:val="standardContextual"/>
        </w:rPr>
        <w:t>Internet.</w:t>
      </w:r>
      <w:r w:rsidRPr="005F7253">
        <w:rPr>
          <w:rFonts w:ascii="Aptos" w:eastAsia="Aptos" w:hAnsi="Aptos" w:cs="Arial"/>
          <w:kern w:val="2"/>
          <w:sz w:val="22"/>
          <w:szCs w:val="22"/>
          <w14:ligatures w14:val="standardContextual"/>
        </w:rPr>
        <w:t xml:space="preserve"> ICT skills are a </w:t>
      </w:r>
      <w:r w:rsidR="00C71032">
        <w:rPr>
          <w:rFonts w:ascii="Aptos" w:eastAsia="Aptos" w:hAnsi="Aptos" w:cs="Arial"/>
          <w:kern w:val="2"/>
          <w:sz w:val="22"/>
          <w:szCs w:val="22"/>
          <w14:ligatures w14:val="standardContextual"/>
        </w:rPr>
        <w:t xml:space="preserve">key </w:t>
      </w:r>
      <w:r w:rsidRPr="005F7253">
        <w:rPr>
          <w:rFonts w:ascii="Aptos" w:eastAsia="Aptos" w:hAnsi="Aptos" w:cs="Arial"/>
          <w:kern w:val="2"/>
          <w:sz w:val="22"/>
          <w:szCs w:val="22"/>
          <w14:ligatures w14:val="standardContextual"/>
        </w:rPr>
        <w:t>enabler of digital transformation</w:t>
      </w:r>
      <w:r w:rsidR="006E7B99">
        <w:rPr>
          <w:rFonts w:ascii="Aptos" w:eastAsia="Aptos" w:hAnsi="Aptos" w:cs="Arial"/>
          <w:kern w:val="2"/>
          <w:sz w:val="22"/>
          <w:szCs w:val="22"/>
          <w14:ligatures w14:val="standardContextual"/>
        </w:rPr>
        <w:t>, but d</w:t>
      </w:r>
      <w:r w:rsidRPr="005F7253">
        <w:rPr>
          <w:rFonts w:ascii="Aptos" w:eastAsia="Aptos" w:hAnsi="Aptos" w:cs="Arial"/>
          <w:kern w:val="2"/>
          <w:sz w:val="22"/>
          <w:szCs w:val="22"/>
          <w14:ligatures w14:val="standardContextual"/>
        </w:rPr>
        <w:t xml:space="preserve">ata on </w:t>
      </w:r>
      <w:r w:rsidR="006E7B99">
        <w:rPr>
          <w:rFonts w:ascii="Aptos" w:eastAsia="Aptos" w:hAnsi="Aptos" w:cs="Arial"/>
          <w:kern w:val="2"/>
          <w:sz w:val="22"/>
          <w:szCs w:val="22"/>
          <w14:ligatures w14:val="standardContextual"/>
        </w:rPr>
        <w:t xml:space="preserve">the prevalence of such skills within the population </w:t>
      </w:r>
      <w:r w:rsidRPr="005F7253">
        <w:rPr>
          <w:rFonts w:ascii="Aptos" w:eastAsia="Aptos" w:hAnsi="Aptos" w:cs="Arial"/>
          <w:kern w:val="2"/>
          <w:sz w:val="22"/>
          <w:szCs w:val="22"/>
          <w14:ligatures w14:val="standardContextual"/>
        </w:rPr>
        <w:t xml:space="preserve">remain exceedingly sparse in the Arab States. </w:t>
      </w:r>
      <w:r w:rsidR="006E7B99">
        <w:rPr>
          <w:rFonts w:ascii="Aptos" w:eastAsia="Aptos" w:hAnsi="Aptos" w:cs="Arial"/>
          <w:kern w:val="2"/>
          <w:sz w:val="22"/>
          <w:szCs w:val="22"/>
          <w14:ligatures w14:val="standardContextual"/>
        </w:rPr>
        <w:t xml:space="preserve">The </w:t>
      </w:r>
      <w:r w:rsidRPr="005F7253">
        <w:rPr>
          <w:rFonts w:ascii="Aptos" w:eastAsia="Aptos" w:hAnsi="Aptos" w:cs="Arial"/>
          <w:kern w:val="2"/>
          <w:sz w:val="22"/>
          <w:szCs w:val="22"/>
          <w14:ligatures w14:val="standardContextual"/>
        </w:rPr>
        <w:t xml:space="preserve">data </w:t>
      </w:r>
      <w:r w:rsidR="006E7B99">
        <w:rPr>
          <w:rFonts w:ascii="Aptos" w:eastAsia="Aptos" w:hAnsi="Aptos" w:cs="Arial"/>
          <w:kern w:val="2"/>
          <w:sz w:val="22"/>
          <w:szCs w:val="22"/>
          <w14:ligatures w14:val="standardContextual"/>
        </w:rPr>
        <w:t xml:space="preserve">that </w:t>
      </w:r>
      <w:r w:rsidR="00AD37FE">
        <w:rPr>
          <w:rFonts w:ascii="Aptos" w:eastAsia="Aptos" w:hAnsi="Aptos" w:cs="Arial"/>
          <w:kern w:val="2"/>
          <w:sz w:val="22"/>
          <w:szCs w:val="22"/>
          <w14:ligatures w14:val="standardContextual"/>
        </w:rPr>
        <w:t>are</w:t>
      </w:r>
      <w:r w:rsidR="006E7B99">
        <w:rPr>
          <w:rFonts w:ascii="Aptos" w:eastAsia="Aptos" w:hAnsi="Aptos" w:cs="Arial"/>
          <w:kern w:val="2"/>
          <w:sz w:val="22"/>
          <w:szCs w:val="22"/>
          <w14:ligatures w14:val="standardContextual"/>
        </w:rPr>
        <w:t xml:space="preserve"> available nonetheless reveal </w:t>
      </w:r>
      <w:r w:rsidRPr="005F7253">
        <w:rPr>
          <w:rFonts w:ascii="Aptos" w:eastAsia="Aptos" w:hAnsi="Aptos" w:cs="Arial"/>
          <w:kern w:val="2"/>
          <w:sz w:val="22"/>
          <w:szCs w:val="22"/>
          <w14:ligatures w14:val="standardContextual"/>
        </w:rPr>
        <w:t>significant disparities in digital proficiency, particularly in areas such as problem-solving and safety skills, which are essential for meaningful participation in the digital economy.</w:t>
      </w:r>
    </w:p>
    <w:p w14:paraId="73AC5080" w14:textId="47C882BB"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Digital divides deepen inequalities.</w:t>
      </w:r>
      <w:r w:rsidRPr="005F7253">
        <w:rPr>
          <w:rFonts w:ascii="Aptos" w:eastAsia="Aptos" w:hAnsi="Aptos" w:cs="Arial"/>
          <w:kern w:val="2"/>
          <w:sz w:val="22"/>
          <w:szCs w:val="22"/>
          <w14:ligatures w14:val="standardContextual"/>
        </w:rPr>
        <w:t xml:space="preserve"> Within most Arab States, significant digital divides across demographic groups hinder inclusive socio-economic development. The digital gender gap remains </w:t>
      </w:r>
      <w:r w:rsidR="006E7B99">
        <w:rPr>
          <w:rFonts w:ascii="Aptos" w:eastAsia="Aptos" w:hAnsi="Aptos" w:cs="Arial"/>
          <w:kern w:val="2"/>
          <w:sz w:val="22"/>
          <w:szCs w:val="22"/>
          <w14:ligatures w14:val="standardContextual"/>
        </w:rPr>
        <w:t>wide:</w:t>
      </w:r>
      <w:r w:rsidRPr="005F7253">
        <w:rPr>
          <w:rFonts w:ascii="Aptos" w:eastAsia="Aptos" w:hAnsi="Aptos" w:cs="Arial"/>
          <w:kern w:val="2"/>
          <w:sz w:val="22"/>
          <w:szCs w:val="22"/>
          <w14:ligatures w14:val="standardContextual"/>
        </w:rPr>
        <w:t xml:space="preserve"> </w:t>
      </w:r>
      <w:r w:rsidR="006E7B99">
        <w:rPr>
          <w:rFonts w:ascii="Aptos" w:eastAsia="Aptos" w:hAnsi="Aptos" w:cs="Arial"/>
          <w:kern w:val="2"/>
          <w:sz w:val="22"/>
          <w:szCs w:val="22"/>
          <w14:ligatures w14:val="standardContextual"/>
        </w:rPr>
        <w:t xml:space="preserve">across the region, </w:t>
      </w:r>
      <w:r w:rsidRPr="005F7253">
        <w:rPr>
          <w:rFonts w:ascii="Aptos" w:eastAsia="Aptos" w:hAnsi="Aptos" w:cs="Arial"/>
          <w:kern w:val="2"/>
          <w:sz w:val="22"/>
          <w:szCs w:val="22"/>
          <w14:ligatures w14:val="standardContextual"/>
        </w:rPr>
        <w:t xml:space="preserve">only 64 per cent of women </w:t>
      </w:r>
      <w:r w:rsidR="006E7B99">
        <w:rPr>
          <w:rFonts w:ascii="Aptos" w:eastAsia="Aptos" w:hAnsi="Aptos" w:cs="Arial"/>
          <w:kern w:val="2"/>
          <w:sz w:val="22"/>
          <w:szCs w:val="22"/>
          <w14:ligatures w14:val="standardContextual"/>
        </w:rPr>
        <w:t xml:space="preserve">are </w:t>
      </w:r>
      <w:r w:rsidRPr="005F7253">
        <w:rPr>
          <w:rFonts w:ascii="Aptos" w:eastAsia="Aptos" w:hAnsi="Aptos" w:cs="Arial"/>
          <w:kern w:val="2"/>
          <w:sz w:val="22"/>
          <w:szCs w:val="22"/>
          <w14:ligatures w14:val="standardContextual"/>
        </w:rPr>
        <w:t>online</w:t>
      </w:r>
      <w:r w:rsidR="006E7B99">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compared to 75 per cent of men</w:t>
      </w:r>
      <w:r w:rsidR="006E7B99">
        <w:rPr>
          <w:rFonts w:ascii="Aptos" w:eastAsia="Aptos" w:hAnsi="Aptos" w:cs="Arial"/>
          <w:kern w:val="2"/>
          <w:sz w:val="22"/>
          <w:szCs w:val="22"/>
          <w14:ligatures w14:val="standardContextual"/>
        </w:rPr>
        <w:t xml:space="preserve">. This </w:t>
      </w:r>
      <w:r w:rsidR="006E7B99">
        <w:rPr>
          <w:rFonts w:ascii="Aptos" w:eastAsia="Aptos" w:hAnsi="Aptos" w:cs="Arial"/>
          <w:kern w:val="2"/>
          <w:sz w:val="22"/>
          <w:szCs w:val="22"/>
          <w14:ligatures w14:val="standardContextual"/>
        </w:rPr>
        <w:lastRenderedPageBreak/>
        <w:t>limits</w:t>
      </w:r>
      <w:r w:rsidRPr="005F7253">
        <w:rPr>
          <w:rFonts w:ascii="Aptos" w:eastAsia="Aptos" w:hAnsi="Aptos" w:cs="Arial"/>
          <w:kern w:val="2"/>
          <w:sz w:val="22"/>
          <w:szCs w:val="22"/>
          <w14:ligatures w14:val="standardContextual"/>
        </w:rPr>
        <w:t xml:space="preserve"> opportunities for women to fully participate in the digital economy. Internet usage in the region’s rural areas stands at just 50 per cent</w:t>
      </w:r>
      <w:r w:rsidR="006E7B99">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compared to 83 per cent in urban areas. This exacerbates inequalities in access to education, healthcare, and economic opportunities. </w:t>
      </w:r>
      <w:r w:rsidR="006E7B99">
        <w:rPr>
          <w:rFonts w:ascii="Aptos" w:eastAsia="Aptos" w:hAnsi="Aptos" w:cs="Arial"/>
          <w:kern w:val="2"/>
          <w:sz w:val="22"/>
          <w:szCs w:val="22"/>
          <w14:ligatures w14:val="standardContextual"/>
        </w:rPr>
        <w:t>Furthermore</w:t>
      </w:r>
      <w:r w:rsidRPr="005F7253">
        <w:rPr>
          <w:rFonts w:ascii="Aptos" w:eastAsia="Aptos" w:hAnsi="Aptos" w:cs="Arial"/>
          <w:kern w:val="2"/>
          <w:sz w:val="22"/>
          <w:szCs w:val="22"/>
          <w14:ligatures w14:val="standardContextual"/>
        </w:rPr>
        <w:t xml:space="preserve">, </w:t>
      </w:r>
      <w:r w:rsidR="006E7B99">
        <w:rPr>
          <w:rFonts w:ascii="Aptos" w:eastAsia="Aptos" w:hAnsi="Aptos" w:cs="Arial"/>
          <w:kern w:val="2"/>
          <w:sz w:val="22"/>
          <w:szCs w:val="22"/>
          <w14:ligatures w14:val="standardContextual"/>
        </w:rPr>
        <w:t xml:space="preserve">older generations lag significantly behind </w:t>
      </w:r>
      <w:r w:rsidRPr="005F7253">
        <w:rPr>
          <w:rFonts w:ascii="Aptos" w:eastAsia="Aptos" w:hAnsi="Aptos" w:cs="Arial"/>
          <w:kern w:val="2"/>
          <w:sz w:val="22"/>
          <w:szCs w:val="22"/>
          <w14:ligatures w14:val="standardContextual"/>
        </w:rPr>
        <w:t xml:space="preserve">young people </w:t>
      </w:r>
      <w:r w:rsidR="006E7B99">
        <w:rPr>
          <w:rFonts w:ascii="Aptos" w:eastAsia="Aptos" w:hAnsi="Aptos" w:cs="Arial"/>
          <w:kern w:val="2"/>
          <w:sz w:val="22"/>
          <w:szCs w:val="22"/>
          <w14:ligatures w14:val="standardContextual"/>
        </w:rPr>
        <w:t xml:space="preserve">in </w:t>
      </w:r>
      <w:r w:rsidRPr="005F7253">
        <w:rPr>
          <w:rFonts w:ascii="Aptos" w:eastAsia="Aptos" w:hAnsi="Aptos" w:cs="Arial"/>
          <w:kern w:val="2"/>
          <w:sz w:val="22"/>
          <w:szCs w:val="22"/>
          <w14:ligatures w14:val="standardContextual"/>
        </w:rPr>
        <w:t>digital proficiency, creating a generational gap that risks leaving many behind in an increasingly digital world.</w:t>
      </w:r>
    </w:p>
    <w:p w14:paraId="34993CFB" w14:textId="35802803"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Closing the divides for digital to be an equalizer</w:t>
      </w:r>
      <w:r w:rsidRPr="005F7253">
        <w:rPr>
          <w:rFonts w:ascii="Aptos" w:eastAsia="Aptos" w:hAnsi="Aptos" w:cs="Arial"/>
          <w:kern w:val="2"/>
          <w:sz w:val="22"/>
          <w:szCs w:val="22"/>
          <w14:ligatures w14:val="standardContextual"/>
        </w:rPr>
        <w:t xml:space="preserve">. Bridging these divides is crucial to unlocking the full potential of digital transformation, particularly in countries facing high unemployment and significant socio-economic challenges. </w:t>
      </w:r>
      <w:r w:rsidR="00AD37FE">
        <w:rPr>
          <w:rFonts w:ascii="Aptos" w:eastAsia="Aptos" w:hAnsi="Aptos" w:cs="Arial"/>
          <w:kern w:val="2"/>
          <w:sz w:val="22"/>
          <w:szCs w:val="22"/>
          <w14:ligatures w14:val="standardContextual"/>
        </w:rPr>
        <w:t xml:space="preserve">Failure to close the </w:t>
      </w:r>
      <w:r w:rsidRPr="005F7253">
        <w:rPr>
          <w:rFonts w:ascii="Aptos" w:eastAsia="Aptos" w:hAnsi="Aptos" w:cs="Arial"/>
          <w:kern w:val="2"/>
          <w:sz w:val="22"/>
          <w:szCs w:val="22"/>
          <w14:ligatures w14:val="standardContextual"/>
        </w:rPr>
        <w:t xml:space="preserve">divides </w:t>
      </w:r>
      <w:r w:rsidR="006E7B99">
        <w:rPr>
          <w:rFonts w:ascii="Aptos" w:eastAsia="Aptos" w:hAnsi="Aptos" w:cs="Arial"/>
          <w:kern w:val="2"/>
          <w:sz w:val="22"/>
          <w:szCs w:val="22"/>
          <w14:ligatures w14:val="standardContextual"/>
        </w:rPr>
        <w:t xml:space="preserve">can </w:t>
      </w:r>
      <w:r w:rsidR="00AD37FE">
        <w:rPr>
          <w:rFonts w:ascii="Aptos" w:eastAsia="Aptos" w:hAnsi="Aptos" w:cs="Arial"/>
          <w:kern w:val="2"/>
          <w:sz w:val="22"/>
          <w:szCs w:val="22"/>
          <w14:ligatures w14:val="standardContextual"/>
        </w:rPr>
        <w:t xml:space="preserve">lead to </w:t>
      </w:r>
      <w:r w:rsidR="006E7B99">
        <w:rPr>
          <w:rFonts w:ascii="Aptos" w:eastAsia="Aptos" w:hAnsi="Aptos" w:cs="Arial"/>
          <w:kern w:val="2"/>
          <w:sz w:val="22"/>
          <w:szCs w:val="22"/>
          <w14:ligatures w14:val="standardContextual"/>
        </w:rPr>
        <w:t xml:space="preserve">a </w:t>
      </w:r>
      <w:r w:rsidRPr="005F7253">
        <w:rPr>
          <w:rFonts w:ascii="Aptos" w:eastAsia="Aptos" w:hAnsi="Aptos" w:cs="Arial"/>
          <w:kern w:val="2"/>
          <w:sz w:val="22"/>
          <w:szCs w:val="22"/>
          <w14:ligatures w14:val="standardContextual"/>
        </w:rPr>
        <w:t>multi-</w:t>
      </w:r>
      <w:r w:rsidR="006E7B99">
        <w:rPr>
          <w:rFonts w:ascii="Aptos" w:eastAsia="Aptos" w:hAnsi="Aptos" w:cs="Arial"/>
          <w:kern w:val="2"/>
          <w:sz w:val="22"/>
          <w:szCs w:val="22"/>
          <w14:ligatures w14:val="standardContextual"/>
        </w:rPr>
        <w:t>track</w:t>
      </w:r>
      <w:r w:rsidRPr="005F7253">
        <w:rPr>
          <w:rFonts w:ascii="Aptos" w:eastAsia="Aptos" w:hAnsi="Aptos" w:cs="Arial"/>
          <w:kern w:val="2"/>
          <w:sz w:val="22"/>
          <w:szCs w:val="22"/>
          <w14:ligatures w14:val="standardContextual"/>
        </w:rPr>
        <w:t xml:space="preserve"> </w:t>
      </w:r>
      <w:r w:rsidR="006E7B99">
        <w:rPr>
          <w:rFonts w:ascii="Aptos" w:eastAsia="Aptos" w:hAnsi="Aptos" w:cs="Arial"/>
          <w:kern w:val="2"/>
          <w:sz w:val="22"/>
          <w:szCs w:val="22"/>
          <w14:ligatures w14:val="standardContextual"/>
        </w:rPr>
        <w:t>region,</w:t>
      </w:r>
      <w:r w:rsidRPr="005F7253">
        <w:rPr>
          <w:rFonts w:ascii="Aptos" w:eastAsia="Aptos" w:hAnsi="Aptos" w:cs="Arial"/>
          <w:kern w:val="2"/>
          <w:sz w:val="22"/>
          <w:szCs w:val="22"/>
          <w14:ligatures w14:val="standardContextual"/>
        </w:rPr>
        <w:t xml:space="preserve"> deepening </w:t>
      </w:r>
      <w:r w:rsidR="006E7B99">
        <w:rPr>
          <w:rFonts w:ascii="Aptos" w:eastAsia="Aptos" w:hAnsi="Aptos" w:cs="Arial"/>
          <w:kern w:val="2"/>
          <w:sz w:val="22"/>
          <w:szCs w:val="22"/>
          <w14:ligatures w14:val="standardContextual"/>
        </w:rPr>
        <w:t xml:space="preserve">the existing </w:t>
      </w:r>
      <w:r w:rsidRPr="005F7253">
        <w:rPr>
          <w:rFonts w:ascii="Aptos" w:eastAsia="Aptos" w:hAnsi="Aptos" w:cs="Arial"/>
          <w:kern w:val="2"/>
          <w:sz w:val="22"/>
          <w:szCs w:val="22"/>
          <w14:ligatures w14:val="standardContextual"/>
        </w:rPr>
        <w:t>socio-economic disparities and fuelling tensions.</w:t>
      </w:r>
    </w:p>
    <w:p w14:paraId="75C53409" w14:textId="0CB83023"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Universal and meaningful connectivity as a global priority.</w:t>
      </w:r>
      <w:r w:rsidRPr="005F7253">
        <w:rPr>
          <w:rFonts w:ascii="Aptos" w:eastAsia="Aptos" w:hAnsi="Aptos" w:cs="Arial"/>
          <w:kern w:val="2"/>
          <w:sz w:val="22"/>
          <w:szCs w:val="22"/>
          <w14:ligatures w14:val="standardContextual"/>
        </w:rPr>
        <w:t xml:space="preserve"> Universal and meaningful connectivity (UMC) is a situation where everyone can enjoy a safe, enriching, and productive online experience at an affordable cost. Since 2021, this concept has emerged as a critical policy objective globally. </w:t>
      </w:r>
      <w:r w:rsidRPr="005F7253">
        <w:rPr>
          <w:rFonts w:ascii="Aptos" w:eastAsia="Aptos" w:hAnsi="Aptos" w:cs="Arial"/>
          <w:kern w:val="2"/>
          <w:sz w:val="22"/>
          <w:szCs w:val="22"/>
          <w:lang w:eastAsia="en-GB"/>
          <w14:ligatures w14:val="standardContextual"/>
        </w:rPr>
        <w:t xml:space="preserve">UMC does not mean everyone must be connected all the time. Instead, UMC is a situation where </w:t>
      </w:r>
      <w:r w:rsidRPr="005F7253">
        <w:rPr>
          <w:rFonts w:ascii="Aptos" w:eastAsia="Aptos" w:hAnsi="Aptos" w:cs="Arial"/>
          <w:kern w:val="2"/>
          <w:sz w:val="22"/>
          <w:szCs w:val="22"/>
          <w14:ligatures w14:val="standardContextual"/>
        </w:rPr>
        <w:t>everyone can access the Internet in optimal condition</w:t>
      </w:r>
      <w:r w:rsidR="006E7B99">
        <w:rPr>
          <w:rFonts w:ascii="Aptos" w:eastAsia="Aptos" w:hAnsi="Aptos" w:cs="Arial"/>
          <w:kern w:val="2"/>
          <w:sz w:val="22"/>
          <w:szCs w:val="22"/>
          <w14:ligatures w14:val="standardContextual"/>
        </w:rPr>
        <w:t>s</w:t>
      </w:r>
      <w:r w:rsidRPr="005F7253">
        <w:rPr>
          <w:rFonts w:ascii="Aptos" w:eastAsia="Aptos" w:hAnsi="Aptos" w:cs="Arial"/>
          <w:kern w:val="2"/>
          <w:sz w:val="22"/>
          <w:szCs w:val="22"/>
          <w14:ligatures w14:val="standardContextual"/>
        </w:rPr>
        <w:t>, at an affordable cost, whenever and wherever needed</w:t>
      </w:r>
      <w:r w:rsidRPr="005F7253">
        <w:rPr>
          <w:rFonts w:ascii="Aptos" w:eastAsia="Aptos" w:hAnsi="Aptos" w:cs="Arial"/>
          <w:kern w:val="2"/>
          <w:sz w:val="22"/>
          <w:szCs w:val="22"/>
          <w:lang w:eastAsia="en-GB"/>
          <w14:ligatures w14:val="standardContextual"/>
        </w:rPr>
        <w:t>. It is up to individua</w:t>
      </w:r>
      <w:r w:rsidRPr="005F7253">
        <w:rPr>
          <w:rFonts w:ascii="Aptos" w:eastAsia="Aptos" w:hAnsi="Aptos" w:cs="Arial"/>
          <w:kern w:val="2"/>
          <w:sz w:val="22"/>
          <w:szCs w:val="22"/>
          <w14:ligatures w14:val="standardContextual"/>
        </w:rPr>
        <w:t xml:space="preserve">ls to choose how to use this opportunity. </w:t>
      </w:r>
    </w:p>
    <w:p w14:paraId="296A28B8" w14:textId="1C55FF0F"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No single pathway towards UMC.</w:t>
      </w:r>
      <w:r w:rsidRPr="005F7253">
        <w:rPr>
          <w:rFonts w:ascii="Aptos" w:eastAsia="Aptos" w:hAnsi="Aptos" w:cs="Arial"/>
          <w:kern w:val="2"/>
          <w:sz w:val="22"/>
          <w:szCs w:val="22"/>
          <w14:ligatures w14:val="standardContextual"/>
        </w:rPr>
        <w:t xml:space="preserve"> Achieving UMC requires holistic strategies encompassing infrastructure, policy, education, and multistakeholder involvement. Recognizing the </w:t>
      </w:r>
      <w:r w:rsidR="006E7B99">
        <w:rPr>
          <w:rFonts w:ascii="Aptos" w:eastAsia="Aptos" w:hAnsi="Aptos" w:cs="Arial"/>
          <w:kern w:val="2"/>
          <w:sz w:val="22"/>
          <w:szCs w:val="22"/>
          <w14:ligatures w14:val="standardContextual"/>
        </w:rPr>
        <w:t xml:space="preserve">great </w:t>
      </w:r>
      <w:r w:rsidRPr="005F7253">
        <w:rPr>
          <w:rFonts w:ascii="Aptos" w:eastAsia="Aptos" w:hAnsi="Aptos" w:cs="Arial"/>
          <w:kern w:val="2"/>
          <w:sz w:val="22"/>
          <w:szCs w:val="22"/>
          <w14:ligatures w14:val="standardContextual"/>
        </w:rPr>
        <w:t xml:space="preserve">diversity of the Arab States, this document </w:t>
      </w:r>
      <w:r w:rsidR="006E7B99">
        <w:rPr>
          <w:rFonts w:ascii="Aptos" w:eastAsia="Aptos" w:hAnsi="Aptos" w:cs="Arial"/>
          <w:kern w:val="2"/>
          <w:sz w:val="22"/>
          <w:szCs w:val="22"/>
          <w14:ligatures w14:val="standardContextual"/>
        </w:rPr>
        <w:t xml:space="preserve">does not </w:t>
      </w:r>
      <w:r w:rsidRPr="005F7253">
        <w:rPr>
          <w:rFonts w:ascii="Aptos" w:eastAsia="Aptos" w:hAnsi="Aptos" w:cs="Arial"/>
          <w:kern w:val="2"/>
          <w:sz w:val="22"/>
          <w:szCs w:val="22"/>
          <w14:ligatures w14:val="standardContextual"/>
        </w:rPr>
        <w:t>propos</w:t>
      </w:r>
      <w:r w:rsidR="006E7B99">
        <w:rPr>
          <w:rFonts w:ascii="Aptos" w:eastAsia="Aptos" w:hAnsi="Aptos" w:cs="Arial"/>
          <w:kern w:val="2"/>
          <w:sz w:val="22"/>
          <w:szCs w:val="22"/>
          <w14:ligatures w14:val="standardContextual"/>
        </w:rPr>
        <w:t>e</w:t>
      </w:r>
      <w:r w:rsidRPr="005F7253">
        <w:rPr>
          <w:rFonts w:ascii="Aptos" w:eastAsia="Aptos" w:hAnsi="Aptos" w:cs="Arial"/>
          <w:kern w:val="2"/>
          <w:sz w:val="22"/>
          <w:szCs w:val="22"/>
          <w14:ligatures w14:val="standardContextual"/>
        </w:rPr>
        <w:t xml:space="preserve"> a one-size-fits-all digital strategy. Instead, cluster analysis </w:t>
      </w:r>
      <w:r w:rsidR="00AD37FE">
        <w:rPr>
          <w:rFonts w:ascii="Aptos" w:eastAsia="Aptos" w:hAnsi="Aptos" w:cs="Arial"/>
          <w:kern w:val="2"/>
          <w:sz w:val="22"/>
          <w:szCs w:val="22"/>
          <w14:ligatures w14:val="standardContextual"/>
        </w:rPr>
        <w:t xml:space="preserve">is used </w:t>
      </w:r>
      <w:r w:rsidRPr="005F7253">
        <w:rPr>
          <w:rFonts w:ascii="Aptos" w:eastAsia="Aptos" w:hAnsi="Aptos" w:cs="Arial"/>
          <w:kern w:val="2"/>
          <w:sz w:val="22"/>
          <w:szCs w:val="22"/>
          <w14:ligatures w14:val="standardContextual"/>
        </w:rPr>
        <w:t xml:space="preserve">to identify three distinct country groups </w:t>
      </w:r>
      <w:r w:rsidR="006E7B99">
        <w:rPr>
          <w:rFonts w:ascii="Aptos" w:eastAsia="Aptos" w:hAnsi="Aptos" w:cs="Arial"/>
          <w:kern w:val="2"/>
          <w:sz w:val="22"/>
          <w:szCs w:val="22"/>
          <w14:ligatures w14:val="standardContextual"/>
        </w:rPr>
        <w:t xml:space="preserve">characterized by </w:t>
      </w:r>
      <w:r w:rsidRPr="005F7253">
        <w:rPr>
          <w:rFonts w:ascii="Aptos" w:eastAsia="Aptos" w:hAnsi="Aptos" w:cs="Arial"/>
          <w:kern w:val="2"/>
          <w:sz w:val="22"/>
          <w:szCs w:val="22"/>
          <w14:ligatures w14:val="standardContextual"/>
        </w:rPr>
        <w:t>shared challenges</w:t>
      </w:r>
      <w:r w:rsidR="006E7B99">
        <w:rPr>
          <w:rFonts w:ascii="Aptos" w:eastAsia="Aptos" w:hAnsi="Aptos" w:cs="Arial"/>
          <w:kern w:val="2"/>
          <w:sz w:val="22"/>
          <w:szCs w:val="22"/>
          <w14:ligatures w14:val="standardContextual"/>
        </w:rPr>
        <w:t xml:space="preserve">. This </w:t>
      </w:r>
      <w:r w:rsidR="00080D1B">
        <w:rPr>
          <w:rFonts w:ascii="Aptos" w:eastAsia="Aptos" w:hAnsi="Aptos" w:cs="Arial"/>
          <w:kern w:val="2"/>
          <w:sz w:val="22"/>
          <w:szCs w:val="22"/>
          <w14:ligatures w14:val="standardContextual"/>
        </w:rPr>
        <w:t xml:space="preserve">creates </w:t>
      </w:r>
      <w:r w:rsidRPr="005F7253">
        <w:rPr>
          <w:rFonts w:ascii="Aptos" w:eastAsia="Aptos" w:hAnsi="Aptos" w:cs="Arial"/>
          <w:kern w:val="2"/>
          <w:sz w:val="22"/>
          <w:szCs w:val="22"/>
          <w14:ligatures w14:val="standardContextual"/>
        </w:rPr>
        <w:t>opportunities for emulation and knowledge sharing.</w:t>
      </w:r>
    </w:p>
    <w:p w14:paraId="68A8E09A" w14:textId="104B35EA"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Regulatory improvements can yield far-reaching gains.</w:t>
      </w:r>
      <w:r w:rsidRPr="005F7253">
        <w:rPr>
          <w:rFonts w:ascii="Aptos" w:eastAsia="Aptos" w:hAnsi="Aptos" w:cs="Arial"/>
          <w:kern w:val="2"/>
          <w:sz w:val="22"/>
          <w:szCs w:val="22"/>
          <w14:ligatures w14:val="standardContextual"/>
        </w:rPr>
        <w:t xml:space="preserve"> While the document does not provide specific policy recommendations, the analysis </w:t>
      </w:r>
      <w:r w:rsidR="00080D1B">
        <w:rPr>
          <w:rFonts w:ascii="Aptos" w:eastAsia="Aptos" w:hAnsi="Aptos" w:cs="Arial"/>
          <w:kern w:val="2"/>
          <w:sz w:val="22"/>
          <w:szCs w:val="22"/>
          <w14:ligatures w14:val="standardContextual"/>
        </w:rPr>
        <w:t xml:space="preserve">points to </w:t>
      </w:r>
      <w:r w:rsidRPr="005F7253">
        <w:rPr>
          <w:rFonts w:ascii="Aptos" w:eastAsia="Aptos" w:hAnsi="Aptos" w:cs="Arial"/>
          <w:kern w:val="2"/>
          <w:sz w:val="22"/>
          <w:szCs w:val="22"/>
          <w14:ligatures w14:val="standardContextual"/>
        </w:rPr>
        <w:t xml:space="preserve">significant scope for improving regulatory frameworks in the region. The quality of regulatory capacity and the overall environment in most countries </w:t>
      </w:r>
      <w:proofErr w:type="gramStart"/>
      <w:r w:rsidRPr="005F7253">
        <w:rPr>
          <w:rFonts w:ascii="Aptos" w:eastAsia="Aptos" w:hAnsi="Aptos" w:cs="Arial"/>
          <w:kern w:val="2"/>
          <w:sz w:val="22"/>
          <w:szCs w:val="22"/>
          <w14:ligatures w14:val="standardContextual"/>
        </w:rPr>
        <w:t>lag behind</w:t>
      </w:r>
      <w:proofErr w:type="gramEnd"/>
      <w:r w:rsidRPr="005F7253">
        <w:rPr>
          <w:rFonts w:ascii="Aptos" w:eastAsia="Aptos" w:hAnsi="Aptos" w:cs="Arial"/>
          <w:kern w:val="2"/>
          <w:sz w:val="22"/>
          <w:szCs w:val="22"/>
          <w14:ligatures w14:val="standardContextual"/>
        </w:rPr>
        <w:t xml:space="preserve"> the world average. A sound and conducive regulatory regime is essential to promote investment, adoption, and innovation in ICTs. Upgrading these frameworks can </w:t>
      </w:r>
      <w:r w:rsidR="00080D1B">
        <w:rPr>
          <w:rFonts w:ascii="Aptos" w:eastAsia="Aptos" w:hAnsi="Aptos" w:cs="Arial"/>
          <w:kern w:val="2"/>
          <w:sz w:val="22"/>
          <w:szCs w:val="22"/>
          <w14:ligatures w14:val="standardContextual"/>
        </w:rPr>
        <w:t xml:space="preserve">thus </w:t>
      </w:r>
      <w:r w:rsidRPr="005F7253">
        <w:rPr>
          <w:rFonts w:ascii="Aptos" w:eastAsia="Aptos" w:hAnsi="Aptos" w:cs="Arial"/>
          <w:kern w:val="2"/>
          <w:sz w:val="22"/>
          <w:szCs w:val="22"/>
          <w14:ligatures w14:val="standardContextual"/>
        </w:rPr>
        <w:t>lead to substantial gains.</w:t>
      </w:r>
    </w:p>
    <w:p w14:paraId="31BD51E8" w14:textId="32CC5942"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More and better data is part of the solution.</w:t>
      </w:r>
      <w:r w:rsidRPr="005F7253">
        <w:rPr>
          <w:rFonts w:ascii="Aptos" w:eastAsia="Aptos" w:hAnsi="Aptos" w:cs="Arial"/>
          <w:kern w:val="2"/>
          <w:sz w:val="22"/>
          <w:szCs w:val="22"/>
          <w14:ligatures w14:val="standardContextual"/>
        </w:rPr>
        <w:t xml:space="preserve"> Designing effective and targeted interventions and monitoring progress requires reliable data. Data availability in the Arab States is </w:t>
      </w:r>
      <w:r w:rsidR="00AD37FE">
        <w:rPr>
          <w:rFonts w:ascii="Aptos" w:eastAsia="Aptos" w:hAnsi="Aptos" w:cs="Arial"/>
          <w:kern w:val="2"/>
          <w:sz w:val="22"/>
          <w:szCs w:val="22"/>
          <w14:ligatures w14:val="standardContextual"/>
        </w:rPr>
        <w:t>uneven</w:t>
      </w:r>
      <w:r w:rsidRPr="005F7253">
        <w:rPr>
          <w:rFonts w:ascii="Aptos" w:eastAsia="Aptos" w:hAnsi="Aptos" w:cs="Arial"/>
          <w:kern w:val="2"/>
          <w:sz w:val="22"/>
          <w:szCs w:val="22"/>
          <w14:ligatures w14:val="standardContextual"/>
        </w:rPr>
        <w:t xml:space="preserve">, particularly disaggregated data by gender, location and age. Most countries do not fully assess key enablers </w:t>
      </w:r>
      <w:r w:rsidR="00AD37FE">
        <w:rPr>
          <w:rFonts w:ascii="Aptos" w:eastAsia="Aptos" w:hAnsi="Aptos" w:cs="Arial"/>
          <w:kern w:val="2"/>
          <w:sz w:val="22"/>
          <w:szCs w:val="22"/>
          <w14:ligatures w14:val="standardContextual"/>
        </w:rPr>
        <w:t>such as</w:t>
      </w:r>
      <w:r w:rsidR="00AD37F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ICT skills. Investing in data collection and quality improvement is vital, and ITU offers capacity development and technical assistance to support these efforts.</w:t>
      </w:r>
    </w:p>
    <w:p w14:paraId="751FD67D" w14:textId="47331CB0" w:rsidR="000D361E"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Showcasing the power of connectivity through impactful stories.</w:t>
      </w:r>
      <w:r w:rsidRPr="005F7253">
        <w:rPr>
          <w:rFonts w:ascii="Aptos" w:eastAsia="Aptos" w:hAnsi="Aptos" w:cs="Arial"/>
          <w:kern w:val="2"/>
          <w:sz w:val="22"/>
          <w:szCs w:val="22"/>
          <w14:ligatures w14:val="standardContextual"/>
        </w:rPr>
        <w:t xml:space="preserve"> The second part of the document presents a selection of impactful projects and initiatives led or supported by the </w:t>
      </w:r>
      <w:r w:rsidR="00AD37FE">
        <w:rPr>
          <w:rFonts w:ascii="Aptos" w:eastAsia="Aptos" w:hAnsi="Aptos" w:cs="Arial"/>
          <w:kern w:val="2"/>
          <w:sz w:val="22"/>
          <w:szCs w:val="22"/>
          <w14:ligatures w14:val="standardContextual"/>
        </w:rPr>
        <w:t xml:space="preserve">ITU </w:t>
      </w:r>
      <w:r w:rsidRPr="005F7253">
        <w:rPr>
          <w:rFonts w:ascii="Aptos" w:eastAsia="Aptos" w:hAnsi="Aptos" w:cs="Arial"/>
          <w:kern w:val="2"/>
          <w:sz w:val="22"/>
          <w:szCs w:val="22"/>
          <w14:ligatures w14:val="standardContextual"/>
        </w:rPr>
        <w:t>Telecommunication Development Bureau (BDT) in collaboration with regional stakeholders. These stories demonstrate how digital connectivity can transform lives by creating opportunities for education, healthcare, and entrepreneurship and empowering individuals and communities, especially in rural and underserved areas. The</w:t>
      </w:r>
      <w:r w:rsidR="00080D1B">
        <w:rPr>
          <w:rFonts w:ascii="Aptos" w:eastAsia="Aptos" w:hAnsi="Aptos" w:cs="Arial"/>
          <w:kern w:val="2"/>
          <w:sz w:val="22"/>
          <w:szCs w:val="22"/>
          <w14:ligatures w14:val="standardContextual"/>
        </w:rPr>
        <w:t>se</w:t>
      </w:r>
      <w:r w:rsidRPr="005F7253">
        <w:rPr>
          <w:rFonts w:ascii="Aptos" w:eastAsia="Aptos" w:hAnsi="Aptos" w:cs="Arial"/>
          <w:kern w:val="2"/>
          <w:sz w:val="22"/>
          <w:szCs w:val="22"/>
          <w14:ligatures w14:val="standardContextual"/>
        </w:rPr>
        <w:t xml:space="preserve"> are concrete, tangible examples of how ITU, Member States and partners can team up to tackle some of the challenges identified in this document and accelerate progress towards UMC.</w:t>
      </w:r>
    </w:p>
    <w:p w14:paraId="46FC0294" w14:textId="7CCF43EB"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br w:type="page"/>
      </w:r>
    </w:p>
    <w:p w14:paraId="4CFBC4AD"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bookmarkStart w:id="7" w:name="_Toc184940629"/>
      <w:r w:rsidRPr="005F7253">
        <w:rPr>
          <w:rFonts w:ascii="Aptos Display" w:eastAsia="Yu Gothic Light" w:hAnsi="Aptos Display"/>
          <w:color w:val="0F4761"/>
          <w:kern w:val="2"/>
          <w:sz w:val="40"/>
          <w:szCs w:val="40"/>
          <w14:ligatures w14:val="standardContextual"/>
        </w:rPr>
        <w:lastRenderedPageBreak/>
        <w:t>Part 1. The state of digital connectivity in the Arab States and recent trends</w:t>
      </w:r>
      <w:bookmarkEnd w:id="7"/>
    </w:p>
    <w:p w14:paraId="71B503AD"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8" w:name="_Toc184940630"/>
      <w:r w:rsidRPr="005F7253">
        <w:rPr>
          <w:rFonts w:ascii="Aptos Display" w:eastAsia="Yu Gothic Light" w:hAnsi="Aptos Display"/>
          <w:color w:val="0F4761"/>
          <w:kern w:val="2"/>
          <w:sz w:val="32"/>
          <w:szCs w:val="32"/>
          <w14:ligatures w14:val="standardContextual"/>
        </w:rPr>
        <w:t>ICT regulation and digital policy frameworks</w:t>
      </w:r>
      <w:bookmarkEnd w:id="8"/>
    </w:p>
    <w:p w14:paraId="485AF417" w14:textId="3F73068D"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The evolving landscape of ICT regulation and digital policy frameworks is central to shaping an inclusive and sustainable digital transformation</w:t>
      </w:r>
      <w:r w:rsidR="00586BBA">
        <w:rPr>
          <w:rFonts w:ascii="Aptos" w:eastAsia="Aptos" w:hAnsi="Aptos" w:cs="Arial"/>
          <w:kern w:val="2"/>
          <w:sz w:val="22"/>
          <w:szCs w:val="22"/>
          <w14:ligatures w14:val="standardContextual"/>
        </w:rPr>
        <w:t>. It is thus</w:t>
      </w:r>
      <w:r w:rsidRPr="005F7253">
        <w:rPr>
          <w:rFonts w:ascii="Aptos" w:eastAsia="Aptos" w:hAnsi="Aptos" w:cs="Arial"/>
          <w:kern w:val="2"/>
          <w:sz w:val="22"/>
          <w:szCs w:val="22"/>
          <w14:ligatures w14:val="standardContextual"/>
        </w:rPr>
        <w:t xml:space="preserve"> essential to benchmark progress, identify good practices and address gaps to ensure national frameworks remain adaptive and impactful.</w:t>
      </w:r>
    </w:p>
    <w:p w14:paraId="6452F417" w14:textId="041E28B1"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ICT regulation in the Arab States region</w:t>
      </w:r>
      <w:r w:rsidR="00BE114F" w:rsidRPr="005F7253">
        <w:rPr>
          <w:rFonts w:ascii="Aptos" w:eastAsia="Aptos" w:hAnsi="Aptos" w:cs="Arial"/>
          <w:b/>
          <w:bCs/>
          <w:i/>
          <w:iCs/>
          <w:kern w:val="2"/>
          <w:sz w:val="22"/>
          <w:szCs w:val="22"/>
          <w14:ligatures w14:val="standardContextual"/>
        </w:rPr>
        <w:t xml:space="preserve"> is progressing steadily</w:t>
      </w:r>
      <w:r w:rsidRPr="005F7253">
        <w:rPr>
          <w:rFonts w:ascii="Aptos" w:eastAsia="Aptos" w:hAnsi="Aptos" w:cs="Arial"/>
          <w:b/>
          <w:bCs/>
          <w:i/>
          <w:iCs/>
          <w:kern w:val="2"/>
          <w:sz w:val="22"/>
          <w:szCs w:val="22"/>
          <w14:ligatures w14:val="standardContextual"/>
        </w:rPr>
        <w:t>, but gaps remain</w:t>
      </w:r>
    </w:p>
    <w:p w14:paraId="5D6AF91C" w14:textId="2823F16B"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Over the past 15 years the region has made significant strides</w:t>
      </w:r>
      <w:r w:rsidR="00BE114F" w:rsidRPr="005F7253">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advancing through the generations of ICT regulation. In 2007 fewer than 10 per cent of Arab States were classified as G3, </w:t>
      </w:r>
      <w:r w:rsidR="00BE114F" w:rsidRPr="005F7253">
        <w:rPr>
          <w:rFonts w:ascii="Aptos" w:eastAsia="Aptos" w:hAnsi="Aptos" w:cs="Arial"/>
          <w:kern w:val="2"/>
          <w:sz w:val="22"/>
          <w:szCs w:val="22"/>
          <w14:ligatures w14:val="standardContextual"/>
        </w:rPr>
        <w:t xml:space="preserve">and </w:t>
      </w:r>
      <w:r w:rsidRPr="005F7253">
        <w:rPr>
          <w:rFonts w:ascii="Aptos" w:eastAsia="Aptos" w:hAnsi="Aptos" w:cs="Arial"/>
          <w:kern w:val="2"/>
          <w:sz w:val="22"/>
          <w:szCs w:val="22"/>
          <w14:ligatures w14:val="standardContextual"/>
        </w:rPr>
        <w:t xml:space="preserve">none </w:t>
      </w:r>
      <w:r w:rsidR="00BE114F" w:rsidRPr="005F7253">
        <w:rPr>
          <w:rFonts w:ascii="Aptos" w:eastAsia="Aptos" w:hAnsi="Aptos" w:cs="Arial"/>
          <w:kern w:val="2"/>
          <w:sz w:val="22"/>
          <w:szCs w:val="22"/>
          <w14:ligatures w14:val="standardContextual"/>
        </w:rPr>
        <w:t xml:space="preserve">had </w:t>
      </w:r>
      <w:r w:rsidRPr="005F7253">
        <w:rPr>
          <w:rFonts w:ascii="Aptos" w:eastAsia="Aptos" w:hAnsi="Aptos" w:cs="Arial"/>
          <w:kern w:val="2"/>
          <w:sz w:val="22"/>
          <w:szCs w:val="22"/>
          <w14:ligatures w14:val="standardContextual"/>
        </w:rPr>
        <w:t>achiev</w:t>
      </w:r>
      <w:r w:rsidR="00BE114F" w:rsidRPr="005F7253">
        <w:rPr>
          <w:rFonts w:ascii="Aptos" w:eastAsia="Aptos" w:hAnsi="Aptos" w:cs="Arial"/>
          <w:kern w:val="2"/>
          <w:sz w:val="22"/>
          <w:szCs w:val="22"/>
          <w14:ligatures w14:val="standardContextual"/>
        </w:rPr>
        <w:t>ed</w:t>
      </w:r>
      <w:r w:rsidRPr="005F7253">
        <w:rPr>
          <w:rFonts w:ascii="Aptos" w:eastAsia="Aptos" w:hAnsi="Aptos" w:cs="Arial"/>
          <w:kern w:val="2"/>
          <w:sz w:val="22"/>
          <w:szCs w:val="22"/>
          <w14:ligatures w14:val="standardContextual"/>
        </w:rPr>
        <w:t xml:space="preserve"> G4 status</w:t>
      </w:r>
      <w:r w:rsidR="00BE114F" w:rsidRPr="005F7253">
        <w:rPr>
          <w:rFonts w:ascii="Aptos" w:eastAsia="Aptos" w:hAnsi="Aptos" w:cs="Arial"/>
          <w:kern w:val="2"/>
          <w:sz w:val="22"/>
          <w:szCs w:val="22"/>
          <w14:ligatures w14:val="standardContextual"/>
        </w:rPr>
        <w:t xml:space="preserve"> (the two </w:t>
      </w:r>
      <w:r w:rsidR="00586BBA">
        <w:rPr>
          <w:rFonts w:ascii="Aptos" w:eastAsia="Aptos" w:hAnsi="Aptos" w:cs="Arial"/>
          <w:kern w:val="2"/>
          <w:sz w:val="22"/>
          <w:szCs w:val="22"/>
          <w14:ligatures w14:val="standardContextual"/>
        </w:rPr>
        <w:t xml:space="preserve">more </w:t>
      </w:r>
      <w:r w:rsidR="00BE114F" w:rsidRPr="005F7253">
        <w:rPr>
          <w:rFonts w:ascii="Aptos" w:eastAsia="Aptos" w:hAnsi="Aptos" w:cs="Arial"/>
          <w:kern w:val="2"/>
          <w:sz w:val="22"/>
          <w:szCs w:val="22"/>
          <w14:ligatures w14:val="standardContextual"/>
        </w:rPr>
        <w:t>advanced generations)</w:t>
      </w:r>
      <w:r w:rsidRPr="005F7253">
        <w:rPr>
          <w:rFonts w:ascii="Aptos" w:eastAsia="Aptos" w:hAnsi="Aptos" w:cs="Arial"/>
          <w:kern w:val="2"/>
          <w:sz w:val="22"/>
          <w:szCs w:val="22"/>
          <w14:ligatures w14:val="standardContextual"/>
        </w:rPr>
        <w:t xml:space="preserve">. Today, nearly 55 per cent of the region </w:t>
      </w:r>
      <w:r w:rsidR="00BE114F" w:rsidRPr="005F7253">
        <w:rPr>
          <w:rFonts w:ascii="Aptos" w:eastAsia="Aptos" w:hAnsi="Aptos" w:cs="Arial"/>
          <w:kern w:val="2"/>
          <w:sz w:val="22"/>
          <w:szCs w:val="22"/>
          <w14:ligatures w14:val="standardContextual"/>
        </w:rPr>
        <w:t>ha</w:t>
      </w:r>
      <w:r w:rsidR="00664612" w:rsidRPr="005F7253">
        <w:rPr>
          <w:rFonts w:ascii="Aptos" w:eastAsia="Aptos" w:hAnsi="Aptos" w:cs="Arial"/>
          <w:kern w:val="2"/>
          <w:sz w:val="22"/>
          <w:szCs w:val="22"/>
          <w14:ligatures w14:val="standardContextual"/>
        </w:rPr>
        <w:t>ve</w:t>
      </w:r>
      <w:r w:rsidR="00BE114F" w:rsidRPr="005F7253">
        <w:rPr>
          <w:rFonts w:ascii="Aptos" w:eastAsia="Aptos" w:hAnsi="Aptos" w:cs="Arial"/>
          <w:kern w:val="2"/>
          <w:sz w:val="22"/>
          <w:szCs w:val="22"/>
          <w14:ligatures w14:val="standardContextual"/>
        </w:rPr>
        <w:t xml:space="preserve"> reached </w:t>
      </w:r>
      <w:r w:rsidRPr="005F7253">
        <w:rPr>
          <w:rFonts w:ascii="Aptos" w:eastAsia="Aptos" w:hAnsi="Aptos" w:cs="Arial"/>
          <w:kern w:val="2"/>
          <w:sz w:val="22"/>
          <w:szCs w:val="22"/>
          <w14:ligatures w14:val="standardContextual"/>
        </w:rPr>
        <w:t xml:space="preserve">G3 </w:t>
      </w:r>
      <w:r w:rsidR="00BE114F" w:rsidRPr="005F7253">
        <w:rPr>
          <w:rFonts w:ascii="Aptos" w:eastAsia="Aptos" w:hAnsi="Aptos" w:cs="Arial"/>
          <w:kern w:val="2"/>
          <w:sz w:val="22"/>
          <w:szCs w:val="22"/>
          <w14:ligatures w14:val="standardContextual"/>
        </w:rPr>
        <w:t xml:space="preserve">or </w:t>
      </w:r>
      <w:r w:rsidRPr="005F7253">
        <w:rPr>
          <w:rFonts w:ascii="Aptos" w:eastAsia="Aptos" w:hAnsi="Aptos" w:cs="Arial"/>
          <w:kern w:val="2"/>
          <w:sz w:val="22"/>
          <w:szCs w:val="22"/>
          <w14:ligatures w14:val="standardContextual"/>
        </w:rPr>
        <w:t>G4. Morocco led the way as the first Arab State to attain G4 status</w:t>
      </w:r>
      <w:r w:rsidR="006C6179">
        <w:rPr>
          <w:rFonts w:ascii="Aptos" w:eastAsia="Aptos" w:hAnsi="Aptos" w:cs="Arial"/>
          <w:kern w:val="2"/>
          <w:sz w:val="22"/>
          <w:szCs w:val="22"/>
          <w14:ligatures w14:val="standardContextual"/>
        </w:rPr>
        <w:t xml:space="preserve"> in 2012</w:t>
      </w:r>
      <w:r w:rsidRPr="005F7253">
        <w:rPr>
          <w:rFonts w:ascii="Aptos" w:eastAsia="Aptos" w:hAnsi="Aptos" w:cs="Arial"/>
          <w:kern w:val="2"/>
          <w:sz w:val="22"/>
          <w:szCs w:val="22"/>
          <w14:ligatures w14:val="standardContextual"/>
        </w:rPr>
        <w:t xml:space="preserve">, achieving this milestone five years after </w:t>
      </w:r>
      <w:r w:rsidR="00BE114F" w:rsidRPr="005F7253">
        <w:rPr>
          <w:rFonts w:ascii="Aptos" w:eastAsia="Aptos" w:hAnsi="Aptos" w:cs="Arial"/>
          <w:kern w:val="2"/>
          <w:sz w:val="22"/>
          <w:szCs w:val="22"/>
          <w14:ligatures w14:val="standardContextual"/>
        </w:rPr>
        <w:t xml:space="preserve">the first country ever had </w:t>
      </w:r>
      <w:r w:rsidRPr="005F7253">
        <w:rPr>
          <w:rFonts w:ascii="Aptos" w:eastAsia="Aptos" w:hAnsi="Aptos" w:cs="Arial"/>
          <w:kern w:val="2"/>
          <w:sz w:val="22"/>
          <w:szCs w:val="22"/>
          <w14:ligatures w14:val="standardContextual"/>
        </w:rPr>
        <w:t>reached</w:t>
      </w:r>
      <w:r w:rsidR="00BE114F" w:rsidRPr="005F7253">
        <w:rPr>
          <w:rFonts w:ascii="Aptos" w:eastAsia="Aptos" w:hAnsi="Aptos" w:cs="Arial"/>
          <w:kern w:val="2"/>
          <w:sz w:val="22"/>
          <w:szCs w:val="22"/>
          <w14:ligatures w14:val="standardContextual"/>
        </w:rPr>
        <w:t xml:space="preserve"> it</w:t>
      </w:r>
      <w:r w:rsidRPr="005F7253">
        <w:rPr>
          <w:rFonts w:ascii="Aptos" w:eastAsia="Aptos" w:hAnsi="Aptos" w:cs="Arial"/>
          <w:kern w:val="2"/>
          <w:sz w:val="22"/>
          <w:szCs w:val="22"/>
          <w14:ligatures w14:val="standardContextual"/>
        </w:rPr>
        <w:t xml:space="preserve">. By 2022 Bahrain, Jordan, Morocco, Oman and Saudi Arabia had also advanced to G4, </w:t>
      </w:r>
      <w:r w:rsidR="00B736B7">
        <w:rPr>
          <w:rFonts w:ascii="Aptos" w:eastAsia="Aptos" w:hAnsi="Aptos" w:cs="Arial"/>
          <w:kern w:val="2"/>
          <w:sz w:val="22"/>
          <w:szCs w:val="22"/>
          <w14:ligatures w14:val="standardContextual"/>
        </w:rPr>
        <w:t>bringing the total to</w:t>
      </w:r>
      <w:r w:rsidRPr="005F7253">
        <w:rPr>
          <w:rFonts w:ascii="Aptos" w:eastAsia="Aptos" w:hAnsi="Aptos" w:cs="Arial"/>
          <w:kern w:val="2"/>
          <w:sz w:val="22"/>
          <w:szCs w:val="22"/>
          <w14:ligatures w14:val="standardContextual"/>
        </w:rPr>
        <w:t xml:space="preserve"> 74 countries worldwide benefiting from </w:t>
      </w:r>
      <w:r w:rsidR="00C41017" w:rsidRPr="005F7253">
        <w:rPr>
          <w:rFonts w:ascii="Aptos" w:eastAsia="Aptos" w:hAnsi="Aptos" w:cs="Arial"/>
          <w:kern w:val="2"/>
          <w:sz w:val="22"/>
          <w:szCs w:val="22"/>
          <w14:ligatures w14:val="standardContextual"/>
        </w:rPr>
        <w:t xml:space="preserve">an </w:t>
      </w:r>
      <w:r w:rsidRPr="005F7253">
        <w:rPr>
          <w:rFonts w:ascii="Aptos" w:eastAsia="Aptos" w:hAnsi="Aptos" w:cs="Arial"/>
          <w:kern w:val="2"/>
          <w:sz w:val="22"/>
          <w:szCs w:val="22"/>
          <w14:ligatures w14:val="standardContextual"/>
        </w:rPr>
        <w:t>enabling ICT regulatory environment.</w:t>
      </w:r>
    </w:p>
    <w:p w14:paraId="6BE39072"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Evolution of the generations of ICT regulation in the Arab States</w:t>
      </w:r>
    </w:p>
    <w:p w14:paraId="14294720"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7498BBB1" wp14:editId="22656C24">
            <wp:extent cx="5731510" cy="2870200"/>
            <wp:effectExtent l="0" t="0" r="2540" b="6350"/>
            <wp:docPr id="4688930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9308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31510" cy="2870200"/>
                    </a:xfrm>
                    <a:prstGeom prst="rect">
                      <a:avLst/>
                    </a:prstGeom>
                  </pic:spPr>
                </pic:pic>
              </a:graphicData>
            </a:graphic>
          </wp:inline>
        </w:drawing>
      </w:r>
      <w:r w:rsidRPr="005F7253">
        <w:rPr>
          <w:rFonts w:ascii="Aptos" w:eastAsia="Aptos" w:hAnsi="Aptos" w:cs="Arial"/>
          <w:kern w:val="2"/>
          <w:sz w:val="16"/>
          <w:szCs w:val="28"/>
          <w14:ligatures w14:val="standardContextual"/>
        </w:rPr>
        <w:t xml:space="preserve"> </w:t>
      </w:r>
    </w:p>
    <w:p w14:paraId="0E9A44B6" w14:textId="265D6B6A"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Note: The ‘Generations of ICT regulation’ provides a high-level conceptual framework for </w:t>
      </w:r>
      <w:r w:rsidR="009F419F" w:rsidRPr="005F7253">
        <w:rPr>
          <w:rFonts w:ascii="Aptos" w:eastAsia="Aptos" w:hAnsi="Aptos" w:cs="Arial"/>
          <w:kern w:val="2"/>
          <w:sz w:val="16"/>
          <w:szCs w:val="28"/>
          <w14:ligatures w14:val="standardContextual"/>
        </w:rPr>
        <w:t xml:space="preserve">assessing </w:t>
      </w:r>
      <w:r w:rsidRPr="005F7253">
        <w:rPr>
          <w:rFonts w:ascii="Aptos" w:eastAsia="Aptos" w:hAnsi="Aptos" w:cs="Arial"/>
          <w:kern w:val="2"/>
          <w:sz w:val="16"/>
          <w:szCs w:val="28"/>
          <w14:ligatures w14:val="standardContextual"/>
        </w:rPr>
        <w:t xml:space="preserve">the overall development of national legal instruments, policies and governance for the ICT and digital sectors. Generations 1 through 4 are based on </w:t>
      </w:r>
      <w:hyperlink r:id="rId14" w:history="1">
        <w:r w:rsidRPr="0083647A">
          <w:rPr>
            <w:rFonts w:ascii="Aptos" w:eastAsia="Aptos" w:hAnsi="Aptos" w:cs="Arial"/>
            <w:color w:val="467886"/>
            <w:kern w:val="2"/>
            <w:sz w:val="16"/>
            <w:szCs w:val="16"/>
            <w:u w:val="single"/>
            <w14:ligatures w14:val="standardContextual"/>
          </w:rPr>
          <w:t>ICT Regulatory Tracker</w:t>
        </w:r>
      </w:hyperlink>
      <w:r w:rsidR="00507DB0">
        <w:rPr>
          <w:rFonts w:ascii="Aptos" w:eastAsia="Aptos" w:hAnsi="Aptos" w:cs="Arial"/>
          <w:kern w:val="2"/>
          <w:sz w:val="16"/>
          <w:szCs w:val="28"/>
          <w14:ligatures w14:val="standardContextual"/>
        </w:rPr>
        <w:t xml:space="preserve"> s</w:t>
      </w:r>
      <w:r w:rsidRPr="005F7253">
        <w:rPr>
          <w:rFonts w:ascii="Aptos" w:eastAsia="Aptos" w:hAnsi="Aptos" w:cs="Arial"/>
          <w:kern w:val="2"/>
          <w:sz w:val="16"/>
          <w:szCs w:val="28"/>
          <w14:ligatures w14:val="standardContextual"/>
        </w:rPr>
        <w:t>cores:</w:t>
      </w:r>
    </w:p>
    <w:p w14:paraId="4F4AA26E" w14:textId="066F926E"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G1 – Command and control approach: </w:t>
      </w:r>
      <w:r w:rsidR="00BF2AA9">
        <w:rPr>
          <w:rFonts w:ascii="Aptos" w:eastAsia="Aptos" w:hAnsi="Aptos" w:cs="Arial"/>
          <w:kern w:val="2"/>
          <w:sz w:val="16"/>
          <w:szCs w:val="28"/>
          <w14:ligatures w14:val="standardContextual"/>
        </w:rPr>
        <w:t xml:space="preserve">score between </w:t>
      </w:r>
      <w:r w:rsidRPr="005F7253">
        <w:rPr>
          <w:rFonts w:ascii="Aptos" w:eastAsia="Aptos" w:hAnsi="Aptos" w:cs="Arial"/>
          <w:kern w:val="2"/>
          <w:sz w:val="16"/>
          <w:szCs w:val="28"/>
          <w14:ligatures w14:val="standardContextual"/>
        </w:rPr>
        <w:t xml:space="preserve">0 </w:t>
      </w:r>
      <w:r w:rsidR="00633DEA">
        <w:rPr>
          <w:rFonts w:ascii="Aptos" w:eastAsia="Aptos" w:hAnsi="Aptos" w:cs="Arial"/>
          <w:kern w:val="2"/>
          <w:sz w:val="16"/>
          <w:szCs w:val="28"/>
          <w14:ligatures w14:val="standardContextual"/>
        </w:rPr>
        <w:t>and</w:t>
      </w:r>
      <w:r w:rsidRPr="005F7253">
        <w:rPr>
          <w:rFonts w:ascii="Aptos" w:eastAsia="Aptos" w:hAnsi="Aptos" w:cs="Arial"/>
          <w:kern w:val="2"/>
          <w:sz w:val="16"/>
          <w:szCs w:val="28"/>
          <w14:ligatures w14:val="standardContextual"/>
        </w:rPr>
        <w:t xml:space="preserve"> 40 </w:t>
      </w:r>
      <w:r w:rsidRPr="005F7253">
        <w:rPr>
          <w:rFonts w:ascii="Aptos" w:eastAsia="Aptos" w:hAnsi="Aptos" w:cs="Arial"/>
          <w:kern w:val="2"/>
          <w:sz w:val="16"/>
          <w:szCs w:val="28"/>
          <w14:ligatures w14:val="standardContextual"/>
        </w:rPr>
        <w:br/>
        <w:t xml:space="preserve">G2 – Early open markets: </w:t>
      </w:r>
      <w:r w:rsidR="00633DEA">
        <w:rPr>
          <w:rFonts w:ascii="Aptos" w:eastAsia="Aptos" w:hAnsi="Aptos" w:cs="Arial"/>
          <w:kern w:val="2"/>
          <w:sz w:val="16"/>
          <w:szCs w:val="28"/>
          <w14:ligatures w14:val="standardContextual"/>
        </w:rPr>
        <w:t xml:space="preserve">score between </w:t>
      </w:r>
      <w:r w:rsidRPr="005F7253">
        <w:rPr>
          <w:rFonts w:ascii="Aptos" w:eastAsia="Aptos" w:hAnsi="Aptos" w:cs="Arial"/>
          <w:kern w:val="2"/>
          <w:sz w:val="16"/>
          <w:szCs w:val="28"/>
          <w14:ligatures w14:val="standardContextual"/>
        </w:rPr>
        <w:t xml:space="preserve">40 </w:t>
      </w:r>
      <w:r w:rsidR="00633DEA">
        <w:rPr>
          <w:rFonts w:ascii="Aptos" w:eastAsia="Aptos" w:hAnsi="Aptos" w:cs="Arial"/>
          <w:kern w:val="2"/>
          <w:sz w:val="16"/>
          <w:szCs w:val="28"/>
          <w14:ligatures w14:val="standardContextual"/>
        </w:rPr>
        <w:t>and</w:t>
      </w:r>
      <w:r w:rsidR="00633DEA" w:rsidRPr="005F7253">
        <w:rPr>
          <w:rFonts w:ascii="Aptos" w:eastAsia="Aptos" w:hAnsi="Aptos" w:cs="Arial"/>
          <w:kern w:val="2"/>
          <w:sz w:val="16"/>
          <w:szCs w:val="28"/>
          <w14:ligatures w14:val="standardContextual"/>
        </w:rPr>
        <w:t xml:space="preserve"> </w:t>
      </w:r>
      <w:r w:rsidRPr="005F7253">
        <w:rPr>
          <w:rFonts w:ascii="Aptos" w:eastAsia="Aptos" w:hAnsi="Aptos" w:cs="Arial"/>
          <w:kern w:val="2"/>
          <w:sz w:val="16"/>
          <w:szCs w:val="28"/>
          <w14:ligatures w14:val="standardContextual"/>
        </w:rPr>
        <w:t xml:space="preserve">70 </w:t>
      </w:r>
      <w:r w:rsidRPr="005F7253">
        <w:rPr>
          <w:rFonts w:ascii="Aptos" w:eastAsia="Aptos" w:hAnsi="Aptos" w:cs="Arial"/>
          <w:kern w:val="2"/>
          <w:sz w:val="16"/>
          <w:szCs w:val="28"/>
          <w14:ligatures w14:val="standardContextual"/>
        </w:rPr>
        <w:br/>
        <w:t xml:space="preserve">G3 – Enabling investment and access: </w:t>
      </w:r>
      <w:r w:rsidR="00633DEA">
        <w:rPr>
          <w:rFonts w:ascii="Aptos" w:eastAsia="Aptos" w:hAnsi="Aptos" w:cs="Arial"/>
          <w:kern w:val="2"/>
          <w:sz w:val="16"/>
          <w:szCs w:val="28"/>
          <w14:ligatures w14:val="standardContextual"/>
        </w:rPr>
        <w:t xml:space="preserve">score between </w:t>
      </w:r>
      <w:r w:rsidRPr="005F7253">
        <w:rPr>
          <w:rFonts w:ascii="Aptos" w:eastAsia="Aptos" w:hAnsi="Aptos" w:cs="Arial"/>
          <w:kern w:val="2"/>
          <w:sz w:val="16"/>
          <w:szCs w:val="28"/>
          <w14:ligatures w14:val="standardContextual"/>
        </w:rPr>
        <w:t xml:space="preserve">70 </w:t>
      </w:r>
      <w:r w:rsidR="00633DEA">
        <w:rPr>
          <w:rFonts w:ascii="Aptos" w:eastAsia="Aptos" w:hAnsi="Aptos" w:cs="Arial"/>
          <w:kern w:val="2"/>
          <w:sz w:val="16"/>
          <w:szCs w:val="28"/>
          <w14:ligatures w14:val="standardContextual"/>
        </w:rPr>
        <w:t>and</w:t>
      </w:r>
      <w:r w:rsidR="00633DEA" w:rsidRPr="005F7253">
        <w:rPr>
          <w:rFonts w:ascii="Aptos" w:eastAsia="Aptos" w:hAnsi="Aptos" w:cs="Arial"/>
          <w:kern w:val="2"/>
          <w:sz w:val="16"/>
          <w:szCs w:val="28"/>
          <w14:ligatures w14:val="standardContextual"/>
        </w:rPr>
        <w:t xml:space="preserve"> </w:t>
      </w:r>
      <w:r w:rsidRPr="005F7253">
        <w:rPr>
          <w:rFonts w:ascii="Aptos" w:eastAsia="Aptos" w:hAnsi="Aptos" w:cs="Arial"/>
          <w:kern w:val="2"/>
          <w:sz w:val="16"/>
          <w:szCs w:val="28"/>
          <w14:ligatures w14:val="standardContextual"/>
        </w:rPr>
        <w:t xml:space="preserve">85 </w:t>
      </w:r>
      <w:r w:rsidRPr="005F7253">
        <w:rPr>
          <w:rFonts w:ascii="Aptos" w:eastAsia="Aptos" w:hAnsi="Aptos" w:cs="Arial"/>
          <w:kern w:val="2"/>
          <w:sz w:val="16"/>
          <w:szCs w:val="28"/>
          <w14:ligatures w14:val="standardContextual"/>
        </w:rPr>
        <w:br/>
        <w:t xml:space="preserve">G4 – Integrated telecommunication regulation: </w:t>
      </w:r>
      <w:r w:rsidR="00633DEA">
        <w:rPr>
          <w:rFonts w:ascii="Aptos" w:eastAsia="Aptos" w:hAnsi="Aptos" w:cs="Arial"/>
          <w:kern w:val="2"/>
          <w:sz w:val="16"/>
          <w:szCs w:val="28"/>
          <w14:ligatures w14:val="standardContextual"/>
        </w:rPr>
        <w:t xml:space="preserve">score between </w:t>
      </w:r>
      <w:r w:rsidRPr="005F7253">
        <w:rPr>
          <w:rFonts w:ascii="Aptos" w:eastAsia="Aptos" w:hAnsi="Aptos" w:cs="Arial"/>
          <w:kern w:val="2"/>
          <w:sz w:val="16"/>
          <w:szCs w:val="28"/>
          <w14:ligatures w14:val="standardContextual"/>
        </w:rPr>
        <w:t xml:space="preserve">85 </w:t>
      </w:r>
      <w:r w:rsidR="00633DEA">
        <w:rPr>
          <w:rFonts w:ascii="Aptos" w:eastAsia="Aptos" w:hAnsi="Aptos" w:cs="Arial"/>
          <w:kern w:val="2"/>
          <w:sz w:val="16"/>
          <w:szCs w:val="28"/>
          <w14:ligatures w14:val="standardContextual"/>
        </w:rPr>
        <w:t xml:space="preserve">and </w:t>
      </w:r>
      <w:r w:rsidRPr="005F7253">
        <w:rPr>
          <w:rFonts w:ascii="Aptos" w:eastAsia="Aptos" w:hAnsi="Aptos" w:cs="Arial"/>
          <w:kern w:val="2"/>
          <w:sz w:val="16"/>
          <w:szCs w:val="28"/>
          <w14:ligatures w14:val="standardContextual"/>
        </w:rPr>
        <w:t>100</w:t>
      </w:r>
    </w:p>
    <w:p w14:paraId="7D462528"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Data for 2021 is unavailable; 2020 data is used as a proxy for 2021.</w:t>
      </w:r>
    </w:p>
    <w:p w14:paraId="070C6F83"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031EB15C" w14:textId="638241CA" w:rsidR="006C41B5" w:rsidRPr="00AC230D"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AC230D">
        <w:rPr>
          <w:rFonts w:ascii="Aptos" w:eastAsia="Aptos" w:hAnsi="Aptos"/>
          <w:kern w:val="2"/>
          <w:sz w:val="22"/>
          <w14:ligatures w14:val="standardContextual"/>
        </w:rPr>
        <w:t>Overall, t</w:t>
      </w:r>
      <w:r w:rsidRPr="005F7253">
        <w:rPr>
          <w:rFonts w:ascii="Aptos" w:eastAsia="Aptos" w:hAnsi="Aptos" w:cs="Arial"/>
          <w:kern w:val="2"/>
          <w:sz w:val="22"/>
          <w:szCs w:val="22"/>
          <w14:ligatures w14:val="standardContextual"/>
        </w:rPr>
        <w:t xml:space="preserve">he Arab States region demonstrates an ICT regulatory maturity level that is 10 points below the global average, with an average regional score of 62.7 </w:t>
      </w:r>
      <w:r w:rsidR="00212572">
        <w:rPr>
          <w:rFonts w:ascii="Aptos" w:eastAsia="Aptos" w:hAnsi="Aptos" w:cs="Arial"/>
          <w:kern w:val="2"/>
          <w:sz w:val="22"/>
          <w:szCs w:val="22"/>
          <w14:ligatures w14:val="standardContextual"/>
        </w:rPr>
        <w:t>(</w:t>
      </w:r>
      <w:r w:rsidR="003E717C">
        <w:rPr>
          <w:rFonts w:ascii="Aptos" w:eastAsia="Aptos" w:hAnsi="Aptos" w:cs="Arial"/>
          <w:kern w:val="2"/>
          <w:sz w:val="22"/>
          <w:szCs w:val="22"/>
          <w14:ligatures w14:val="standardContextual"/>
        </w:rPr>
        <w:t>out of 100)</w:t>
      </w:r>
      <w:r w:rsidR="00AC230D">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compared to the global average of 72.4. This trend is consistent across the four </w:t>
      </w:r>
      <w:r w:rsidR="005163E6" w:rsidRPr="005F7253">
        <w:rPr>
          <w:rFonts w:ascii="Aptos" w:eastAsia="Aptos" w:hAnsi="Aptos" w:cs="Arial"/>
          <w:kern w:val="2"/>
          <w:sz w:val="22"/>
          <w:szCs w:val="22"/>
          <w14:ligatures w14:val="standardContextual"/>
        </w:rPr>
        <w:t>pillars</w:t>
      </w:r>
      <w:r w:rsidR="009F419F" w:rsidRPr="005F7253">
        <w:rPr>
          <w:rFonts w:ascii="Aptos" w:eastAsia="Aptos" w:hAnsi="Aptos" w:cs="Arial"/>
          <w:kern w:val="2"/>
          <w:sz w:val="22"/>
          <w:szCs w:val="22"/>
          <w14:ligatures w14:val="standardContextual"/>
        </w:rPr>
        <w:t xml:space="preserve"> of </w:t>
      </w:r>
      <w:r w:rsidR="00A6106E">
        <w:rPr>
          <w:rFonts w:ascii="Aptos" w:eastAsia="Aptos" w:hAnsi="Aptos" w:cs="Arial"/>
          <w:kern w:val="2"/>
          <w:sz w:val="22"/>
          <w:szCs w:val="22"/>
          <w14:ligatures w14:val="standardContextual"/>
        </w:rPr>
        <w:t xml:space="preserve">the </w:t>
      </w:r>
      <w:r w:rsidR="00A560F9">
        <w:rPr>
          <w:rFonts w:ascii="Aptos" w:eastAsia="Aptos" w:hAnsi="Aptos" w:cs="Arial"/>
          <w:kern w:val="2"/>
          <w:sz w:val="22"/>
          <w:szCs w:val="22"/>
          <w14:ligatures w14:val="standardContextual"/>
        </w:rPr>
        <w:t>ICT Regulatory Tracker</w:t>
      </w:r>
      <w:r w:rsidRPr="005F7253">
        <w:rPr>
          <w:rFonts w:ascii="Aptos" w:eastAsia="Aptos" w:hAnsi="Aptos" w:cs="Arial"/>
          <w:kern w:val="2"/>
          <w:sz w:val="22"/>
          <w:szCs w:val="22"/>
          <w14:ligatures w14:val="standardContextual"/>
        </w:rPr>
        <w:t xml:space="preserve">: regulatory authority, regulatory mandates, regulatory regime and competition frameworks. Notably, the most </w:t>
      </w:r>
      <w:r w:rsidRPr="005F7253">
        <w:rPr>
          <w:rFonts w:ascii="Aptos" w:eastAsia="Aptos" w:hAnsi="Aptos" w:cs="Arial"/>
          <w:kern w:val="2"/>
          <w:sz w:val="22"/>
          <w:szCs w:val="22"/>
          <w14:ligatures w14:val="standardContextual"/>
        </w:rPr>
        <w:lastRenderedPageBreak/>
        <w:t>significant gap is observed in competition frameworks, where the regional average score is 30 points lower than the global average.</w:t>
      </w:r>
    </w:p>
    <w:p w14:paraId="4B86D5D0" w14:textId="1EB00D66"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Important disparities also persist within the region, with an almost </w:t>
      </w:r>
      <w:r w:rsidR="005F7253" w:rsidRPr="005F7253">
        <w:rPr>
          <w:rFonts w:ascii="Aptos" w:eastAsia="Aptos" w:hAnsi="Aptos" w:cs="Arial"/>
          <w:kern w:val="2"/>
          <w:sz w:val="22"/>
          <w:szCs w:val="22"/>
          <w14:ligatures w14:val="standardContextual"/>
        </w:rPr>
        <w:t>90-point</w:t>
      </w:r>
      <w:r w:rsidRPr="005F7253">
        <w:rPr>
          <w:rFonts w:ascii="Aptos" w:eastAsia="Aptos" w:hAnsi="Aptos" w:cs="Arial"/>
          <w:kern w:val="2"/>
          <w:sz w:val="22"/>
          <w:szCs w:val="22"/>
          <w14:ligatures w14:val="standardContextual"/>
        </w:rPr>
        <w:t xml:space="preserve"> gap between </w:t>
      </w:r>
      <w:r w:rsidRPr="00AC230D">
        <w:rPr>
          <w:rFonts w:ascii="Aptos" w:eastAsia="Aptos" w:hAnsi="Aptos"/>
          <w:kern w:val="2"/>
          <w:sz w:val="22"/>
          <w14:ligatures w14:val="standardContextual"/>
        </w:rPr>
        <w:t xml:space="preserve">the country with </w:t>
      </w:r>
      <w:r w:rsidR="0053331B" w:rsidRPr="005F7253">
        <w:rPr>
          <w:rFonts w:ascii="Aptos" w:eastAsia="Aptos" w:hAnsi="Aptos" w:cs="Arial"/>
          <w:kern w:val="2"/>
          <w:sz w:val="22"/>
          <w:szCs w:val="22"/>
          <w14:ligatures w14:val="standardContextual"/>
        </w:rPr>
        <w:t xml:space="preserve">the </w:t>
      </w:r>
      <w:r w:rsidRPr="00AC230D">
        <w:rPr>
          <w:rFonts w:ascii="Aptos" w:eastAsia="Aptos" w:hAnsi="Aptos"/>
          <w:kern w:val="2"/>
          <w:sz w:val="22"/>
          <w14:ligatures w14:val="standardContextual"/>
        </w:rPr>
        <w:t xml:space="preserve">most developed national regulatory </w:t>
      </w:r>
      <w:r w:rsidRPr="005F7253">
        <w:rPr>
          <w:rFonts w:ascii="Aptos" w:eastAsia="Aptos" w:hAnsi="Aptos" w:cs="Arial"/>
          <w:kern w:val="2"/>
          <w:sz w:val="22"/>
          <w:szCs w:val="22"/>
          <w14:ligatures w14:val="standardContextual"/>
        </w:rPr>
        <w:t>framework</w:t>
      </w:r>
      <w:r w:rsidRPr="00AC230D">
        <w:rPr>
          <w:rFonts w:ascii="Aptos" w:eastAsia="Aptos" w:hAnsi="Aptos"/>
          <w:kern w:val="2"/>
          <w:sz w:val="22"/>
          <w14:ligatures w14:val="standardContextual"/>
        </w:rPr>
        <w:t xml:space="preserve"> for the ICT sector</w:t>
      </w:r>
      <w:r w:rsidR="0053331B" w:rsidRPr="005F7253">
        <w:rPr>
          <w:rFonts w:ascii="Aptos" w:eastAsia="Aptos" w:hAnsi="Aptos" w:cs="Arial"/>
          <w:kern w:val="2"/>
          <w:sz w:val="22"/>
          <w:szCs w:val="22"/>
          <w14:ligatures w14:val="standardContextual"/>
        </w:rPr>
        <w:t xml:space="preserve"> and the </w:t>
      </w:r>
      <w:r w:rsidR="000438B0" w:rsidRPr="005F7253">
        <w:rPr>
          <w:rFonts w:ascii="Aptos" w:eastAsia="Aptos" w:hAnsi="Aptos" w:cs="Arial"/>
          <w:kern w:val="2"/>
          <w:sz w:val="22"/>
          <w:szCs w:val="22"/>
          <w14:ligatures w14:val="standardContextual"/>
        </w:rPr>
        <w:t xml:space="preserve">one </w:t>
      </w:r>
      <w:r w:rsidR="0053331B" w:rsidRPr="005F7253">
        <w:rPr>
          <w:rFonts w:ascii="Aptos" w:eastAsia="Aptos" w:hAnsi="Aptos" w:cs="Arial"/>
          <w:kern w:val="2"/>
          <w:sz w:val="22"/>
          <w:szCs w:val="22"/>
          <w14:ligatures w14:val="standardContextual"/>
        </w:rPr>
        <w:t>with the least developed framework</w:t>
      </w:r>
      <w:r w:rsidRPr="005F7253">
        <w:rPr>
          <w:rFonts w:ascii="Aptos" w:eastAsia="Aptos" w:hAnsi="Aptos" w:cs="Arial"/>
          <w:kern w:val="2"/>
          <w:sz w:val="22"/>
          <w:szCs w:val="22"/>
          <w14:ligatures w14:val="standardContextual"/>
        </w:rPr>
        <w:t xml:space="preserve">. Nearly 45 per cent of countries in the region remain in the least advanced regulatory generations, G1 and G2 – a proportion notably higher than in other regions. Many of these countries face conflict or economic instability, further exacerbating their developmental challenges. Of the 16 countries worldwide still classified as G1, </w:t>
      </w:r>
      <w:r w:rsidR="004D00CF" w:rsidRPr="005F7253">
        <w:rPr>
          <w:rFonts w:ascii="Aptos" w:eastAsia="Aptos" w:hAnsi="Aptos" w:cs="Arial"/>
          <w:kern w:val="2"/>
          <w:sz w:val="22"/>
          <w:szCs w:val="22"/>
          <w14:ligatures w14:val="standardContextual"/>
        </w:rPr>
        <w:t xml:space="preserve">4 </w:t>
      </w:r>
      <w:r w:rsidRPr="005F7253">
        <w:rPr>
          <w:rFonts w:ascii="Aptos" w:eastAsia="Aptos" w:hAnsi="Aptos" w:cs="Arial"/>
          <w:kern w:val="2"/>
          <w:sz w:val="22"/>
          <w:szCs w:val="22"/>
          <w14:ligatures w14:val="standardContextual"/>
        </w:rPr>
        <w:t>are Arab States</w:t>
      </w:r>
      <w:r w:rsidR="004D00CF" w:rsidRPr="005F7253">
        <w:rPr>
          <w:rFonts w:ascii="Aptos" w:eastAsia="Aptos" w:hAnsi="Aptos" w:cs="Arial"/>
          <w:kern w:val="2"/>
          <w:sz w:val="22"/>
          <w:szCs w:val="22"/>
          <w14:ligatures w14:val="standardContextual"/>
        </w:rPr>
        <w:t>; these are countries whose</w:t>
      </w:r>
      <w:r w:rsidRPr="005F7253">
        <w:rPr>
          <w:rFonts w:ascii="Aptos" w:eastAsia="Aptos" w:hAnsi="Aptos" w:cs="Arial"/>
          <w:kern w:val="2"/>
          <w:sz w:val="22"/>
          <w:szCs w:val="22"/>
          <w14:ligatures w14:val="standardContextual"/>
        </w:rPr>
        <w:t xml:space="preserve"> ICT policy and regulatory frameworks </w:t>
      </w:r>
      <w:r w:rsidR="004D00CF" w:rsidRPr="005F7253">
        <w:rPr>
          <w:rFonts w:ascii="Aptos" w:eastAsia="Aptos" w:hAnsi="Aptos" w:cs="Arial"/>
          <w:kern w:val="2"/>
          <w:sz w:val="22"/>
          <w:szCs w:val="22"/>
          <w14:ligatures w14:val="standardContextual"/>
        </w:rPr>
        <w:t xml:space="preserve">have not kept pace with </w:t>
      </w:r>
      <w:r w:rsidRPr="005F7253">
        <w:rPr>
          <w:rFonts w:ascii="Aptos" w:eastAsia="Aptos" w:hAnsi="Aptos" w:cs="Arial"/>
          <w:kern w:val="2"/>
          <w:sz w:val="22"/>
          <w:szCs w:val="22"/>
          <w14:ligatures w14:val="standardContextual"/>
        </w:rPr>
        <w:t xml:space="preserve">technological </w:t>
      </w:r>
      <w:r w:rsidR="004D00CF" w:rsidRPr="005F7253">
        <w:rPr>
          <w:rFonts w:ascii="Aptos" w:eastAsia="Aptos" w:hAnsi="Aptos" w:cs="Arial"/>
          <w:kern w:val="2"/>
          <w:sz w:val="22"/>
          <w:szCs w:val="22"/>
          <w14:ligatures w14:val="standardContextual"/>
        </w:rPr>
        <w:t xml:space="preserve">evolution in </w:t>
      </w:r>
      <w:r w:rsidRPr="005F7253">
        <w:rPr>
          <w:rFonts w:ascii="Aptos" w:eastAsia="Aptos" w:hAnsi="Aptos" w:cs="Arial"/>
          <w:kern w:val="2"/>
          <w:sz w:val="22"/>
          <w:szCs w:val="22"/>
          <w14:ligatures w14:val="standardContextual"/>
        </w:rPr>
        <w:t>the past decade.</w:t>
      </w:r>
    </w:p>
    <w:p w14:paraId="0EC559AB"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Continued evolution of institutional landscapes is key to digital transformation</w:t>
      </w:r>
    </w:p>
    <w:p w14:paraId="440DBC14" w14:textId="16C4A3D8" w:rsidR="006C41B5" w:rsidRPr="00E13F01"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E13F01">
        <w:rPr>
          <w:rFonts w:ascii="Aptos" w:eastAsia="Aptos" w:hAnsi="Aptos"/>
          <w:kern w:val="2"/>
          <w:sz w:val="22"/>
          <w14:ligatures w14:val="standardContextual"/>
        </w:rPr>
        <w:t xml:space="preserve">Strong institutions and effective governance are </w:t>
      </w:r>
      <w:r w:rsidR="00796831" w:rsidRPr="005F7253">
        <w:rPr>
          <w:rFonts w:ascii="Aptos" w:eastAsia="Aptos" w:hAnsi="Aptos" w:cs="Arial"/>
          <w:kern w:val="2"/>
          <w:sz w:val="22"/>
          <w:szCs w:val="22"/>
          <w14:ligatures w14:val="standardContextual"/>
        </w:rPr>
        <w:t xml:space="preserve">indispensable for </w:t>
      </w:r>
      <w:r w:rsidR="00796831" w:rsidRPr="00E13F01">
        <w:rPr>
          <w:rFonts w:ascii="Aptos" w:eastAsia="Aptos" w:hAnsi="Aptos"/>
          <w:kern w:val="2"/>
          <w:sz w:val="22"/>
          <w14:ligatures w14:val="standardContextual"/>
        </w:rPr>
        <w:t xml:space="preserve">the </w:t>
      </w:r>
      <w:r w:rsidR="00796831" w:rsidRPr="005F7253">
        <w:rPr>
          <w:rFonts w:ascii="Aptos" w:eastAsia="Aptos" w:hAnsi="Aptos" w:cs="Arial"/>
          <w:kern w:val="2"/>
          <w:sz w:val="22"/>
          <w:szCs w:val="22"/>
          <w14:ligatures w14:val="standardContextual"/>
        </w:rPr>
        <w:t>success</w:t>
      </w:r>
      <w:r w:rsidR="00796831" w:rsidRPr="00E13F01">
        <w:rPr>
          <w:rFonts w:ascii="Aptos" w:eastAsia="Aptos" w:hAnsi="Aptos"/>
          <w:kern w:val="2"/>
          <w:sz w:val="22"/>
          <w14:ligatures w14:val="standardContextual"/>
        </w:rPr>
        <w:t xml:space="preserve"> of </w:t>
      </w:r>
      <w:r w:rsidR="00796831" w:rsidRPr="005F7253">
        <w:rPr>
          <w:rFonts w:ascii="Aptos" w:eastAsia="Aptos" w:hAnsi="Aptos" w:cs="Arial"/>
          <w:kern w:val="2"/>
          <w:sz w:val="22"/>
          <w:szCs w:val="22"/>
          <w14:ligatures w14:val="standardContextual"/>
        </w:rPr>
        <w:t>a country’s</w:t>
      </w:r>
      <w:r w:rsidR="00796831" w:rsidRPr="00E13F01">
        <w:rPr>
          <w:rFonts w:ascii="Aptos" w:eastAsia="Aptos" w:hAnsi="Aptos"/>
          <w:kern w:val="2"/>
          <w:sz w:val="22"/>
          <w14:ligatures w14:val="standardContextual"/>
        </w:rPr>
        <w:t xml:space="preserve"> </w:t>
      </w:r>
      <w:r w:rsidRPr="00E13F01">
        <w:rPr>
          <w:rFonts w:ascii="Aptos" w:eastAsia="Aptos" w:hAnsi="Aptos"/>
          <w:kern w:val="2"/>
          <w:sz w:val="22"/>
          <w14:ligatures w14:val="standardContextual"/>
        </w:rPr>
        <w:t>digital transformation. They provide the stability, accountability and strategic direction necessary to harness emerging technologies, manage risks and align public and private stakeholders with high-level policy goals. By fostering trust, facilitating collaboration and ensuring the adaptability of policies and frameworks, robust institutions can create an enabling environment for innovation and inclusive growth in the digital world.</w:t>
      </w:r>
    </w:p>
    <w:p w14:paraId="5DF525A1" w14:textId="79501626" w:rsidR="006C41B5" w:rsidRPr="00E13F01"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E13F01">
        <w:rPr>
          <w:rFonts w:ascii="Aptos" w:eastAsia="Aptos" w:hAnsi="Aptos"/>
          <w:kern w:val="2"/>
          <w:sz w:val="22"/>
          <w14:ligatures w14:val="standardContextual"/>
        </w:rPr>
        <w:t>Regulatory authorities are well established in the Arab States region, with 82 per cent of countries having a separate ICT regulator.</w:t>
      </w:r>
      <w:r w:rsidRPr="00E13F01">
        <w:rPr>
          <w:rFonts w:ascii="Aptos" w:eastAsia="Aptos" w:hAnsi="Aptos"/>
          <w:kern w:val="2"/>
          <w:sz w:val="22"/>
          <w:vertAlign w:val="superscript"/>
          <w14:ligatures w14:val="standardContextual"/>
        </w:rPr>
        <w:footnoteReference w:id="3"/>
      </w:r>
      <w:r w:rsidRPr="00E13F01">
        <w:rPr>
          <w:rFonts w:ascii="Aptos" w:eastAsia="Aptos" w:hAnsi="Aptos"/>
          <w:kern w:val="2"/>
          <w:sz w:val="22"/>
          <w14:ligatures w14:val="standardContextual"/>
        </w:rPr>
        <w:t xml:space="preserve"> Across key areas of institutional capacity such as autonomy of decision</w:t>
      </w:r>
      <w:r w:rsidR="00796831" w:rsidRPr="005F7253">
        <w:rPr>
          <w:rFonts w:ascii="Aptos" w:eastAsia="Aptos" w:hAnsi="Aptos" w:cs="Arial"/>
          <w:kern w:val="2"/>
          <w:sz w:val="22"/>
          <w:szCs w:val="22"/>
          <w14:ligatures w14:val="standardContextual"/>
        </w:rPr>
        <w:t>-</w:t>
      </w:r>
      <w:r w:rsidRPr="00E13F01">
        <w:rPr>
          <w:rFonts w:ascii="Aptos" w:eastAsia="Aptos" w:hAnsi="Aptos"/>
          <w:kern w:val="2"/>
          <w:sz w:val="22"/>
          <w14:ligatures w14:val="standardContextual"/>
        </w:rPr>
        <w:t>making</w:t>
      </w:r>
      <w:r w:rsidR="003454D2">
        <w:rPr>
          <w:rFonts w:ascii="Aptos" w:eastAsia="Aptos" w:hAnsi="Aptos"/>
          <w:kern w:val="2"/>
          <w:sz w:val="22"/>
          <w14:ligatures w14:val="standardContextual"/>
        </w:rPr>
        <w:t>,</w:t>
      </w:r>
      <w:r w:rsidRPr="00E13F01">
        <w:rPr>
          <w:rFonts w:ascii="Aptos" w:eastAsia="Aptos" w:hAnsi="Aptos"/>
          <w:kern w:val="2"/>
          <w:sz w:val="22"/>
          <w14:ligatures w14:val="standardContextual"/>
        </w:rPr>
        <w:t xml:space="preserve"> </w:t>
      </w:r>
      <w:r w:rsidR="003454D2">
        <w:rPr>
          <w:rFonts w:ascii="Aptos" w:eastAsia="Aptos" w:hAnsi="Aptos"/>
          <w:kern w:val="2"/>
          <w:sz w:val="22"/>
          <w14:ligatures w14:val="standardContextual"/>
        </w:rPr>
        <w:t xml:space="preserve">sources of </w:t>
      </w:r>
      <w:r w:rsidRPr="00E13F01">
        <w:rPr>
          <w:rFonts w:ascii="Aptos" w:eastAsia="Aptos" w:hAnsi="Aptos"/>
          <w:kern w:val="2"/>
          <w:sz w:val="22"/>
          <w14:ligatures w14:val="standardContextual"/>
        </w:rPr>
        <w:t xml:space="preserve">financing of the </w:t>
      </w:r>
      <w:r w:rsidR="0096588C">
        <w:rPr>
          <w:rFonts w:ascii="Aptos" w:eastAsia="Aptos" w:hAnsi="Aptos"/>
          <w:kern w:val="2"/>
          <w:sz w:val="22"/>
          <w14:ligatures w14:val="standardContextual"/>
        </w:rPr>
        <w:t xml:space="preserve">regulatory </w:t>
      </w:r>
      <w:r w:rsidRPr="00E13F01">
        <w:rPr>
          <w:rFonts w:ascii="Aptos" w:eastAsia="Aptos" w:hAnsi="Aptos"/>
          <w:kern w:val="2"/>
          <w:sz w:val="22"/>
          <w14:ligatures w14:val="standardContextual"/>
        </w:rPr>
        <w:t xml:space="preserve">authority </w:t>
      </w:r>
      <w:r w:rsidR="0096588C">
        <w:rPr>
          <w:rFonts w:ascii="Aptos" w:eastAsia="Aptos" w:hAnsi="Aptos"/>
          <w:kern w:val="2"/>
          <w:sz w:val="22"/>
          <w14:ligatures w14:val="standardContextual"/>
        </w:rPr>
        <w:t>and</w:t>
      </w:r>
      <w:r w:rsidRPr="00E13F01">
        <w:rPr>
          <w:rFonts w:ascii="Aptos" w:eastAsia="Aptos" w:hAnsi="Aptos"/>
          <w:kern w:val="2"/>
          <w:sz w:val="22"/>
          <w14:ligatures w14:val="standardContextual"/>
        </w:rPr>
        <w:t xml:space="preserve"> enforcement</w:t>
      </w:r>
      <w:r w:rsidR="002358E5">
        <w:rPr>
          <w:rFonts w:ascii="Aptos" w:eastAsia="Aptos" w:hAnsi="Aptos"/>
          <w:kern w:val="2"/>
          <w:sz w:val="22"/>
          <w14:ligatures w14:val="standardContextual"/>
        </w:rPr>
        <w:t xml:space="preserve"> capacity</w:t>
      </w:r>
      <w:r w:rsidRPr="00E13F01">
        <w:rPr>
          <w:rFonts w:ascii="Aptos" w:eastAsia="Aptos" w:hAnsi="Aptos"/>
          <w:kern w:val="2"/>
          <w:sz w:val="22"/>
          <w14:ligatures w14:val="standardContextual"/>
        </w:rPr>
        <w:t xml:space="preserve">, the region’s performance </w:t>
      </w:r>
      <w:r w:rsidR="00256D42" w:rsidRPr="005F7253">
        <w:rPr>
          <w:rFonts w:ascii="Aptos" w:eastAsia="Aptos" w:hAnsi="Aptos" w:cs="Arial"/>
          <w:kern w:val="2"/>
          <w:sz w:val="22"/>
          <w:szCs w:val="22"/>
          <w14:ligatures w14:val="standardContextual"/>
        </w:rPr>
        <w:t>generally remains below</w:t>
      </w:r>
      <w:r w:rsidR="00256D42" w:rsidRPr="00E13F01">
        <w:rPr>
          <w:rFonts w:ascii="Aptos" w:eastAsia="Aptos" w:hAnsi="Aptos"/>
          <w:kern w:val="2"/>
          <w:sz w:val="22"/>
          <w14:ligatures w14:val="standardContextual"/>
        </w:rPr>
        <w:t xml:space="preserve"> </w:t>
      </w:r>
      <w:r w:rsidRPr="00E13F01">
        <w:rPr>
          <w:rFonts w:ascii="Aptos" w:eastAsia="Aptos" w:hAnsi="Aptos"/>
          <w:kern w:val="2"/>
          <w:sz w:val="22"/>
          <w14:ligatures w14:val="standardContextual"/>
        </w:rPr>
        <w:t>the world average</w:t>
      </w:r>
      <w:r w:rsidR="00256D42" w:rsidRPr="005F7253">
        <w:rPr>
          <w:rFonts w:ascii="Aptos" w:eastAsia="Aptos" w:hAnsi="Aptos" w:cs="Arial"/>
          <w:kern w:val="2"/>
          <w:sz w:val="22"/>
          <w:szCs w:val="22"/>
          <w14:ligatures w14:val="standardContextual"/>
        </w:rPr>
        <w:t>, albeit by a modest margin</w:t>
      </w:r>
      <w:r w:rsidRPr="00E13F01">
        <w:rPr>
          <w:rFonts w:ascii="Aptos" w:eastAsia="Aptos" w:hAnsi="Aptos"/>
          <w:kern w:val="2"/>
          <w:sz w:val="22"/>
          <w14:ligatures w14:val="standardContextual"/>
        </w:rPr>
        <w:t>. In the area of accountability, however, the region outperforms the world average</w:t>
      </w:r>
      <w:r w:rsidRPr="005F7253">
        <w:rPr>
          <w:rFonts w:ascii="Aptos" w:eastAsia="Aptos" w:hAnsi="Aptos" w:cs="Arial"/>
          <w:kern w:val="2"/>
          <w:sz w:val="22"/>
          <w:szCs w:val="22"/>
          <w14:ligatures w14:val="standardContextual"/>
        </w:rPr>
        <w:t>, positioning itself as a higher-performing region</w:t>
      </w:r>
      <w:r w:rsidRPr="00E13F01">
        <w:rPr>
          <w:rFonts w:ascii="Aptos" w:eastAsia="Aptos" w:hAnsi="Aptos"/>
          <w:kern w:val="2"/>
          <w:sz w:val="22"/>
          <w14:ligatures w14:val="standardContextual"/>
        </w:rPr>
        <w:t xml:space="preserve">. Institutional </w:t>
      </w:r>
      <w:r w:rsidRPr="005F7253">
        <w:rPr>
          <w:rFonts w:ascii="Aptos" w:eastAsia="Aptos" w:hAnsi="Aptos" w:cs="Arial"/>
          <w:kern w:val="2"/>
          <w:sz w:val="22"/>
          <w:szCs w:val="22"/>
          <w14:ligatures w14:val="standardContextual"/>
        </w:rPr>
        <w:t>mechanisms</w:t>
      </w:r>
      <w:r w:rsidRPr="00E13F01">
        <w:rPr>
          <w:rFonts w:ascii="Aptos" w:eastAsia="Aptos" w:hAnsi="Aptos"/>
          <w:kern w:val="2"/>
          <w:sz w:val="22"/>
          <w14:ligatures w14:val="standardContextual"/>
        </w:rPr>
        <w:t xml:space="preserve"> such as </w:t>
      </w:r>
      <w:r w:rsidR="00EE37F3" w:rsidRPr="005F7253">
        <w:rPr>
          <w:rFonts w:ascii="Aptos" w:eastAsia="Aptos" w:hAnsi="Aptos" w:cs="Arial"/>
          <w:kern w:val="2"/>
          <w:sz w:val="22"/>
          <w:szCs w:val="22"/>
          <w14:ligatures w14:val="standardContextual"/>
        </w:rPr>
        <w:t xml:space="preserve">those </w:t>
      </w:r>
      <w:r w:rsidRPr="00E13F01">
        <w:rPr>
          <w:rFonts w:ascii="Aptos" w:eastAsia="Aptos" w:hAnsi="Aptos"/>
          <w:kern w:val="2"/>
          <w:sz w:val="22"/>
          <w14:ligatures w14:val="standardContextual"/>
        </w:rPr>
        <w:t xml:space="preserve">for dispute resolution and appeals </w:t>
      </w:r>
      <w:r w:rsidR="00EE37F3" w:rsidRPr="005F7253">
        <w:rPr>
          <w:rFonts w:ascii="Aptos" w:eastAsia="Aptos" w:hAnsi="Aptos" w:cs="Arial"/>
          <w:kern w:val="2"/>
          <w:sz w:val="22"/>
          <w:szCs w:val="22"/>
          <w14:ligatures w14:val="standardContextual"/>
        </w:rPr>
        <w:t>against</w:t>
      </w:r>
      <w:r w:rsidR="00EE37F3" w:rsidRPr="00E13F01">
        <w:rPr>
          <w:rFonts w:ascii="Aptos" w:eastAsia="Aptos" w:hAnsi="Aptos"/>
          <w:kern w:val="2"/>
          <w:sz w:val="22"/>
          <w14:ligatures w14:val="standardContextual"/>
        </w:rPr>
        <w:t xml:space="preserve"> </w:t>
      </w:r>
      <w:r w:rsidRPr="00E13F01">
        <w:rPr>
          <w:rFonts w:ascii="Aptos" w:eastAsia="Aptos" w:hAnsi="Aptos"/>
          <w:kern w:val="2"/>
          <w:sz w:val="22"/>
          <w14:ligatures w14:val="standardContextual"/>
        </w:rPr>
        <w:t xml:space="preserve">regulatory decisions </w:t>
      </w:r>
      <w:r w:rsidRPr="005F7253">
        <w:rPr>
          <w:rFonts w:ascii="Aptos" w:eastAsia="Aptos" w:hAnsi="Aptos" w:cs="Arial"/>
          <w:kern w:val="2"/>
          <w:sz w:val="22"/>
          <w:szCs w:val="22"/>
          <w14:ligatures w14:val="standardContextual"/>
        </w:rPr>
        <w:t>achieve an average score of around 80 per cent</w:t>
      </w:r>
      <w:r w:rsidR="005163E6" w:rsidRPr="005F7253">
        <w:rPr>
          <w:rFonts w:ascii="Aptos" w:eastAsia="Aptos" w:hAnsi="Aptos" w:cs="Arial"/>
          <w:kern w:val="2"/>
          <w:sz w:val="22"/>
          <w:szCs w:val="22"/>
          <w14:ligatures w14:val="standardContextual"/>
        </w:rPr>
        <w:t xml:space="preserve"> of the benchmark</w:t>
      </w:r>
      <w:r w:rsidRPr="005F7253">
        <w:rPr>
          <w:rFonts w:ascii="Aptos" w:eastAsia="Aptos" w:hAnsi="Aptos" w:cs="Arial"/>
          <w:kern w:val="2"/>
          <w:sz w:val="22"/>
          <w:szCs w:val="22"/>
          <w14:ligatures w14:val="standardContextual"/>
        </w:rPr>
        <w:t xml:space="preserve"> in the region, though they still trail the global average and leading regions.</w:t>
      </w:r>
      <w:r w:rsidRPr="00E13F01">
        <w:rPr>
          <w:rFonts w:ascii="Aptos" w:eastAsia="Aptos" w:hAnsi="Aptos"/>
          <w:kern w:val="2"/>
          <w:sz w:val="22"/>
          <w14:ligatures w14:val="standardContextual"/>
        </w:rPr>
        <w:t xml:space="preserve"> </w:t>
      </w:r>
    </w:p>
    <w:p w14:paraId="20B16D94" w14:textId="77777777" w:rsidR="006C41B5" w:rsidRPr="00D35B8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olor w:val="0070C0"/>
          <w:spacing w:val="-10"/>
          <w:kern w:val="28"/>
        </w:rPr>
      </w:pPr>
      <w:r w:rsidRPr="00D35B8A">
        <w:rPr>
          <w:rFonts w:ascii="AvenirNext LT Pro Light" w:eastAsia="Yu Gothic Light" w:hAnsi="AvenirNext LT Pro Light"/>
          <w:color w:val="0070C0"/>
          <w:spacing w:val="-10"/>
          <w:kern w:val="28"/>
        </w:rPr>
        <w:t>Regulatory capacity in the Arab States region (%), 2022-2023</w:t>
      </w:r>
    </w:p>
    <w:p w14:paraId="51C5834F"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27F257DA" wp14:editId="2001F9F3">
            <wp:extent cx="5729501" cy="2458528"/>
            <wp:effectExtent l="0" t="0" r="5080" b="0"/>
            <wp:docPr id="12755463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48602"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749915" cy="2467288"/>
                    </a:xfrm>
                    <a:prstGeom prst="rect">
                      <a:avLst/>
                    </a:prstGeom>
                  </pic:spPr>
                </pic:pic>
              </a:graphicData>
            </a:graphic>
          </wp:inline>
        </w:drawing>
      </w:r>
    </w:p>
    <w:p w14:paraId="214B3E8D" w14:textId="2D4FF22A" w:rsidR="006C41B5" w:rsidRPr="0082604B"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kern w:val="2"/>
          <w:sz w:val="16"/>
          <w14:ligatures w14:val="standardContextual"/>
        </w:rPr>
      </w:pPr>
      <w:r w:rsidRPr="0082604B">
        <w:rPr>
          <w:rFonts w:ascii="Aptos" w:eastAsia="Aptos" w:hAnsi="Aptos"/>
          <w:kern w:val="2"/>
          <w:sz w:val="16"/>
          <w14:ligatures w14:val="standardContextual"/>
        </w:rPr>
        <w:t xml:space="preserve">Note: </w:t>
      </w:r>
      <w:r w:rsidR="00173AD6" w:rsidRPr="0082604B">
        <w:rPr>
          <w:rFonts w:ascii="Aptos" w:eastAsia="Aptos" w:hAnsi="Aptos"/>
          <w:kern w:val="2"/>
          <w:sz w:val="16"/>
          <w14:ligatures w14:val="standardContextual"/>
        </w:rPr>
        <w:t xml:space="preserve">The </w:t>
      </w:r>
      <w:r w:rsidR="00173AD6" w:rsidRPr="005F7253">
        <w:rPr>
          <w:rFonts w:ascii="Aptos" w:eastAsia="Aptos" w:hAnsi="Aptos" w:cs="Arial"/>
          <w:kern w:val="2"/>
          <w:sz w:val="16"/>
          <w:szCs w:val="28"/>
          <w14:ligatures w14:val="standardContextual"/>
        </w:rPr>
        <w:t xml:space="preserve">region’s average scores for </w:t>
      </w:r>
      <w:r w:rsidR="00173AD6" w:rsidRPr="0082604B">
        <w:rPr>
          <w:rFonts w:ascii="Aptos" w:eastAsia="Aptos" w:hAnsi="Aptos"/>
          <w:kern w:val="2"/>
          <w:sz w:val="16"/>
          <w14:ligatures w14:val="standardContextual"/>
        </w:rPr>
        <w:t xml:space="preserve">key </w:t>
      </w:r>
      <w:r w:rsidR="007B6C9F">
        <w:rPr>
          <w:rFonts w:ascii="Aptos" w:eastAsia="Aptos" w:hAnsi="Aptos"/>
          <w:kern w:val="2"/>
          <w:sz w:val="16"/>
          <w14:ligatures w14:val="standardContextual"/>
        </w:rPr>
        <w:t xml:space="preserve">related </w:t>
      </w:r>
      <w:r w:rsidR="00173AD6" w:rsidRPr="0082604B">
        <w:rPr>
          <w:rFonts w:ascii="Aptos" w:eastAsia="Aptos" w:hAnsi="Aptos"/>
          <w:kern w:val="2"/>
          <w:sz w:val="16"/>
          <w14:ligatures w14:val="standardContextual"/>
        </w:rPr>
        <w:t>indicators</w:t>
      </w:r>
      <w:r>
        <w:rPr>
          <w:rFonts w:ascii="Aptos" w:eastAsia="Aptos" w:hAnsi="Aptos" w:cs="Arial"/>
          <w:kern w:val="2"/>
          <w:sz w:val="16"/>
          <w:szCs w:val="28"/>
          <w14:ligatures w14:val="standardContextual"/>
        </w:rPr>
        <w:t xml:space="preserve"> </w:t>
      </w:r>
      <w:r w:rsidR="00C54D2F">
        <w:rPr>
          <w:rFonts w:ascii="Aptos" w:eastAsia="Aptos" w:hAnsi="Aptos" w:cs="Arial"/>
          <w:kern w:val="2"/>
          <w:sz w:val="16"/>
          <w:szCs w:val="28"/>
          <w14:ligatures w14:val="standardContextual"/>
        </w:rPr>
        <w:t>in the</w:t>
      </w:r>
      <w:r w:rsidRPr="0082604B">
        <w:rPr>
          <w:rFonts w:ascii="Aptos" w:eastAsia="Aptos" w:hAnsi="Aptos"/>
          <w:kern w:val="2"/>
          <w:sz w:val="16"/>
          <w14:ligatures w14:val="standardContextual"/>
        </w:rPr>
        <w:t xml:space="preserve"> Regulatory </w:t>
      </w:r>
      <w:r w:rsidR="005F7253" w:rsidRPr="0082604B">
        <w:rPr>
          <w:rFonts w:ascii="Aptos" w:eastAsia="Aptos" w:hAnsi="Aptos"/>
          <w:kern w:val="2"/>
          <w:sz w:val="16"/>
          <w14:ligatures w14:val="standardContextual"/>
        </w:rPr>
        <w:t>Capacity</w:t>
      </w:r>
      <w:r w:rsidRPr="006C41B5">
        <w:rPr>
          <w:rFonts w:ascii="Aptos" w:eastAsia="Aptos" w:hAnsi="Aptos" w:cs="Arial"/>
          <w:kern w:val="2"/>
          <w:sz w:val="16"/>
          <w:szCs w:val="28"/>
          <w:lang w:val="en-US"/>
          <w14:ligatures w14:val="standardContextual"/>
        </w:rPr>
        <w:t xml:space="preserve">, Good Governance and Stakeholder Engagement benchmarks </w:t>
      </w:r>
      <w:r w:rsidR="00E535CC" w:rsidRPr="005F7253">
        <w:rPr>
          <w:rFonts w:ascii="Aptos" w:eastAsia="Aptos" w:hAnsi="Aptos" w:cs="Arial"/>
          <w:kern w:val="2"/>
          <w:sz w:val="16"/>
          <w:szCs w:val="28"/>
          <w14:ligatures w14:val="standardContextual"/>
        </w:rPr>
        <w:t>under</w:t>
      </w:r>
      <w:r w:rsidR="00E535CC" w:rsidRPr="0082604B">
        <w:rPr>
          <w:rFonts w:ascii="Aptos" w:eastAsia="Aptos" w:hAnsi="Aptos"/>
          <w:kern w:val="2"/>
          <w:sz w:val="16"/>
          <w14:ligatures w14:val="standardContextual"/>
        </w:rPr>
        <w:t xml:space="preserve"> </w:t>
      </w:r>
      <w:r w:rsidRPr="0082604B">
        <w:rPr>
          <w:rFonts w:ascii="Aptos" w:eastAsia="Aptos" w:hAnsi="Aptos"/>
          <w:kern w:val="2"/>
          <w:sz w:val="16"/>
          <w14:ligatures w14:val="standardContextual"/>
        </w:rPr>
        <w:t xml:space="preserve">the ITU Unified Framework for </w:t>
      </w:r>
      <w:r w:rsidR="005163E6" w:rsidRPr="005F7253">
        <w:rPr>
          <w:rFonts w:ascii="Aptos" w:eastAsia="Aptos" w:hAnsi="Aptos" w:cs="Arial"/>
          <w:kern w:val="2"/>
          <w:sz w:val="16"/>
          <w:szCs w:val="28"/>
          <w14:ligatures w14:val="standardContextual"/>
        </w:rPr>
        <w:t xml:space="preserve">the </w:t>
      </w:r>
      <w:r w:rsidRPr="0082604B">
        <w:rPr>
          <w:rFonts w:ascii="Aptos" w:eastAsia="Aptos" w:hAnsi="Aptos"/>
          <w:kern w:val="2"/>
          <w:sz w:val="16"/>
          <w14:ligatures w14:val="standardContextual"/>
        </w:rPr>
        <w:t xml:space="preserve">Arab States compared to the world average and the highest performing region (various regions are the benchmarks for each indicator). </w:t>
      </w:r>
    </w:p>
    <w:p w14:paraId="5EAB5A52" w14:textId="77777777" w:rsidR="006C41B5" w:rsidRPr="00541831"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kern w:val="2"/>
          <w:sz w:val="16"/>
          <w14:ligatures w14:val="standardContextual"/>
        </w:rPr>
      </w:pPr>
      <w:r w:rsidRPr="00541831">
        <w:rPr>
          <w:rFonts w:ascii="Aptos" w:eastAsia="Aptos" w:hAnsi="Aptos"/>
          <w:kern w:val="2"/>
          <w:sz w:val="16"/>
          <w14:ligatures w14:val="standardContextual"/>
        </w:rPr>
        <w:t>Source: ITU</w:t>
      </w:r>
    </w:p>
    <w:p w14:paraId="6EB4F758"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lastRenderedPageBreak/>
        <w:t xml:space="preserve">Examining governance processes in the Arab States region highlights opportunities to adopt </w:t>
      </w:r>
      <w:r w:rsidRPr="00541831">
        <w:rPr>
          <w:rFonts w:ascii="Aptos" w:eastAsia="Aptos" w:hAnsi="Aptos"/>
          <w:kern w:val="2"/>
          <w:sz w:val="22"/>
          <w14:ligatures w14:val="standardContextual"/>
        </w:rPr>
        <w:t xml:space="preserve">agile approaches </w:t>
      </w:r>
      <w:r w:rsidRPr="005F7253">
        <w:rPr>
          <w:rFonts w:ascii="Aptos" w:eastAsia="Aptos" w:hAnsi="Aptos" w:cs="Arial"/>
          <w:kern w:val="2"/>
          <w:sz w:val="22"/>
          <w:szCs w:val="22"/>
          <w14:ligatures w14:val="standardContextual"/>
        </w:rPr>
        <w:t>more widely</w:t>
      </w:r>
      <w:r w:rsidRPr="00541831">
        <w:rPr>
          <w:rFonts w:ascii="Aptos" w:eastAsia="Aptos" w:hAnsi="Aptos"/>
          <w:kern w:val="2"/>
          <w:sz w:val="22"/>
          <w14:ligatures w14:val="standardContextual"/>
        </w:rPr>
        <w:t xml:space="preserve"> across the public sector to enhance progress on digital transformation initiatives.</w:t>
      </w:r>
    </w:p>
    <w:p w14:paraId="2F81D8F7" w14:textId="3B0FC91A" w:rsidR="006C41B5" w:rsidRPr="00541831" w:rsidRDefault="006C41B5" w:rsidP="006C41B5">
      <w:pPr>
        <w:numPr>
          <w:ilvl w:val="0"/>
          <w:numId w:val="22"/>
        </w:numPr>
        <w:tabs>
          <w:tab w:val="clear" w:pos="794"/>
          <w:tab w:val="clear" w:pos="1191"/>
          <w:tab w:val="clear" w:pos="1588"/>
          <w:tab w:val="clear" w:pos="1985"/>
        </w:tabs>
        <w:overflowPunct/>
        <w:autoSpaceDE/>
        <w:autoSpaceDN/>
        <w:adjustRightInd/>
        <w:spacing w:before="0" w:after="160" w:line="278" w:lineRule="auto"/>
        <w:contextualSpacing/>
        <w:textAlignment w:val="auto"/>
        <w:rPr>
          <w:rFonts w:ascii="Aptos" w:eastAsia="Aptos" w:hAnsi="Aptos"/>
          <w:kern w:val="2"/>
          <w:sz w:val="22"/>
          <w14:ligatures w14:val="standardContextual"/>
        </w:rPr>
      </w:pPr>
      <w:r w:rsidRPr="005F7253">
        <w:rPr>
          <w:rFonts w:ascii="Aptos" w:eastAsia="Aptos" w:hAnsi="Aptos" w:cs="Arial"/>
          <w:b/>
          <w:bCs/>
          <w:kern w:val="2"/>
          <w:sz w:val="22"/>
          <w:szCs w:val="22"/>
          <w14:ligatures w14:val="standardContextual"/>
        </w:rPr>
        <w:t>Stakeholder engagement and public participation</w:t>
      </w:r>
      <w:r w:rsidRPr="005F7253">
        <w:rPr>
          <w:rFonts w:ascii="Aptos" w:eastAsia="Aptos" w:hAnsi="Aptos" w:cs="Arial"/>
          <w:kern w:val="2"/>
          <w:sz w:val="22"/>
          <w:szCs w:val="22"/>
          <w14:ligatures w14:val="standardContextual"/>
        </w:rPr>
        <w:t xml:space="preserve"> in the policy and regulatory process are pillars of good governance. </w:t>
      </w:r>
      <w:r w:rsidRPr="00541831">
        <w:rPr>
          <w:rFonts w:ascii="Aptos" w:eastAsia="Aptos" w:hAnsi="Aptos"/>
          <w:kern w:val="2"/>
          <w:sz w:val="22"/>
          <w14:ligatures w14:val="standardContextual"/>
        </w:rPr>
        <w:t xml:space="preserve">Although public consultations before major regulatory decisions are </w:t>
      </w:r>
      <w:r w:rsidR="007453C9" w:rsidRPr="005F7253">
        <w:rPr>
          <w:rFonts w:ascii="Aptos" w:eastAsia="Aptos" w:hAnsi="Aptos" w:cs="Arial"/>
          <w:kern w:val="2"/>
          <w:sz w:val="22"/>
          <w:szCs w:val="22"/>
          <w14:ligatures w14:val="standardContextual"/>
        </w:rPr>
        <w:t>mandatory in 55 per cent of countries</w:t>
      </w:r>
      <w:r w:rsidRPr="00541831">
        <w:rPr>
          <w:rFonts w:ascii="Aptos" w:eastAsia="Aptos" w:hAnsi="Aptos"/>
          <w:kern w:val="2"/>
          <w:sz w:val="22"/>
          <w14:ligatures w14:val="standardContextual"/>
        </w:rPr>
        <w:t xml:space="preserve">, only 9 per cent </w:t>
      </w:r>
      <w:r w:rsidR="007453C9" w:rsidRPr="005F7253">
        <w:rPr>
          <w:rFonts w:ascii="Aptos" w:eastAsia="Aptos" w:hAnsi="Aptos" w:cs="Arial"/>
          <w:kern w:val="2"/>
          <w:sz w:val="22"/>
          <w:szCs w:val="22"/>
          <w14:ligatures w14:val="standardContextual"/>
        </w:rPr>
        <w:t xml:space="preserve">make </w:t>
      </w:r>
      <w:r w:rsidRPr="00541831">
        <w:rPr>
          <w:rFonts w:ascii="Aptos" w:eastAsia="Aptos" w:hAnsi="Aptos"/>
          <w:kern w:val="2"/>
          <w:sz w:val="22"/>
          <w14:ligatures w14:val="standardContextual"/>
        </w:rPr>
        <w:t xml:space="preserve">use </w:t>
      </w:r>
      <w:r w:rsidR="007453C9" w:rsidRPr="005F7253">
        <w:rPr>
          <w:rFonts w:ascii="Aptos" w:eastAsia="Aptos" w:hAnsi="Aptos" w:cs="Arial"/>
          <w:kern w:val="2"/>
          <w:sz w:val="22"/>
          <w:szCs w:val="22"/>
          <w14:ligatures w14:val="standardContextual"/>
        </w:rPr>
        <w:t xml:space="preserve">of </w:t>
      </w:r>
      <w:r w:rsidRPr="00541831">
        <w:rPr>
          <w:rFonts w:ascii="Aptos" w:eastAsia="Aptos" w:hAnsi="Aptos"/>
          <w:kern w:val="2"/>
          <w:sz w:val="22"/>
          <w14:ligatures w14:val="standardContextual"/>
        </w:rPr>
        <w:t xml:space="preserve">these consultations to collect and </w:t>
      </w:r>
      <w:r w:rsidR="007453C9" w:rsidRPr="00541831">
        <w:rPr>
          <w:rFonts w:ascii="Aptos" w:eastAsia="Aptos" w:hAnsi="Aptos"/>
          <w:kern w:val="2"/>
          <w:sz w:val="22"/>
          <w14:ligatures w14:val="standardContextual"/>
        </w:rPr>
        <w:t xml:space="preserve">meaningfully </w:t>
      </w:r>
      <w:r w:rsidRPr="005F7253">
        <w:rPr>
          <w:rFonts w:ascii="Aptos" w:eastAsia="Aptos" w:hAnsi="Aptos" w:cs="Arial"/>
          <w:kern w:val="2"/>
          <w:sz w:val="22"/>
          <w:szCs w:val="22"/>
          <w14:ligatures w14:val="standardContextual"/>
        </w:rPr>
        <w:t xml:space="preserve">integrate </w:t>
      </w:r>
      <w:r w:rsidRPr="00541831">
        <w:rPr>
          <w:rFonts w:ascii="Aptos" w:eastAsia="Aptos" w:hAnsi="Aptos"/>
          <w:kern w:val="2"/>
          <w:sz w:val="22"/>
          <w14:ligatures w14:val="standardContextual"/>
        </w:rPr>
        <w:t>stakeholder feedback into decision-making.</w:t>
      </w:r>
      <w:r w:rsidRPr="00541831">
        <w:rPr>
          <w:rFonts w:ascii="Aptos" w:eastAsia="Aptos" w:hAnsi="Aptos"/>
          <w:kern w:val="2"/>
          <w:sz w:val="22"/>
          <w:vertAlign w:val="superscript"/>
          <w14:ligatures w14:val="standardContextual"/>
        </w:rPr>
        <w:footnoteReference w:id="4"/>
      </w:r>
      <w:r w:rsidRPr="00541831">
        <w:rPr>
          <w:rFonts w:ascii="Aptos" w:eastAsia="Aptos" w:hAnsi="Aptos"/>
          <w:kern w:val="2"/>
          <w:sz w:val="22"/>
          <w14:ligatures w14:val="standardContextual"/>
        </w:rPr>
        <w:t xml:space="preserve"> </w:t>
      </w:r>
    </w:p>
    <w:p w14:paraId="236D4816" w14:textId="170BD46E" w:rsidR="006C41B5" w:rsidRPr="005F7253" w:rsidRDefault="006C41B5" w:rsidP="006C41B5">
      <w:pPr>
        <w:numPr>
          <w:ilvl w:val="0"/>
          <w:numId w:val="21"/>
        </w:numPr>
        <w:tabs>
          <w:tab w:val="clear" w:pos="794"/>
          <w:tab w:val="clear" w:pos="1191"/>
          <w:tab w:val="clear" w:pos="1588"/>
          <w:tab w:val="clear" w:pos="1985"/>
        </w:tabs>
        <w:overflowPunct/>
        <w:autoSpaceDE/>
        <w:autoSpaceDN/>
        <w:adjustRightInd/>
        <w:spacing w:before="0" w:after="160" w:line="278" w:lineRule="auto"/>
        <w:contextualSpacing/>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Regular </w:t>
      </w:r>
      <w:r w:rsidRPr="005F7253">
        <w:rPr>
          <w:rFonts w:ascii="Aptos" w:eastAsia="Aptos" w:hAnsi="Aptos" w:cs="Arial"/>
          <w:b/>
          <w:bCs/>
          <w:kern w:val="2"/>
          <w:sz w:val="22"/>
          <w:szCs w:val="22"/>
          <w14:ligatures w14:val="standardContextual"/>
        </w:rPr>
        <w:t xml:space="preserve">policy reviews </w:t>
      </w:r>
      <w:r w:rsidRPr="005F7253">
        <w:rPr>
          <w:rFonts w:ascii="Aptos" w:eastAsia="Aptos" w:hAnsi="Aptos" w:cs="Arial"/>
          <w:kern w:val="2"/>
          <w:sz w:val="22"/>
          <w:szCs w:val="22"/>
          <w14:ligatures w14:val="standardContextual"/>
        </w:rPr>
        <w:t>are essential to keep regulatory frameworks adaptive, relevant and effective amid rapid technological change. However, only 18 per cent of government agencies in the region conduct ex-post policy reviews and just 5 per cent perform rolling reviews</w:t>
      </w:r>
      <w:r w:rsidR="00D23E3B" w:rsidRPr="005F7253">
        <w:rPr>
          <w:rFonts w:ascii="Aptos" w:eastAsia="Aptos" w:hAnsi="Aptos" w:cs="Arial"/>
          <w:kern w:val="2"/>
          <w:sz w:val="22"/>
          <w:szCs w:val="22"/>
          <w14:ligatures w14:val="standardContextual"/>
        </w:rPr>
        <w:t xml:space="preserve"> – </w:t>
      </w:r>
      <w:r w:rsidRPr="005F7253">
        <w:rPr>
          <w:rFonts w:ascii="Aptos" w:eastAsia="Aptos" w:hAnsi="Aptos" w:cs="Arial"/>
          <w:kern w:val="2"/>
          <w:sz w:val="22"/>
          <w:szCs w:val="22"/>
          <w14:ligatures w14:val="standardContextual"/>
        </w:rPr>
        <w:t>significantly lower than global averages of 32 per cent and 12 per cent, respectively.</w:t>
      </w:r>
      <w:r w:rsidRPr="005F7253">
        <w:rPr>
          <w:rFonts w:ascii="Aptos" w:eastAsia="Aptos" w:hAnsi="Aptos" w:cs="Arial"/>
          <w:kern w:val="2"/>
          <w:sz w:val="22"/>
          <w:szCs w:val="22"/>
          <w:vertAlign w:val="superscript"/>
          <w14:ligatures w14:val="standardContextual"/>
        </w:rPr>
        <w:footnoteReference w:id="5"/>
      </w:r>
    </w:p>
    <w:p w14:paraId="32732AFE" w14:textId="77777777" w:rsidR="006C41B5" w:rsidRPr="005F7253" w:rsidRDefault="006C41B5" w:rsidP="006C41B5">
      <w:pPr>
        <w:numPr>
          <w:ilvl w:val="0"/>
          <w:numId w:val="21"/>
        </w:numPr>
        <w:tabs>
          <w:tab w:val="clear" w:pos="794"/>
          <w:tab w:val="clear" w:pos="1191"/>
          <w:tab w:val="clear" w:pos="1588"/>
          <w:tab w:val="clear" w:pos="1985"/>
        </w:tabs>
        <w:overflowPunct/>
        <w:autoSpaceDE/>
        <w:autoSpaceDN/>
        <w:adjustRightInd/>
        <w:spacing w:before="0" w:after="160" w:line="278"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Regulatory impact assessments (RIA)</w:t>
      </w:r>
      <w:r w:rsidRPr="005F7253">
        <w:rPr>
          <w:rFonts w:ascii="Aptos" w:eastAsia="Aptos" w:hAnsi="Aptos" w:cs="Arial"/>
          <w:kern w:val="2"/>
          <w:sz w:val="22"/>
          <w:szCs w:val="22"/>
          <w14:ligatures w14:val="standardContextual"/>
        </w:rPr>
        <w:t xml:space="preserve"> play a key role in evaluating policy impacts and identifying options that promote innovation and mitigate risks. Among Arab States, only 27 per cent of regulators conduct RIA prior to major decisions, compared to a global average of 51 per cent.</w:t>
      </w:r>
      <w:r w:rsidRPr="005F7253">
        <w:rPr>
          <w:rFonts w:ascii="Aptos" w:eastAsia="Aptos" w:hAnsi="Aptos" w:cs="Arial"/>
          <w:kern w:val="2"/>
          <w:sz w:val="22"/>
          <w:szCs w:val="22"/>
          <w:vertAlign w:val="superscript"/>
          <w14:ligatures w14:val="standardContextual"/>
        </w:rPr>
        <w:footnoteReference w:id="6"/>
      </w:r>
    </w:p>
    <w:p w14:paraId="07451231"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Strong institutions are pivotal to translating policies into action. Strengthening the digital skills and expertise of regulators in the region along with their administrative capacity is equally crucial to implementing forward-looking strategies and fostering sustainable, inclusive digital ecosystems.</w:t>
      </w:r>
    </w:p>
    <w:p w14:paraId="7FD792F3"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Readiness of national frameworks in key areas: opportunities to unlock inclusive growth</w:t>
      </w:r>
    </w:p>
    <w:p w14:paraId="0C2D7A7A"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ICT and digital policy and regulation are essential tools for addressing emerging technological and economic challenges while advancing national priorities for prosperity and resilience.</w:t>
      </w:r>
    </w:p>
    <w:p w14:paraId="47C05A16" w14:textId="64FC5E11" w:rsidR="006C41B5" w:rsidRPr="005F7253" w:rsidRDefault="007453C9"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Around the world and in </w:t>
      </w:r>
      <w:r w:rsidR="006C41B5" w:rsidRPr="005F7253">
        <w:rPr>
          <w:rFonts w:ascii="Aptos" w:eastAsia="Aptos" w:hAnsi="Aptos" w:cs="Arial"/>
          <w:kern w:val="2"/>
          <w:sz w:val="22"/>
          <w:szCs w:val="22"/>
          <w14:ligatures w14:val="standardContextual"/>
        </w:rPr>
        <w:t xml:space="preserve">all regions, the state of the enabling environment </w:t>
      </w:r>
      <w:r w:rsidRPr="005F7253">
        <w:rPr>
          <w:rFonts w:ascii="Aptos" w:eastAsia="Aptos" w:hAnsi="Aptos" w:cs="Arial"/>
          <w:kern w:val="2"/>
          <w:sz w:val="22"/>
          <w:szCs w:val="22"/>
          <w14:ligatures w14:val="standardContextual"/>
        </w:rPr>
        <w:t xml:space="preserve">in most countries </w:t>
      </w:r>
      <w:r w:rsidR="000C3AC5" w:rsidRPr="005F7253">
        <w:rPr>
          <w:rFonts w:ascii="Aptos" w:eastAsia="Aptos" w:hAnsi="Aptos" w:cs="Arial"/>
          <w:kern w:val="2"/>
          <w:sz w:val="22"/>
          <w:szCs w:val="22"/>
          <w14:ligatures w14:val="standardContextual"/>
        </w:rPr>
        <w:t xml:space="preserve">currently </w:t>
      </w:r>
      <w:r w:rsidR="006C41B5" w:rsidRPr="005F7253">
        <w:rPr>
          <w:rFonts w:ascii="Aptos" w:eastAsia="Aptos" w:hAnsi="Aptos" w:cs="Arial"/>
          <w:kern w:val="2"/>
          <w:sz w:val="22"/>
          <w:szCs w:val="22"/>
          <w14:ligatures w14:val="standardContextual"/>
        </w:rPr>
        <w:t xml:space="preserve">does not provide sufficient leverage to </w:t>
      </w:r>
      <w:r w:rsidRPr="005F7253">
        <w:rPr>
          <w:rFonts w:ascii="Aptos" w:eastAsia="Aptos" w:hAnsi="Aptos" w:cs="Arial"/>
          <w:kern w:val="2"/>
          <w:sz w:val="22"/>
          <w:szCs w:val="22"/>
          <w14:ligatures w14:val="standardContextual"/>
        </w:rPr>
        <w:t xml:space="preserve">allow either </w:t>
      </w:r>
      <w:r w:rsidR="006C41B5" w:rsidRPr="005F7253">
        <w:rPr>
          <w:rFonts w:ascii="Aptos" w:eastAsia="Aptos" w:hAnsi="Aptos" w:cs="Arial"/>
          <w:kern w:val="2"/>
          <w:sz w:val="22"/>
          <w:szCs w:val="22"/>
          <w14:ligatures w14:val="standardContextual"/>
        </w:rPr>
        <w:t xml:space="preserve">public sector initiatives </w:t>
      </w:r>
      <w:r w:rsidRPr="005F7253">
        <w:rPr>
          <w:rFonts w:ascii="Aptos" w:eastAsia="Aptos" w:hAnsi="Aptos" w:cs="Arial"/>
          <w:kern w:val="2"/>
          <w:sz w:val="22"/>
          <w:szCs w:val="22"/>
          <w14:ligatures w14:val="standardContextual"/>
        </w:rPr>
        <w:t xml:space="preserve">or </w:t>
      </w:r>
      <w:r w:rsidR="006C41B5" w:rsidRPr="005F7253">
        <w:rPr>
          <w:rFonts w:ascii="Aptos" w:eastAsia="Aptos" w:hAnsi="Aptos" w:cs="Arial"/>
          <w:kern w:val="2"/>
          <w:sz w:val="22"/>
          <w:szCs w:val="22"/>
          <w14:ligatures w14:val="standardContextual"/>
        </w:rPr>
        <w:t>private sector players to unleash the full potential of digital transformation.</w:t>
      </w:r>
      <w:r w:rsidR="006C41B5" w:rsidRPr="005F7253">
        <w:rPr>
          <w:rFonts w:ascii="Aptos" w:eastAsia="Aptos" w:hAnsi="Aptos" w:cs="Arial"/>
          <w:kern w:val="2"/>
          <w:sz w:val="22"/>
          <w:szCs w:val="22"/>
          <w:vertAlign w:val="superscript"/>
          <w14:ligatures w14:val="standardContextual"/>
        </w:rPr>
        <w:footnoteReference w:id="7"/>
      </w:r>
      <w:r w:rsidR="006C41B5" w:rsidRPr="005F7253">
        <w:rPr>
          <w:rFonts w:ascii="Aptos" w:eastAsia="Aptos" w:hAnsi="Aptos" w:cs="Arial"/>
          <w:kern w:val="2"/>
          <w:sz w:val="22"/>
          <w:szCs w:val="22"/>
          <w14:ligatures w14:val="standardContextual"/>
        </w:rPr>
        <w:t xml:space="preserve"> Despite notable progress, only 18 countries worldwide met the requirements for the Leading category of the G5 Benchmark in 2023, up from nine in 2021.</w:t>
      </w:r>
      <w:r w:rsidR="006C41B5" w:rsidRPr="005F7253">
        <w:rPr>
          <w:rFonts w:ascii="Aptos" w:eastAsia="Aptos" w:hAnsi="Aptos" w:cs="Arial"/>
          <w:kern w:val="2"/>
          <w:sz w:val="22"/>
          <w:szCs w:val="22"/>
          <w:vertAlign w:val="superscript"/>
          <w14:ligatures w14:val="standardContextual"/>
        </w:rPr>
        <w:footnoteReference w:id="8"/>
      </w:r>
      <w:r w:rsidR="006C41B5" w:rsidRPr="005F7253">
        <w:rPr>
          <w:rFonts w:ascii="Aptos" w:eastAsia="Aptos" w:hAnsi="Aptos" w:cs="Arial"/>
          <w:kern w:val="2"/>
          <w:sz w:val="22"/>
          <w:szCs w:val="22"/>
          <w14:ligatures w14:val="standardContextual"/>
        </w:rPr>
        <w:t xml:space="preserve"> Saudi Arabia is the only Arab State in this group</w:t>
      </w:r>
      <w:r w:rsidR="000C3AC5" w:rsidRPr="005F7253">
        <w:rPr>
          <w:rFonts w:ascii="Aptos" w:eastAsia="Aptos" w:hAnsi="Aptos" w:cs="Arial"/>
          <w:kern w:val="2"/>
          <w:sz w:val="22"/>
          <w:szCs w:val="22"/>
          <w14:ligatures w14:val="standardContextual"/>
        </w:rPr>
        <w:t>,</w:t>
      </w:r>
      <w:r w:rsidR="006C41B5" w:rsidRPr="005F7253">
        <w:rPr>
          <w:rFonts w:ascii="Aptos" w:eastAsia="Aptos" w:hAnsi="Aptos" w:cs="Arial"/>
          <w:kern w:val="2"/>
          <w:sz w:val="22"/>
          <w:szCs w:val="22"/>
          <w14:ligatures w14:val="standardContextual"/>
        </w:rPr>
        <w:t xml:space="preserve"> </w:t>
      </w:r>
      <w:r w:rsidR="000C3AC5" w:rsidRPr="005F7253">
        <w:rPr>
          <w:rFonts w:ascii="Aptos" w:eastAsia="Aptos" w:hAnsi="Aptos" w:cs="Arial"/>
          <w:kern w:val="2"/>
          <w:sz w:val="22"/>
          <w:szCs w:val="22"/>
          <w14:ligatures w14:val="standardContextual"/>
        </w:rPr>
        <w:t xml:space="preserve">having </w:t>
      </w:r>
      <w:r w:rsidR="006C41B5" w:rsidRPr="005F7253">
        <w:rPr>
          <w:rFonts w:ascii="Aptos" w:eastAsia="Aptos" w:hAnsi="Aptos" w:cs="Arial"/>
          <w:kern w:val="2"/>
          <w:sz w:val="22"/>
          <w:szCs w:val="22"/>
          <w14:ligatures w14:val="standardContextual"/>
        </w:rPr>
        <w:t>join</w:t>
      </w:r>
      <w:r w:rsidR="000C3AC5" w:rsidRPr="005F7253">
        <w:rPr>
          <w:rFonts w:ascii="Aptos" w:eastAsia="Aptos" w:hAnsi="Aptos" w:cs="Arial"/>
          <w:kern w:val="2"/>
          <w:sz w:val="22"/>
          <w:szCs w:val="22"/>
          <w14:ligatures w14:val="standardContextual"/>
        </w:rPr>
        <w:t>ed</w:t>
      </w:r>
      <w:r w:rsidR="006C41B5" w:rsidRPr="005F7253">
        <w:rPr>
          <w:rFonts w:ascii="Aptos" w:eastAsia="Aptos" w:hAnsi="Aptos" w:cs="Arial"/>
          <w:kern w:val="2"/>
          <w:sz w:val="22"/>
          <w:szCs w:val="22"/>
          <w14:ligatures w14:val="standardContextual"/>
        </w:rPr>
        <w:t xml:space="preserve"> </w:t>
      </w:r>
      <w:r w:rsidR="000C3AC5" w:rsidRPr="005F7253">
        <w:rPr>
          <w:rFonts w:ascii="Aptos" w:eastAsia="Aptos" w:hAnsi="Aptos" w:cs="Arial"/>
          <w:kern w:val="2"/>
          <w:sz w:val="22"/>
          <w:szCs w:val="22"/>
          <w14:ligatures w14:val="standardContextual"/>
        </w:rPr>
        <w:t xml:space="preserve">it </w:t>
      </w:r>
      <w:r w:rsidR="006C41B5" w:rsidRPr="005F7253">
        <w:rPr>
          <w:rFonts w:ascii="Aptos" w:eastAsia="Aptos" w:hAnsi="Aptos" w:cs="Arial"/>
          <w:kern w:val="2"/>
          <w:sz w:val="22"/>
          <w:szCs w:val="22"/>
          <w14:ligatures w14:val="standardContextual"/>
        </w:rPr>
        <w:t>in 2023</w:t>
      </w:r>
      <w:r w:rsidR="000C3AC5" w:rsidRPr="005F7253">
        <w:rPr>
          <w:rFonts w:ascii="Aptos" w:eastAsia="Aptos" w:hAnsi="Aptos" w:cs="Arial"/>
          <w:kern w:val="2"/>
          <w:sz w:val="22"/>
          <w:szCs w:val="22"/>
          <w14:ligatures w14:val="standardContextual"/>
        </w:rPr>
        <w:t>,</w:t>
      </w:r>
      <w:r w:rsidR="006C41B5" w:rsidRPr="005F7253">
        <w:rPr>
          <w:rFonts w:ascii="Aptos" w:eastAsia="Aptos" w:hAnsi="Aptos" w:cs="Arial"/>
          <w:kern w:val="2"/>
          <w:sz w:val="22"/>
          <w:szCs w:val="22"/>
          <w14:ligatures w14:val="standardContextual"/>
        </w:rPr>
        <w:t xml:space="preserve"> while Egypt, Kuwait, Qatar, Oman, and the United Arab Emirates have reached the Advanced category, demonstrating steady progress in creating enabling environments for digital markets. However, </w:t>
      </w:r>
      <w:proofErr w:type="gramStart"/>
      <w:r w:rsidR="006C41B5" w:rsidRPr="005F7253">
        <w:rPr>
          <w:rFonts w:ascii="Aptos" w:eastAsia="Aptos" w:hAnsi="Aptos" w:cs="Arial"/>
          <w:kern w:val="2"/>
          <w:sz w:val="22"/>
          <w:szCs w:val="22"/>
          <w14:ligatures w14:val="standardContextual"/>
        </w:rPr>
        <w:t>the majority of</w:t>
      </w:r>
      <w:proofErr w:type="gramEnd"/>
      <w:r w:rsidR="006C41B5" w:rsidRPr="005F7253">
        <w:rPr>
          <w:rFonts w:ascii="Aptos" w:eastAsia="Aptos" w:hAnsi="Aptos" w:cs="Arial"/>
          <w:kern w:val="2"/>
          <w:sz w:val="22"/>
          <w:szCs w:val="22"/>
          <w14:ligatures w14:val="standardContextual"/>
        </w:rPr>
        <w:t xml:space="preserve"> countries in the region remain in the Transitioning or Limited categories, with significant work ahead to enable meaningful digital transformation.</w:t>
      </w:r>
    </w:p>
    <w:p w14:paraId="394CC793" w14:textId="7822F445"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Arab States as a group trail more advanced regions in digital transformation, performing better only than Africa and on par with the CIS region according to the G5 Benchmark 2023. The region’s scores hover near or below the world average across most thematic benchmarks. </w:t>
      </w:r>
      <w:r w:rsidR="000C3AC5" w:rsidRPr="005F7253">
        <w:rPr>
          <w:rFonts w:ascii="Aptos" w:eastAsia="Aptos" w:hAnsi="Aptos" w:cs="Arial"/>
          <w:kern w:val="2"/>
          <w:sz w:val="22"/>
          <w:szCs w:val="22"/>
          <w14:ligatures w14:val="standardContextual"/>
        </w:rPr>
        <w:t>The indicators for m</w:t>
      </w:r>
      <w:r w:rsidRPr="005F7253">
        <w:rPr>
          <w:rFonts w:ascii="Aptos" w:eastAsia="Aptos" w:hAnsi="Aptos" w:cs="Arial"/>
          <w:kern w:val="2"/>
          <w:sz w:val="22"/>
          <w:szCs w:val="22"/>
          <w14:ligatures w14:val="standardContextual"/>
        </w:rPr>
        <w:t xml:space="preserve">arket rules and </w:t>
      </w:r>
      <w:r w:rsidR="000C3AC5" w:rsidRPr="005F7253">
        <w:rPr>
          <w:rFonts w:ascii="Aptos" w:eastAsia="Aptos" w:hAnsi="Aptos" w:cs="Arial"/>
          <w:kern w:val="2"/>
          <w:sz w:val="22"/>
          <w:szCs w:val="22"/>
          <w14:ligatures w14:val="standardContextual"/>
        </w:rPr>
        <w:t>l</w:t>
      </w:r>
      <w:r w:rsidRPr="005F7253">
        <w:rPr>
          <w:rFonts w:ascii="Aptos" w:eastAsia="Aptos" w:hAnsi="Aptos" w:cs="Arial"/>
          <w:kern w:val="2"/>
          <w:sz w:val="22"/>
          <w:szCs w:val="22"/>
          <w14:ligatures w14:val="standardContextual"/>
        </w:rPr>
        <w:t xml:space="preserve">egal instruments for ICT markets exhibit the largest gaps, scoring respectively 37 per cent and 39 per cent lower than the world average. Notably, the region achieves its highest score – 57 per cent – in </w:t>
      </w:r>
      <w:r w:rsidR="00126E2D" w:rsidRPr="005F7253">
        <w:rPr>
          <w:rFonts w:ascii="Aptos" w:eastAsia="Aptos" w:hAnsi="Aptos" w:cs="Arial"/>
          <w:kern w:val="2"/>
          <w:sz w:val="22"/>
          <w:szCs w:val="22"/>
          <w14:ligatures w14:val="standardContextual"/>
        </w:rPr>
        <w:t>r</w:t>
      </w:r>
      <w:r w:rsidRPr="005F7253">
        <w:rPr>
          <w:rFonts w:ascii="Aptos" w:eastAsia="Aptos" w:hAnsi="Aptos" w:cs="Arial"/>
          <w:kern w:val="2"/>
          <w:sz w:val="22"/>
          <w:szCs w:val="22"/>
          <w14:ligatures w14:val="standardContextual"/>
        </w:rPr>
        <w:t xml:space="preserve">egulatory capacity, highlighting a key strength with the potential to drive progress across other benchmarks. Conversely, the lowest score is in </w:t>
      </w:r>
      <w:r w:rsidR="00126E2D" w:rsidRPr="005F7253">
        <w:rPr>
          <w:rFonts w:ascii="Aptos" w:eastAsia="Aptos" w:hAnsi="Aptos" w:cs="Arial"/>
          <w:kern w:val="2"/>
          <w:sz w:val="22"/>
          <w:szCs w:val="22"/>
          <w14:ligatures w14:val="standardContextual"/>
        </w:rPr>
        <w:t>r</w:t>
      </w:r>
      <w:r w:rsidRPr="005F7253">
        <w:rPr>
          <w:rFonts w:ascii="Aptos" w:eastAsia="Aptos" w:hAnsi="Aptos" w:cs="Arial"/>
          <w:kern w:val="2"/>
          <w:sz w:val="22"/>
          <w:szCs w:val="22"/>
          <w14:ligatures w14:val="standardContextual"/>
        </w:rPr>
        <w:t xml:space="preserve">egional and international collaboration, </w:t>
      </w:r>
      <w:r w:rsidRPr="005F7253">
        <w:rPr>
          <w:rFonts w:ascii="Aptos" w:eastAsia="Aptos" w:hAnsi="Aptos" w:cs="Arial"/>
          <w:kern w:val="2"/>
          <w:sz w:val="22"/>
          <w:szCs w:val="22"/>
          <w14:ligatures w14:val="standardContextual"/>
        </w:rPr>
        <w:lastRenderedPageBreak/>
        <w:t xml:space="preserve">underscoring the need for greater focus on fostering cross-border partnerships, which could also accelerate advancements in other areas, such as </w:t>
      </w:r>
      <w:r w:rsidR="00126E2D" w:rsidRPr="005F7253">
        <w:rPr>
          <w:rFonts w:ascii="Aptos" w:eastAsia="Aptos" w:hAnsi="Aptos" w:cs="Arial"/>
          <w:kern w:val="2"/>
          <w:sz w:val="22"/>
          <w:szCs w:val="22"/>
          <w14:ligatures w14:val="standardContextual"/>
        </w:rPr>
        <w:t>l</w:t>
      </w:r>
      <w:r w:rsidRPr="005F7253">
        <w:rPr>
          <w:rFonts w:ascii="Aptos" w:eastAsia="Aptos" w:hAnsi="Aptos" w:cs="Arial"/>
          <w:kern w:val="2"/>
          <w:sz w:val="22"/>
          <w:szCs w:val="22"/>
          <w14:ligatures w14:val="standardContextual"/>
        </w:rPr>
        <w:t xml:space="preserve">egal instruments for digital markets and </w:t>
      </w:r>
      <w:r w:rsidR="00126E2D" w:rsidRPr="005F7253">
        <w:rPr>
          <w:rFonts w:ascii="Aptos" w:eastAsia="Aptos" w:hAnsi="Aptos" w:cs="Arial"/>
          <w:kern w:val="2"/>
          <w:sz w:val="22"/>
          <w:szCs w:val="22"/>
          <w14:ligatures w14:val="standardContextual"/>
        </w:rPr>
        <w:t>m</w:t>
      </w:r>
      <w:r w:rsidRPr="005F7253">
        <w:rPr>
          <w:rFonts w:ascii="Aptos" w:eastAsia="Aptos" w:hAnsi="Aptos" w:cs="Arial"/>
          <w:kern w:val="2"/>
          <w:sz w:val="22"/>
          <w:szCs w:val="22"/>
          <w14:ligatures w14:val="standardContextual"/>
        </w:rPr>
        <w:t>arket rules.</w:t>
      </w:r>
    </w:p>
    <w:p w14:paraId="5191141D" w14:textId="77777777" w:rsidR="006C41B5" w:rsidRPr="00541831"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olor w:val="0070C0"/>
          <w:spacing w:val="-10"/>
          <w:kern w:val="28"/>
        </w:rPr>
      </w:pPr>
      <w:r w:rsidRPr="00541831">
        <w:rPr>
          <w:rFonts w:ascii="AvenirNext LT Pro Light" w:eastAsia="Yu Gothic Light" w:hAnsi="AvenirNext LT Pro Light"/>
          <w:color w:val="0070C0"/>
          <w:spacing w:val="-10"/>
          <w:kern w:val="28"/>
        </w:rPr>
        <w:t>Legal, policy and governance frameworks for digital transformation, 2022-2023</w:t>
      </w:r>
    </w:p>
    <w:p w14:paraId="45BD81D7"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6B91F98E" wp14:editId="5A1F9B4B">
            <wp:extent cx="5731510" cy="2727960"/>
            <wp:effectExtent l="0" t="0" r="2540" b="0"/>
            <wp:docPr id="66111409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14959"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31510" cy="2727960"/>
                    </a:xfrm>
                    <a:prstGeom prst="rect">
                      <a:avLst/>
                    </a:prstGeom>
                  </pic:spPr>
                </pic:pic>
              </a:graphicData>
            </a:graphic>
          </wp:inline>
        </w:drawing>
      </w:r>
    </w:p>
    <w:p w14:paraId="122ADEC3" w14:textId="30C4585C"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41831">
        <w:rPr>
          <w:rFonts w:ascii="Aptos" w:eastAsia="Aptos" w:hAnsi="Aptos"/>
          <w:kern w:val="2"/>
          <w:sz w:val="16"/>
          <w14:ligatures w14:val="standardContextual"/>
        </w:rPr>
        <w:t xml:space="preserve">Note: </w:t>
      </w:r>
      <w:r w:rsidRPr="005F7253">
        <w:rPr>
          <w:rFonts w:ascii="Aptos" w:eastAsia="Aptos" w:hAnsi="Aptos" w:cs="Arial"/>
          <w:kern w:val="2"/>
          <w:sz w:val="16"/>
          <w:szCs w:val="28"/>
          <w14:ligatures w14:val="standardContextual"/>
        </w:rPr>
        <w:t xml:space="preserve">The nine thematic benchmarks (as in the chart above) each comprise a subset of indicators, as part of the </w:t>
      </w:r>
      <w:hyperlink r:id="rId19" w:history="1">
        <w:r w:rsidRPr="00541831">
          <w:rPr>
            <w:rFonts w:ascii="Aptos" w:eastAsia="Aptos" w:hAnsi="Aptos" w:cs="Arial"/>
            <w:color w:val="467886"/>
            <w:kern w:val="2"/>
            <w:sz w:val="16"/>
            <w:szCs w:val="16"/>
            <w:u w:val="single"/>
            <w14:ligatures w14:val="standardContextual"/>
          </w:rPr>
          <w:t>ITU Unified Framework for the readiness of national policy, legal and governance frameworks for digital transformation</w:t>
        </w:r>
      </w:hyperlink>
      <w:r w:rsidRPr="005F7253">
        <w:rPr>
          <w:rFonts w:ascii="Aptos" w:eastAsia="Aptos" w:hAnsi="Aptos" w:cs="Arial"/>
          <w:kern w:val="2"/>
          <w:sz w:val="16"/>
          <w:szCs w:val="28"/>
          <w14:ligatures w14:val="standardContextual"/>
        </w:rPr>
        <w:t xml:space="preserve">. </w:t>
      </w:r>
    </w:p>
    <w:p w14:paraId="11B0A786"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41831">
        <w:rPr>
          <w:rFonts w:ascii="Aptos" w:eastAsia="Aptos" w:hAnsi="Aptos"/>
          <w:kern w:val="2"/>
          <w:sz w:val="16"/>
          <w14:ligatures w14:val="standardContextual"/>
        </w:rPr>
        <w:t>The chart shows progress on the nine benchmarks for Arab States (average for the group) compared to the world average and the highest performing country, in 2023.</w:t>
      </w:r>
      <w:r w:rsidRPr="005F7253">
        <w:rPr>
          <w:rFonts w:ascii="Aptos" w:eastAsia="Aptos" w:hAnsi="Aptos" w:cs="Arial"/>
          <w:kern w:val="2"/>
          <w:sz w:val="16"/>
          <w:szCs w:val="28"/>
          <w14:ligatures w14:val="standardContextual"/>
        </w:rPr>
        <w:t xml:space="preserve"> The percentage of achievement on each benchmark indicates the proportion of met versus unmet targets on indicators in each benchmark.</w:t>
      </w:r>
    </w:p>
    <w:p w14:paraId="41177A80" w14:textId="77777777" w:rsidR="006C41B5" w:rsidRPr="00541831"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kern w:val="2"/>
          <w:sz w:val="16"/>
          <w14:ligatures w14:val="standardContextual"/>
        </w:rPr>
      </w:pPr>
      <w:r w:rsidRPr="00541831">
        <w:rPr>
          <w:rFonts w:ascii="Aptos" w:eastAsia="Aptos" w:hAnsi="Aptos"/>
          <w:kern w:val="2"/>
          <w:sz w:val="16"/>
          <w14:ligatures w14:val="standardContextual"/>
        </w:rPr>
        <w:t>Source: ITU</w:t>
      </w:r>
    </w:p>
    <w:p w14:paraId="3CC34A88"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Comparing Arab States to the most advanced global performers in digital readiness reveals substantial opportunities for growth in the region. Strengthening legal, policy and governance frameworks will be critical for the region to unlock the full potential of digital economies and achieve long-term transformation.</w:t>
      </w:r>
    </w:p>
    <w:p w14:paraId="2B0F0891"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Fostering ecosystems for emerging technologies remains a top priority</w:t>
      </w:r>
    </w:p>
    <w:p w14:paraId="7AC86F40"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Shaping digital policy and regulatory frameworks for emerging technologies and innovation is about creating the conditions for economies to evolve, diversify and thrive in a rapidly changing global landscape. In the Arab States region, progress in this area remains uneven, with most countries falling below global benchmarks while excelling in select areas.</w:t>
      </w:r>
    </w:p>
    <w:p w14:paraId="7660DC83"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Key instruments contributing to accelerating digital transformation and building resilience include the following:</w:t>
      </w:r>
    </w:p>
    <w:p w14:paraId="7CF88DF0" w14:textId="415CDCCA" w:rsidR="006C41B5" w:rsidRPr="005F7253" w:rsidRDefault="006C41B5" w:rsidP="006C41B5">
      <w:pPr>
        <w:numPr>
          <w:ilvl w:val="0"/>
          <w:numId w:val="23"/>
        </w:numPr>
        <w:tabs>
          <w:tab w:val="clear" w:pos="794"/>
          <w:tab w:val="clear" w:pos="1191"/>
          <w:tab w:val="clear" w:pos="1588"/>
          <w:tab w:val="clear" w:pos="1985"/>
        </w:tabs>
        <w:overflowPunct/>
        <w:autoSpaceDE/>
        <w:autoSpaceDN/>
        <w:adjustRightInd/>
        <w:spacing w:before="0" w:after="160" w:line="278"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Foundational instruments</w:t>
      </w:r>
      <w:r w:rsidRPr="005F7253">
        <w:rPr>
          <w:rFonts w:ascii="Aptos" w:eastAsia="Aptos" w:hAnsi="Aptos" w:cs="Arial"/>
          <w:b/>
          <w:bCs/>
          <w:kern w:val="2"/>
          <w:sz w:val="22"/>
          <w:szCs w:val="22"/>
          <w14:ligatures w14:val="standardContextual"/>
        </w:rPr>
        <w:br/>
      </w:r>
      <w:r w:rsidRPr="005F7253">
        <w:rPr>
          <w:rFonts w:ascii="Aptos" w:eastAsia="Aptos" w:hAnsi="Aptos" w:cs="Arial"/>
          <w:kern w:val="2"/>
          <w:sz w:val="22"/>
          <w:szCs w:val="22"/>
          <w14:ligatures w14:val="standardContextual"/>
        </w:rPr>
        <w:t>National digital strategies align policy, regulation and innovation to support the adoption and growth of emerging technologies</w:t>
      </w:r>
      <w:r w:rsidR="00932A40" w:rsidRPr="005F7253">
        <w:rPr>
          <w:rFonts w:ascii="Aptos" w:eastAsia="Aptos" w:hAnsi="Aptos" w:cs="Arial"/>
          <w:kern w:val="2"/>
          <w:sz w:val="22"/>
          <w:szCs w:val="22"/>
          <w14:ligatures w14:val="standardContextual"/>
        </w:rPr>
        <w:t>. Among the</w:t>
      </w:r>
      <w:r w:rsidRPr="005F7253">
        <w:rPr>
          <w:rFonts w:ascii="Aptos" w:eastAsia="Aptos" w:hAnsi="Aptos" w:cs="Arial"/>
          <w:kern w:val="2"/>
          <w:sz w:val="22"/>
          <w:szCs w:val="22"/>
          <w14:ligatures w14:val="standardContextual"/>
        </w:rPr>
        <w:t xml:space="preserve"> Arab States</w:t>
      </w:r>
      <w:r w:rsidR="00932A40" w:rsidRPr="005F7253">
        <w:rPr>
          <w:rFonts w:ascii="Aptos" w:eastAsia="Aptos" w:hAnsi="Aptos" w:cs="Arial"/>
          <w:kern w:val="2"/>
          <w:sz w:val="22"/>
          <w:szCs w:val="22"/>
          <w14:ligatures w14:val="standardContextual"/>
        </w:rPr>
        <w:t>, one-half</w:t>
      </w:r>
      <w:r w:rsidRPr="005F7253">
        <w:rPr>
          <w:rFonts w:ascii="Aptos" w:eastAsia="Aptos" w:hAnsi="Aptos" w:cs="Arial"/>
          <w:kern w:val="2"/>
          <w:sz w:val="22"/>
          <w:szCs w:val="22"/>
          <w14:ligatures w14:val="standardContextual"/>
        </w:rPr>
        <w:t xml:space="preserve"> have adopted </w:t>
      </w:r>
      <w:r w:rsidR="00932A40" w:rsidRPr="005F7253">
        <w:rPr>
          <w:rFonts w:ascii="Aptos" w:eastAsia="Aptos" w:hAnsi="Aptos" w:cs="Arial"/>
          <w:kern w:val="2"/>
          <w:sz w:val="22"/>
          <w:szCs w:val="22"/>
          <w14:ligatures w14:val="standardContextual"/>
        </w:rPr>
        <w:t>such a strategy</w:t>
      </w:r>
      <w:r w:rsidRPr="005F7253">
        <w:rPr>
          <w:rFonts w:ascii="Aptos" w:eastAsia="Aptos" w:hAnsi="Aptos" w:cs="Arial"/>
          <w:kern w:val="2"/>
          <w:sz w:val="22"/>
          <w:szCs w:val="22"/>
          <w14:ligatures w14:val="standardContextual"/>
        </w:rPr>
        <w:t xml:space="preserve">. Cross-cutting instruments, including data protection policies and national cybersecurity strategies, are critical enablers of digital transformation across sectors. By 2023, 59 per cent and 68 per cent of countries, respectively, had implemented </w:t>
      </w:r>
      <w:r w:rsidR="00932A40" w:rsidRPr="005F7253">
        <w:rPr>
          <w:rFonts w:ascii="Aptos" w:eastAsia="Aptos" w:hAnsi="Aptos" w:cs="Arial"/>
          <w:kern w:val="2"/>
          <w:sz w:val="22"/>
          <w:szCs w:val="22"/>
          <w14:ligatures w14:val="standardContextual"/>
        </w:rPr>
        <w:t>such strategies/</w:t>
      </w:r>
      <w:r w:rsidRPr="005F7253">
        <w:rPr>
          <w:rFonts w:ascii="Aptos" w:eastAsia="Aptos" w:hAnsi="Aptos" w:cs="Arial"/>
          <w:kern w:val="2"/>
          <w:sz w:val="22"/>
          <w:szCs w:val="22"/>
          <w14:ligatures w14:val="standardContextual"/>
        </w:rPr>
        <w:t>policies. Digital identity systems – vital for scaling digital government, e-commerce and digital platforms – have been established in 55 per cent of countries, surpassing the global average of 40 per cent.</w:t>
      </w:r>
    </w:p>
    <w:p w14:paraId="666A363B" w14:textId="66DEE229" w:rsidR="006C41B5" w:rsidRPr="005F7253" w:rsidRDefault="006C41B5" w:rsidP="006C41B5">
      <w:pPr>
        <w:numPr>
          <w:ilvl w:val="0"/>
          <w:numId w:val="23"/>
        </w:numPr>
        <w:tabs>
          <w:tab w:val="clear" w:pos="794"/>
          <w:tab w:val="clear" w:pos="1191"/>
          <w:tab w:val="clear" w:pos="1588"/>
          <w:tab w:val="clear" w:pos="1985"/>
        </w:tabs>
        <w:overflowPunct/>
        <w:autoSpaceDE/>
        <w:autoSpaceDN/>
        <w:adjustRightInd/>
        <w:spacing w:before="0" w:after="160" w:line="278" w:lineRule="auto"/>
        <w:contextualSpacing/>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lastRenderedPageBreak/>
        <w:t>Competition policy</w:t>
      </w:r>
      <w:r w:rsidRPr="005F7253">
        <w:rPr>
          <w:rFonts w:ascii="Aptos" w:eastAsia="Aptos" w:hAnsi="Aptos" w:cs="Arial"/>
          <w:b/>
          <w:bCs/>
          <w:kern w:val="2"/>
          <w:sz w:val="22"/>
          <w:szCs w:val="22"/>
          <w14:ligatures w14:val="standardContextual"/>
        </w:rPr>
        <w:br/>
      </w:r>
      <w:r w:rsidRPr="005F7253">
        <w:rPr>
          <w:rFonts w:ascii="Aptos" w:eastAsia="Aptos" w:hAnsi="Aptos" w:cs="Arial"/>
          <w:kern w:val="2"/>
          <w:sz w:val="22"/>
          <w:szCs w:val="22"/>
          <w14:ligatures w14:val="standardContextual"/>
        </w:rPr>
        <w:t>Competition policy is a central piece in driving take-up and innovation in digital markets while mitigating risks. However, Bahrain is the only country in the region to have adopted a competition policy applicable to digital markets, compared to 22 per cent globally as of 2023. Furthermore, less than 10 per cent of Arab States have adopted frameworks that are both technology- and service-neutral</w:t>
      </w:r>
      <w:r w:rsidRPr="00507DB0">
        <w:rPr>
          <w:rFonts w:ascii="Aptos" w:eastAsia="Aptos" w:hAnsi="Aptos"/>
          <w:kern w:val="2"/>
          <w:sz w:val="22"/>
          <w14:ligatures w14:val="standardContextual"/>
        </w:rPr>
        <w:t xml:space="preserve">, although </w:t>
      </w:r>
      <w:r w:rsidR="00932A40" w:rsidRPr="005F7253">
        <w:rPr>
          <w:rFonts w:ascii="Aptos" w:eastAsia="Aptos" w:hAnsi="Aptos" w:cs="Arial"/>
          <w:kern w:val="2"/>
          <w:sz w:val="22"/>
          <w:szCs w:val="22"/>
          <w14:ligatures w14:val="standardContextual"/>
        </w:rPr>
        <w:t>one-</w:t>
      </w:r>
      <w:r w:rsidRPr="00507DB0">
        <w:rPr>
          <w:rFonts w:ascii="Aptos" w:eastAsia="Aptos" w:hAnsi="Aptos"/>
          <w:kern w:val="2"/>
          <w:sz w:val="22"/>
          <w14:ligatures w14:val="standardContextual"/>
        </w:rPr>
        <w:t>half of the countries have either one or the other</w:t>
      </w:r>
      <w:r w:rsidRPr="005F7253">
        <w:rPr>
          <w:rFonts w:ascii="Aptos" w:eastAsia="Aptos" w:hAnsi="Aptos" w:cs="Arial"/>
          <w:kern w:val="2"/>
          <w:sz w:val="22"/>
          <w:szCs w:val="22"/>
          <w14:ligatures w14:val="standardContextual"/>
        </w:rPr>
        <w:t xml:space="preserve">. Non-neutral frameworks add administrative complexity </w:t>
      </w:r>
      <w:r w:rsidR="00932A40" w:rsidRPr="005F7253">
        <w:rPr>
          <w:rFonts w:ascii="Aptos" w:eastAsia="Aptos" w:hAnsi="Aptos" w:cs="Arial"/>
          <w:kern w:val="2"/>
          <w:sz w:val="22"/>
          <w:szCs w:val="22"/>
          <w14:ligatures w14:val="standardContextual"/>
        </w:rPr>
        <w:t xml:space="preserve">and </w:t>
      </w:r>
      <w:r w:rsidRPr="005F7253">
        <w:rPr>
          <w:rFonts w:ascii="Aptos" w:eastAsia="Aptos" w:hAnsi="Aptos" w:cs="Arial"/>
          <w:kern w:val="2"/>
          <w:sz w:val="22"/>
          <w:szCs w:val="22"/>
          <w14:ligatures w14:val="standardContextual"/>
        </w:rPr>
        <w:t>hinder competition, particularly in emerging technologies and services.</w:t>
      </w:r>
    </w:p>
    <w:p w14:paraId="13AF73FE" w14:textId="4654CEEE" w:rsidR="006C41B5" w:rsidRPr="005F7253" w:rsidRDefault="006C41B5" w:rsidP="006C41B5">
      <w:pPr>
        <w:numPr>
          <w:ilvl w:val="0"/>
          <w:numId w:val="23"/>
        </w:numPr>
        <w:tabs>
          <w:tab w:val="clear" w:pos="794"/>
          <w:tab w:val="clear" w:pos="1191"/>
          <w:tab w:val="clear" w:pos="1588"/>
          <w:tab w:val="clear" w:pos="1985"/>
        </w:tabs>
        <w:overflowPunct/>
        <w:autoSpaceDE/>
        <w:autoSpaceDN/>
        <w:adjustRightInd/>
        <w:spacing w:before="0" w:after="160" w:line="278" w:lineRule="auto"/>
        <w:contextualSpacing/>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Innovation and technology policies</w:t>
      </w:r>
      <w:r w:rsidRPr="005F7253">
        <w:rPr>
          <w:rFonts w:ascii="Aptos" w:eastAsia="Aptos" w:hAnsi="Aptos" w:cs="Arial"/>
          <w:b/>
          <w:bCs/>
          <w:kern w:val="2"/>
          <w:sz w:val="22"/>
          <w:szCs w:val="22"/>
          <w14:ligatures w14:val="standardContextual"/>
        </w:rPr>
        <w:br/>
      </w:r>
      <w:r w:rsidR="00932A40" w:rsidRPr="005F7253">
        <w:rPr>
          <w:rFonts w:ascii="Aptos" w:eastAsia="Aptos" w:hAnsi="Aptos" w:cs="Arial"/>
          <w:kern w:val="2"/>
          <w:sz w:val="22"/>
          <w:szCs w:val="22"/>
          <w14:ligatures w14:val="standardContextual"/>
        </w:rPr>
        <w:t xml:space="preserve">Innovation and technology </w:t>
      </w:r>
      <w:r w:rsidRPr="005F7253">
        <w:rPr>
          <w:rFonts w:ascii="Aptos" w:eastAsia="Aptos" w:hAnsi="Aptos" w:cs="Arial"/>
          <w:kern w:val="2"/>
          <w:sz w:val="22"/>
          <w:szCs w:val="22"/>
          <w14:ligatures w14:val="standardContextual"/>
        </w:rPr>
        <w:t>policies identify priority areas for technological advancement in specific sectors and establish mechanisms to support innovation in digital markets. Despite their importance, national innovation policies or regulations governing the Internet of Things (IoT) and cloud computing</w:t>
      </w:r>
      <w:r w:rsidR="00724A7B" w:rsidRPr="005F7253">
        <w:rPr>
          <w:rFonts w:ascii="Aptos" w:eastAsia="Aptos" w:hAnsi="Aptos" w:cs="Arial"/>
          <w:kern w:val="2"/>
          <w:sz w:val="22"/>
          <w:szCs w:val="22"/>
          <w14:ligatures w14:val="standardContextual"/>
        </w:rPr>
        <w:t xml:space="preserve"> are to be found in only about one-third of Arab States</w:t>
      </w:r>
      <w:r w:rsidRPr="005F7253">
        <w:rPr>
          <w:rFonts w:ascii="Aptos" w:eastAsia="Aptos" w:hAnsi="Aptos" w:cs="Arial"/>
          <w:kern w:val="2"/>
          <w:sz w:val="22"/>
          <w:szCs w:val="22"/>
          <w14:ligatures w14:val="standardContextual"/>
        </w:rPr>
        <w:t xml:space="preserve">. Policies on artificial intelligence (AI) and new spectrum technologies are even less prevalent, adopted by just 18 per cent of countries. The absence of these frameworks represents a missed opportunity to strengthen national and regional innovation ecosystems. For countries that have adopted such policies, ensuring cross-sectoral policy coherence, robust technology governance capacities and effective implementation </w:t>
      </w:r>
      <w:r w:rsidR="00C36C79" w:rsidRPr="005F7253">
        <w:rPr>
          <w:rFonts w:ascii="Aptos" w:eastAsia="Aptos" w:hAnsi="Aptos" w:cs="Arial"/>
          <w:kern w:val="2"/>
          <w:sz w:val="22"/>
          <w:szCs w:val="22"/>
          <w14:ligatures w14:val="standardContextual"/>
        </w:rPr>
        <w:t xml:space="preserve">are </w:t>
      </w:r>
      <w:r w:rsidRPr="005F7253">
        <w:rPr>
          <w:rFonts w:ascii="Aptos" w:eastAsia="Aptos" w:hAnsi="Aptos" w:cs="Arial"/>
          <w:kern w:val="2"/>
          <w:sz w:val="22"/>
          <w:szCs w:val="22"/>
          <w14:ligatures w14:val="standardContextual"/>
        </w:rPr>
        <w:t>critical.</w:t>
      </w:r>
    </w:p>
    <w:p w14:paraId="4D0182BB" w14:textId="77777777" w:rsidR="006C41B5" w:rsidRPr="005F7253" w:rsidRDefault="006C41B5" w:rsidP="006C41B5">
      <w:pPr>
        <w:numPr>
          <w:ilvl w:val="0"/>
          <w:numId w:val="23"/>
        </w:numPr>
        <w:tabs>
          <w:tab w:val="clear" w:pos="794"/>
          <w:tab w:val="clear" w:pos="1191"/>
          <w:tab w:val="clear" w:pos="1588"/>
          <w:tab w:val="clear" w:pos="1985"/>
        </w:tabs>
        <w:overflowPunct/>
        <w:autoSpaceDE/>
        <w:autoSpaceDN/>
        <w:adjustRightInd/>
        <w:spacing w:before="0" w:after="160" w:line="278" w:lineRule="auto"/>
        <w:contextualSpacing/>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Broader economic policies</w:t>
      </w:r>
      <w:r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br/>
        <w:t>Economic policies also influence digital innovation. While still significant, the proportion of Arab States imposing taxes on ICT and digital services, 45 per cent, is lower than the global average of 56 per cent. Additionally, only one in five countries in the region offer regulatory incentives for ICT and digital market players.</w:t>
      </w:r>
    </w:p>
    <w:p w14:paraId="4E012742" w14:textId="380CF5D9"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In the most advanced regulatory environments</w:t>
      </w:r>
      <w:r w:rsidR="00C36C79" w:rsidRPr="005F7253">
        <w:rPr>
          <w:rFonts w:ascii="Aptos" w:eastAsia="Aptos" w:hAnsi="Aptos" w:cs="Arial"/>
          <w:kern w:val="2"/>
          <w:sz w:val="22"/>
          <w:szCs w:val="22"/>
          <w14:ligatures w14:val="standardContextual"/>
        </w:rPr>
        <w:t xml:space="preserve"> among the Arab States</w:t>
      </w:r>
      <w:r w:rsidRPr="005F7253">
        <w:rPr>
          <w:rFonts w:ascii="Aptos" w:eastAsia="Aptos" w:hAnsi="Aptos" w:cs="Arial"/>
          <w:kern w:val="2"/>
          <w:sz w:val="22"/>
          <w:szCs w:val="22"/>
          <w14:ligatures w14:val="standardContextual"/>
        </w:rPr>
        <w:t>, a marked shift is underway</w:t>
      </w:r>
      <w:r w:rsidR="00C36C79" w:rsidRPr="005F7253">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from infrastructure-focused policies to broader, holistic initiatives that support cross-sectoral digital transformation. Sustaining this momentum is vital to creating an enabling environment for emerging technology ecosystems and fully realizing the digital value chain across the region.</w:t>
      </w:r>
    </w:p>
    <w:p w14:paraId="1D4BFB53" w14:textId="77777777" w:rsidR="006C41B5" w:rsidRPr="00011247"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olor w:val="0070C0"/>
          <w:spacing w:val="-10"/>
          <w:kern w:val="28"/>
        </w:rPr>
      </w:pPr>
      <w:r w:rsidRPr="00011247">
        <w:rPr>
          <w:rFonts w:ascii="AvenirNext LT Pro Light" w:eastAsia="Yu Gothic Light" w:hAnsi="AvenirNext LT Pro Light"/>
          <w:color w:val="0070C0"/>
          <w:spacing w:val="-10"/>
          <w:kern w:val="28"/>
        </w:rPr>
        <w:lastRenderedPageBreak/>
        <w:t>Key instruments for enabling digital markets, 2022-2023</w:t>
      </w:r>
    </w:p>
    <w:p w14:paraId="667B2509" w14:textId="77777777" w:rsidR="000018FC" w:rsidRPr="00011247"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kern w:val="2"/>
          <w:sz w:val="16"/>
          <w14:ligatures w14:val="standardContextual"/>
        </w:rPr>
      </w:pPr>
      <w:r w:rsidRPr="005F7253">
        <w:rPr>
          <w:rFonts w:ascii="Aptos" w:eastAsia="Aptos" w:hAnsi="Aptos" w:cs="Arial"/>
          <w:noProof/>
          <w:kern w:val="2"/>
          <w:sz w:val="16"/>
          <w:szCs w:val="28"/>
          <w14:ligatures w14:val="standardContextual"/>
        </w:rPr>
        <w:drawing>
          <wp:inline distT="0" distB="0" distL="0" distR="0" wp14:anchorId="09957CDE" wp14:editId="46E40459">
            <wp:extent cx="5731510" cy="3275330"/>
            <wp:effectExtent l="0" t="0" r="2540" b="1270"/>
            <wp:docPr id="15878381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59128"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31510" cy="3275330"/>
                    </a:xfrm>
                    <a:prstGeom prst="rect">
                      <a:avLst/>
                    </a:prstGeom>
                  </pic:spPr>
                </pic:pic>
              </a:graphicData>
            </a:graphic>
          </wp:inline>
        </w:drawing>
      </w:r>
    </w:p>
    <w:p w14:paraId="06F56BA8" w14:textId="11C3B817" w:rsidR="006C41B5" w:rsidRPr="00011247"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kern w:val="2"/>
          <w:sz w:val="16"/>
          <w14:ligatures w14:val="standardContextual"/>
        </w:rPr>
      </w:pPr>
      <w:r w:rsidRPr="00011247">
        <w:rPr>
          <w:rFonts w:ascii="Aptos" w:eastAsia="Aptos" w:hAnsi="Aptos"/>
          <w:kern w:val="2"/>
          <w:sz w:val="16"/>
          <w14:ligatures w14:val="standardContextual"/>
        </w:rPr>
        <w:t xml:space="preserve">Note: </w:t>
      </w:r>
      <w:r w:rsidR="00173AD6" w:rsidRPr="005F7253">
        <w:rPr>
          <w:rFonts w:ascii="Aptos" w:eastAsia="Aptos" w:hAnsi="Aptos" w:cs="Arial"/>
          <w:kern w:val="2"/>
          <w:sz w:val="16"/>
          <w:szCs w:val="28"/>
          <w14:ligatures w14:val="standardContextual"/>
        </w:rPr>
        <w:t xml:space="preserve"> </w:t>
      </w:r>
      <w:r w:rsidR="00173AD6" w:rsidRPr="00011247">
        <w:rPr>
          <w:rFonts w:ascii="Aptos" w:eastAsia="Aptos" w:hAnsi="Aptos"/>
          <w:kern w:val="2"/>
          <w:sz w:val="16"/>
          <w14:ligatures w14:val="standardContextual"/>
        </w:rPr>
        <w:t xml:space="preserve">The </w:t>
      </w:r>
      <w:r w:rsidR="00173AD6" w:rsidRPr="005F7253">
        <w:rPr>
          <w:rFonts w:ascii="Aptos" w:eastAsia="Aptos" w:hAnsi="Aptos" w:cs="Arial"/>
          <w:kern w:val="2"/>
          <w:sz w:val="16"/>
          <w:szCs w:val="28"/>
          <w14:ligatures w14:val="standardContextual"/>
        </w:rPr>
        <w:t xml:space="preserve">region’s average scores for </w:t>
      </w:r>
      <w:r w:rsidR="00173AD6" w:rsidRPr="00011247">
        <w:rPr>
          <w:rFonts w:ascii="Aptos" w:eastAsia="Aptos" w:hAnsi="Aptos"/>
          <w:kern w:val="2"/>
          <w:sz w:val="16"/>
          <w14:ligatures w14:val="standardContextual"/>
        </w:rPr>
        <w:t xml:space="preserve">key indicators </w:t>
      </w:r>
      <w:r w:rsidR="00173AD6" w:rsidRPr="005F7253">
        <w:rPr>
          <w:rFonts w:ascii="Aptos" w:eastAsia="Aptos" w:hAnsi="Aptos" w:cs="Arial"/>
          <w:kern w:val="2"/>
          <w:sz w:val="16"/>
          <w:szCs w:val="28"/>
          <w14:ligatures w14:val="standardContextual"/>
        </w:rPr>
        <w:t>related to</w:t>
      </w:r>
      <w:r w:rsidRPr="00011247">
        <w:rPr>
          <w:rFonts w:ascii="Aptos" w:eastAsia="Aptos" w:hAnsi="Aptos"/>
          <w:kern w:val="2"/>
          <w:sz w:val="16"/>
          <w14:ligatures w14:val="standardContextual"/>
        </w:rPr>
        <w:t xml:space="preserve"> National Digital Agenda, Legal Instruments for Digital Markets and Market Rules </w:t>
      </w:r>
      <w:r w:rsidR="00173AD6" w:rsidRPr="005F7253">
        <w:rPr>
          <w:rFonts w:ascii="Aptos" w:eastAsia="Aptos" w:hAnsi="Aptos" w:cs="Arial"/>
          <w:kern w:val="2"/>
          <w:sz w:val="16"/>
          <w:szCs w:val="28"/>
          <w14:ligatures w14:val="standardContextual"/>
        </w:rPr>
        <w:t>under</w:t>
      </w:r>
      <w:r w:rsidR="00173AD6" w:rsidRPr="00011247">
        <w:rPr>
          <w:rFonts w:ascii="Aptos" w:eastAsia="Aptos" w:hAnsi="Aptos"/>
          <w:kern w:val="2"/>
          <w:sz w:val="16"/>
          <w14:ligatures w14:val="standardContextual"/>
        </w:rPr>
        <w:t xml:space="preserve"> </w:t>
      </w:r>
      <w:r w:rsidRPr="00011247">
        <w:rPr>
          <w:rFonts w:ascii="Aptos" w:eastAsia="Aptos" w:hAnsi="Aptos"/>
          <w:kern w:val="2"/>
          <w:sz w:val="16"/>
          <w14:ligatures w14:val="standardContextual"/>
        </w:rPr>
        <w:t xml:space="preserve">the ITU Unified Framework for Arab States compared to the world average. </w:t>
      </w:r>
    </w:p>
    <w:p w14:paraId="102FD0F8" w14:textId="1C79F6A4" w:rsidR="006C41B5" w:rsidRPr="00011247"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kern w:val="2"/>
          <w:sz w:val="16"/>
          <w14:ligatures w14:val="standardContextual"/>
        </w:rPr>
      </w:pPr>
      <w:r w:rsidRPr="00011247">
        <w:rPr>
          <w:rFonts w:ascii="Aptos" w:eastAsia="Aptos" w:hAnsi="Aptos"/>
          <w:kern w:val="2"/>
          <w:sz w:val="16"/>
          <w14:ligatures w14:val="standardContextual"/>
        </w:rPr>
        <w:t xml:space="preserve">Data on </w:t>
      </w:r>
      <w:r w:rsidR="00173AD6" w:rsidRPr="005F7253">
        <w:rPr>
          <w:rFonts w:ascii="Aptos" w:eastAsia="Aptos" w:hAnsi="Aptos" w:cs="Arial"/>
          <w:kern w:val="2"/>
          <w:sz w:val="16"/>
          <w:szCs w:val="28"/>
          <w14:ligatures w14:val="standardContextual"/>
        </w:rPr>
        <w:t>n</w:t>
      </w:r>
      <w:r w:rsidRPr="005F7253">
        <w:rPr>
          <w:rFonts w:ascii="Aptos" w:eastAsia="Aptos" w:hAnsi="Aptos" w:cs="Arial"/>
          <w:kern w:val="2"/>
          <w:sz w:val="16"/>
          <w:szCs w:val="28"/>
          <w14:ligatures w14:val="standardContextual"/>
        </w:rPr>
        <w:t xml:space="preserve">ational </w:t>
      </w:r>
      <w:r w:rsidR="00173AD6" w:rsidRPr="005F7253">
        <w:rPr>
          <w:rFonts w:ascii="Aptos" w:eastAsia="Aptos" w:hAnsi="Aptos" w:cs="Arial"/>
          <w:kern w:val="2"/>
          <w:sz w:val="16"/>
          <w:szCs w:val="28"/>
          <w14:ligatures w14:val="standardContextual"/>
        </w:rPr>
        <w:t>c</w:t>
      </w:r>
      <w:r w:rsidRPr="005F7253">
        <w:rPr>
          <w:rFonts w:ascii="Aptos" w:eastAsia="Aptos" w:hAnsi="Aptos" w:cs="Arial"/>
          <w:kern w:val="2"/>
          <w:sz w:val="16"/>
          <w:szCs w:val="28"/>
          <w14:ligatures w14:val="standardContextual"/>
        </w:rPr>
        <w:t xml:space="preserve">ybersecurity </w:t>
      </w:r>
      <w:r w:rsidR="00173AD6" w:rsidRPr="005F7253">
        <w:rPr>
          <w:rFonts w:ascii="Aptos" w:eastAsia="Aptos" w:hAnsi="Aptos" w:cs="Arial"/>
          <w:kern w:val="2"/>
          <w:sz w:val="16"/>
          <w:szCs w:val="28"/>
          <w14:ligatures w14:val="standardContextual"/>
        </w:rPr>
        <w:t>s</w:t>
      </w:r>
      <w:r w:rsidRPr="005F7253">
        <w:rPr>
          <w:rFonts w:ascii="Aptos" w:eastAsia="Aptos" w:hAnsi="Aptos" w:cs="Arial"/>
          <w:kern w:val="2"/>
          <w:sz w:val="16"/>
          <w:szCs w:val="28"/>
          <w14:ligatures w14:val="standardContextual"/>
        </w:rPr>
        <w:t>trategies</w:t>
      </w:r>
      <w:r w:rsidRPr="00011247">
        <w:rPr>
          <w:rFonts w:ascii="Aptos" w:eastAsia="Aptos" w:hAnsi="Aptos"/>
          <w:kern w:val="2"/>
          <w:sz w:val="16"/>
          <w14:ligatures w14:val="standardContextual"/>
        </w:rPr>
        <w:t xml:space="preserve"> is based on the Global Cybersecurity Index (GCI) 2024. Data on all other indicators is based on the G5 Benchmark 2023.</w:t>
      </w:r>
    </w:p>
    <w:p w14:paraId="157071C5" w14:textId="77777777" w:rsidR="006C41B5" w:rsidRPr="00011247"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kern w:val="2"/>
          <w:sz w:val="16"/>
          <w14:ligatures w14:val="standardContextual"/>
        </w:rPr>
      </w:pPr>
      <w:r w:rsidRPr="00011247">
        <w:rPr>
          <w:rFonts w:ascii="Aptos" w:eastAsia="Aptos" w:hAnsi="Aptos"/>
          <w:kern w:val="2"/>
          <w:sz w:val="16"/>
          <w14:ligatures w14:val="standardContextual"/>
        </w:rPr>
        <w:t>Source: ITU</w:t>
      </w:r>
    </w:p>
    <w:p w14:paraId="15C94479"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Display" w:eastAsia="Yu Gothic Light" w:hAnsi="Aptos Display"/>
          <w:color w:val="0F4761"/>
          <w:kern w:val="2"/>
          <w:sz w:val="32"/>
          <w:szCs w:val="32"/>
          <w14:ligatures w14:val="standardContextual"/>
        </w:rPr>
      </w:pPr>
      <w:r w:rsidRPr="005F7253">
        <w:rPr>
          <w:rFonts w:ascii="Aptos" w:eastAsia="Aptos" w:hAnsi="Aptos" w:cs="Arial"/>
          <w:kern w:val="2"/>
          <w:sz w:val="16"/>
          <w:szCs w:val="28"/>
          <w14:ligatures w14:val="standardContextual"/>
        </w:rPr>
        <w:br w:type="page"/>
      </w:r>
    </w:p>
    <w:p w14:paraId="65548862"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9" w:name="_Toc184940631"/>
      <w:r w:rsidRPr="005F7253">
        <w:rPr>
          <w:rFonts w:ascii="Aptos Display" w:eastAsia="Yu Gothic Light" w:hAnsi="Aptos Display"/>
          <w:color w:val="0F4761"/>
          <w:kern w:val="2"/>
          <w:sz w:val="32"/>
          <w:szCs w:val="32"/>
          <w14:ligatures w14:val="standardContextual"/>
        </w:rPr>
        <w:lastRenderedPageBreak/>
        <w:t>Internet use</w:t>
      </w:r>
      <w:bookmarkEnd w:id="9"/>
    </w:p>
    <w:p w14:paraId="7700FACE"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Internet use in the Arab states has evolved in lockstep with the global average</w:t>
      </w:r>
    </w:p>
    <w:p w14:paraId="7BA29D8E"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individuals using the Internet</w:t>
      </w:r>
    </w:p>
    <w:p w14:paraId="28834002"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noProof/>
          <w:kern w:val="2"/>
          <w:sz w:val="22"/>
          <w:szCs w:val="22"/>
          <w14:ligatures w14:val="standardContextual"/>
        </w:rPr>
        <w:drawing>
          <wp:inline distT="0" distB="0" distL="0" distR="0" wp14:anchorId="3487B0E9" wp14:editId="161350AE">
            <wp:extent cx="5731510" cy="2332355"/>
            <wp:effectExtent l="0" t="0" r="2540" b="0"/>
            <wp:docPr id="4649093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0931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31510" cy="2332355"/>
                    </a:xfrm>
                    <a:prstGeom prst="rect">
                      <a:avLst/>
                    </a:prstGeom>
                  </pic:spPr>
                </pic:pic>
              </a:graphicData>
            </a:graphic>
          </wp:inline>
        </w:drawing>
      </w:r>
    </w:p>
    <w:p w14:paraId="4E3B4419"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52B055D6"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In 2024, 70 per cent of the population in the Arab States was using the Internet, slightly above the world total of 68 per cent. In 2014, the Arab States moved ahead of the global average. Since 2005, the average annual growth rate of Internet penetration has been 11.6 per cent in the Arab States, against 8 per cent globally. Over the last ten years, these percentages were more modest, at 7.3 and 6.1 per cent respectively.</w:t>
      </w:r>
    </w:p>
    <w:p w14:paraId="51D9DC04" w14:textId="39A2BF18"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The Arab States are a heterogeneous region</w:t>
      </w:r>
      <w:r w:rsidR="00034E35" w:rsidRPr="005F7253">
        <w:rPr>
          <w:rFonts w:ascii="Aptos" w:eastAsia="Aptos" w:hAnsi="Aptos" w:cs="Arial"/>
          <w:kern w:val="2"/>
          <w:sz w:val="22"/>
          <w:szCs w:val="22"/>
          <w14:ligatures w14:val="standardContextual"/>
        </w:rPr>
        <w:t xml:space="preserve">: it includes some </w:t>
      </w:r>
      <w:r w:rsidRPr="005F7253">
        <w:rPr>
          <w:rFonts w:ascii="Aptos" w:eastAsia="Aptos" w:hAnsi="Aptos" w:cs="Arial"/>
          <w:kern w:val="2"/>
          <w:sz w:val="22"/>
          <w:szCs w:val="22"/>
          <w14:ligatures w14:val="standardContextual"/>
        </w:rPr>
        <w:t xml:space="preserve">economies </w:t>
      </w:r>
      <w:r w:rsidR="00034E35" w:rsidRPr="005F7253">
        <w:rPr>
          <w:rFonts w:ascii="Aptos" w:eastAsia="Aptos" w:hAnsi="Aptos" w:cs="Arial"/>
          <w:kern w:val="2"/>
          <w:sz w:val="22"/>
          <w:szCs w:val="22"/>
          <w14:ligatures w14:val="standardContextual"/>
        </w:rPr>
        <w:t xml:space="preserve">that are poor and conflict-ridden, </w:t>
      </w:r>
      <w:r w:rsidRPr="005F7253">
        <w:rPr>
          <w:rFonts w:ascii="Aptos" w:eastAsia="Aptos" w:hAnsi="Aptos" w:cs="Arial"/>
          <w:kern w:val="2"/>
          <w:sz w:val="22"/>
          <w:szCs w:val="22"/>
          <w14:ligatures w14:val="standardContextual"/>
        </w:rPr>
        <w:t xml:space="preserve">with very low Internet use penetration rates, </w:t>
      </w:r>
      <w:r w:rsidR="00034E35" w:rsidRPr="005F7253">
        <w:rPr>
          <w:rFonts w:ascii="Aptos" w:eastAsia="Aptos" w:hAnsi="Aptos" w:cs="Arial"/>
          <w:kern w:val="2"/>
          <w:sz w:val="22"/>
          <w:szCs w:val="22"/>
          <w14:ligatures w14:val="standardContextual"/>
        </w:rPr>
        <w:t xml:space="preserve">as well as </w:t>
      </w:r>
      <w:r w:rsidRPr="005F7253">
        <w:rPr>
          <w:rFonts w:ascii="Aptos" w:eastAsia="Aptos" w:hAnsi="Aptos" w:cs="Arial"/>
          <w:kern w:val="2"/>
          <w:sz w:val="22"/>
          <w:szCs w:val="22"/>
          <w14:ligatures w14:val="standardContextual"/>
        </w:rPr>
        <w:t xml:space="preserve">rich economies where </w:t>
      </w:r>
      <w:r w:rsidR="00034E35" w:rsidRPr="005F7253">
        <w:rPr>
          <w:rFonts w:ascii="Aptos" w:eastAsia="Aptos" w:hAnsi="Aptos" w:cs="Arial"/>
          <w:kern w:val="2"/>
          <w:sz w:val="22"/>
          <w:szCs w:val="22"/>
          <w14:ligatures w14:val="standardContextual"/>
        </w:rPr>
        <w:t xml:space="preserve">nearly </w:t>
      </w:r>
      <w:r w:rsidRPr="005F7253">
        <w:rPr>
          <w:rFonts w:ascii="Aptos" w:eastAsia="Aptos" w:hAnsi="Aptos" w:cs="Arial"/>
          <w:kern w:val="2"/>
          <w:sz w:val="22"/>
          <w:szCs w:val="22"/>
          <w14:ligatures w14:val="standardContextual"/>
        </w:rPr>
        <w:t>everyone is online. As a result, there is a spread of 82 percentage points between the economy with the lowest percentage of Internet users (18 per cent) and the economies with the highest percentage (100 per cent).</w:t>
      </w:r>
    </w:p>
    <w:p w14:paraId="2DDA6729"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lastRenderedPageBreak/>
        <w:t>Percentage of individuals using the Internet in the Arab states, latest year available</w:t>
      </w:r>
      <w:r w:rsidRPr="005F7253">
        <w:rPr>
          <w:rFonts w:ascii="AvenirNext LT Pro Light" w:eastAsia="Yu Gothic Light" w:hAnsi="AvenirNext LT Pro Light" w:cs="Calibri"/>
          <w:color w:val="0070C0"/>
          <w:spacing w:val="-10"/>
          <w:kern w:val="28"/>
          <w:szCs w:val="24"/>
          <w:vertAlign w:val="superscript"/>
        </w:rPr>
        <w:footnoteReference w:id="9"/>
      </w:r>
    </w:p>
    <w:p w14:paraId="769061B2" w14:textId="77777777" w:rsidR="000018FC"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4C1F40D5" wp14:editId="2D66425E">
            <wp:extent cx="5731510" cy="2980055"/>
            <wp:effectExtent l="0" t="0" r="2540" b="0"/>
            <wp:docPr id="19701733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73358"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731510" cy="2980055"/>
                    </a:xfrm>
                    <a:prstGeom prst="rect">
                      <a:avLst/>
                    </a:prstGeom>
                  </pic:spPr>
                </pic:pic>
              </a:graphicData>
            </a:graphic>
          </wp:inline>
        </w:drawing>
      </w:r>
    </w:p>
    <w:p w14:paraId="2EB46457" w14:textId="469C8DAB"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597A2C47" w14:textId="7EF3BB0D"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Note: ITU estimates are in a lighter shade, country</w:t>
      </w:r>
      <w:r w:rsidR="00034E35" w:rsidRPr="005F7253">
        <w:rPr>
          <w:rFonts w:ascii="Aptos" w:eastAsia="Aptos" w:hAnsi="Aptos" w:cs="Arial"/>
          <w:kern w:val="2"/>
          <w:sz w:val="16"/>
          <w:szCs w:val="28"/>
          <w14:ligatures w14:val="standardContextual"/>
        </w:rPr>
        <w:t>-</w:t>
      </w:r>
      <w:r w:rsidRPr="005F7253">
        <w:rPr>
          <w:rFonts w:ascii="Aptos" w:eastAsia="Aptos" w:hAnsi="Aptos" w:cs="Arial"/>
          <w:kern w:val="2"/>
          <w:sz w:val="16"/>
          <w:szCs w:val="28"/>
          <w14:ligatures w14:val="standardContextual"/>
        </w:rPr>
        <w:t>submitted data in a darker shade.</w:t>
      </w:r>
    </w:p>
    <w:p w14:paraId="3F01955B"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7573306E" w14:textId="77777777" w:rsidR="0054499A" w:rsidRPr="005F7253" w:rsidRDefault="0054499A">
      <w:pPr>
        <w:tabs>
          <w:tab w:val="clear" w:pos="794"/>
          <w:tab w:val="clear" w:pos="1191"/>
          <w:tab w:val="clear" w:pos="1588"/>
          <w:tab w:val="clear" w:pos="1985"/>
        </w:tabs>
        <w:overflowPunct/>
        <w:autoSpaceDE/>
        <w:autoSpaceDN/>
        <w:adjustRightInd/>
        <w:spacing w:before="0"/>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br w:type="page"/>
      </w:r>
    </w:p>
    <w:p w14:paraId="3ACB9DAC" w14:textId="3E71874C" w:rsidR="006C41B5" w:rsidRPr="005F7253" w:rsidRDefault="00034E3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lastRenderedPageBreak/>
        <w:t>Persistent dis</w:t>
      </w:r>
      <w:r w:rsidR="006C41B5" w:rsidRPr="005F7253">
        <w:rPr>
          <w:rFonts w:ascii="Aptos" w:eastAsia="Aptos" w:hAnsi="Aptos" w:cs="Arial"/>
          <w:b/>
          <w:bCs/>
          <w:i/>
          <w:iCs/>
          <w:kern w:val="2"/>
          <w:sz w:val="22"/>
          <w:szCs w:val="22"/>
          <w14:ligatures w14:val="standardContextual"/>
        </w:rPr>
        <w:t xml:space="preserve">parity in Internet use </w:t>
      </w:r>
      <w:r w:rsidRPr="005F7253">
        <w:rPr>
          <w:rFonts w:ascii="Aptos" w:eastAsia="Aptos" w:hAnsi="Aptos" w:cs="Arial"/>
          <w:b/>
          <w:bCs/>
          <w:i/>
          <w:iCs/>
          <w:kern w:val="2"/>
          <w:sz w:val="22"/>
          <w:szCs w:val="22"/>
          <w14:ligatures w14:val="standardContextual"/>
        </w:rPr>
        <w:t>by gender</w:t>
      </w:r>
      <w:r w:rsidR="006C41B5" w:rsidRPr="005F7253">
        <w:rPr>
          <w:rFonts w:ascii="Aptos" w:eastAsia="Aptos" w:hAnsi="Aptos" w:cs="Arial"/>
          <w:b/>
          <w:bCs/>
          <w:i/>
          <w:iCs/>
          <w:kern w:val="2"/>
          <w:sz w:val="22"/>
          <w:szCs w:val="22"/>
          <w14:ligatures w14:val="standardContextual"/>
        </w:rPr>
        <w:t xml:space="preserve"> </w:t>
      </w:r>
    </w:p>
    <w:p w14:paraId="306CB29E"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individuals using the Internet, by gender, 2024</w:t>
      </w:r>
    </w:p>
    <w:p w14:paraId="550D16C9"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noProof/>
          <w:kern w:val="2"/>
          <w:sz w:val="22"/>
          <w:szCs w:val="22"/>
          <w14:ligatures w14:val="standardContextual"/>
        </w:rPr>
        <w:drawing>
          <wp:inline distT="0" distB="0" distL="0" distR="0" wp14:anchorId="386E0F5A" wp14:editId="34C6629A">
            <wp:extent cx="5731510" cy="2475230"/>
            <wp:effectExtent l="0" t="0" r="7620" b="4445"/>
            <wp:docPr id="6625478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47816"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731510" cy="2475230"/>
                    </a:xfrm>
                    <a:prstGeom prst="rect">
                      <a:avLst/>
                    </a:prstGeom>
                  </pic:spPr>
                </pic:pic>
              </a:graphicData>
            </a:graphic>
          </wp:inline>
        </w:drawing>
      </w:r>
    </w:p>
    <w:p w14:paraId="7230107B"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38F53B5D"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In 2024, 75 per cent of men were online in the Arab States, against 64 per cent of women. This converts into a gender parity score (GPS)</w:t>
      </w:r>
      <w:r w:rsidRPr="005F7253">
        <w:rPr>
          <w:rFonts w:ascii="Aptos" w:eastAsia="Aptos" w:hAnsi="Aptos" w:cs="Arial"/>
          <w:kern w:val="2"/>
          <w:sz w:val="22"/>
          <w:szCs w:val="22"/>
          <w:vertAlign w:val="superscript"/>
          <w14:ligatures w14:val="standardContextual"/>
        </w:rPr>
        <w:footnoteReference w:id="10"/>
      </w:r>
      <w:r w:rsidRPr="005F7253">
        <w:rPr>
          <w:rFonts w:ascii="Aptos" w:eastAsia="Aptos" w:hAnsi="Aptos" w:cs="Arial"/>
          <w:kern w:val="2"/>
          <w:sz w:val="22"/>
          <w:szCs w:val="22"/>
          <w14:ligatures w14:val="standardContextual"/>
        </w:rPr>
        <w:t xml:space="preserve"> of 0.86, which is significantly lower than the global GPS of 0.94. Furthermore, in the last five years, the GPS has not improved.</w:t>
      </w:r>
    </w:p>
    <w:p w14:paraId="32F34237"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individuals using the Internet, by gender, latest year available</w:t>
      </w:r>
    </w:p>
    <w:p w14:paraId="3940133E"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19196ACE" wp14:editId="7F230E04">
            <wp:extent cx="5731510" cy="2642870"/>
            <wp:effectExtent l="0" t="0" r="2540" b="5080"/>
            <wp:docPr id="7" name="Graphic 6">
              <a:extLst xmlns:a="http://schemas.openxmlformats.org/drawingml/2006/main">
                <a:ext uri="{FF2B5EF4-FFF2-40B4-BE49-F238E27FC236}">
                  <a16:creationId xmlns:a16="http://schemas.microsoft.com/office/drawing/2014/main" id="{BCC16A62-7CAF-5259-2698-58F7BEE883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BCC16A62-7CAF-5259-2698-58F7BEE88369}"/>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5731510" cy="2642870"/>
                    </a:xfrm>
                    <a:prstGeom prst="rect">
                      <a:avLst/>
                    </a:prstGeom>
                  </pic:spPr>
                </pic:pic>
              </a:graphicData>
            </a:graphic>
          </wp:inline>
        </w:drawing>
      </w:r>
    </w:p>
    <w:p w14:paraId="6A2F1480" w14:textId="4C0E55A4"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2B3270AE"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4919988E" w14:textId="4F94797A"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In countries with universal or nearly universal Internet use, gender parity has inherently been achieved. </w:t>
      </w:r>
      <w:r w:rsidR="00034E35" w:rsidRPr="005F7253">
        <w:rPr>
          <w:rFonts w:ascii="Aptos" w:eastAsia="Aptos" w:hAnsi="Aptos" w:cs="Arial"/>
          <w:kern w:val="2"/>
          <w:sz w:val="22"/>
          <w:szCs w:val="22"/>
          <w14:ligatures w14:val="standardContextual"/>
        </w:rPr>
        <w:t xml:space="preserve">Elsewhere in </w:t>
      </w:r>
      <w:r w:rsidRPr="005F7253">
        <w:rPr>
          <w:rFonts w:ascii="Aptos" w:eastAsia="Aptos" w:hAnsi="Aptos" w:cs="Arial"/>
          <w:kern w:val="2"/>
          <w:sz w:val="22"/>
          <w:szCs w:val="22"/>
          <w14:ligatures w14:val="standardContextual"/>
        </w:rPr>
        <w:t xml:space="preserve">the region, the lack of gender-disaggregated Internet use data limits insight into these </w:t>
      </w:r>
      <w:r w:rsidRPr="005F7253">
        <w:rPr>
          <w:rFonts w:ascii="Aptos" w:eastAsia="Aptos" w:hAnsi="Aptos" w:cs="Arial"/>
          <w:kern w:val="2"/>
          <w:sz w:val="22"/>
          <w:szCs w:val="22"/>
          <w14:ligatures w14:val="standardContextual"/>
        </w:rPr>
        <w:lastRenderedPageBreak/>
        <w:t>gaps. However, estimates based on international trends suggest that the gender divide remains significant in several of these countries.</w:t>
      </w:r>
      <w:r w:rsidRPr="005F7253">
        <w:rPr>
          <w:rFonts w:ascii="Aptos" w:eastAsia="Aptos" w:hAnsi="Aptos" w:cs="Arial"/>
          <w:kern w:val="2"/>
          <w:sz w:val="22"/>
          <w:szCs w:val="22"/>
          <w:vertAlign w:val="superscript"/>
          <w14:ligatures w14:val="standardContextual"/>
        </w:rPr>
        <w:footnoteReference w:id="11"/>
      </w:r>
      <w:r w:rsidRPr="005F7253">
        <w:rPr>
          <w:rFonts w:ascii="Aptos" w:eastAsia="Aptos" w:hAnsi="Aptos" w:cs="Arial"/>
          <w:kern w:val="2"/>
          <w:sz w:val="22"/>
          <w:szCs w:val="22"/>
          <w14:ligatures w14:val="standardContextual"/>
        </w:rPr>
        <w:t xml:space="preserve"> </w:t>
      </w:r>
    </w:p>
    <w:p w14:paraId="75FE5527"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Young people much more likely to use the Internet</w:t>
      </w:r>
    </w:p>
    <w:p w14:paraId="3915A3A4"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individuals aged between 15 and 24 years using the Internet, 2024</w:t>
      </w:r>
    </w:p>
    <w:p w14:paraId="5A76D399" w14:textId="77777777" w:rsidR="000018FC"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7EDD9D98" wp14:editId="0F0457DF">
            <wp:extent cx="5731510" cy="2494280"/>
            <wp:effectExtent l="0" t="0" r="2540" b="1270"/>
            <wp:docPr id="14544790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79079"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731510" cy="2494280"/>
                    </a:xfrm>
                    <a:prstGeom prst="rect">
                      <a:avLst/>
                    </a:prstGeom>
                  </pic:spPr>
                </pic:pic>
              </a:graphicData>
            </a:graphic>
          </wp:inline>
        </w:drawing>
      </w:r>
    </w:p>
    <w:p w14:paraId="0E33A8C4" w14:textId="731A7E93"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6EDE270A"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In the Arab States, 86 per cent of young people aged 15 to 24 used the Internet in 2024, compared to 67 per cent of the rest of the population. The generational gap in this region—measured as the ratio of Internet users between these two groups—has not improved since 2021 and remains significantly higher than the global average, which has been steadily narrowing over the same period. </w:t>
      </w:r>
    </w:p>
    <w:p w14:paraId="5B8CA18B"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individuals using the Internet by age group, latest year available</w:t>
      </w:r>
    </w:p>
    <w:p w14:paraId="3D1E3587"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22A68FF3" wp14:editId="6AED1CAA">
            <wp:extent cx="5731510" cy="2540635"/>
            <wp:effectExtent l="0" t="0" r="2540" b="0"/>
            <wp:docPr id="6" name="Graphic 5">
              <a:extLst xmlns:a="http://schemas.openxmlformats.org/drawingml/2006/main">
                <a:ext uri="{FF2B5EF4-FFF2-40B4-BE49-F238E27FC236}">
                  <a16:creationId xmlns:a16="http://schemas.microsoft.com/office/drawing/2014/main" id="{984237B4-2D1F-F25F-868C-3EB386F73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984237B4-2D1F-F25F-868C-3EB386F73AC1}"/>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5731510" cy="2540635"/>
                    </a:xfrm>
                    <a:prstGeom prst="rect">
                      <a:avLst/>
                    </a:prstGeom>
                  </pic:spPr>
                </pic:pic>
              </a:graphicData>
            </a:graphic>
          </wp:inline>
        </w:drawing>
      </w:r>
    </w:p>
    <w:p w14:paraId="4AF84253" w14:textId="045C6D01"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31155287"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1A0BDFDC" w14:textId="12ED1650"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lastRenderedPageBreak/>
        <w:t>Country-level data</w:t>
      </w:r>
      <w:r w:rsidR="00E85994" w:rsidRPr="005F7253">
        <w:rPr>
          <w:rFonts w:ascii="Aptos" w:eastAsia="Aptos" w:hAnsi="Aptos" w:cs="Arial"/>
          <w:kern w:val="2"/>
          <w:sz w:val="22"/>
          <w:szCs w:val="22"/>
          <w14:ligatures w14:val="standardContextual"/>
        </w:rPr>
        <w:t xml:space="preserve"> on the generational gap</w:t>
      </w:r>
      <w:r w:rsidRPr="005F7253">
        <w:rPr>
          <w:rFonts w:ascii="Aptos" w:eastAsia="Aptos" w:hAnsi="Aptos" w:cs="Arial"/>
          <w:kern w:val="2"/>
          <w:sz w:val="22"/>
          <w:szCs w:val="22"/>
          <w14:ligatures w14:val="standardContextual"/>
        </w:rPr>
        <w:t xml:space="preserve"> are available for only a small number of countries, and even fewer provide data for all age groups. However, the pattern is clear: Internet use among older individuals is quite limited, whereas most young people are online.</w:t>
      </w:r>
    </w:p>
    <w:p w14:paraId="5497B417" w14:textId="168350D6"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 xml:space="preserve">Internet use in rural areas trails behind </w:t>
      </w:r>
      <w:r w:rsidR="00E85994" w:rsidRPr="005F7253">
        <w:rPr>
          <w:rFonts w:ascii="Aptos" w:eastAsia="Aptos" w:hAnsi="Aptos" w:cs="Arial"/>
          <w:b/>
          <w:bCs/>
          <w:i/>
          <w:iCs/>
          <w:kern w:val="2"/>
          <w:sz w:val="22"/>
          <w:szCs w:val="22"/>
          <w14:ligatures w14:val="standardContextual"/>
        </w:rPr>
        <w:t xml:space="preserve">that in </w:t>
      </w:r>
      <w:r w:rsidRPr="005F7253">
        <w:rPr>
          <w:rFonts w:ascii="Aptos" w:eastAsia="Aptos" w:hAnsi="Aptos" w:cs="Arial"/>
          <w:b/>
          <w:bCs/>
          <w:i/>
          <w:iCs/>
          <w:kern w:val="2"/>
          <w:sz w:val="22"/>
          <w:szCs w:val="22"/>
          <w14:ligatures w14:val="standardContextual"/>
        </w:rPr>
        <w:t>urban areas</w:t>
      </w:r>
    </w:p>
    <w:p w14:paraId="5AE4C6E5"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individuals using the Internet, by location, 2024</w:t>
      </w:r>
    </w:p>
    <w:p w14:paraId="702FC160" w14:textId="77777777" w:rsidR="000018FC"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25719939" wp14:editId="77F24BFB">
            <wp:extent cx="5731510" cy="2475230"/>
            <wp:effectExtent l="0" t="0" r="2540" b="1270"/>
            <wp:docPr id="7689966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9663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731510" cy="2475230"/>
                    </a:xfrm>
                    <a:prstGeom prst="rect">
                      <a:avLst/>
                    </a:prstGeom>
                  </pic:spPr>
                </pic:pic>
              </a:graphicData>
            </a:graphic>
          </wp:inline>
        </w:drawing>
      </w:r>
    </w:p>
    <w:p w14:paraId="15AF38A7" w14:textId="70FE8B3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7E1D2300" w14:textId="14E9FE8A"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In the Arab states, 83 per cent of the population living in urban areas used the Internet </w:t>
      </w:r>
      <w:r w:rsidRPr="005F7253" w:rsidDel="00C25ACA">
        <w:rPr>
          <w:rFonts w:ascii="Aptos" w:eastAsia="Aptos" w:hAnsi="Aptos" w:cs="Arial"/>
          <w:kern w:val="2"/>
          <w:sz w:val="22"/>
          <w:szCs w:val="22"/>
          <w14:ligatures w14:val="standardContextual"/>
        </w:rPr>
        <w:t xml:space="preserve">in </w:t>
      </w:r>
      <w:r w:rsidRPr="005F7253">
        <w:rPr>
          <w:rFonts w:ascii="Aptos" w:eastAsia="Aptos" w:hAnsi="Aptos" w:cs="Arial"/>
          <w:kern w:val="2"/>
          <w:sz w:val="22"/>
          <w:szCs w:val="22"/>
          <w14:ligatures w14:val="standardContextual"/>
        </w:rPr>
        <w:t xml:space="preserve">2024, in line with the global average. This starkly contrasts with the region’s rural areas, where only </w:t>
      </w:r>
      <w:r w:rsidR="00E85994" w:rsidRPr="005F7253">
        <w:rPr>
          <w:rFonts w:ascii="Aptos" w:eastAsia="Aptos" w:hAnsi="Aptos" w:cs="Arial"/>
          <w:kern w:val="2"/>
          <w:sz w:val="22"/>
          <w:szCs w:val="22"/>
          <w14:ligatures w14:val="standardContextual"/>
        </w:rPr>
        <w:t>one-</w:t>
      </w:r>
      <w:r w:rsidRPr="005F7253">
        <w:rPr>
          <w:rFonts w:ascii="Aptos" w:eastAsia="Aptos" w:hAnsi="Aptos" w:cs="Arial"/>
          <w:kern w:val="2"/>
          <w:sz w:val="22"/>
          <w:szCs w:val="22"/>
          <w14:ligatures w14:val="standardContextual"/>
        </w:rPr>
        <w:t>half of the population used the Internet</w:t>
      </w:r>
      <w:r w:rsidR="00E85994" w:rsidRPr="005F7253">
        <w:rPr>
          <w:rFonts w:ascii="Aptos" w:eastAsia="Aptos" w:hAnsi="Aptos" w:cs="Arial"/>
          <w:kern w:val="2"/>
          <w:sz w:val="22"/>
          <w:szCs w:val="22"/>
          <w14:ligatures w14:val="standardContextual"/>
        </w:rPr>
        <w:t>; though</w:t>
      </w:r>
      <w:r w:rsidRPr="005F7253">
        <w:rPr>
          <w:rFonts w:ascii="Aptos" w:eastAsia="Aptos" w:hAnsi="Aptos" w:cs="Arial"/>
          <w:kern w:val="2"/>
          <w:sz w:val="22"/>
          <w:szCs w:val="22"/>
          <w14:ligatures w14:val="standardContextual"/>
        </w:rPr>
        <w:t xml:space="preserve">, </w:t>
      </w:r>
      <w:r w:rsidR="00E85994" w:rsidRPr="005F7253">
        <w:rPr>
          <w:rFonts w:ascii="Aptos" w:eastAsia="Aptos" w:hAnsi="Aptos" w:cs="Arial"/>
          <w:kern w:val="2"/>
          <w:sz w:val="22"/>
          <w:szCs w:val="22"/>
          <w14:ligatures w14:val="standardContextual"/>
        </w:rPr>
        <w:t xml:space="preserve">again, this is </w:t>
      </w:r>
      <w:r w:rsidRPr="005F7253">
        <w:rPr>
          <w:rFonts w:ascii="Aptos" w:eastAsia="Aptos" w:hAnsi="Aptos" w:cs="Arial"/>
          <w:kern w:val="2"/>
          <w:sz w:val="22"/>
          <w:szCs w:val="22"/>
          <w14:ligatures w14:val="standardContextual"/>
        </w:rPr>
        <w:t xml:space="preserve">in line with the global average. </w:t>
      </w:r>
      <w:r w:rsidRPr="005F7253">
        <w:rPr>
          <w:rFonts w:ascii="Aptos" w:eastAsia="Aptos" w:hAnsi="Aptos" w:cs="Arial"/>
          <w:kern w:val="2"/>
          <w:sz w:val="22"/>
          <w:szCs w:val="22"/>
          <w14:ligatures w14:val="standardContextual"/>
        </w:rPr>
        <w:br w:type="page"/>
      </w:r>
    </w:p>
    <w:p w14:paraId="3ED4AA04"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0" w:name="_Toc184940632"/>
      <w:r w:rsidRPr="005F7253">
        <w:rPr>
          <w:rFonts w:ascii="Aptos Display" w:eastAsia="Yu Gothic Light" w:hAnsi="Aptos Display"/>
          <w:color w:val="0F4761"/>
          <w:kern w:val="2"/>
          <w:sz w:val="32"/>
          <w:szCs w:val="32"/>
          <w14:ligatures w14:val="standardContextual"/>
        </w:rPr>
        <w:lastRenderedPageBreak/>
        <w:t>Broadband subscriptions</w:t>
      </w:r>
      <w:bookmarkEnd w:id="10"/>
    </w:p>
    <w:p w14:paraId="7F8B2E65" w14:textId="5599EE39"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Fixed</w:t>
      </w:r>
      <w:r w:rsidR="00E85994" w:rsidRPr="005F7253">
        <w:rPr>
          <w:rFonts w:ascii="Aptos" w:eastAsia="Aptos" w:hAnsi="Aptos" w:cs="Arial"/>
          <w:b/>
          <w:bCs/>
          <w:i/>
          <w:iCs/>
          <w:kern w:val="2"/>
          <w:sz w:val="22"/>
          <w:szCs w:val="22"/>
          <w14:ligatures w14:val="standardContextual"/>
        </w:rPr>
        <w:t xml:space="preserve"> </w:t>
      </w:r>
      <w:r w:rsidRPr="005F7253">
        <w:rPr>
          <w:rFonts w:ascii="Aptos" w:eastAsia="Aptos" w:hAnsi="Aptos" w:cs="Arial"/>
          <w:b/>
          <w:bCs/>
          <w:i/>
          <w:iCs/>
          <w:kern w:val="2"/>
          <w:sz w:val="22"/>
          <w:szCs w:val="22"/>
          <w14:ligatures w14:val="standardContextual"/>
        </w:rPr>
        <w:t>broadband subscriptions are lagging</w:t>
      </w:r>
    </w:p>
    <w:p w14:paraId="197FDBD2"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color w:val="0070C0"/>
          <w:kern w:val="2"/>
          <w:sz w:val="22"/>
          <w:szCs w:val="22"/>
          <w14:ligatures w14:val="standardContextual"/>
        </w:rPr>
        <w:t>Broadband subscriptions per 100 inhabitants</w:t>
      </w:r>
    </w:p>
    <w:tbl>
      <w:tblPr>
        <w:tblStyle w:val="TableGrid1"/>
        <w:tblW w:w="0" w:type="auto"/>
        <w:tblInd w:w="5" w:type="dxa"/>
        <w:tblLook w:val="04A0" w:firstRow="1" w:lastRow="0" w:firstColumn="1" w:lastColumn="0" w:noHBand="0" w:noVBand="1"/>
      </w:tblPr>
      <w:tblGrid>
        <w:gridCol w:w="4440"/>
        <w:gridCol w:w="4576"/>
      </w:tblGrid>
      <w:tr w:rsidR="006C41B5" w:rsidRPr="005F7253" w14:paraId="017BCD1A" w14:textId="77777777" w:rsidTr="00BF1164">
        <w:tc>
          <w:tcPr>
            <w:tcW w:w="4440" w:type="dxa"/>
            <w:tcBorders>
              <w:top w:val="nil"/>
              <w:left w:val="nil"/>
              <w:bottom w:val="nil"/>
              <w:right w:val="nil"/>
            </w:tcBorders>
          </w:tcPr>
          <w:p w14:paraId="5920B5F8" w14:textId="77777777" w:rsidR="006C41B5" w:rsidRPr="00EC4C78" w:rsidRDefault="006C41B5" w:rsidP="00EC4C78">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EC4C78">
              <w:rPr>
                <w:rFonts w:ascii="Aptos" w:hAnsi="Aptos"/>
                <w:b/>
                <w:sz w:val="22"/>
              </w:rPr>
              <w:t>Mobile</w:t>
            </w:r>
          </w:p>
          <w:p w14:paraId="56F1CB27"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5F7253">
              <w:rPr>
                <w:rFonts w:ascii="Aptos" w:hAnsi="Aptos"/>
                <w:noProof/>
                <w:sz w:val="22"/>
              </w:rPr>
              <w:drawing>
                <wp:inline distT="0" distB="0" distL="0" distR="0" wp14:anchorId="0961077C" wp14:editId="6A68D0D3">
                  <wp:extent cx="2667000" cy="2667000"/>
                  <wp:effectExtent l="0" t="0" r="0" b="0"/>
                  <wp:docPr id="6484726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72610"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2667000" cy="2667000"/>
                          </a:xfrm>
                          <a:prstGeom prst="rect">
                            <a:avLst/>
                          </a:prstGeom>
                        </pic:spPr>
                      </pic:pic>
                    </a:graphicData>
                  </a:graphic>
                </wp:inline>
              </w:drawing>
            </w:r>
          </w:p>
        </w:tc>
        <w:tc>
          <w:tcPr>
            <w:tcW w:w="4576" w:type="dxa"/>
            <w:tcBorders>
              <w:top w:val="nil"/>
              <w:left w:val="nil"/>
              <w:bottom w:val="nil"/>
              <w:right w:val="nil"/>
            </w:tcBorders>
          </w:tcPr>
          <w:p w14:paraId="150B6BC4" w14:textId="77777777" w:rsidR="006C41B5" w:rsidRPr="00EC4C78" w:rsidRDefault="006C41B5" w:rsidP="00EC4C78">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EC4C78">
              <w:rPr>
                <w:rFonts w:ascii="Aptos" w:hAnsi="Aptos"/>
                <w:b/>
                <w:sz w:val="22"/>
              </w:rPr>
              <w:t>Fixed</w:t>
            </w:r>
          </w:p>
          <w:p w14:paraId="7231F473"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textAlignment w:val="center"/>
              <w:rPr>
                <w:rFonts w:ascii="Aptos" w:hAnsi="Aptos"/>
                <w:sz w:val="16"/>
                <w:szCs w:val="28"/>
              </w:rPr>
            </w:pPr>
            <w:r w:rsidRPr="005F7253">
              <w:rPr>
                <w:rFonts w:ascii="Aptos" w:hAnsi="Aptos"/>
                <w:noProof/>
                <w:sz w:val="16"/>
                <w:szCs w:val="28"/>
              </w:rPr>
              <w:drawing>
                <wp:inline distT="0" distB="0" distL="0" distR="0" wp14:anchorId="52201202" wp14:editId="335FAB06">
                  <wp:extent cx="2667000" cy="2667000"/>
                  <wp:effectExtent l="0" t="0" r="0" b="0"/>
                  <wp:docPr id="13177222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22265"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2667000" cy="2667000"/>
                          </a:xfrm>
                          <a:prstGeom prst="rect">
                            <a:avLst/>
                          </a:prstGeom>
                        </pic:spPr>
                      </pic:pic>
                    </a:graphicData>
                  </a:graphic>
                </wp:inline>
              </w:drawing>
            </w:r>
          </w:p>
        </w:tc>
      </w:tr>
    </w:tbl>
    <w:p w14:paraId="05781286"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6A6B5B5F" w14:textId="272EF39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In 2024 the Arab States had 85 active mobile</w:t>
      </w:r>
      <w:r w:rsidR="00E85994"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broadband subscriptions per 100 inhabitants, 10 less than the global average of 95. Over the past decade, growth in mobile broadband subscriptions in the region has </w:t>
      </w:r>
      <w:proofErr w:type="gramStart"/>
      <w:r w:rsidRPr="005F7253">
        <w:rPr>
          <w:rFonts w:ascii="Aptos" w:eastAsia="Aptos" w:hAnsi="Aptos" w:cs="Arial"/>
          <w:kern w:val="2"/>
          <w:sz w:val="22"/>
          <w:szCs w:val="22"/>
          <w14:ligatures w14:val="standardContextual"/>
        </w:rPr>
        <w:t>lagged behind</w:t>
      </w:r>
      <w:proofErr w:type="gramEnd"/>
      <w:r w:rsidRPr="005F7253">
        <w:rPr>
          <w:rFonts w:ascii="Aptos" w:eastAsia="Aptos" w:hAnsi="Aptos" w:cs="Arial"/>
          <w:kern w:val="2"/>
          <w:sz w:val="22"/>
          <w:szCs w:val="22"/>
          <w14:ligatures w14:val="standardContextual"/>
        </w:rPr>
        <w:t xml:space="preserve"> the global trend.</w:t>
      </w:r>
    </w:p>
    <w:p w14:paraId="339D35CB" w14:textId="4F43A5D2"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Fixed</w:t>
      </w:r>
      <w:r w:rsidR="00E85994"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broadband subscriptions in the Arab States, when measured per 100 inhabitants, are less than half the global average. The region exhibits an unusual pattern: after declining between 2008 and 2015, the indicator has shown a slow recovery, though it remains below its 2008 level. Meanwhile, the global average continues to rise steadily.</w:t>
      </w:r>
    </w:p>
    <w:p w14:paraId="31258503" w14:textId="713D4B71" w:rsidR="006C41B5" w:rsidRPr="005F7253" w:rsidRDefault="006C41B5" w:rsidP="003D3634">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Active mobile</w:t>
      </w:r>
      <w:r w:rsidR="00CF6F1E" w:rsidRPr="005F7253">
        <w:rPr>
          <w:rFonts w:ascii="AvenirNext LT Pro Light" w:eastAsia="Yu Gothic Light" w:hAnsi="AvenirNext LT Pro Light" w:cs="Calibri"/>
          <w:color w:val="0070C0"/>
          <w:spacing w:val="-10"/>
          <w:kern w:val="28"/>
          <w:szCs w:val="24"/>
        </w:rPr>
        <w:t xml:space="preserve"> </w:t>
      </w:r>
      <w:r w:rsidRPr="005F7253">
        <w:rPr>
          <w:rFonts w:ascii="AvenirNext LT Pro Light" w:eastAsia="Yu Gothic Light" w:hAnsi="AvenirNext LT Pro Light" w:cs="Calibri"/>
          <w:color w:val="0070C0"/>
          <w:spacing w:val="-10"/>
          <w:kern w:val="28"/>
          <w:szCs w:val="24"/>
        </w:rPr>
        <w:t>broadband subscriptions per 100 inhabitants, latest year available</w:t>
      </w:r>
    </w:p>
    <w:p w14:paraId="7E26B294" w14:textId="77777777" w:rsidR="0085635B"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7830C5EA" wp14:editId="5BD621DE">
            <wp:extent cx="5367130" cy="2808437"/>
            <wp:effectExtent l="0" t="0" r="5080" b="0"/>
            <wp:docPr id="7807270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27099"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5384717" cy="2817640"/>
                    </a:xfrm>
                    <a:prstGeom prst="rect">
                      <a:avLst/>
                    </a:prstGeom>
                  </pic:spPr>
                </pic:pic>
              </a:graphicData>
            </a:graphic>
          </wp:inline>
        </w:drawing>
      </w:r>
    </w:p>
    <w:p w14:paraId="076C9CE2" w14:textId="7B0FA098"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6CCB46F1"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69C28C65" w14:textId="77777777" w:rsidR="003D3634" w:rsidRPr="005F7253" w:rsidRDefault="006C41B5" w:rsidP="003D363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lastRenderedPageBreak/>
        <w:t>In most economies of the region, there is a substantial and growing level of mobile broadband subscriptions, underscoring the importance of mobile broadband as a gateway to the Internet. However, there is a significant disparity between the lowest (2 subscriptions per 100 inhabitants) and the highest (199 subscriptions per 100 inhabitants).</w:t>
      </w:r>
    </w:p>
    <w:p w14:paraId="26EDA848" w14:textId="57EDE272" w:rsidR="003D3634" w:rsidRPr="005F7253" w:rsidRDefault="003D3634" w:rsidP="003D363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Fixed broadband penetration on the other hand </w:t>
      </w:r>
      <w:r w:rsidR="00CF6F1E" w:rsidRPr="005F7253">
        <w:rPr>
          <w:rFonts w:ascii="Aptos" w:eastAsia="Aptos" w:hAnsi="Aptos" w:cs="Arial"/>
          <w:kern w:val="2"/>
          <w:sz w:val="22"/>
          <w:szCs w:val="22"/>
          <w14:ligatures w14:val="standardContextual"/>
        </w:rPr>
        <w:t xml:space="preserve">is </w:t>
      </w:r>
      <w:r w:rsidRPr="005F7253">
        <w:rPr>
          <w:rFonts w:ascii="Aptos" w:eastAsia="Aptos" w:hAnsi="Aptos" w:cs="Arial"/>
          <w:kern w:val="2"/>
          <w:sz w:val="22"/>
          <w:szCs w:val="22"/>
          <w14:ligatures w14:val="standardContextual"/>
        </w:rPr>
        <w:t xml:space="preserve">quite low in most economies in the region. In the economies with higher subscriptions levels, most of these </w:t>
      </w:r>
      <w:r w:rsidR="00011174" w:rsidRPr="005F7253">
        <w:rPr>
          <w:rFonts w:ascii="Aptos" w:eastAsia="Aptos" w:hAnsi="Aptos" w:cs="Arial"/>
          <w:kern w:val="2"/>
          <w:sz w:val="22"/>
          <w:szCs w:val="22"/>
          <w14:ligatures w14:val="standardContextual"/>
        </w:rPr>
        <w:t xml:space="preserve">are high-speed </w:t>
      </w:r>
      <w:r w:rsidRPr="005F7253">
        <w:rPr>
          <w:rFonts w:ascii="Aptos" w:eastAsia="Aptos" w:hAnsi="Aptos" w:cs="Arial"/>
          <w:kern w:val="2"/>
          <w:sz w:val="22"/>
          <w:szCs w:val="22"/>
          <w14:ligatures w14:val="standardContextual"/>
        </w:rPr>
        <w:t>subscriptions, meaning at least 10 Mbit/s. In contrast, where subscriptions levels are low, the quality of these fixed connections in terms of speed is often low as well.</w:t>
      </w:r>
    </w:p>
    <w:p w14:paraId="7BABDE7B" w14:textId="2FC44D08"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156082"/>
          <w:spacing w:val="-10"/>
          <w:kern w:val="28"/>
          <w:szCs w:val="24"/>
        </w:rPr>
      </w:pPr>
      <w:r w:rsidRPr="005F7253">
        <w:rPr>
          <w:rFonts w:ascii="AvenirNext LT Pro Light" w:eastAsia="Yu Gothic Light" w:hAnsi="AvenirNext LT Pro Light" w:cs="Calibri"/>
          <w:color w:val="0070C0"/>
          <w:spacing w:val="-10"/>
          <w:kern w:val="28"/>
          <w:szCs w:val="24"/>
        </w:rPr>
        <w:t>Fixed</w:t>
      </w:r>
      <w:r w:rsidR="00CF6F1E" w:rsidRPr="005F7253">
        <w:rPr>
          <w:rFonts w:ascii="AvenirNext LT Pro Light" w:eastAsia="Yu Gothic Light" w:hAnsi="AvenirNext LT Pro Light" w:cs="Calibri"/>
          <w:color w:val="0070C0"/>
          <w:spacing w:val="-10"/>
          <w:kern w:val="28"/>
          <w:szCs w:val="24"/>
        </w:rPr>
        <w:t xml:space="preserve"> </w:t>
      </w:r>
      <w:r w:rsidRPr="005F7253">
        <w:rPr>
          <w:rFonts w:ascii="AvenirNext LT Pro Light" w:eastAsia="Yu Gothic Light" w:hAnsi="AvenirNext LT Pro Light" w:cs="Calibri"/>
          <w:color w:val="0070C0"/>
          <w:spacing w:val="-10"/>
          <w:kern w:val="28"/>
          <w:szCs w:val="24"/>
        </w:rPr>
        <w:t>broadband subscriptions per 100 inhabitants, latest year available</w:t>
      </w:r>
    </w:p>
    <w:p w14:paraId="69B8C8DC" w14:textId="77777777" w:rsidR="000018FC"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7870C780" wp14:editId="19A26AA6">
            <wp:extent cx="5731510" cy="2989580"/>
            <wp:effectExtent l="0" t="0" r="2540" b="1270"/>
            <wp:docPr id="1542700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0071"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5731510" cy="2989580"/>
                    </a:xfrm>
                    <a:prstGeom prst="rect">
                      <a:avLst/>
                    </a:prstGeom>
                  </pic:spPr>
                </pic:pic>
              </a:graphicData>
            </a:graphic>
          </wp:inline>
        </w:drawing>
      </w:r>
    </w:p>
    <w:p w14:paraId="0B8318B6" w14:textId="50E1E9BF"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3F57B3B1"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57E7CA28"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br w:type="page"/>
      </w:r>
    </w:p>
    <w:p w14:paraId="7243393E"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1" w:name="_Toc184940633"/>
      <w:r w:rsidRPr="005F7253">
        <w:rPr>
          <w:rFonts w:ascii="Aptos Display" w:eastAsia="Yu Gothic Light" w:hAnsi="Aptos Display"/>
          <w:color w:val="0F4761"/>
          <w:kern w:val="2"/>
          <w:sz w:val="32"/>
          <w:szCs w:val="32"/>
          <w14:ligatures w14:val="standardContextual"/>
        </w:rPr>
        <w:lastRenderedPageBreak/>
        <w:t>Mobile network coverage</w:t>
      </w:r>
      <w:bookmarkEnd w:id="11"/>
    </w:p>
    <w:p w14:paraId="17F80220"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5G network roll-out is progressing slowly</w:t>
      </w:r>
    </w:p>
    <w:p w14:paraId="2076502E"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population covered by type of mobile network</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66"/>
      </w:tblGrid>
      <w:tr w:rsidR="006C41B5" w:rsidRPr="005F7253" w14:paraId="2FB8D327" w14:textId="77777777" w:rsidTr="00BF1164">
        <w:tc>
          <w:tcPr>
            <w:tcW w:w="4566" w:type="dxa"/>
          </w:tcPr>
          <w:p w14:paraId="75EEC448" w14:textId="77777777" w:rsidR="006C41B5" w:rsidRPr="006253E4" w:rsidRDefault="006C41B5" w:rsidP="006253E4">
            <w:pPr>
              <w:jc w:val="center"/>
              <w:rPr>
                <w:rFonts w:ascii="Aptos" w:hAnsi="Aptos"/>
                <w:b/>
                <w:sz w:val="22"/>
              </w:rPr>
            </w:pPr>
            <w:r w:rsidRPr="006253E4">
              <w:rPr>
                <w:rFonts w:ascii="Aptos" w:hAnsi="Aptos"/>
                <w:b/>
                <w:sz w:val="22"/>
              </w:rPr>
              <w:t>Arab States</w:t>
            </w:r>
          </w:p>
          <w:p w14:paraId="63ECFA9C" w14:textId="77777777" w:rsidR="006C41B5" w:rsidRPr="005F7253" w:rsidRDefault="006C41B5" w:rsidP="006C41B5">
            <w:pPr>
              <w:rPr>
                <w:rFonts w:ascii="Aptos" w:hAnsi="Aptos"/>
                <w:sz w:val="22"/>
              </w:rPr>
            </w:pPr>
            <w:r w:rsidRPr="005F7253">
              <w:rPr>
                <w:rFonts w:ascii="Aptos" w:hAnsi="Aptos"/>
                <w:noProof/>
                <w:sz w:val="22"/>
              </w:rPr>
              <w:drawing>
                <wp:inline distT="0" distB="0" distL="0" distR="0" wp14:anchorId="06E21124" wp14:editId="29B83359">
                  <wp:extent cx="2752725" cy="2876550"/>
                  <wp:effectExtent l="0" t="0" r="9525" b="0"/>
                  <wp:docPr id="12358635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63504"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2752725" cy="2876550"/>
                          </a:xfrm>
                          <a:prstGeom prst="rect">
                            <a:avLst/>
                          </a:prstGeom>
                        </pic:spPr>
                      </pic:pic>
                    </a:graphicData>
                  </a:graphic>
                </wp:inline>
              </w:drawing>
            </w:r>
          </w:p>
        </w:tc>
        <w:tc>
          <w:tcPr>
            <w:tcW w:w="4460" w:type="dxa"/>
          </w:tcPr>
          <w:p w14:paraId="155727A3" w14:textId="77777777" w:rsidR="006C41B5" w:rsidRPr="006253E4" w:rsidRDefault="006C41B5" w:rsidP="006253E4">
            <w:pPr>
              <w:jc w:val="center"/>
              <w:rPr>
                <w:rFonts w:ascii="Aptos" w:hAnsi="Aptos"/>
                <w:b/>
                <w:sz w:val="22"/>
              </w:rPr>
            </w:pPr>
            <w:r w:rsidRPr="006253E4">
              <w:rPr>
                <w:rFonts w:ascii="Aptos" w:hAnsi="Aptos"/>
                <w:b/>
                <w:sz w:val="22"/>
              </w:rPr>
              <w:t>World</w:t>
            </w:r>
          </w:p>
          <w:p w14:paraId="4B986072" w14:textId="77777777" w:rsidR="006C41B5" w:rsidRPr="005F7253" w:rsidRDefault="006C41B5" w:rsidP="006C41B5">
            <w:pPr>
              <w:rPr>
                <w:rFonts w:ascii="Aptos" w:hAnsi="Aptos"/>
                <w:sz w:val="22"/>
              </w:rPr>
            </w:pPr>
            <w:r w:rsidRPr="005F7253">
              <w:rPr>
                <w:rFonts w:ascii="Aptos" w:hAnsi="Aptos"/>
                <w:noProof/>
                <w:sz w:val="22"/>
              </w:rPr>
              <w:drawing>
                <wp:inline distT="0" distB="0" distL="0" distR="0" wp14:anchorId="1A96A9B0" wp14:editId="20F87BF0">
                  <wp:extent cx="2752725" cy="2876550"/>
                  <wp:effectExtent l="0" t="0" r="9525" b="0"/>
                  <wp:docPr id="16484801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80127"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2752725" cy="2876550"/>
                          </a:xfrm>
                          <a:prstGeom prst="rect">
                            <a:avLst/>
                          </a:prstGeom>
                        </pic:spPr>
                      </pic:pic>
                    </a:graphicData>
                  </a:graphic>
                </wp:inline>
              </w:drawing>
            </w:r>
          </w:p>
        </w:tc>
      </w:tr>
    </w:tbl>
    <w:p w14:paraId="60893B8F"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Note: The values for 2G, 3G and 4G networks show the incremental percentage of the population that is not covered by a more advanced technology network (e.g. in 2024, 96 per cent of the world population is covered by at least a 3G or above network, that is 4 per cent + 41 per cent + 51 per cent). There are insufficient data to produce estimates for 5G coverage prior to 2020.</w:t>
      </w:r>
    </w:p>
    <w:p w14:paraId="0BBEC63A"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30C75A6A" w14:textId="346A2CEB"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Between 2020 and 2024, 5G mobile network coverage </w:t>
      </w:r>
      <w:r w:rsidR="00011174" w:rsidRPr="005F7253">
        <w:rPr>
          <w:rFonts w:ascii="Aptos" w:eastAsia="Aptos" w:hAnsi="Aptos" w:cs="Arial"/>
          <w:kern w:val="2"/>
          <w:sz w:val="22"/>
          <w:szCs w:val="22"/>
          <w14:ligatures w14:val="standardContextual"/>
        </w:rPr>
        <w:t xml:space="preserve">in the region </w:t>
      </w:r>
      <w:r w:rsidRPr="005F7253">
        <w:rPr>
          <w:rFonts w:ascii="Aptos" w:eastAsia="Aptos" w:hAnsi="Aptos" w:cs="Arial"/>
          <w:kern w:val="2"/>
          <w:sz w:val="22"/>
          <w:szCs w:val="22"/>
          <w14:ligatures w14:val="standardContextual"/>
        </w:rPr>
        <w:t>increased from 8 to 13 per cent of the population. Globally, 5G coverage grew at a much faster pace over the same period, from 9 to 51 per cent. In the region, 4G mobile networks covered 87 per cent of the population in 2024, slightly below the global average of 92 per cent. Furthermore, 95 per cent of the population in the Arab States had access to at least a 3G mobile</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broadband network, leaving 5 per cent without access to a mobile</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broadband network and therefore without any possibility of accessing the Internet. This coverage gap was one percentage point larger than the global average.</w:t>
      </w:r>
    </w:p>
    <w:p w14:paraId="6AE468F3"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lastRenderedPageBreak/>
        <w:t xml:space="preserve">Percentage of population covered by type of mobile </w:t>
      </w:r>
      <w:proofErr w:type="gramStart"/>
      <w:r w:rsidRPr="005F7253">
        <w:rPr>
          <w:rFonts w:ascii="AvenirNext LT Pro Light" w:eastAsia="Yu Gothic Light" w:hAnsi="AvenirNext LT Pro Light" w:cs="Calibri"/>
          <w:color w:val="0070C0"/>
          <w:spacing w:val="-10"/>
          <w:kern w:val="28"/>
          <w:szCs w:val="24"/>
        </w:rPr>
        <w:t>network,</w:t>
      </w:r>
      <w:proofErr w:type="gramEnd"/>
      <w:r w:rsidRPr="005F7253">
        <w:rPr>
          <w:rFonts w:ascii="AvenirNext LT Pro Light" w:eastAsia="Yu Gothic Light" w:hAnsi="AvenirNext LT Pro Light" w:cs="Calibri"/>
          <w:color w:val="0070C0"/>
          <w:spacing w:val="-10"/>
          <w:kern w:val="28"/>
          <w:szCs w:val="24"/>
        </w:rPr>
        <w:t xml:space="preserve"> latest year available</w:t>
      </w:r>
    </w:p>
    <w:p w14:paraId="579B2750" w14:textId="77777777" w:rsidR="006C41B5" w:rsidRPr="005F7253" w:rsidRDefault="006C41B5" w:rsidP="006C41B5">
      <w:pPr>
        <w:rPr>
          <w:rFonts w:ascii="Aptos" w:eastAsia="Aptos" w:hAnsi="Aptos" w:cs="Arial"/>
          <w:kern w:val="2"/>
          <w:sz w:val="22"/>
          <w:szCs w:val="22"/>
          <w14:ligatures w14:val="standardContextual"/>
        </w:rPr>
      </w:pPr>
      <w:r w:rsidRPr="005F7253">
        <w:rPr>
          <w:rFonts w:ascii="Aptos" w:eastAsia="Aptos" w:hAnsi="Aptos" w:cs="Arial"/>
          <w:noProof/>
          <w:kern w:val="2"/>
          <w:sz w:val="22"/>
          <w:szCs w:val="22"/>
          <w14:ligatures w14:val="standardContextual"/>
        </w:rPr>
        <w:drawing>
          <wp:inline distT="0" distB="0" distL="0" distR="0" wp14:anchorId="77B76619" wp14:editId="780C2C0A">
            <wp:extent cx="5594350" cy="3159760"/>
            <wp:effectExtent l="0" t="0" r="6350" b="2540"/>
            <wp:docPr id="5031724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72434"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5597279" cy="3161414"/>
                    </a:xfrm>
                    <a:prstGeom prst="rect">
                      <a:avLst/>
                    </a:prstGeom>
                  </pic:spPr>
                </pic:pic>
              </a:graphicData>
            </a:graphic>
          </wp:inline>
        </w:drawing>
      </w:r>
    </w:p>
    <w:p w14:paraId="76401DC6" w14:textId="292C33CA"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14C31C7C"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Note: The values for 2G, 3G and 4G networks show the incremental percentage of the population that is not covered by a more advanced technology network (e.g. in 2023, 75 per cent of the population in Yemen is covered by at least a 3G or above network, that is 57 per cent + 18 per cent). </w:t>
      </w:r>
    </w:p>
    <w:p w14:paraId="1C2875B9"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57390848" w14:textId="521C85B9"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region’s diversity is evident again in the roll-out of mobile networks. In four countries, 5G coverage reaches at least 99 per cent. In stark contrast 5G was not available </w:t>
      </w:r>
      <w:r w:rsidR="00011174" w:rsidRPr="005F7253">
        <w:rPr>
          <w:rFonts w:ascii="Aptos" w:eastAsia="Aptos" w:hAnsi="Aptos" w:cs="Arial"/>
          <w:kern w:val="2"/>
          <w:sz w:val="22"/>
          <w:szCs w:val="22"/>
          <w14:ligatures w14:val="standardContextual"/>
        </w:rPr>
        <w:t xml:space="preserve">at all </w:t>
      </w:r>
      <w:r w:rsidRPr="005F7253">
        <w:rPr>
          <w:rFonts w:ascii="Aptos" w:eastAsia="Aptos" w:hAnsi="Aptos" w:cs="Arial"/>
          <w:kern w:val="2"/>
          <w:sz w:val="22"/>
          <w:szCs w:val="22"/>
          <w14:ligatures w14:val="standardContextual"/>
        </w:rPr>
        <w:t>in three-quarter</w:t>
      </w:r>
      <w:r w:rsidR="00011174" w:rsidRPr="005F7253">
        <w:rPr>
          <w:rFonts w:ascii="Aptos" w:eastAsia="Aptos" w:hAnsi="Aptos" w:cs="Arial"/>
          <w:kern w:val="2"/>
          <w:sz w:val="22"/>
          <w:szCs w:val="22"/>
          <w14:ligatures w14:val="standardContextual"/>
        </w:rPr>
        <w:t>s</w:t>
      </w:r>
      <w:r w:rsidRPr="005F7253">
        <w:rPr>
          <w:rFonts w:ascii="Aptos" w:eastAsia="Aptos" w:hAnsi="Aptos" w:cs="Arial"/>
          <w:kern w:val="2"/>
          <w:sz w:val="22"/>
          <w:szCs w:val="22"/>
          <w14:ligatures w14:val="standardContextual"/>
        </w:rPr>
        <w:t xml:space="preserve"> of the economies, where 4G remained the most advanced technology</w:t>
      </w:r>
      <w:r w:rsidR="00011174" w:rsidRPr="005F7253">
        <w:rPr>
          <w:rFonts w:ascii="Aptos" w:eastAsia="Aptos" w:hAnsi="Aptos" w:cs="Arial"/>
          <w:kern w:val="2"/>
          <w:sz w:val="22"/>
          <w:szCs w:val="22"/>
          <w14:ligatures w14:val="standardContextual"/>
        </w:rPr>
        <w:t xml:space="preserve"> as of 2024</w:t>
      </w:r>
      <w:r w:rsidRPr="005F7253">
        <w:rPr>
          <w:rFonts w:ascii="Aptos" w:eastAsia="Aptos" w:hAnsi="Aptos" w:cs="Arial"/>
          <w:kern w:val="2"/>
          <w:sz w:val="22"/>
          <w:szCs w:val="22"/>
          <w14:ligatures w14:val="standardContextual"/>
        </w:rPr>
        <w:t xml:space="preserve">. </w:t>
      </w:r>
      <w:r w:rsidR="00011174" w:rsidRPr="005F7253">
        <w:rPr>
          <w:rFonts w:ascii="Aptos" w:eastAsia="Aptos" w:hAnsi="Aptos" w:cs="Arial"/>
          <w:kern w:val="2"/>
          <w:sz w:val="22"/>
          <w:szCs w:val="22"/>
          <w14:ligatures w14:val="standardContextual"/>
        </w:rPr>
        <w:t>I</w:t>
      </w:r>
      <w:r w:rsidRPr="005F7253">
        <w:rPr>
          <w:rFonts w:ascii="Aptos" w:eastAsia="Aptos" w:hAnsi="Aptos" w:cs="Arial"/>
          <w:kern w:val="2"/>
          <w:sz w:val="22"/>
          <w:szCs w:val="22"/>
          <w14:ligatures w14:val="standardContextual"/>
        </w:rPr>
        <w:t>n three economies, at least 25 per cent of the population lacked access to any mobile</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broadband network</w:t>
      </w:r>
      <w:r w:rsidR="00011174" w:rsidRPr="005F7253">
        <w:rPr>
          <w:rFonts w:ascii="Aptos" w:eastAsia="Aptos" w:hAnsi="Aptos" w:cs="Arial"/>
          <w:kern w:val="2"/>
          <w:sz w:val="22"/>
          <w:szCs w:val="22"/>
          <w14:ligatures w14:val="standardContextual"/>
        </w:rPr>
        <w:t xml:space="preserve"> whatsoever</w:t>
      </w:r>
      <w:r w:rsidRPr="005F7253">
        <w:rPr>
          <w:rFonts w:ascii="Aptos" w:eastAsia="Aptos" w:hAnsi="Aptos" w:cs="Arial"/>
          <w:kern w:val="2"/>
          <w:sz w:val="22"/>
          <w:szCs w:val="22"/>
          <w14:ligatures w14:val="standardContextual"/>
        </w:rPr>
        <w:t>.</w:t>
      </w:r>
    </w:p>
    <w:p w14:paraId="41FF9656"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Population coverage by type of mobile network and location, 2024</w:t>
      </w:r>
    </w:p>
    <w:p w14:paraId="40A71150" w14:textId="77777777" w:rsidR="000018FC"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6B7B1F33" wp14:editId="07E667D6">
            <wp:extent cx="5511800" cy="2755900"/>
            <wp:effectExtent l="0" t="0" r="0" b="6350"/>
            <wp:docPr id="16004744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74473"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5511800" cy="2755900"/>
                    </a:xfrm>
                    <a:prstGeom prst="rect">
                      <a:avLst/>
                    </a:prstGeom>
                  </pic:spPr>
                </pic:pic>
              </a:graphicData>
            </a:graphic>
          </wp:inline>
        </w:drawing>
      </w:r>
    </w:p>
    <w:p w14:paraId="05373577" w14:textId="2D44BA2D"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Note: The values for 2G, 3G and 4G networks show the incremental percentage of the population that is not covered by a more advanced technology network (e.g. 90 per cent of the world's rural population is covered by at least a 3G or above network, that is 29 per cent + 53 per cent + 8 per cent).</w:t>
      </w:r>
    </w:p>
    <w:p w14:paraId="320AD000"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63DA6B8F" w14:textId="313A9797" w:rsidR="006C41B5" w:rsidRPr="005F7253" w:rsidRDefault="006C41B5" w:rsidP="006C41B5">
      <w:pPr>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lastRenderedPageBreak/>
        <w:t>As with Internet use, there is a significant gap in network availability between rural and urban areas. In 2024, 5G covered 21 per cent of the overall population in the Arab States, but only 1 per cent in rural areas. The disparity was also notable for 4G networks, with 99 per cent of the urban population covered compared with 70 per cent in rural areas. When including 3G networks, coverage reached 100 per cent in urban areas but only 88 per cent in rural regions. This means that while every urban resident had access to a mobile</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broadband network, 12 per cent of the rural population in the Arab States remained off the grid, in line with the global average (10 per cent).</w:t>
      </w:r>
    </w:p>
    <w:p w14:paraId="4D5D4BCD"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br w:type="page"/>
      </w:r>
    </w:p>
    <w:p w14:paraId="0F31E52C" w14:textId="5CB27064"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2" w:name="_Toc184940634"/>
      <w:r w:rsidRPr="005F7253">
        <w:rPr>
          <w:rFonts w:ascii="Aptos Display" w:eastAsia="Yu Gothic Light" w:hAnsi="Aptos Display"/>
          <w:color w:val="0F4761"/>
          <w:kern w:val="2"/>
          <w:sz w:val="32"/>
          <w:szCs w:val="32"/>
          <w14:ligatures w14:val="standardContextual"/>
        </w:rPr>
        <w:lastRenderedPageBreak/>
        <w:t>Availability of fixed</w:t>
      </w:r>
      <w:r w:rsidR="00CF6F1E" w:rsidRPr="005F7253">
        <w:rPr>
          <w:rFonts w:ascii="Aptos Display" w:eastAsia="Yu Gothic Light" w:hAnsi="Aptos Display"/>
          <w:color w:val="0F4761"/>
          <w:kern w:val="2"/>
          <w:sz w:val="32"/>
          <w:szCs w:val="32"/>
          <w14:ligatures w14:val="standardContextual"/>
        </w:rPr>
        <w:t xml:space="preserve"> </w:t>
      </w:r>
      <w:r w:rsidRPr="005F7253">
        <w:rPr>
          <w:rFonts w:ascii="Aptos Display" w:eastAsia="Yu Gothic Light" w:hAnsi="Aptos Display"/>
          <w:color w:val="0F4761"/>
          <w:kern w:val="2"/>
          <w:sz w:val="32"/>
          <w:szCs w:val="32"/>
          <w14:ligatures w14:val="standardContextual"/>
        </w:rPr>
        <w:t>broadband infrastructure</w:t>
      </w:r>
      <w:bookmarkEnd w:id="12"/>
    </w:p>
    <w:p w14:paraId="08317977" w14:textId="71E60C74" w:rsidR="006C41B5" w:rsidRPr="005F7253" w:rsidRDefault="00E20227"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i/>
          <w:kern w:val="2"/>
          <w:sz w:val="22"/>
          <w:szCs w:val="22"/>
          <w14:ligatures w14:val="standardContextual"/>
        </w:rPr>
        <w:t>A quarter of the population lives within 10 km of a fibre node</w:t>
      </w:r>
    </w:p>
    <w:p w14:paraId="6D0D91B6" w14:textId="7911F4CC"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Fixed</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broadband infrastructure forms the backbone of the Internet and </w:t>
      </w:r>
      <w:r w:rsidR="00964E18" w:rsidRPr="005F7253">
        <w:rPr>
          <w:rFonts w:ascii="Aptos" w:eastAsia="Aptos" w:hAnsi="Aptos" w:cs="Arial"/>
          <w:kern w:val="2"/>
          <w:sz w:val="22"/>
          <w:szCs w:val="22"/>
          <w14:ligatures w14:val="standardContextual"/>
        </w:rPr>
        <w:t xml:space="preserve">is </w:t>
      </w:r>
      <w:r w:rsidRPr="005F7253">
        <w:rPr>
          <w:rFonts w:ascii="Aptos" w:eastAsia="Aptos" w:hAnsi="Aptos" w:cs="Arial"/>
          <w:kern w:val="2"/>
          <w:sz w:val="22"/>
          <w:szCs w:val="22"/>
          <w14:ligatures w14:val="standardContextual"/>
        </w:rPr>
        <w:t xml:space="preserve">a cornerstone of digital transformation efforts. </w:t>
      </w:r>
      <w:r w:rsidR="00966FD7" w:rsidRPr="005F7253">
        <w:rPr>
          <w:rFonts w:ascii="Aptos" w:eastAsia="Aptos" w:hAnsi="Aptos" w:cs="Arial"/>
          <w:kern w:val="2"/>
          <w:sz w:val="22"/>
          <w:szCs w:val="22"/>
          <w14:ligatures w14:val="standardContextual"/>
        </w:rPr>
        <w:t xml:space="preserve">As part of the ongoing research at </w:t>
      </w:r>
      <w:r w:rsidRPr="005F7253">
        <w:rPr>
          <w:rFonts w:ascii="Aptos" w:eastAsia="Aptos" w:hAnsi="Aptos" w:cs="Arial"/>
          <w:kern w:val="2"/>
          <w:sz w:val="22"/>
          <w:szCs w:val="22"/>
          <w14:ligatures w14:val="standardContextual"/>
        </w:rPr>
        <w:t>ITU</w:t>
      </w:r>
      <w:r w:rsidR="00966FD7" w:rsidRPr="005F7253">
        <w:rPr>
          <w:rFonts w:ascii="Aptos" w:eastAsia="Aptos" w:hAnsi="Aptos" w:cs="Arial"/>
          <w:kern w:val="2"/>
          <w:sz w:val="22"/>
          <w:szCs w:val="22"/>
          <w14:ligatures w14:val="standardContextual"/>
        </w:rPr>
        <w:t>, the</w:t>
      </w:r>
      <w:r w:rsidRPr="005F7253">
        <w:rPr>
          <w:rFonts w:ascii="Aptos" w:eastAsia="Aptos" w:hAnsi="Aptos" w:cs="Arial"/>
          <w:kern w:val="2"/>
          <w:sz w:val="22"/>
          <w:szCs w:val="22"/>
          <w14:ligatures w14:val="standardContextual"/>
        </w:rPr>
        <w:t xml:space="preserve"> </w:t>
      </w:r>
      <w:r w:rsidR="00966FD7" w:rsidRPr="005F7253">
        <w:rPr>
          <w:rFonts w:ascii="Aptos" w:eastAsia="Aptos" w:hAnsi="Aptos" w:cs="Arial"/>
          <w:kern w:val="2"/>
          <w:sz w:val="22"/>
          <w:szCs w:val="22"/>
          <w14:ligatures w14:val="standardContextual"/>
        </w:rPr>
        <w:t>b</w:t>
      </w:r>
      <w:r w:rsidRPr="005F7253">
        <w:rPr>
          <w:rFonts w:ascii="Aptos" w:eastAsia="Aptos" w:hAnsi="Aptos" w:cs="Arial"/>
          <w:kern w:val="2"/>
          <w:sz w:val="22"/>
          <w:szCs w:val="22"/>
          <w14:ligatures w14:val="standardContextual"/>
        </w:rPr>
        <w:t>roadband map initiative provides an overview of the fixed</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broadband infrastructure placement. Overlaying this data with demographic data makes it possible to infer the availability and proximity of fixed broadband to populations. This is essential for planning – costly – infrastructure projects and </w:t>
      </w:r>
      <w:r w:rsidR="00966FD7" w:rsidRPr="005F7253">
        <w:rPr>
          <w:rFonts w:ascii="Aptos" w:eastAsia="Aptos" w:hAnsi="Aptos" w:cs="Arial"/>
          <w:kern w:val="2"/>
          <w:sz w:val="22"/>
          <w:szCs w:val="22"/>
          <w14:ligatures w14:val="standardContextual"/>
        </w:rPr>
        <w:t xml:space="preserve">helps to </w:t>
      </w:r>
      <w:r w:rsidRPr="005F7253">
        <w:rPr>
          <w:rFonts w:ascii="Aptos" w:eastAsia="Aptos" w:hAnsi="Aptos" w:cs="Arial"/>
          <w:kern w:val="2"/>
          <w:sz w:val="22"/>
          <w:szCs w:val="22"/>
          <w14:ligatures w14:val="standardContextual"/>
        </w:rPr>
        <w:t xml:space="preserve">ensure that networks have the necessary capacity and reach. </w:t>
      </w:r>
    </w:p>
    <w:p w14:paraId="3C9BD7E5"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Map of transmission networks and submarine cables for the Arab States region</w:t>
      </w:r>
    </w:p>
    <w:p w14:paraId="41B651DF" w14:textId="77777777" w:rsidR="006C41B5" w:rsidRPr="00EC5146"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EC5146">
        <w:rPr>
          <w:rFonts w:ascii="Aptos" w:eastAsia="Aptos" w:hAnsi="Aptos"/>
          <w:noProof/>
          <w:kern w:val="2"/>
          <w:sz w:val="22"/>
          <w14:ligatures w14:val="standardContextual"/>
        </w:rPr>
        <w:drawing>
          <wp:inline distT="0" distB="0" distL="0" distR="0" wp14:anchorId="68A38FE3" wp14:editId="65D3F1AC">
            <wp:extent cx="5731510" cy="1758315"/>
            <wp:effectExtent l="0" t="0" r="2540" b="0"/>
            <wp:docPr id="1099853037" name="Picture 1" descr="A map of the s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53037" name="Picture 1" descr="A map of the sea&#10;&#10;Description automatically generated"/>
                    <pic:cNvPicPr/>
                  </pic:nvPicPr>
                  <pic:blipFill>
                    <a:blip r:embed="rId52"/>
                    <a:stretch>
                      <a:fillRect/>
                    </a:stretch>
                  </pic:blipFill>
                  <pic:spPr>
                    <a:xfrm>
                      <a:off x="0" y="0"/>
                      <a:ext cx="5731510" cy="1758315"/>
                    </a:xfrm>
                    <a:prstGeom prst="rect">
                      <a:avLst/>
                    </a:prstGeom>
                  </pic:spPr>
                </pic:pic>
              </a:graphicData>
            </a:graphic>
          </wp:inline>
        </w:drawing>
      </w:r>
    </w:p>
    <w:p w14:paraId="0CC9EB7B" w14:textId="3B67015B" w:rsidR="0061773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Note: The image reports active and planned submarine cables, and operational, planned and under</w:t>
      </w:r>
      <w:r w:rsidR="00966FD7" w:rsidRPr="005F7253">
        <w:rPr>
          <w:rFonts w:ascii="Aptos" w:eastAsia="Aptos" w:hAnsi="Aptos" w:cs="Arial"/>
          <w:kern w:val="2"/>
          <w:sz w:val="16"/>
          <w:szCs w:val="28"/>
          <w14:ligatures w14:val="standardContextual"/>
        </w:rPr>
        <w:t>-</w:t>
      </w:r>
      <w:r w:rsidRPr="005F7253">
        <w:rPr>
          <w:rFonts w:ascii="Aptos" w:eastAsia="Aptos" w:hAnsi="Aptos" w:cs="Arial"/>
          <w:kern w:val="2"/>
          <w:sz w:val="16"/>
          <w:szCs w:val="28"/>
          <w14:ligatures w14:val="standardContextual"/>
        </w:rPr>
        <w:t>construction transmission networks (fibre</w:t>
      </w:r>
      <w:r w:rsidR="00966FD7" w:rsidRPr="005F7253">
        <w:rPr>
          <w:rFonts w:ascii="Aptos" w:eastAsia="Aptos" w:hAnsi="Aptos" w:cs="Arial"/>
          <w:kern w:val="2"/>
          <w:sz w:val="16"/>
          <w:szCs w:val="28"/>
          <w14:ligatures w14:val="standardContextual"/>
        </w:rPr>
        <w:t>-</w:t>
      </w:r>
      <w:r w:rsidRPr="005F7253">
        <w:rPr>
          <w:rFonts w:ascii="Aptos" w:eastAsia="Aptos" w:hAnsi="Aptos" w:cs="Arial"/>
          <w:kern w:val="2"/>
          <w:sz w:val="16"/>
          <w:szCs w:val="28"/>
          <w14:ligatures w14:val="standardContextual"/>
        </w:rPr>
        <w:t xml:space="preserve">optic cable and microwave). </w:t>
      </w:r>
      <w:r w:rsidR="00FB0520" w:rsidRPr="005F7253">
        <w:rPr>
          <w:rFonts w:ascii="Aptos" w:eastAsia="Aptos" w:hAnsi="Aptos" w:cs="Arial"/>
          <w:kern w:val="2"/>
          <w:sz w:val="16"/>
          <w:szCs w:val="28"/>
          <w14:ligatures w14:val="standardContextual"/>
        </w:rPr>
        <w:t xml:space="preserve">For reasons of space, </w:t>
      </w:r>
      <w:r w:rsidRPr="005F7253">
        <w:rPr>
          <w:rFonts w:ascii="Aptos" w:eastAsia="Aptos" w:hAnsi="Aptos" w:cs="Arial"/>
          <w:kern w:val="2"/>
          <w:sz w:val="16"/>
          <w:szCs w:val="28"/>
          <w14:ligatures w14:val="standardContextual"/>
        </w:rPr>
        <w:t>Comoros is shown</w:t>
      </w:r>
      <w:r w:rsidR="00FB0520" w:rsidRPr="005F7253">
        <w:rPr>
          <w:rFonts w:ascii="Aptos" w:eastAsia="Aptos" w:hAnsi="Aptos" w:cs="Arial"/>
          <w:kern w:val="2"/>
          <w:sz w:val="16"/>
          <w:szCs w:val="28"/>
          <w14:ligatures w14:val="standardContextual"/>
        </w:rPr>
        <w:t xml:space="preserve"> in the inset to the right</w:t>
      </w:r>
      <w:r w:rsidRPr="005F7253">
        <w:rPr>
          <w:rFonts w:ascii="Aptos" w:eastAsia="Aptos" w:hAnsi="Aptos" w:cs="Arial"/>
          <w:kern w:val="2"/>
          <w:sz w:val="16"/>
          <w:szCs w:val="28"/>
          <w14:ligatures w14:val="standardContextual"/>
        </w:rPr>
        <w:t xml:space="preserve">. </w:t>
      </w:r>
    </w:p>
    <w:p w14:paraId="0A6F9E26" w14:textId="79ABC750"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The designations employed and the presentation of material on the map do not imply the expression of any opinion whatsoever on the part of ITU </w:t>
      </w:r>
      <w:r w:rsidR="00966FD7" w:rsidRPr="005F7253">
        <w:rPr>
          <w:rFonts w:ascii="Aptos" w:eastAsia="Aptos" w:hAnsi="Aptos" w:cs="Arial"/>
          <w:kern w:val="2"/>
          <w:sz w:val="16"/>
          <w:szCs w:val="28"/>
          <w14:ligatures w14:val="standardContextual"/>
        </w:rPr>
        <w:t>or its s</w:t>
      </w:r>
      <w:r w:rsidRPr="005F7253">
        <w:rPr>
          <w:rFonts w:ascii="Aptos" w:eastAsia="Aptos" w:hAnsi="Aptos" w:cs="Arial"/>
          <w:kern w:val="2"/>
          <w:sz w:val="16"/>
          <w:szCs w:val="28"/>
          <w14:ligatures w14:val="standardContextual"/>
        </w:rPr>
        <w:t>ecretariat concerning the legal status of the country, territory, city or area or its authorities, or concerning the delimitation of its frontiers or boundaries.</w:t>
      </w:r>
    </w:p>
    <w:p w14:paraId="7712CBE0" w14:textId="77777777" w:rsidR="006C41B5" w:rsidRPr="00CE7BC6"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kern w:val="2"/>
          <w:sz w:val="16"/>
          <w14:ligatures w14:val="standardContextual"/>
        </w:rPr>
      </w:pPr>
      <w:r w:rsidRPr="00CE7BC6">
        <w:rPr>
          <w:rFonts w:ascii="Aptos" w:eastAsia="Aptos" w:hAnsi="Aptos"/>
          <w:kern w:val="2"/>
          <w:sz w:val="16"/>
          <w14:ligatures w14:val="standardContextual"/>
        </w:rPr>
        <w:t xml:space="preserve">Source: ITU, </w:t>
      </w:r>
      <w:hyperlink r:id="rId53" w:history="1">
        <w:r w:rsidRPr="00CE7BC6">
          <w:rPr>
            <w:rFonts w:ascii="Aptos" w:eastAsia="Aptos" w:hAnsi="Aptos"/>
            <w:color w:val="467886"/>
            <w:kern w:val="2"/>
            <w:sz w:val="16"/>
            <w:u w:val="single"/>
            <w14:ligatures w14:val="standardContextual"/>
          </w:rPr>
          <w:t>https://bbmaps.itu.int/app</w:t>
        </w:r>
      </w:hyperlink>
      <w:r w:rsidRPr="00CE7BC6">
        <w:rPr>
          <w:rFonts w:ascii="Aptos" w:eastAsia="Aptos" w:hAnsi="Aptos"/>
          <w:kern w:val="2"/>
          <w:sz w:val="16"/>
          <w14:ligatures w14:val="standardContextual"/>
        </w:rPr>
        <w:t>, 2024</w:t>
      </w:r>
    </w:p>
    <w:p w14:paraId="272459CC" w14:textId="316AB51A" w:rsidR="006C41B5" w:rsidRPr="005F7253" w:rsidRDefault="006C41B5" w:rsidP="006C41B5">
      <w:pPr>
        <w:rPr>
          <w:rFonts w:ascii="Aptos" w:eastAsia="Aptos" w:hAnsi="Aptos" w:cs="Arial"/>
          <w:kern w:val="2"/>
          <w:sz w:val="22"/>
          <w:szCs w:val="22"/>
          <w:highlight w:val="yellow"/>
          <w14:ligatures w14:val="standardContextual"/>
        </w:rPr>
      </w:pPr>
      <w:r w:rsidRPr="005F7253">
        <w:rPr>
          <w:rFonts w:ascii="Aptos" w:eastAsia="Aptos" w:hAnsi="Aptos" w:cs="Arial"/>
          <w:kern w:val="2"/>
          <w:sz w:val="22"/>
          <w:szCs w:val="22"/>
          <w14:ligatures w14:val="standardContextual"/>
        </w:rPr>
        <w:t xml:space="preserve">Proximity to a fibre node is a crucial metric for transformative connectivity as it directly impacts network performance, reliability, and scalability. It reduces latency, improves connection stability, and lowers deployment costs, making broadband access more affordable and efficient. Additionally, it enables easier upgrades to support growing bandwidth demands, ensuring networks remain </w:t>
      </w:r>
      <w:proofErr w:type="gramStart"/>
      <w:r w:rsidRPr="005F7253">
        <w:rPr>
          <w:rFonts w:ascii="Aptos" w:eastAsia="Aptos" w:hAnsi="Aptos" w:cs="Arial"/>
          <w:kern w:val="2"/>
          <w:sz w:val="22"/>
          <w:szCs w:val="22"/>
          <w14:ligatures w14:val="standardContextual"/>
        </w:rPr>
        <w:t>future-proof</w:t>
      </w:r>
      <w:proofErr w:type="gramEnd"/>
      <w:r w:rsidRPr="005F7253">
        <w:rPr>
          <w:rFonts w:ascii="Aptos" w:eastAsia="Aptos" w:hAnsi="Aptos" w:cs="Arial"/>
          <w:kern w:val="2"/>
          <w:sz w:val="22"/>
          <w:szCs w:val="22"/>
          <w14:ligatures w14:val="standardContextual"/>
        </w:rPr>
        <w:t xml:space="preserve">. </w:t>
      </w:r>
    </w:p>
    <w:p w14:paraId="38959FAE" w14:textId="59D9BD07" w:rsidR="006C41B5" w:rsidRPr="005F7253" w:rsidRDefault="006C41B5" w:rsidP="006C41B5">
      <w:pPr>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As of 2023, 26 per cent of the population of Arab S</w:t>
      </w:r>
      <w:r w:rsidR="00966FD7" w:rsidRPr="005F7253">
        <w:rPr>
          <w:rFonts w:ascii="Aptos" w:eastAsia="Aptos" w:hAnsi="Aptos" w:cs="Arial"/>
          <w:kern w:val="2"/>
          <w:sz w:val="22"/>
          <w:szCs w:val="22"/>
          <w14:ligatures w14:val="standardContextual"/>
        </w:rPr>
        <w:t>t</w:t>
      </w:r>
      <w:r w:rsidRPr="005F7253">
        <w:rPr>
          <w:rFonts w:ascii="Aptos" w:eastAsia="Aptos" w:hAnsi="Aptos" w:cs="Arial"/>
          <w:kern w:val="2"/>
          <w:sz w:val="22"/>
          <w:szCs w:val="22"/>
          <w14:ligatures w14:val="standardContextual"/>
        </w:rPr>
        <w:t xml:space="preserve">ates lived within 10 km of a fibre node. More than half (58 per cent) lived within 50 km, 82 per cent within 50 km and 93 per cent within 100 km. </w:t>
      </w:r>
    </w:p>
    <w:p w14:paraId="5F1BB55E"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br w:type="page"/>
      </w:r>
    </w:p>
    <w:p w14:paraId="4509CB36"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color w:val="0070C0"/>
          <w:kern w:val="2"/>
          <w:sz w:val="22"/>
          <w:szCs w:val="22"/>
          <w14:ligatures w14:val="standardContextual"/>
        </w:rPr>
      </w:pPr>
      <w:r w:rsidRPr="005F7253">
        <w:rPr>
          <w:rFonts w:ascii="Aptos" w:eastAsia="Aptos" w:hAnsi="Aptos" w:cs="Arial"/>
          <w:color w:val="0070C0"/>
          <w:kern w:val="2"/>
          <w:sz w:val="22"/>
          <w:szCs w:val="22"/>
          <w14:ligatures w14:val="standardContextual"/>
        </w:rPr>
        <w:lastRenderedPageBreak/>
        <w:t>Percentage of population within reach of a fibre node, 2023</w:t>
      </w:r>
    </w:p>
    <w:p w14:paraId="7423123F" w14:textId="3D0F4D8F" w:rsidR="006C41B5" w:rsidRPr="005F7253" w:rsidRDefault="004554CC"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Pr>
          <w:noProof/>
        </w:rPr>
        <w:drawing>
          <wp:inline distT="0" distB="0" distL="0" distR="0" wp14:anchorId="0F1F3BB2" wp14:editId="3C41DFD9">
            <wp:extent cx="6115050" cy="3495675"/>
            <wp:effectExtent l="0" t="0" r="0" b="9525"/>
            <wp:docPr id="5792794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79486"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6115050" cy="3495675"/>
                    </a:xfrm>
                    <a:prstGeom prst="rect">
                      <a:avLst/>
                    </a:prstGeom>
                  </pic:spPr>
                </pic:pic>
              </a:graphicData>
            </a:graphic>
          </wp:inline>
        </w:drawing>
      </w:r>
      <w:r w:rsidR="006C41B5"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006C41B5" w:rsidRPr="005F7253">
        <w:rPr>
          <w:rFonts w:ascii="Aptos" w:eastAsia="Aptos" w:hAnsi="Aptos" w:cs="Arial"/>
          <w:kern w:val="2"/>
          <w:sz w:val="16"/>
          <w:szCs w:val="28"/>
          <w14:ligatures w14:val="standardContextual"/>
        </w:rPr>
        <w:t>) of the ITU Plenipotentiary Conference.</w:t>
      </w:r>
    </w:p>
    <w:p w14:paraId="007FFF84"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Note: The percentage of population within reach of transmission networks refers to the percentage of people that are within physical reach of nodes on core terrestrial transmission networks for a given distance (see </w:t>
      </w:r>
      <w:hyperlink r:id="rId56" w:history="1">
        <w:r w:rsidRPr="005F7253">
          <w:rPr>
            <w:rFonts w:ascii="Aptos" w:eastAsia="Aptos" w:hAnsi="Aptos" w:cs="Arial"/>
            <w:color w:val="467886"/>
            <w:kern w:val="2"/>
            <w:sz w:val="16"/>
            <w:szCs w:val="28"/>
            <w:u w:val="single"/>
            <w14:ligatures w14:val="standardContextual"/>
          </w:rPr>
          <w:t>https://bbmaps.itu.int/indicators-bbmaps</w:t>
        </w:r>
      </w:hyperlink>
      <w:r w:rsidRPr="005F7253">
        <w:rPr>
          <w:rFonts w:ascii="Aptos" w:eastAsia="Aptos" w:hAnsi="Aptos" w:cs="Arial"/>
          <w:kern w:val="2"/>
          <w:sz w:val="16"/>
          <w:szCs w:val="28"/>
          <w14:ligatures w14:val="standardContextual"/>
        </w:rPr>
        <w:t>).</w:t>
      </w:r>
    </w:p>
    <w:p w14:paraId="497A0B8C"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6A19D439"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br w:type="page"/>
      </w:r>
    </w:p>
    <w:p w14:paraId="7BEF7641"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3" w:name="_Toc184940635"/>
      <w:r w:rsidRPr="005F7253">
        <w:rPr>
          <w:rFonts w:ascii="Aptos Display" w:eastAsia="Yu Gothic Light" w:hAnsi="Aptos Display"/>
          <w:color w:val="0F4761"/>
          <w:kern w:val="2"/>
          <w:sz w:val="32"/>
          <w:szCs w:val="32"/>
          <w14:ligatures w14:val="standardContextual"/>
        </w:rPr>
        <w:lastRenderedPageBreak/>
        <w:t>Internet traffic and international bandwidth</w:t>
      </w:r>
      <w:bookmarkEnd w:id="13"/>
    </w:p>
    <w:p w14:paraId="2C989CDE"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Internet traffic in the Arab States growing faster than globally</w:t>
      </w:r>
    </w:p>
    <w:p w14:paraId="75C6B0DC"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Broadband Internet traffic per subscription per month (GB)</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450"/>
      </w:tblGrid>
      <w:tr w:rsidR="006C41B5" w:rsidRPr="005F7253" w14:paraId="0871D4BA" w14:textId="77777777" w:rsidTr="00BF1164">
        <w:tc>
          <w:tcPr>
            <w:tcW w:w="4566" w:type="dxa"/>
          </w:tcPr>
          <w:p w14:paraId="627BDB4F" w14:textId="77777777" w:rsidR="006C41B5" w:rsidRPr="006253E4" w:rsidRDefault="006C41B5" w:rsidP="006253E4">
            <w:pPr>
              <w:jc w:val="center"/>
              <w:rPr>
                <w:rFonts w:ascii="Aptos" w:hAnsi="Aptos"/>
                <w:b/>
                <w:sz w:val="22"/>
              </w:rPr>
            </w:pPr>
            <w:r w:rsidRPr="006253E4">
              <w:rPr>
                <w:rFonts w:ascii="Aptos" w:hAnsi="Aptos"/>
                <w:b/>
                <w:sz w:val="22"/>
              </w:rPr>
              <w:t>Mobile</w:t>
            </w:r>
          </w:p>
          <w:p w14:paraId="44995B69" w14:textId="77777777" w:rsidR="006C41B5" w:rsidRPr="005F7253" w:rsidRDefault="006C41B5" w:rsidP="006C41B5">
            <w:pPr>
              <w:rPr>
                <w:rFonts w:ascii="Aptos" w:hAnsi="Aptos"/>
                <w:sz w:val="22"/>
              </w:rPr>
            </w:pPr>
            <w:r w:rsidRPr="005F7253">
              <w:rPr>
                <w:rFonts w:ascii="Aptos" w:hAnsi="Aptos"/>
                <w:noProof/>
                <w:sz w:val="22"/>
              </w:rPr>
              <w:drawing>
                <wp:inline distT="0" distB="0" distL="0" distR="0" wp14:anchorId="0AE699B9" wp14:editId="4BA400C9">
                  <wp:extent cx="2667000" cy="2667000"/>
                  <wp:effectExtent l="0" t="0" r="0" b="0"/>
                  <wp:docPr id="1182861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6157"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2667000" cy="2667000"/>
                          </a:xfrm>
                          <a:prstGeom prst="rect">
                            <a:avLst/>
                          </a:prstGeom>
                        </pic:spPr>
                      </pic:pic>
                    </a:graphicData>
                  </a:graphic>
                </wp:inline>
              </w:drawing>
            </w:r>
          </w:p>
        </w:tc>
        <w:tc>
          <w:tcPr>
            <w:tcW w:w="4450" w:type="dxa"/>
          </w:tcPr>
          <w:p w14:paraId="4A54B2B2" w14:textId="77777777" w:rsidR="006C41B5" w:rsidRPr="006253E4" w:rsidRDefault="006C41B5" w:rsidP="006253E4">
            <w:pPr>
              <w:jc w:val="center"/>
              <w:rPr>
                <w:rFonts w:ascii="Aptos" w:hAnsi="Aptos"/>
                <w:b/>
                <w:sz w:val="22"/>
              </w:rPr>
            </w:pPr>
            <w:r w:rsidRPr="006253E4">
              <w:rPr>
                <w:rFonts w:ascii="Aptos" w:hAnsi="Aptos"/>
                <w:b/>
                <w:sz w:val="22"/>
              </w:rPr>
              <w:t>Fixed</w:t>
            </w:r>
          </w:p>
          <w:p w14:paraId="2E58318E" w14:textId="77777777" w:rsidR="006C41B5" w:rsidRPr="005F7253" w:rsidRDefault="006C41B5" w:rsidP="006C41B5">
            <w:pPr>
              <w:rPr>
                <w:rFonts w:ascii="Aptos" w:hAnsi="Aptos"/>
                <w:sz w:val="22"/>
              </w:rPr>
            </w:pPr>
            <w:r w:rsidRPr="005F7253">
              <w:rPr>
                <w:rFonts w:ascii="Aptos" w:hAnsi="Aptos"/>
                <w:noProof/>
                <w:sz w:val="22"/>
              </w:rPr>
              <w:drawing>
                <wp:inline distT="0" distB="0" distL="0" distR="0" wp14:anchorId="6DBEE9CC" wp14:editId="501C1B96">
                  <wp:extent cx="2667000" cy="2667000"/>
                  <wp:effectExtent l="0" t="0" r="0" b="0"/>
                  <wp:docPr id="15885440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44094"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2667000" cy="2667000"/>
                          </a:xfrm>
                          <a:prstGeom prst="rect">
                            <a:avLst/>
                          </a:prstGeom>
                        </pic:spPr>
                      </pic:pic>
                    </a:graphicData>
                  </a:graphic>
                </wp:inline>
              </w:drawing>
            </w:r>
          </w:p>
        </w:tc>
      </w:tr>
    </w:tbl>
    <w:p w14:paraId="11FAA9A2"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3743962E" w14:textId="5D535460"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Internet traffic measures the total volume of data downloaded </w:t>
      </w:r>
      <w:r w:rsidR="00FB0520" w:rsidRPr="005F7253">
        <w:rPr>
          <w:rFonts w:ascii="Aptos" w:eastAsia="Aptos" w:hAnsi="Aptos" w:cs="Arial"/>
          <w:kern w:val="2"/>
          <w:sz w:val="22"/>
          <w:szCs w:val="22"/>
          <w14:ligatures w14:val="standardContextual"/>
        </w:rPr>
        <w:t xml:space="preserve">or </w:t>
      </w:r>
      <w:r w:rsidRPr="005F7253">
        <w:rPr>
          <w:rFonts w:ascii="Aptos" w:eastAsia="Aptos" w:hAnsi="Aptos" w:cs="Arial"/>
          <w:kern w:val="2"/>
          <w:sz w:val="22"/>
          <w:szCs w:val="22"/>
          <w14:ligatures w14:val="standardContextual"/>
        </w:rPr>
        <w:t>upload</w:t>
      </w:r>
      <w:r w:rsidR="00FB0520" w:rsidRPr="005F7253">
        <w:rPr>
          <w:rFonts w:ascii="Aptos" w:eastAsia="Aptos" w:hAnsi="Aptos" w:cs="Arial"/>
          <w:kern w:val="2"/>
          <w:sz w:val="22"/>
          <w:szCs w:val="22"/>
          <w14:ligatures w14:val="standardContextual"/>
        </w:rPr>
        <w:t>ed</w:t>
      </w:r>
      <w:r w:rsidRPr="005F7253">
        <w:rPr>
          <w:rFonts w:ascii="Aptos" w:eastAsia="Aptos" w:hAnsi="Aptos" w:cs="Arial"/>
          <w:kern w:val="2"/>
          <w:sz w:val="22"/>
          <w:szCs w:val="22"/>
          <w14:ligatures w14:val="standardContextual"/>
        </w:rPr>
        <w:t xml:space="preserve"> by end </w:t>
      </w:r>
      <w:r w:rsidRPr="006C41B5">
        <w:rPr>
          <w:rFonts w:ascii="Aptos" w:eastAsia="Aptos" w:hAnsi="Aptos" w:cs="Arial"/>
          <w:kern w:val="2"/>
          <w:sz w:val="22"/>
          <w:szCs w:val="22"/>
          <w14:ligatures w14:val="standardContextual"/>
        </w:rPr>
        <w:t xml:space="preserve">users </w:t>
      </w:r>
      <w:r w:rsidRPr="005F7253">
        <w:rPr>
          <w:rFonts w:ascii="Aptos" w:eastAsia="Aptos" w:hAnsi="Aptos" w:cs="Arial"/>
          <w:kern w:val="2"/>
          <w:sz w:val="22"/>
          <w:szCs w:val="22"/>
          <w14:ligatures w14:val="standardContextual"/>
        </w:rPr>
        <w:t>over a given period. For ease of interpretation, figures presented refer to the average monthly traffic per fixed as well as mobile broadband subscription. Traffic levels are typically higher for fixed than mobile broadband, not only because subscriptions are shared by multiple users (e.g. in households), but also because it also includes mobile</w:t>
      </w:r>
      <w:r w:rsidR="00144724" w:rsidRPr="005F7253">
        <w:rPr>
          <w:rFonts w:ascii="Aptos" w:eastAsia="Aptos" w:hAnsi="Aptos" w:cs="Arial"/>
          <w:kern w:val="2"/>
          <w:sz w:val="22"/>
          <w:szCs w:val="22"/>
          <w14:ligatures w14:val="standardContextual"/>
        </w:rPr>
        <w:t xml:space="preserve"> device</w:t>
      </w:r>
      <w:r w:rsidRPr="005F7253">
        <w:rPr>
          <w:rFonts w:ascii="Aptos" w:eastAsia="Aptos" w:hAnsi="Aptos" w:cs="Arial"/>
          <w:kern w:val="2"/>
          <w:sz w:val="22"/>
          <w:szCs w:val="22"/>
          <w14:ligatures w14:val="standardContextual"/>
        </w:rPr>
        <w:t xml:space="preserve"> traffic routed over Wi-Fi when available.</w:t>
      </w:r>
    </w:p>
    <w:p w14:paraId="36E5411F" w14:textId="0EE6A75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Between 2019 and 2024 monthly mobile</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broadband traffic </w:t>
      </w:r>
      <w:r w:rsidR="00144724" w:rsidRPr="005F7253">
        <w:rPr>
          <w:rFonts w:ascii="Aptos" w:eastAsia="Aptos" w:hAnsi="Aptos" w:cs="Arial"/>
          <w:kern w:val="2"/>
          <w:sz w:val="22"/>
          <w:szCs w:val="22"/>
          <w14:ligatures w14:val="standardContextual"/>
        </w:rPr>
        <w:t xml:space="preserve">in the region </w:t>
      </w:r>
      <w:r w:rsidRPr="005F7253">
        <w:rPr>
          <w:rFonts w:ascii="Aptos" w:eastAsia="Aptos" w:hAnsi="Aptos" w:cs="Arial"/>
          <w:kern w:val="2"/>
          <w:sz w:val="22"/>
          <w:szCs w:val="22"/>
          <w14:ligatures w14:val="standardContextual"/>
        </w:rPr>
        <w:t>increased from 5 to 16 gigabytes (GB) per mobile</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broadband subscription, outstripping </w:t>
      </w:r>
      <w:r w:rsidR="00144724" w:rsidRPr="005F7253">
        <w:rPr>
          <w:rFonts w:ascii="Aptos" w:eastAsia="Aptos" w:hAnsi="Aptos" w:cs="Arial"/>
          <w:kern w:val="2"/>
          <w:sz w:val="22"/>
          <w:szCs w:val="22"/>
          <w14:ligatures w14:val="standardContextual"/>
        </w:rPr>
        <w:t xml:space="preserve">the </w:t>
      </w:r>
      <w:r w:rsidRPr="005F7253">
        <w:rPr>
          <w:rFonts w:ascii="Aptos" w:eastAsia="Aptos" w:hAnsi="Aptos" w:cs="Arial"/>
          <w:kern w:val="2"/>
          <w:sz w:val="22"/>
          <w:szCs w:val="22"/>
          <w14:ligatures w14:val="standardContextual"/>
        </w:rPr>
        <w:t xml:space="preserve">global </w:t>
      </w:r>
      <w:r w:rsidR="00144724" w:rsidRPr="005F7253">
        <w:rPr>
          <w:rFonts w:ascii="Aptos" w:eastAsia="Aptos" w:hAnsi="Aptos" w:cs="Arial"/>
          <w:kern w:val="2"/>
          <w:sz w:val="22"/>
          <w:szCs w:val="22"/>
          <w14:ligatures w14:val="standardContextual"/>
        </w:rPr>
        <w:t xml:space="preserve">average for </w:t>
      </w:r>
      <w:r w:rsidRPr="005F7253">
        <w:rPr>
          <w:rFonts w:ascii="Aptos" w:eastAsia="Aptos" w:hAnsi="Aptos" w:cs="Arial"/>
          <w:kern w:val="2"/>
          <w:sz w:val="22"/>
          <w:szCs w:val="22"/>
          <w14:ligatures w14:val="standardContextual"/>
        </w:rPr>
        <w:t>traffic</w:t>
      </w:r>
      <w:r w:rsidR="00144724" w:rsidRPr="005F7253">
        <w:rPr>
          <w:rFonts w:ascii="Aptos" w:eastAsia="Aptos" w:hAnsi="Aptos" w:cs="Arial"/>
          <w:kern w:val="2"/>
          <w:sz w:val="22"/>
          <w:szCs w:val="22"/>
          <w14:ligatures w14:val="standardContextual"/>
        </w:rPr>
        <w:t xml:space="preserve"> growth</w:t>
      </w:r>
      <w:r w:rsidRPr="005F7253">
        <w:rPr>
          <w:rFonts w:ascii="Aptos" w:eastAsia="Aptos" w:hAnsi="Aptos" w:cs="Arial"/>
          <w:kern w:val="2"/>
          <w:sz w:val="22"/>
          <w:szCs w:val="22"/>
          <w14:ligatures w14:val="standardContextual"/>
        </w:rPr>
        <w:t xml:space="preserve">, which increased from 6 to 14 GB per month during the same period. A similar </w:t>
      </w:r>
      <w:r w:rsidR="00144724" w:rsidRPr="005F7253">
        <w:rPr>
          <w:rFonts w:ascii="Aptos" w:eastAsia="Aptos" w:hAnsi="Aptos" w:cs="Arial"/>
          <w:kern w:val="2"/>
          <w:sz w:val="22"/>
          <w:szCs w:val="22"/>
          <w14:ligatures w14:val="standardContextual"/>
        </w:rPr>
        <w:t xml:space="preserve">development took place in </w:t>
      </w:r>
      <w:r w:rsidRPr="005F7253">
        <w:rPr>
          <w:rFonts w:ascii="Aptos" w:eastAsia="Aptos" w:hAnsi="Aptos" w:cs="Arial"/>
          <w:kern w:val="2"/>
          <w:sz w:val="22"/>
          <w:szCs w:val="22"/>
          <w14:ligatures w14:val="standardContextual"/>
        </w:rPr>
        <w:t>fixed</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broadband traffic, which </w:t>
      </w:r>
      <w:r w:rsidR="00144724" w:rsidRPr="005F7253">
        <w:rPr>
          <w:rFonts w:ascii="Aptos" w:eastAsia="Aptos" w:hAnsi="Aptos" w:cs="Arial"/>
          <w:kern w:val="2"/>
          <w:sz w:val="22"/>
          <w:szCs w:val="22"/>
          <w14:ligatures w14:val="standardContextual"/>
        </w:rPr>
        <w:t xml:space="preserve">in the Arab States </w:t>
      </w:r>
      <w:r w:rsidRPr="005F7253">
        <w:rPr>
          <w:rFonts w:ascii="Aptos" w:eastAsia="Aptos" w:hAnsi="Aptos" w:cs="Arial"/>
          <w:kern w:val="2"/>
          <w:sz w:val="22"/>
          <w:szCs w:val="22"/>
          <w14:ligatures w14:val="standardContextual"/>
        </w:rPr>
        <w:t xml:space="preserve">increased from </w:t>
      </w:r>
      <w:r w:rsidR="00144724" w:rsidRPr="005F7253">
        <w:rPr>
          <w:rFonts w:ascii="Aptos" w:eastAsia="Aptos" w:hAnsi="Aptos" w:cs="Arial"/>
          <w:kern w:val="2"/>
          <w:sz w:val="22"/>
          <w:szCs w:val="22"/>
          <w14:ligatures w14:val="standardContextual"/>
        </w:rPr>
        <w:t xml:space="preserve">a monthly </w:t>
      </w:r>
      <w:r w:rsidRPr="005F7253">
        <w:rPr>
          <w:rFonts w:ascii="Aptos" w:eastAsia="Aptos" w:hAnsi="Aptos" w:cs="Arial"/>
          <w:kern w:val="2"/>
          <w:sz w:val="22"/>
          <w:szCs w:val="22"/>
          <w14:ligatures w14:val="standardContextual"/>
        </w:rPr>
        <w:t xml:space="preserve">136 </w:t>
      </w:r>
      <w:r w:rsidR="00144724" w:rsidRPr="005F7253">
        <w:rPr>
          <w:rFonts w:ascii="Aptos" w:eastAsia="Aptos" w:hAnsi="Aptos" w:cs="Arial"/>
          <w:kern w:val="2"/>
          <w:sz w:val="22"/>
          <w:szCs w:val="22"/>
          <w14:ligatures w14:val="standardContextual"/>
        </w:rPr>
        <w:t xml:space="preserve">GB </w:t>
      </w:r>
      <w:r w:rsidRPr="005F7253">
        <w:rPr>
          <w:rFonts w:ascii="Aptos" w:eastAsia="Aptos" w:hAnsi="Aptos" w:cs="Arial"/>
          <w:kern w:val="2"/>
          <w:sz w:val="22"/>
          <w:szCs w:val="22"/>
          <w14:ligatures w14:val="standardContextual"/>
        </w:rPr>
        <w:t xml:space="preserve">to 371 GB per subscription, while globally </w:t>
      </w:r>
      <w:r w:rsidR="00144724" w:rsidRPr="005F7253">
        <w:rPr>
          <w:rFonts w:ascii="Aptos" w:eastAsia="Aptos" w:hAnsi="Aptos" w:cs="Arial"/>
          <w:kern w:val="2"/>
          <w:sz w:val="22"/>
          <w:szCs w:val="22"/>
          <w14:ligatures w14:val="standardContextual"/>
        </w:rPr>
        <w:t xml:space="preserve">it </w:t>
      </w:r>
      <w:r w:rsidRPr="005F7253">
        <w:rPr>
          <w:rFonts w:ascii="Aptos" w:eastAsia="Aptos" w:hAnsi="Aptos" w:cs="Arial"/>
          <w:kern w:val="2"/>
          <w:sz w:val="22"/>
          <w:szCs w:val="22"/>
          <w14:ligatures w14:val="standardContextual"/>
        </w:rPr>
        <w:t>increased from 141 to 311 GB.</w:t>
      </w:r>
    </w:p>
    <w:p w14:paraId="14001702" w14:textId="2E7FC7B3"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 w:val="22"/>
          <w:szCs w:val="22"/>
        </w:rPr>
      </w:pPr>
      <w:r w:rsidRPr="005F7253">
        <w:rPr>
          <w:rFonts w:ascii="AvenirNext LT Pro Light" w:eastAsia="Yu Gothic Light" w:hAnsi="AvenirNext LT Pro Light" w:cs="Calibri"/>
          <w:color w:val="0070C0"/>
          <w:spacing w:val="-10"/>
          <w:kern w:val="28"/>
          <w:sz w:val="22"/>
          <w:szCs w:val="22"/>
        </w:rPr>
        <w:lastRenderedPageBreak/>
        <w:t>Mobile</w:t>
      </w:r>
      <w:r w:rsidR="00CF6F1E" w:rsidRPr="005F7253">
        <w:rPr>
          <w:rFonts w:ascii="AvenirNext LT Pro Light" w:eastAsia="Yu Gothic Light" w:hAnsi="AvenirNext LT Pro Light" w:cs="Calibri"/>
          <w:color w:val="0070C0"/>
          <w:spacing w:val="-10"/>
          <w:kern w:val="28"/>
          <w:sz w:val="22"/>
          <w:szCs w:val="22"/>
        </w:rPr>
        <w:t xml:space="preserve"> </w:t>
      </w:r>
      <w:r w:rsidRPr="005F7253">
        <w:rPr>
          <w:rFonts w:ascii="AvenirNext LT Pro Light" w:eastAsia="Yu Gothic Light" w:hAnsi="AvenirNext LT Pro Light" w:cs="Calibri"/>
          <w:color w:val="0070C0"/>
          <w:spacing w:val="-10"/>
          <w:kern w:val="28"/>
          <w:sz w:val="22"/>
          <w:szCs w:val="22"/>
        </w:rPr>
        <w:t>broadband Internet traffic (GB) per subscription per month, latest year available</w:t>
      </w:r>
    </w:p>
    <w:p w14:paraId="75071F32" w14:textId="77777777" w:rsidR="000018FC"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615B39A8" wp14:editId="03BFDF04">
            <wp:extent cx="5731510" cy="2663190"/>
            <wp:effectExtent l="0" t="0" r="2540" b="3810"/>
            <wp:docPr id="19422925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92512"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5731510" cy="2663190"/>
                    </a:xfrm>
                    <a:prstGeom prst="rect">
                      <a:avLst/>
                    </a:prstGeom>
                  </pic:spPr>
                </pic:pic>
              </a:graphicData>
            </a:graphic>
          </wp:inline>
        </w:drawing>
      </w:r>
    </w:p>
    <w:p w14:paraId="627F6BE9" w14:textId="2ABA856E"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4D5BAEB9"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Note: Internet traffic originating within country. </w:t>
      </w:r>
    </w:p>
    <w:p w14:paraId="514ACA52"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3D4080D5" w14:textId="3E0FCE5D"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heterogeneity of the region is once again confirmed by the country-level </w:t>
      </w:r>
      <w:r w:rsidR="00202B2D" w:rsidRPr="005F7253">
        <w:rPr>
          <w:rFonts w:ascii="Aptos" w:eastAsia="Aptos" w:hAnsi="Aptos" w:cs="Arial"/>
          <w:kern w:val="2"/>
          <w:sz w:val="22"/>
          <w:szCs w:val="22"/>
          <w14:ligatures w14:val="standardContextual"/>
        </w:rPr>
        <w:t xml:space="preserve">data for </w:t>
      </w:r>
      <w:r w:rsidRPr="005F7253">
        <w:rPr>
          <w:rFonts w:ascii="Aptos" w:eastAsia="Aptos" w:hAnsi="Aptos" w:cs="Arial"/>
          <w:kern w:val="2"/>
          <w:sz w:val="22"/>
          <w:szCs w:val="22"/>
          <w14:ligatures w14:val="standardContextual"/>
        </w:rPr>
        <w:t xml:space="preserve">indicators of </w:t>
      </w:r>
      <w:r w:rsidR="00E11451" w:rsidRPr="005F7253">
        <w:rPr>
          <w:rFonts w:ascii="Aptos" w:eastAsia="Aptos" w:hAnsi="Aptos" w:cs="Arial"/>
          <w:kern w:val="2"/>
          <w:sz w:val="22"/>
          <w:szCs w:val="22"/>
          <w14:ligatures w14:val="standardContextual"/>
        </w:rPr>
        <w:t>I</w:t>
      </w:r>
      <w:r w:rsidRPr="005F7253">
        <w:rPr>
          <w:rFonts w:ascii="Aptos" w:eastAsia="Aptos" w:hAnsi="Aptos" w:cs="Arial"/>
          <w:kern w:val="2"/>
          <w:sz w:val="22"/>
          <w:szCs w:val="22"/>
          <w14:ligatures w14:val="standardContextual"/>
        </w:rPr>
        <w:t xml:space="preserve">nternet traffic by subscription. Consumers in higher-income economies use more data per broadband subscription than consumers in lower-income economies. </w:t>
      </w:r>
      <w:r w:rsidR="00202B2D" w:rsidRPr="005F7253">
        <w:rPr>
          <w:rFonts w:ascii="Aptos" w:eastAsia="Aptos" w:hAnsi="Aptos" w:cs="Arial"/>
          <w:kern w:val="2"/>
          <w:sz w:val="22"/>
          <w:szCs w:val="22"/>
          <w14:ligatures w14:val="standardContextual"/>
        </w:rPr>
        <w:t xml:space="preserve">It should be noted </w:t>
      </w:r>
      <w:r w:rsidRPr="005F7253">
        <w:rPr>
          <w:rFonts w:ascii="Aptos" w:eastAsia="Aptos" w:hAnsi="Aptos" w:cs="Arial"/>
          <w:kern w:val="2"/>
          <w:sz w:val="22"/>
          <w:szCs w:val="22"/>
          <w14:ligatures w14:val="standardContextual"/>
        </w:rPr>
        <w:t>that mobile is not a substitute for fixed</w:t>
      </w:r>
      <w:r w:rsidR="00202B2D" w:rsidRPr="005F7253">
        <w:rPr>
          <w:rFonts w:ascii="Aptos" w:eastAsia="Aptos" w:hAnsi="Aptos" w:cs="Arial"/>
          <w:kern w:val="2"/>
          <w:sz w:val="22"/>
          <w:szCs w:val="22"/>
          <w14:ligatures w14:val="standardContextual"/>
        </w:rPr>
        <w:t>; rather</w:t>
      </w:r>
      <w:r w:rsidRPr="005F7253">
        <w:rPr>
          <w:rFonts w:ascii="Aptos" w:eastAsia="Aptos" w:hAnsi="Aptos" w:cs="Arial"/>
          <w:kern w:val="2"/>
          <w:sz w:val="22"/>
          <w:szCs w:val="22"/>
          <w14:ligatures w14:val="standardContextual"/>
        </w:rPr>
        <w:t xml:space="preserve">, </w:t>
      </w:r>
      <w:r w:rsidR="00202B2D" w:rsidRPr="005F7253">
        <w:rPr>
          <w:rFonts w:ascii="Aptos" w:eastAsia="Aptos" w:hAnsi="Aptos" w:cs="Arial"/>
          <w:kern w:val="2"/>
          <w:sz w:val="22"/>
          <w:szCs w:val="22"/>
          <w14:ligatures w14:val="standardContextual"/>
        </w:rPr>
        <w:t xml:space="preserve">the two </w:t>
      </w:r>
      <w:r w:rsidRPr="005F7253">
        <w:rPr>
          <w:rFonts w:ascii="Aptos" w:eastAsia="Aptos" w:hAnsi="Aptos" w:cs="Arial"/>
          <w:kern w:val="2"/>
          <w:sz w:val="22"/>
          <w:szCs w:val="22"/>
          <w14:ligatures w14:val="standardContextual"/>
        </w:rPr>
        <w:t>are complementary. The economies with high fixed</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broadband traffic also have high mobile</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broadband traffic and vice versa. </w:t>
      </w:r>
    </w:p>
    <w:p w14:paraId="6E9B4B6F" w14:textId="7F6CA624"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Fixed</w:t>
      </w:r>
      <w:r w:rsidR="00CF6F1E" w:rsidRPr="005F7253">
        <w:rPr>
          <w:rFonts w:ascii="AvenirNext LT Pro Light" w:eastAsia="Yu Gothic Light" w:hAnsi="AvenirNext LT Pro Light" w:cs="Calibri"/>
          <w:color w:val="0070C0"/>
          <w:spacing w:val="-10"/>
          <w:kern w:val="28"/>
          <w:szCs w:val="24"/>
        </w:rPr>
        <w:t xml:space="preserve"> </w:t>
      </w:r>
      <w:r w:rsidRPr="005F7253">
        <w:rPr>
          <w:rFonts w:ascii="AvenirNext LT Pro Light" w:eastAsia="Yu Gothic Light" w:hAnsi="AvenirNext LT Pro Light" w:cs="Calibri"/>
          <w:color w:val="0070C0"/>
          <w:spacing w:val="-10"/>
          <w:kern w:val="28"/>
          <w:szCs w:val="24"/>
        </w:rPr>
        <w:t>broadband Internet traffic per subscription per month (GB), latest year available</w:t>
      </w:r>
    </w:p>
    <w:p w14:paraId="0B2AC58A" w14:textId="77777777" w:rsidR="000018FC"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72DB4F07" wp14:editId="6273B0AF">
            <wp:extent cx="5731510" cy="2663190"/>
            <wp:effectExtent l="0" t="0" r="2540" b="3810"/>
            <wp:docPr id="6004238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23873"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5731510" cy="2663190"/>
                    </a:xfrm>
                    <a:prstGeom prst="rect">
                      <a:avLst/>
                    </a:prstGeom>
                  </pic:spPr>
                </pic:pic>
              </a:graphicData>
            </a:graphic>
          </wp:inline>
        </w:drawing>
      </w:r>
    </w:p>
    <w:p w14:paraId="56A9DC48" w14:textId="1738C7FD"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4D7492D8"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0C323666" w14:textId="1FE1B8CE" w:rsidR="006C41B5" w:rsidRPr="005F7253" w:rsidRDefault="00202B2D"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Unlike the end-user </w:t>
      </w:r>
      <w:r w:rsidR="006C41B5" w:rsidRPr="005F7253">
        <w:rPr>
          <w:rFonts w:ascii="Aptos" w:eastAsia="Aptos" w:hAnsi="Aptos" w:cs="Arial"/>
          <w:kern w:val="2"/>
          <w:sz w:val="22"/>
          <w:szCs w:val="22"/>
          <w14:ligatures w14:val="standardContextual"/>
        </w:rPr>
        <w:t>Internet traffic</w:t>
      </w:r>
      <w:r w:rsidRPr="005F7253">
        <w:rPr>
          <w:rFonts w:ascii="Aptos" w:eastAsia="Aptos" w:hAnsi="Aptos" w:cs="Arial"/>
          <w:kern w:val="2"/>
          <w:sz w:val="22"/>
          <w:szCs w:val="22"/>
          <w14:ligatures w14:val="standardContextual"/>
        </w:rPr>
        <w:t xml:space="preserve"> measured above</w:t>
      </w:r>
      <w:r w:rsidR="006C41B5" w:rsidRPr="005F7253">
        <w:rPr>
          <w:rFonts w:ascii="Aptos" w:eastAsia="Aptos" w:hAnsi="Aptos" w:cs="Arial"/>
          <w:kern w:val="2"/>
          <w:sz w:val="22"/>
          <w:szCs w:val="22"/>
          <w14:ligatures w14:val="standardContextual"/>
        </w:rPr>
        <w:t>, international bandwidth usage is a throughput measure that refers to the annual average used capacity of international connections, typically carried over submarine or terrestrial fibre</w:t>
      </w:r>
      <w:r w:rsidR="00AD7992" w:rsidRPr="005F7253">
        <w:rPr>
          <w:rFonts w:ascii="Aptos" w:eastAsia="Aptos" w:hAnsi="Aptos" w:cs="Arial"/>
          <w:kern w:val="2"/>
          <w:sz w:val="22"/>
          <w:szCs w:val="22"/>
          <w14:ligatures w14:val="standardContextual"/>
        </w:rPr>
        <w:t>-</w:t>
      </w:r>
      <w:r w:rsidR="006C41B5" w:rsidRPr="005F7253">
        <w:rPr>
          <w:rFonts w:ascii="Aptos" w:eastAsia="Aptos" w:hAnsi="Aptos" w:cs="Arial"/>
          <w:kern w:val="2"/>
          <w:sz w:val="22"/>
          <w:szCs w:val="22"/>
          <w14:ligatures w14:val="standardContextual"/>
        </w:rPr>
        <w:t xml:space="preserve">optic cables or microwave links. It does not </w:t>
      </w:r>
      <w:r w:rsidR="00CA5213" w:rsidRPr="005F7253">
        <w:rPr>
          <w:rFonts w:ascii="Aptos" w:eastAsia="Aptos" w:hAnsi="Aptos" w:cs="Arial"/>
          <w:kern w:val="2"/>
          <w:sz w:val="22"/>
          <w:szCs w:val="22"/>
          <w14:ligatures w14:val="standardContextual"/>
        </w:rPr>
        <w:t xml:space="preserve">sum up </w:t>
      </w:r>
      <w:r w:rsidR="006C41B5" w:rsidRPr="005F7253">
        <w:rPr>
          <w:rFonts w:ascii="Aptos" w:eastAsia="Aptos" w:hAnsi="Aptos" w:cs="Arial"/>
          <w:kern w:val="2"/>
          <w:sz w:val="22"/>
          <w:szCs w:val="22"/>
          <w14:ligatures w14:val="standardContextual"/>
        </w:rPr>
        <w:t xml:space="preserve">all traffic, </w:t>
      </w:r>
      <w:r w:rsidR="00AD7992" w:rsidRPr="005F7253">
        <w:rPr>
          <w:rFonts w:ascii="Aptos" w:eastAsia="Aptos" w:hAnsi="Aptos" w:cs="Arial"/>
          <w:kern w:val="2"/>
          <w:sz w:val="22"/>
          <w:szCs w:val="22"/>
          <w14:ligatures w14:val="standardContextual"/>
        </w:rPr>
        <w:lastRenderedPageBreak/>
        <w:t>incoming</w:t>
      </w:r>
      <w:commentRangeStart w:id="14"/>
      <w:r w:rsidR="00AD7992" w:rsidRPr="005F7253">
        <w:rPr>
          <w:rFonts w:ascii="Aptos" w:eastAsia="Aptos" w:hAnsi="Aptos" w:cs="Arial"/>
          <w:kern w:val="2"/>
          <w:sz w:val="22"/>
          <w:szCs w:val="22"/>
          <w14:ligatures w14:val="standardContextual"/>
        </w:rPr>
        <w:t xml:space="preserve"> and </w:t>
      </w:r>
      <w:commentRangeEnd w:id="14"/>
      <w:r w:rsidR="00AD7992" w:rsidRPr="005F7253">
        <w:rPr>
          <w:rFonts w:ascii="Aptos" w:eastAsia="Aptos" w:hAnsi="Aptos" w:cs="Arial"/>
          <w:kern w:val="2"/>
          <w:sz w:val="22"/>
          <w:szCs w:val="22"/>
          <w14:ligatures w14:val="standardContextual"/>
        </w:rPr>
        <w:t>outgoing</w:t>
      </w:r>
      <w:r w:rsidR="00093B37">
        <w:rPr>
          <w:rStyle w:val="CommentReference"/>
          <w:rFonts w:eastAsiaTheme="minorHAnsi" w:cstheme="minorBidi"/>
          <w:kern w:val="2"/>
          <w14:ligatures w14:val="standardContextual"/>
        </w:rPr>
        <w:commentReference w:id="14"/>
      </w:r>
      <w:r w:rsidR="006C41B5" w:rsidRPr="005F7253">
        <w:rPr>
          <w:rFonts w:ascii="Aptos" w:eastAsia="Aptos" w:hAnsi="Aptos" w:cs="Arial"/>
          <w:kern w:val="2"/>
          <w:sz w:val="22"/>
          <w:szCs w:val="22"/>
          <w14:ligatures w14:val="standardContextual"/>
        </w:rPr>
        <w:t xml:space="preserve">, but captures the larger of the two. For comparability, </w:t>
      </w:r>
      <w:r w:rsidR="00AD7992" w:rsidRPr="005F7253">
        <w:rPr>
          <w:rFonts w:ascii="Aptos" w:eastAsia="Aptos" w:hAnsi="Aptos" w:cs="Arial"/>
          <w:kern w:val="2"/>
          <w:sz w:val="22"/>
          <w:szCs w:val="22"/>
          <w14:ligatures w14:val="standardContextual"/>
        </w:rPr>
        <w:t xml:space="preserve">the figure for </w:t>
      </w:r>
      <w:r w:rsidR="006C41B5" w:rsidRPr="005F7253">
        <w:rPr>
          <w:rFonts w:ascii="Aptos" w:eastAsia="Aptos" w:hAnsi="Aptos" w:cs="Arial"/>
          <w:kern w:val="2"/>
          <w:sz w:val="22"/>
          <w:szCs w:val="22"/>
          <w14:ligatures w14:val="standardContextual"/>
        </w:rPr>
        <w:t xml:space="preserve">bandwidth is divided by the number of Internet users in </w:t>
      </w:r>
      <w:r w:rsidR="00AD7992" w:rsidRPr="005F7253">
        <w:rPr>
          <w:rFonts w:ascii="Aptos" w:eastAsia="Aptos" w:hAnsi="Aptos" w:cs="Arial"/>
          <w:kern w:val="2"/>
          <w:sz w:val="22"/>
          <w:szCs w:val="22"/>
          <w14:ligatures w14:val="standardContextual"/>
        </w:rPr>
        <w:t xml:space="preserve">the </w:t>
      </w:r>
      <w:r w:rsidR="006C41B5" w:rsidRPr="005F7253">
        <w:rPr>
          <w:rFonts w:ascii="Aptos" w:eastAsia="Aptos" w:hAnsi="Aptos" w:cs="Arial"/>
          <w:kern w:val="2"/>
          <w:sz w:val="22"/>
          <w:szCs w:val="22"/>
          <w14:ligatures w14:val="standardContextual"/>
        </w:rPr>
        <w:t xml:space="preserve">country. </w:t>
      </w:r>
    </w:p>
    <w:p w14:paraId="7D5D96EE"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International bandwidth per Internet user (kbit/s)</w:t>
      </w:r>
    </w:p>
    <w:p w14:paraId="6B591E53" w14:textId="77777777" w:rsidR="000018FC"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0B4E0E35" wp14:editId="4C83B88E">
            <wp:extent cx="5731510" cy="2332355"/>
            <wp:effectExtent l="0" t="0" r="2540" b="0"/>
            <wp:docPr id="4441125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12514" name=""/>
                    <pic:cNvPicPr/>
                  </pic:nvPicPr>
                  <pic:blipFill>
                    <a:blip r:embed="rId69">
                      <a:extLst>
                        <a:ext uri="{96DAC541-7B7A-43D3-8B79-37D633B846F1}">
                          <asvg:svgBlip xmlns:asvg="http://schemas.microsoft.com/office/drawing/2016/SVG/main" r:embed="rId70"/>
                        </a:ext>
                      </a:extLst>
                    </a:blip>
                    <a:stretch>
                      <a:fillRect/>
                    </a:stretch>
                  </pic:blipFill>
                  <pic:spPr>
                    <a:xfrm>
                      <a:off x="0" y="0"/>
                      <a:ext cx="5731510" cy="2332355"/>
                    </a:xfrm>
                    <a:prstGeom prst="rect">
                      <a:avLst/>
                    </a:prstGeom>
                  </pic:spPr>
                </pic:pic>
              </a:graphicData>
            </a:graphic>
          </wp:inline>
        </w:drawing>
      </w:r>
    </w:p>
    <w:p w14:paraId="0A742B4A" w14:textId="2841474D"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098A3645" w14:textId="1F45B28E"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International bandwidth usage</w:t>
      </w:r>
      <w:r w:rsidR="000018FC"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in the Arab States is around 72 per cent of the world average. In recent year</w:t>
      </w:r>
      <w:r w:rsidR="00177236" w:rsidRPr="005F7253">
        <w:rPr>
          <w:rFonts w:ascii="Aptos" w:eastAsia="Aptos" w:hAnsi="Aptos" w:cs="Arial"/>
          <w:kern w:val="2"/>
          <w:sz w:val="22"/>
          <w:szCs w:val="22"/>
          <w14:ligatures w14:val="standardContextual"/>
        </w:rPr>
        <w:t>s</w:t>
      </w:r>
      <w:r w:rsidRPr="005F7253">
        <w:rPr>
          <w:rFonts w:ascii="Aptos" w:eastAsia="Aptos" w:hAnsi="Aptos" w:cs="Arial"/>
          <w:kern w:val="2"/>
          <w:sz w:val="22"/>
          <w:szCs w:val="22"/>
          <w14:ligatures w14:val="standardContextual"/>
        </w:rPr>
        <w:t xml:space="preserve">, growth of bandwidth usage in the region has accelerated, </w:t>
      </w:r>
      <w:r w:rsidR="00FB2284" w:rsidRPr="005F7253">
        <w:rPr>
          <w:rFonts w:ascii="Aptos" w:eastAsia="Aptos" w:hAnsi="Aptos" w:cs="Arial"/>
          <w:kern w:val="2"/>
          <w:sz w:val="22"/>
          <w:szCs w:val="22"/>
          <w14:ligatures w14:val="standardContextual"/>
        </w:rPr>
        <w:t xml:space="preserve">even </w:t>
      </w:r>
      <w:r w:rsidRPr="005F7253">
        <w:rPr>
          <w:rFonts w:ascii="Aptos" w:eastAsia="Aptos" w:hAnsi="Aptos" w:cs="Arial"/>
          <w:kern w:val="2"/>
          <w:sz w:val="22"/>
          <w:szCs w:val="22"/>
          <w14:ligatures w14:val="standardContextual"/>
        </w:rPr>
        <w:t>exceeding global growth rates, thanks to the deployment of additional submarine cable capacity</w:t>
      </w:r>
      <w:r w:rsidR="00CA5213" w:rsidRPr="005F7253">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especially in the Mediterranean, Red Sea and Gulf regions. The average annual growth rate of 19 per cent between 2021 and 2024 was very similar </w:t>
      </w:r>
      <w:r w:rsidR="00CA5213" w:rsidRPr="005F7253">
        <w:rPr>
          <w:rFonts w:ascii="Aptos" w:eastAsia="Aptos" w:hAnsi="Aptos" w:cs="Arial"/>
          <w:kern w:val="2"/>
          <w:sz w:val="22"/>
          <w:szCs w:val="22"/>
          <w14:ligatures w14:val="standardContextual"/>
        </w:rPr>
        <w:t xml:space="preserve">the worldwide average </w:t>
      </w:r>
      <w:r w:rsidRPr="005F7253">
        <w:rPr>
          <w:rFonts w:ascii="Aptos" w:eastAsia="Aptos" w:hAnsi="Aptos" w:cs="Arial"/>
          <w:kern w:val="2"/>
          <w:sz w:val="22"/>
          <w:szCs w:val="22"/>
          <w14:ligatures w14:val="standardContextual"/>
        </w:rPr>
        <w:t>(18 per cent)</w:t>
      </w:r>
      <w:r w:rsidR="00FB2284" w:rsidRPr="005F7253">
        <w:rPr>
          <w:rFonts w:ascii="Aptos" w:eastAsia="Aptos" w:hAnsi="Aptos" w:cs="Arial"/>
          <w:kern w:val="2"/>
          <w:sz w:val="22"/>
          <w:szCs w:val="22"/>
          <w14:ligatures w14:val="standardContextual"/>
        </w:rPr>
        <w:t>.</w:t>
      </w:r>
    </w:p>
    <w:p w14:paraId="1650A1CD"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International bandwidth per Internet user (kbit/s), latest year available</w:t>
      </w:r>
    </w:p>
    <w:p w14:paraId="7A083760" w14:textId="77777777" w:rsidR="000018FC"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744C0D5A" wp14:editId="24A939DF">
            <wp:extent cx="5731510" cy="2999105"/>
            <wp:effectExtent l="0" t="0" r="2540" b="0"/>
            <wp:docPr id="19468809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80977"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5731510" cy="2999105"/>
                    </a:xfrm>
                    <a:prstGeom prst="rect">
                      <a:avLst/>
                    </a:prstGeom>
                  </pic:spPr>
                </pic:pic>
              </a:graphicData>
            </a:graphic>
          </wp:inline>
        </w:drawing>
      </w:r>
    </w:p>
    <w:p w14:paraId="2E5BF9CF" w14:textId="73DC0308"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198B46DB"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0F29EC12" w14:textId="5A6D44B6"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International connectivity infrastructure across </w:t>
      </w:r>
      <w:r w:rsidR="00CA5213" w:rsidRPr="005F7253">
        <w:rPr>
          <w:rFonts w:ascii="Aptos" w:eastAsia="Aptos" w:hAnsi="Aptos" w:cs="Arial"/>
          <w:kern w:val="2"/>
          <w:sz w:val="22"/>
          <w:szCs w:val="22"/>
          <w14:ligatures w14:val="standardContextual"/>
        </w:rPr>
        <w:t xml:space="preserve">the </w:t>
      </w:r>
      <w:r w:rsidRPr="005F7253">
        <w:rPr>
          <w:rFonts w:ascii="Aptos" w:eastAsia="Aptos" w:hAnsi="Aptos" w:cs="Arial"/>
          <w:kern w:val="2"/>
          <w:sz w:val="22"/>
          <w:szCs w:val="22"/>
          <w14:ligatures w14:val="standardContextual"/>
        </w:rPr>
        <w:t>Arab States is very diverse. Some economies in the region have robust international linkage</w:t>
      </w:r>
      <w:r w:rsidR="00CA5213" w:rsidRPr="005F7253">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with multiple submarine or terrestrial cable systems allowing very high international bandwidth usage. </w:t>
      </w:r>
    </w:p>
    <w:p w14:paraId="56521DF8" w14:textId="2CF1EF3B"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lastRenderedPageBreak/>
        <w:t xml:space="preserve">International bandwidth usage is a complex measure, which </w:t>
      </w:r>
      <w:proofErr w:type="gramStart"/>
      <w:r w:rsidRPr="005F7253">
        <w:rPr>
          <w:rFonts w:ascii="Aptos" w:eastAsia="Aptos" w:hAnsi="Aptos" w:cs="Arial"/>
          <w:kern w:val="2"/>
          <w:sz w:val="22"/>
          <w:szCs w:val="22"/>
          <w14:ligatures w14:val="standardContextual"/>
        </w:rPr>
        <w:t>has to</w:t>
      </w:r>
      <w:proofErr w:type="gramEnd"/>
      <w:r w:rsidRPr="005F7253">
        <w:rPr>
          <w:rFonts w:ascii="Aptos" w:eastAsia="Aptos" w:hAnsi="Aptos" w:cs="Arial"/>
          <w:kern w:val="2"/>
          <w:sz w:val="22"/>
          <w:szCs w:val="22"/>
          <w14:ligatures w14:val="standardContextual"/>
        </w:rPr>
        <w:t xml:space="preserve"> be interpreted in relation to the availability of physical connections, actual and expected domestic demand, as well as agreements with network providers.</w:t>
      </w:r>
    </w:p>
    <w:p w14:paraId="27548C1C" w14:textId="60E901F0"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High values for international bandwidth per Internet user can indicate that a country is well integrated in international data flows, often with sufficient redundancies in the connectivity infrastructure, or that it is a transit hub (e.g. Djibouti, which has nine operational submarine cables, but very low Internet use penetration </w:t>
      </w:r>
      <w:r w:rsidR="003E2A74" w:rsidRPr="005F7253">
        <w:rPr>
          <w:rFonts w:ascii="Aptos" w:eastAsia="Aptos" w:hAnsi="Aptos" w:cs="Arial"/>
          <w:kern w:val="2"/>
          <w:sz w:val="22"/>
          <w:szCs w:val="22"/>
          <w14:ligatures w14:val="standardContextual"/>
        </w:rPr>
        <w:t>domestically</w:t>
      </w:r>
      <w:r w:rsidRPr="005F7253">
        <w:rPr>
          <w:rFonts w:ascii="Aptos" w:eastAsia="Aptos" w:hAnsi="Aptos" w:cs="Arial"/>
          <w:kern w:val="2"/>
          <w:sz w:val="22"/>
          <w:szCs w:val="22"/>
          <w14:ligatures w14:val="standardContextual"/>
        </w:rPr>
        <w:t>)</w:t>
      </w:r>
      <w:r w:rsidR="003E2A74" w:rsidRPr="005F7253">
        <w:rPr>
          <w:rFonts w:ascii="Aptos" w:eastAsia="Aptos" w:hAnsi="Aptos" w:cs="Arial"/>
          <w:kern w:val="2"/>
          <w:sz w:val="22"/>
          <w:szCs w:val="22"/>
          <w14:ligatures w14:val="standardContextual"/>
        </w:rPr>
        <w:t>, or a combination of the two</w:t>
      </w:r>
      <w:r w:rsidRPr="005F7253">
        <w:rPr>
          <w:rFonts w:ascii="Aptos" w:eastAsia="Aptos" w:hAnsi="Aptos" w:cs="Arial"/>
          <w:kern w:val="2"/>
          <w:sz w:val="22"/>
          <w:szCs w:val="22"/>
          <w14:ligatures w14:val="standardContextual"/>
        </w:rPr>
        <w:t>. By contrast, low bandwidth usage signals that international connectivity is a barrier to universal and meaningful connectivity, as in the case of Sudan.</w:t>
      </w:r>
    </w:p>
    <w:p w14:paraId="718FDFEA"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br w:type="page"/>
      </w:r>
    </w:p>
    <w:p w14:paraId="378E1ABB" w14:textId="77777777" w:rsidR="006C41B5" w:rsidRPr="005F7253" w:rsidRDefault="006C41B5" w:rsidP="006C41B5">
      <w:pPr>
        <w:keepNext/>
        <w:keepLines/>
        <w:tabs>
          <w:tab w:val="clear" w:pos="794"/>
          <w:tab w:val="clear" w:pos="1191"/>
          <w:tab w:val="clear" w:pos="1588"/>
          <w:tab w:val="clear" w:pos="1985"/>
          <w:tab w:val="left" w:pos="5666"/>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5" w:name="_Toc184940636"/>
      <w:r w:rsidRPr="005F7253">
        <w:rPr>
          <w:rFonts w:ascii="Aptos Display" w:eastAsia="Yu Gothic Light" w:hAnsi="Aptos Display"/>
          <w:color w:val="0F4761"/>
          <w:kern w:val="2"/>
          <w:sz w:val="32"/>
          <w:szCs w:val="32"/>
          <w14:ligatures w14:val="standardContextual"/>
        </w:rPr>
        <w:lastRenderedPageBreak/>
        <w:t>Affordability of ICT services</w:t>
      </w:r>
      <w:bookmarkEnd w:id="15"/>
      <w:r w:rsidRPr="005F7253">
        <w:rPr>
          <w:rFonts w:ascii="Aptos Display" w:eastAsia="Yu Gothic Light" w:hAnsi="Aptos Display"/>
          <w:color w:val="0F4761"/>
          <w:kern w:val="2"/>
          <w:sz w:val="32"/>
          <w:szCs w:val="32"/>
          <w14:ligatures w14:val="standardContextual"/>
        </w:rPr>
        <w:tab/>
      </w:r>
    </w:p>
    <w:p w14:paraId="61A44230"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Mobile broadband generally affordable, but fixed broadband remains expensive in many of the Arab States.</w:t>
      </w:r>
    </w:p>
    <w:p w14:paraId="758C0580" w14:textId="3A9C798B"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Broadband basket prices as % of gross national income per capita</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C41B5" w:rsidRPr="005F7253" w14:paraId="7D9E14A7" w14:textId="77777777" w:rsidTr="00BF1164">
        <w:tc>
          <w:tcPr>
            <w:tcW w:w="4508" w:type="dxa"/>
          </w:tcPr>
          <w:p w14:paraId="17BBE614" w14:textId="77777777" w:rsidR="006C41B5" w:rsidRPr="006253E4" w:rsidRDefault="006C41B5" w:rsidP="006253E4">
            <w:pPr>
              <w:tabs>
                <w:tab w:val="clear" w:pos="794"/>
                <w:tab w:val="clear" w:pos="1191"/>
                <w:tab w:val="clear" w:pos="1588"/>
                <w:tab w:val="clear" w:pos="1985"/>
              </w:tabs>
              <w:overflowPunct/>
              <w:autoSpaceDE/>
              <w:autoSpaceDN/>
              <w:adjustRightInd/>
              <w:spacing w:before="0"/>
              <w:jc w:val="center"/>
              <w:textAlignment w:val="auto"/>
              <w:rPr>
                <w:rFonts w:ascii="Aptos" w:hAnsi="Aptos"/>
                <w:b/>
                <w:bCs/>
                <w:sz w:val="22"/>
              </w:rPr>
            </w:pPr>
            <w:r w:rsidRPr="006253E4">
              <w:rPr>
                <w:rFonts w:ascii="Aptos" w:hAnsi="Aptos"/>
                <w:b/>
                <w:bCs/>
                <w:sz w:val="22"/>
              </w:rPr>
              <w:t>Mobile (2GB)</w:t>
            </w:r>
          </w:p>
          <w:p w14:paraId="1E765A5F"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5F7253">
              <w:rPr>
                <w:rFonts w:ascii="Aptos" w:hAnsi="Aptos"/>
                <w:noProof/>
                <w:sz w:val="22"/>
              </w:rPr>
              <w:drawing>
                <wp:inline distT="0" distB="0" distL="0" distR="0" wp14:anchorId="0B1DE360" wp14:editId="14A898AB">
                  <wp:extent cx="2590800" cy="2524125"/>
                  <wp:effectExtent l="0" t="0" r="0" b="9525"/>
                  <wp:docPr id="20604224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22459" name=""/>
                          <pic:cNvPicPr/>
                        </pic:nvPicPr>
                        <pic:blipFill>
                          <a:blip r:embed="rId73">
                            <a:extLst>
                              <a:ext uri="{96DAC541-7B7A-43D3-8B79-37D633B846F1}">
                                <asvg:svgBlip xmlns:asvg="http://schemas.microsoft.com/office/drawing/2016/SVG/main" r:embed="rId74"/>
                              </a:ext>
                            </a:extLst>
                          </a:blip>
                          <a:stretch>
                            <a:fillRect/>
                          </a:stretch>
                        </pic:blipFill>
                        <pic:spPr>
                          <a:xfrm>
                            <a:off x="0" y="0"/>
                            <a:ext cx="2590800" cy="2524125"/>
                          </a:xfrm>
                          <a:prstGeom prst="rect">
                            <a:avLst/>
                          </a:prstGeom>
                        </pic:spPr>
                      </pic:pic>
                    </a:graphicData>
                  </a:graphic>
                </wp:inline>
              </w:drawing>
            </w:r>
          </w:p>
        </w:tc>
        <w:tc>
          <w:tcPr>
            <w:tcW w:w="4508" w:type="dxa"/>
          </w:tcPr>
          <w:p w14:paraId="3D759E77" w14:textId="77777777" w:rsidR="006C41B5" w:rsidRPr="006253E4" w:rsidRDefault="006C41B5" w:rsidP="006253E4">
            <w:pPr>
              <w:tabs>
                <w:tab w:val="clear" w:pos="794"/>
                <w:tab w:val="clear" w:pos="1191"/>
                <w:tab w:val="clear" w:pos="1588"/>
                <w:tab w:val="clear" w:pos="1985"/>
              </w:tabs>
              <w:overflowPunct/>
              <w:autoSpaceDE/>
              <w:autoSpaceDN/>
              <w:adjustRightInd/>
              <w:spacing w:before="0"/>
              <w:jc w:val="center"/>
              <w:textAlignment w:val="auto"/>
              <w:rPr>
                <w:rFonts w:ascii="Aptos" w:hAnsi="Aptos"/>
                <w:b/>
                <w:bCs/>
                <w:sz w:val="22"/>
              </w:rPr>
            </w:pPr>
            <w:r w:rsidRPr="006253E4">
              <w:rPr>
                <w:rFonts w:ascii="Aptos" w:hAnsi="Aptos"/>
                <w:b/>
                <w:bCs/>
                <w:sz w:val="22"/>
              </w:rPr>
              <w:t>Fixed (5GB)</w:t>
            </w:r>
          </w:p>
          <w:p w14:paraId="644D1EA9"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5F7253">
              <w:rPr>
                <w:rFonts w:ascii="Aptos" w:hAnsi="Aptos"/>
                <w:noProof/>
                <w:sz w:val="22"/>
              </w:rPr>
              <w:drawing>
                <wp:inline distT="0" distB="0" distL="0" distR="0" wp14:anchorId="22F593D7" wp14:editId="42357007">
                  <wp:extent cx="2590800" cy="2524125"/>
                  <wp:effectExtent l="0" t="0" r="0" b="9525"/>
                  <wp:docPr id="17822419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41971" name=""/>
                          <pic:cNvPicPr/>
                        </pic:nvPicPr>
                        <pic:blipFill>
                          <a:blip r:embed="rId75">
                            <a:extLst>
                              <a:ext uri="{96DAC541-7B7A-43D3-8B79-37D633B846F1}">
                                <asvg:svgBlip xmlns:asvg="http://schemas.microsoft.com/office/drawing/2016/SVG/main" r:embed="rId76"/>
                              </a:ext>
                            </a:extLst>
                          </a:blip>
                          <a:stretch>
                            <a:fillRect/>
                          </a:stretch>
                        </pic:blipFill>
                        <pic:spPr>
                          <a:xfrm>
                            <a:off x="0" y="0"/>
                            <a:ext cx="2590800" cy="2524125"/>
                          </a:xfrm>
                          <a:prstGeom prst="rect">
                            <a:avLst/>
                          </a:prstGeom>
                        </pic:spPr>
                      </pic:pic>
                    </a:graphicData>
                  </a:graphic>
                </wp:inline>
              </w:drawing>
            </w:r>
          </w:p>
        </w:tc>
      </w:tr>
    </w:tbl>
    <w:p w14:paraId="348B5403"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Note: Median values shown in the chart are calculated as a percentage of GNI per capita for the set of economies for which data was available for all years from 2018 to 2024 for a given basket </w:t>
      </w:r>
      <w:proofErr w:type="gramStart"/>
      <w:r w:rsidRPr="005F7253">
        <w:rPr>
          <w:rFonts w:ascii="Aptos" w:eastAsia="Aptos" w:hAnsi="Aptos" w:cs="Arial"/>
          <w:kern w:val="2"/>
          <w:sz w:val="16"/>
          <w:szCs w:val="28"/>
          <w14:ligatures w14:val="standardContextual"/>
        </w:rPr>
        <w:t>in order to</w:t>
      </w:r>
      <w:proofErr w:type="gramEnd"/>
      <w:r w:rsidRPr="005F7253">
        <w:rPr>
          <w:rFonts w:ascii="Aptos" w:eastAsia="Aptos" w:hAnsi="Aptos" w:cs="Arial"/>
          <w:kern w:val="2"/>
          <w:sz w:val="16"/>
          <w:szCs w:val="28"/>
          <w14:ligatures w14:val="standardContextual"/>
        </w:rPr>
        <w:t xml:space="preserve"> adjust the effect of changing data availability.</w:t>
      </w:r>
    </w:p>
    <w:p w14:paraId="6022CEFB"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59D58C95" w14:textId="2589E09F" w:rsidR="006C41B5" w:rsidRPr="005F7253" w:rsidRDefault="003E2A74"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High </w:t>
      </w:r>
      <w:r w:rsidR="006C41B5" w:rsidRPr="005F7253">
        <w:rPr>
          <w:rFonts w:ascii="Aptos" w:eastAsia="Aptos" w:hAnsi="Aptos" w:cs="Arial"/>
          <w:kern w:val="2"/>
          <w:sz w:val="22"/>
          <w:szCs w:val="22"/>
          <w14:ligatures w14:val="standardContextual"/>
        </w:rPr>
        <w:t>Internet cost is a barrier to Internet use and to meaningful connectivity. The United Nations </w:t>
      </w:r>
      <w:hyperlink r:id="rId77" w:tgtFrame="_blank" w:history="1">
        <w:r w:rsidR="006C41B5" w:rsidRPr="005F7253">
          <w:rPr>
            <w:rFonts w:ascii="Aptos" w:eastAsia="Aptos" w:hAnsi="Aptos" w:cs="Arial"/>
            <w:color w:val="467886"/>
            <w:kern w:val="2"/>
            <w:sz w:val="22"/>
            <w:szCs w:val="22"/>
            <w:u w:val="single"/>
            <w14:ligatures w14:val="standardContextual"/>
          </w:rPr>
          <w:t>Broadband Commission for Sustainable Development</w:t>
        </w:r>
      </w:hyperlink>
      <w:r w:rsidR="006C41B5" w:rsidRPr="005F7253">
        <w:rPr>
          <w:rFonts w:ascii="Aptos" w:eastAsia="Aptos" w:hAnsi="Aptos" w:cs="Arial"/>
          <w:kern w:val="2"/>
          <w:sz w:val="22"/>
          <w:szCs w:val="22"/>
          <w14:ligatures w14:val="standardContextual"/>
        </w:rPr>
        <w:t xml:space="preserve"> set itself the goal of making broadband in developing countries affordable by 2025, affordability being defined as the availability of broadband access at a price that is less than 2 per cent of monthly GNI per capita. While entry-level data-only mobile broadband services are generally affordable in the Arab States (consistently below </w:t>
      </w:r>
      <w:r w:rsidRPr="005F7253">
        <w:rPr>
          <w:rFonts w:ascii="Aptos" w:eastAsia="Aptos" w:hAnsi="Aptos" w:cs="Arial"/>
          <w:kern w:val="2"/>
          <w:sz w:val="22"/>
          <w:szCs w:val="22"/>
          <w14:ligatures w14:val="standardContextual"/>
        </w:rPr>
        <w:t xml:space="preserve">the </w:t>
      </w:r>
      <w:r w:rsidR="006C41B5" w:rsidRPr="005F7253">
        <w:rPr>
          <w:rFonts w:ascii="Aptos" w:eastAsia="Aptos" w:hAnsi="Aptos" w:cs="Arial"/>
          <w:kern w:val="2"/>
          <w:sz w:val="22"/>
          <w:szCs w:val="22"/>
          <w14:ligatures w14:val="standardContextual"/>
        </w:rPr>
        <w:t xml:space="preserve">world average), fixed broadband remains above </w:t>
      </w:r>
      <w:r w:rsidRPr="005F7253">
        <w:rPr>
          <w:rFonts w:ascii="Aptos" w:eastAsia="Aptos" w:hAnsi="Aptos" w:cs="Arial"/>
          <w:kern w:val="2"/>
          <w:sz w:val="22"/>
          <w:szCs w:val="22"/>
          <w14:ligatures w14:val="standardContextual"/>
        </w:rPr>
        <w:t xml:space="preserve">both </w:t>
      </w:r>
      <w:r w:rsidR="006C41B5" w:rsidRPr="005F7253">
        <w:rPr>
          <w:rFonts w:ascii="Aptos" w:eastAsia="Aptos" w:hAnsi="Aptos" w:cs="Arial"/>
          <w:kern w:val="2"/>
          <w:sz w:val="22"/>
          <w:szCs w:val="22"/>
          <w14:ligatures w14:val="standardContextual"/>
        </w:rPr>
        <w:t>the world average and the 2 per cent target.</w:t>
      </w:r>
    </w:p>
    <w:p w14:paraId="707F1AF9" w14:textId="357B025D"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Trends show a remarkable decline in mobile broadband prices since 2018. Fixed broadband on the other hand showed fluctuations, </w:t>
      </w:r>
      <w:r w:rsidR="003E2A74" w:rsidRPr="005F7253">
        <w:rPr>
          <w:rFonts w:ascii="Aptos" w:eastAsia="Aptos" w:hAnsi="Aptos" w:cs="Arial"/>
          <w:kern w:val="2"/>
          <w:sz w:val="22"/>
          <w:szCs w:val="22"/>
          <w14:ligatures w14:val="standardContextual"/>
        </w:rPr>
        <w:t xml:space="preserve">reflecting </w:t>
      </w:r>
      <w:r w:rsidRPr="005F7253">
        <w:rPr>
          <w:rFonts w:ascii="Aptos" w:eastAsia="Aptos" w:hAnsi="Aptos" w:cs="Arial"/>
          <w:kern w:val="2"/>
          <w:sz w:val="22"/>
          <w:szCs w:val="22"/>
          <w14:ligatures w14:val="standardContextual"/>
        </w:rPr>
        <w:t>the shock of the COVID-19 pandemic.</w:t>
      </w:r>
    </w:p>
    <w:p w14:paraId="573AC368" w14:textId="036BD132"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Variations within the region can </w:t>
      </w:r>
      <w:proofErr w:type="gramStart"/>
      <w:r w:rsidRPr="005F7253">
        <w:rPr>
          <w:rFonts w:ascii="Aptos" w:eastAsia="Aptos" w:hAnsi="Aptos" w:cs="Arial"/>
          <w:kern w:val="2"/>
          <w:sz w:val="22"/>
          <w:szCs w:val="22"/>
          <w14:ligatures w14:val="standardContextual"/>
        </w:rPr>
        <w:t>to a large extent be</w:t>
      </w:r>
      <w:proofErr w:type="gramEnd"/>
      <w:r w:rsidRPr="005F7253">
        <w:rPr>
          <w:rFonts w:ascii="Aptos" w:eastAsia="Aptos" w:hAnsi="Aptos" w:cs="Arial"/>
          <w:kern w:val="2"/>
          <w:sz w:val="22"/>
          <w:szCs w:val="22"/>
          <w14:ligatures w14:val="standardContextual"/>
        </w:rPr>
        <w:t xml:space="preserve"> explained by income </w:t>
      </w:r>
      <w:r w:rsidR="003E2A74" w:rsidRPr="005F7253">
        <w:rPr>
          <w:rFonts w:ascii="Aptos" w:eastAsia="Aptos" w:hAnsi="Aptos" w:cs="Arial"/>
          <w:kern w:val="2"/>
          <w:sz w:val="22"/>
          <w:szCs w:val="22"/>
          <w14:ligatures w14:val="standardContextual"/>
        </w:rPr>
        <w:t>variations</w:t>
      </w:r>
      <w:r w:rsidRPr="005F7253">
        <w:rPr>
          <w:rFonts w:ascii="Aptos" w:eastAsia="Aptos" w:hAnsi="Aptos" w:cs="Arial"/>
          <w:kern w:val="2"/>
          <w:sz w:val="22"/>
          <w:szCs w:val="22"/>
          <w14:ligatures w14:val="standardContextual"/>
        </w:rPr>
        <w:t>: both mobile and fixed</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broadband are affordable in the eight high- and upper-middle-income economies of the region: the cost of mobile broadband ranges from 0.14 per cent of GNI per capita in Qatar to 1.65 per cent of GNI per capita in Iraq. Fixed broadband ranges from 0.33 per cent of GNI per capita in Saudi Arabia to 5.76 per cent in Iraq. </w:t>
      </w:r>
    </w:p>
    <w:p w14:paraId="04675DDA" w14:textId="729DD946"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Lower-middle- and low-income economies show a more diverse picture: Iraq, Tunisia, Egypt, Morocco and the State of Palestine</w:t>
      </w:r>
      <w:r w:rsidR="003E2A74" w:rsidRPr="005F7253">
        <w:rPr>
          <w:rFonts w:ascii="Aptos" w:eastAsia="Aptos" w:hAnsi="Aptos" w:cs="Arial"/>
          <w:kern w:val="2"/>
          <w:sz w:val="22"/>
          <w:szCs w:val="22"/>
          <w:vertAlign w:val="superscript"/>
          <w14:ligatures w14:val="standardContextual"/>
        </w:rPr>
        <w:footnoteReference w:id="12"/>
      </w:r>
      <w:r w:rsidRPr="005F7253">
        <w:rPr>
          <w:rFonts w:ascii="Aptos" w:eastAsia="Aptos" w:hAnsi="Aptos" w:cs="Arial"/>
          <w:kern w:val="2"/>
          <w:sz w:val="22"/>
          <w:szCs w:val="22"/>
          <w14:ligatures w14:val="standardContextual"/>
        </w:rPr>
        <w:t xml:space="preserve"> meet the 2 per cent target for mobile broadband. But the cost exceeds 5 per cent of GNI per capita in Djibouti and Comoros (both 5.8 per cent) and reach</w:t>
      </w:r>
      <w:r w:rsidR="003E2A74" w:rsidRPr="005F7253">
        <w:rPr>
          <w:rFonts w:ascii="Aptos" w:eastAsia="Aptos" w:hAnsi="Aptos" w:cs="Arial"/>
          <w:kern w:val="2"/>
          <w:sz w:val="22"/>
          <w:szCs w:val="22"/>
          <w14:ligatures w14:val="standardContextual"/>
        </w:rPr>
        <w:t>es</w:t>
      </w:r>
      <w:r w:rsidRPr="005F7253">
        <w:rPr>
          <w:rFonts w:ascii="Aptos" w:eastAsia="Aptos" w:hAnsi="Aptos" w:cs="Arial"/>
          <w:kern w:val="2"/>
          <w:sz w:val="22"/>
          <w:szCs w:val="22"/>
          <w14:ligatures w14:val="standardContextual"/>
        </w:rPr>
        <w:t xml:space="preserve"> 10 per cent in the Syrian Arab Republic. </w:t>
      </w:r>
    </w:p>
    <w:p w14:paraId="0C882B59" w14:textId="73DE5232"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Entry-level fixed broadband subscriptions are typically costlier than mobile for various reasons, including the cost of infrastructure, </w:t>
      </w:r>
      <w:r w:rsidR="003E2A74" w:rsidRPr="005F7253">
        <w:rPr>
          <w:rFonts w:ascii="Aptos" w:eastAsia="Aptos" w:hAnsi="Aptos" w:cs="Arial"/>
          <w:kern w:val="2"/>
          <w:sz w:val="22"/>
          <w:szCs w:val="22"/>
          <w14:ligatures w14:val="standardContextual"/>
        </w:rPr>
        <w:t xml:space="preserve">higher </w:t>
      </w:r>
      <w:r w:rsidRPr="005F7253">
        <w:rPr>
          <w:rFonts w:ascii="Aptos" w:eastAsia="Aptos" w:hAnsi="Aptos" w:cs="Arial"/>
          <w:kern w:val="2"/>
          <w:sz w:val="22"/>
          <w:szCs w:val="22"/>
          <w14:ligatures w14:val="standardContextual"/>
        </w:rPr>
        <w:t xml:space="preserve">speeds and </w:t>
      </w:r>
      <w:r w:rsidR="003E2A74" w:rsidRPr="005F7253">
        <w:rPr>
          <w:rFonts w:ascii="Aptos" w:eastAsia="Aptos" w:hAnsi="Aptos" w:cs="Arial"/>
          <w:kern w:val="2"/>
          <w:sz w:val="22"/>
          <w:szCs w:val="22"/>
          <w14:ligatures w14:val="standardContextual"/>
        </w:rPr>
        <w:t xml:space="preserve">larger </w:t>
      </w:r>
      <w:r w:rsidRPr="005F7253">
        <w:rPr>
          <w:rFonts w:ascii="Aptos" w:eastAsia="Aptos" w:hAnsi="Aptos" w:cs="Arial"/>
          <w:kern w:val="2"/>
          <w:sz w:val="22"/>
          <w:szCs w:val="22"/>
          <w14:ligatures w14:val="standardContextual"/>
        </w:rPr>
        <w:t xml:space="preserve">allowances included, and different </w:t>
      </w:r>
      <w:r w:rsidRPr="005F7253">
        <w:rPr>
          <w:rFonts w:ascii="Aptos" w:eastAsia="Aptos" w:hAnsi="Aptos" w:cs="Arial"/>
          <w:kern w:val="2"/>
          <w:sz w:val="22"/>
          <w:szCs w:val="22"/>
          <w14:ligatures w14:val="standardContextual"/>
        </w:rPr>
        <w:lastRenderedPageBreak/>
        <w:t xml:space="preserve">market conditions. In the Arab States, the difference between mobile and fixed costs </w:t>
      </w:r>
      <w:r w:rsidR="003E2A74" w:rsidRPr="005F7253">
        <w:rPr>
          <w:rFonts w:ascii="Aptos" w:eastAsia="Aptos" w:hAnsi="Aptos" w:cs="Arial"/>
          <w:kern w:val="2"/>
          <w:sz w:val="22"/>
          <w:szCs w:val="22"/>
          <w14:ligatures w14:val="standardContextual"/>
        </w:rPr>
        <w:t xml:space="preserve">as a fraction of GNI per capita </w:t>
      </w:r>
      <w:r w:rsidRPr="005F7253">
        <w:rPr>
          <w:rFonts w:ascii="Aptos" w:eastAsia="Aptos" w:hAnsi="Aptos" w:cs="Arial"/>
          <w:kern w:val="2"/>
          <w:sz w:val="22"/>
          <w:szCs w:val="22"/>
          <w14:ligatures w14:val="standardContextual"/>
        </w:rPr>
        <w:t>is 2 percentage points, more than the difference</w:t>
      </w:r>
      <w:r w:rsidR="00AB64AC" w:rsidRPr="005F7253">
        <w:rPr>
          <w:rFonts w:ascii="Aptos" w:eastAsia="Aptos" w:hAnsi="Aptos" w:cs="Arial"/>
          <w:kern w:val="2"/>
          <w:sz w:val="22"/>
          <w:szCs w:val="22"/>
          <w14:ligatures w14:val="standardContextual"/>
        </w:rPr>
        <w:t xml:space="preserve"> at </w:t>
      </w:r>
      <w:r w:rsidRPr="005F7253">
        <w:rPr>
          <w:rFonts w:ascii="Aptos" w:eastAsia="Aptos" w:hAnsi="Aptos" w:cs="Arial"/>
          <w:kern w:val="2"/>
          <w:sz w:val="22"/>
          <w:szCs w:val="22"/>
          <w14:ligatures w14:val="standardContextual"/>
        </w:rPr>
        <w:t>the global level</w:t>
      </w:r>
      <w:r w:rsidRPr="005F7253" w:rsidDel="00105B02">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(1.4). The high cost of fixed broadband acts as a barrier to meaningful connectivity in many of the lower-middle- and low-income economies of the Arab </w:t>
      </w:r>
      <w:r w:rsidR="00C361C1">
        <w:rPr>
          <w:rFonts w:ascii="Aptos" w:eastAsia="Aptos" w:hAnsi="Aptos" w:cs="Arial"/>
          <w:kern w:val="2"/>
          <w:sz w:val="22"/>
          <w:szCs w:val="22"/>
          <w14:ligatures w14:val="standardContextual"/>
        </w:rPr>
        <w:t xml:space="preserve">States </w:t>
      </w:r>
      <w:r w:rsidRPr="005F7253">
        <w:rPr>
          <w:rFonts w:ascii="Aptos" w:eastAsia="Aptos" w:hAnsi="Aptos" w:cs="Arial"/>
          <w:kern w:val="2"/>
          <w:sz w:val="22"/>
          <w:szCs w:val="22"/>
          <w14:ligatures w14:val="standardContextual"/>
        </w:rPr>
        <w:t xml:space="preserve">region. </w:t>
      </w:r>
      <w:r w:rsidR="003E2A74" w:rsidRPr="005F7253">
        <w:rPr>
          <w:rFonts w:ascii="Aptos" w:eastAsia="Aptos" w:hAnsi="Aptos" w:cs="Arial"/>
          <w:kern w:val="2"/>
          <w:sz w:val="22"/>
          <w:szCs w:val="22"/>
          <w14:ligatures w14:val="standardContextual"/>
        </w:rPr>
        <w:t xml:space="preserve">It </w:t>
      </w:r>
      <w:r w:rsidRPr="005F7253">
        <w:rPr>
          <w:rFonts w:ascii="Aptos" w:eastAsia="Aptos" w:hAnsi="Aptos" w:cs="Arial"/>
          <w:kern w:val="2"/>
          <w:sz w:val="22"/>
          <w:szCs w:val="22"/>
          <w14:ligatures w14:val="standardContextual"/>
        </w:rPr>
        <w:t>exceeds 5 per cent in five countries, and 15 per cent in three.</w:t>
      </w:r>
    </w:p>
    <w:p w14:paraId="5EF39CD1"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Broadband basket prices as % of gross national income per capita, 2024</w:t>
      </w:r>
    </w:p>
    <w:p w14:paraId="42D3F390" w14:textId="19B55252" w:rsidR="006C41B5" w:rsidRPr="005F7253" w:rsidRDefault="0004135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Pr>
          <w:noProof/>
        </w:rPr>
        <w:drawing>
          <wp:inline distT="0" distB="0" distL="0" distR="0" wp14:anchorId="1FA35BC0" wp14:editId="4EB29CB4">
            <wp:extent cx="6120765" cy="5036820"/>
            <wp:effectExtent l="0" t="0" r="0" b="0"/>
            <wp:docPr id="10673787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78766" name=""/>
                    <pic:cNvPicPr/>
                  </pic:nvPicPr>
                  <pic:blipFill>
                    <a:blip r:embed="rId78">
                      <a:extLst>
                        <a:ext uri="{96DAC541-7B7A-43D3-8B79-37D633B846F1}">
                          <asvg:svgBlip xmlns:asvg="http://schemas.microsoft.com/office/drawing/2016/SVG/main" r:embed="rId79"/>
                        </a:ext>
                      </a:extLst>
                    </a:blip>
                    <a:stretch>
                      <a:fillRect/>
                    </a:stretch>
                  </pic:blipFill>
                  <pic:spPr>
                    <a:xfrm>
                      <a:off x="0" y="0"/>
                      <a:ext cx="6120765" cy="5036820"/>
                    </a:xfrm>
                    <a:prstGeom prst="rect">
                      <a:avLst/>
                    </a:prstGeom>
                  </pic:spPr>
                </pic:pic>
              </a:graphicData>
            </a:graphic>
          </wp:inline>
        </w:drawing>
      </w:r>
      <w:r w:rsidR="006C41B5"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006C41B5" w:rsidRPr="005F7253">
        <w:rPr>
          <w:rFonts w:ascii="Aptos" w:eastAsia="Aptos" w:hAnsi="Aptos" w:cs="Arial"/>
          <w:kern w:val="2"/>
          <w:sz w:val="16"/>
          <w:szCs w:val="28"/>
          <w14:ligatures w14:val="standardContextual"/>
        </w:rPr>
        <w:t>) of the ITU Plenipotentiary Conference.</w:t>
      </w:r>
    </w:p>
    <w:p w14:paraId="5833BBE5"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53BC1F33"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p>
    <w:p w14:paraId="7305CDA7"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br w:type="page"/>
      </w:r>
    </w:p>
    <w:p w14:paraId="40AF6F9C"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6" w:name="_Toc184940637"/>
      <w:r w:rsidRPr="005F7253">
        <w:rPr>
          <w:rFonts w:ascii="Aptos Display" w:eastAsia="Yu Gothic Light" w:hAnsi="Aptos Display"/>
          <w:color w:val="0F4761"/>
          <w:kern w:val="2"/>
          <w:sz w:val="32"/>
          <w:szCs w:val="32"/>
          <w14:ligatures w14:val="standardContextual"/>
        </w:rPr>
        <w:lastRenderedPageBreak/>
        <w:t>Mobile phone ownership and subscriptions</w:t>
      </w:r>
      <w:bookmarkEnd w:id="16"/>
    </w:p>
    <w:p w14:paraId="25599BE6"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Mobile phone ownership moving towards universality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36"/>
      </w:tblGrid>
      <w:tr w:rsidR="006C41B5" w:rsidRPr="005F7253" w14:paraId="6232C335" w14:textId="77777777" w:rsidTr="00BF1164">
        <w:tc>
          <w:tcPr>
            <w:tcW w:w="4490" w:type="dxa"/>
          </w:tcPr>
          <w:p w14:paraId="79BE936E"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individuals owning a mobile phone</w:t>
            </w:r>
          </w:p>
          <w:p w14:paraId="1F2ACABD"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5F7253">
              <w:rPr>
                <w:rFonts w:ascii="Aptos" w:hAnsi="Aptos"/>
                <w:noProof/>
                <w:sz w:val="22"/>
              </w:rPr>
              <w:drawing>
                <wp:inline distT="0" distB="0" distL="0" distR="0" wp14:anchorId="66B26032" wp14:editId="64214D6E">
                  <wp:extent cx="2667000" cy="2447925"/>
                  <wp:effectExtent l="0" t="0" r="0" b="9525"/>
                  <wp:docPr id="5937940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94064" name=""/>
                          <pic:cNvPicPr/>
                        </pic:nvPicPr>
                        <pic:blipFill>
                          <a:blip r:embed="rId80">
                            <a:extLst>
                              <a:ext uri="{96DAC541-7B7A-43D3-8B79-37D633B846F1}">
                                <asvg:svgBlip xmlns:asvg="http://schemas.microsoft.com/office/drawing/2016/SVG/main" r:embed="rId81"/>
                              </a:ext>
                            </a:extLst>
                          </a:blip>
                          <a:stretch>
                            <a:fillRect/>
                          </a:stretch>
                        </pic:blipFill>
                        <pic:spPr>
                          <a:xfrm>
                            <a:off x="0" y="0"/>
                            <a:ext cx="2667000" cy="2447925"/>
                          </a:xfrm>
                          <a:prstGeom prst="rect">
                            <a:avLst/>
                          </a:prstGeom>
                        </pic:spPr>
                      </pic:pic>
                    </a:graphicData>
                  </a:graphic>
                </wp:inline>
              </w:drawing>
            </w:r>
          </w:p>
        </w:tc>
        <w:tc>
          <w:tcPr>
            <w:tcW w:w="4536" w:type="dxa"/>
          </w:tcPr>
          <w:p w14:paraId="47B07E2A"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156082"/>
                <w:spacing w:val="-10"/>
                <w:kern w:val="28"/>
                <w:szCs w:val="24"/>
              </w:rPr>
            </w:pPr>
            <w:r w:rsidRPr="005F7253">
              <w:rPr>
                <w:rFonts w:ascii="AvenirNext LT Pro Light" w:eastAsia="Yu Gothic Light" w:hAnsi="AvenirNext LT Pro Light" w:cs="Calibri"/>
                <w:color w:val="0070C0"/>
                <w:spacing w:val="-10"/>
                <w:kern w:val="28"/>
                <w:szCs w:val="24"/>
              </w:rPr>
              <w:t>Percentage of individuals owning a mobile phone by gender, 2024</w:t>
            </w:r>
          </w:p>
          <w:p w14:paraId="58E4F25D"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5F7253">
              <w:rPr>
                <w:rFonts w:ascii="Aptos" w:hAnsi="Aptos"/>
                <w:noProof/>
                <w:sz w:val="22"/>
              </w:rPr>
              <w:drawing>
                <wp:inline distT="0" distB="0" distL="0" distR="0" wp14:anchorId="6CA46B0C" wp14:editId="7AAB8F63">
                  <wp:extent cx="2627419" cy="2590800"/>
                  <wp:effectExtent l="0" t="0" r="1905" b="0"/>
                  <wp:docPr id="15824351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35191" name=""/>
                          <pic:cNvPicPr/>
                        </pic:nvPicPr>
                        <pic:blipFill>
                          <a:blip r:embed="rId82">
                            <a:extLst>
                              <a:ext uri="{96DAC541-7B7A-43D3-8B79-37D633B846F1}">
                                <asvg:svgBlip xmlns:asvg="http://schemas.microsoft.com/office/drawing/2016/SVG/main" r:embed="rId83"/>
                              </a:ext>
                            </a:extLst>
                          </a:blip>
                          <a:stretch>
                            <a:fillRect/>
                          </a:stretch>
                        </pic:blipFill>
                        <pic:spPr>
                          <a:xfrm>
                            <a:off x="0" y="0"/>
                            <a:ext cx="2633776" cy="2597068"/>
                          </a:xfrm>
                          <a:prstGeom prst="rect">
                            <a:avLst/>
                          </a:prstGeom>
                        </pic:spPr>
                      </pic:pic>
                    </a:graphicData>
                  </a:graphic>
                </wp:inline>
              </w:drawing>
            </w:r>
          </w:p>
        </w:tc>
      </w:tr>
    </w:tbl>
    <w:p w14:paraId="5077B7E5"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Note: Individuals aged 10 and older.</w:t>
      </w:r>
    </w:p>
    <w:p w14:paraId="1BD6BEC2"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1860E7E7" w14:textId="375A8C64"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In 2024, 83 per cent of individuals</w:t>
      </w:r>
      <w:r w:rsidR="00F97DE5" w:rsidRPr="005F7253">
        <w:rPr>
          <w:rFonts w:ascii="Aptos" w:eastAsia="Aptos" w:hAnsi="Aptos" w:cs="Arial"/>
          <w:kern w:val="2"/>
          <w:sz w:val="22"/>
          <w:szCs w:val="22"/>
          <w14:ligatures w14:val="standardContextual"/>
        </w:rPr>
        <w:t xml:space="preserve"> in the Arab States</w:t>
      </w:r>
      <w:r w:rsidRPr="005F7253">
        <w:rPr>
          <w:rFonts w:ascii="Aptos" w:eastAsia="Aptos" w:hAnsi="Aptos" w:cs="Arial"/>
          <w:kern w:val="2"/>
          <w:sz w:val="22"/>
          <w:szCs w:val="22"/>
          <w14:ligatures w14:val="standardContextual"/>
        </w:rPr>
        <w:t xml:space="preserve"> aged 10 and older owned a mobile phone, three percentage points more than the global average. Growth over the last five years has been modest, which is not surprising considering </w:t>
      </w:r>
      <w:r w:rsidR="001B7621" w:rsidRPr="005F7253">
        <w:rPr>
          <w:rFonts w:ascii="Aptos" w:eastAsia="Aptos" w:hAnsi="Aptos" w:cs="Arial"/>
          <w:kern w:val="2"/>
          <w:sz w:val="22"/>
          <w:szCs w:val="22"/>
          <w14:ligatures w14:val="standardContextual"/>
        </w:rPr>
        <w:t xml:space="preserve">the </w:t>
      </w:r>
      <w:r w:rsidRPr="005F7253">
        <w:rPr>
          <w:rFonts w:ascii="Aptos" w:eastAsia="Aptos" w:hAnsi="Aptos" w:cs="Arial"/>
          <w:kern w:val="2"/>
          <w:sz w:val="22"/>
          <w:szCs w:val="22"/>
          <w14:ligatures w14:val="standardContextual"/>
        </w:rPr>
        <w:t>level is already high. The gender parity score for ownership stood at 0.90, unchanged from 2021. During the same period, the global GPS improved slightly, from 0.91 to 0.93.</w:t>
      </w:r>
    </w:p>
    <w:p w14:paraId="58AD5113"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individuals owning a mobile phone, latest year available</w:t>
      </w:r>
    </w:p>
    <w:p w14:paraId="0C0C1CAC"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noProof/>
          <w:kern w:val="2"/>
          <w:sz w:val="22"/>
          <w:szCs w:val="22"/>
          <w14:ligatures w14:val="standardContextual"/>
        </w:rPr>
        <w:drawing>
          <wp:inline distT="0" distB="0" distL="0" distR="0" wp14:anchorId="22A8B5B0" wp14:editId="3D4EE9FE">
            <wp:extent cx="5731510" cy="2751455"/>
            <wp:effectExtent l="0" t="0" r="2540" b="0"/>
            <wp:docPr id="11399074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07453" name=""/>
                    <pic:cNvPicPr/>
                  </pic:nvPicPr>
                  <pic:blipFill>
                    <a:blip r:embed="rId84">
                      <a:extLst>
                        <a:ext uri="{96DAC541-7B7A-43D3-8B79-37D633B846F1}">
                          <asvg:svgBlip xmlns:asvg="http://schemas.microsoft.com/office/drawing/2016/SVG/main" r:embed="rId85"/>
                        </a:ext>
                      </a:extLst>
                    </a:blip>
                    <a:stretch>
                      <a:fillRect/>
                    </a:stretch>
                  </pic:blipFill>
                  <pic:spPr>
                    <a:xfrm>
                      <a:off x="0" y="0"/>
                      <a:ext cx="5731510" cy="2751455"/>
                    </a:xfrm>
                    <a:prstGeom prst="rect">
                      <a:avLst/>
                    </a:prstGeom>
                  </pic:spPr>
                </pic:pic>
              </a:graphicData>
            </a:graphic>
          </wp:inline>
        </w:drawing>
      </w:r>
    </w:p>
    <w:p w14:paraId="47B4B2FF" w14:textId="4B4476E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7A43C988"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Notes: Individuals aged 10 and older. ITU estimates are in a lighter shade, country submitted data in a darker shade.</w:t>
      </w:r>
    </w:p>
    <w:p w14:paraId="15977200"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6DFD2CC2" w14:textId="7D4623F4"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lastRenderedPageBreak/>
        <w:t>In most economies of the region, mobile phone ownership was universal (</w:t>
      </w:r>
      <w:r w:rsidR="00F97DE5" w:rsidRPr="005F7253">
        <w:rPr>
          <w:rFonts w:ascii="Aptos" w:eastAsia="Aptos" w:hAnsi="Aptos" w:cs="Arial"/>
          <w:kern w:val="2"/>
          <w:sz w:val="22"/>
          <w:szCs w:val="22"/>
          <w14:ligatures w14:val="standardContextual"/>
        </w:rPr>
        <w:t xml:space="preserve">defined as </w:t>
      </w:r>
      <w:r w:rsidRPr="005F7253">
        <w:rPr>
          <w:rFonts w:ascii="Aptos" w:eastAsia="Aptos" w:hAnsi="Aptos" w:cs="Arial"/>
          <w:kern w:val="2"/>
          <w:sz w:val="22"/>
          <w:szCs w:val="22"/>
          <w14:ligatures w14:val="standardContextual"/>
        </w:rPr>
        <w:t xml:space="preserve">95 per cent or more) or nearly universal. </w:t>
      </w:r>
    </w:p>
    <w:p w14:paraId="24AB089D"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individuals owning a mobile phone, by gender, latest year available</w:t>
      </w:r>
    </w:p>
    <w:p w14:paraId="40C013C4" w14:textId="77777777" w:rsidR="000018FC"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177392F0" wp14:editId="47D8B69C">
            <wp:extent cx="5731510" cy="2656205"/>
            <wp:effectExtent l="0" t="0" r="2540" b="0"/>
            <wp:docPr id="12014289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28958"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5731510" cy="2656205"/>
                    </a:xfrm>
                    <a:prstGeom prst="rect">
                      <a:avLst/>
                    </a:prstGeom>
                  </pic:spPr>
                </pic:pic>
              </a:graphicData>
            </a:graphic>
          </wp:inline>
        </w:drawing>
      </w:r>
    </w:p>
    <w:p w14:paraId="50762582" w14:textId="0AAE5800"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5F89C816"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Note: Individuals aged 10 and older. </w:t>
      </w:r>
    </w:p>
    <w:p w14:paraId="43CDE85B"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4D57C845" w14:textId="46C272DA"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Gender-disaggregated data on ownership is scarce among Arab States, with only 10 countries reporting such data. Of these, eight countries have ownership rates exceeding 95 per cent, indicating they have achieved or are close to achieving gender parity. However, the remaining two countries exhibit significant gender gaps, particularly Iraq, which has a GPS of 0.79. Economies with low ownership rates often also exhibit low gender parity scores. Unfortunately, in many countries </w:t>
      </w:r>
      <w:r w:rsidR="00F97DE5" w:rsidRPr="005F7253">
        <w:rPr>
          <w:rFonts w:ascii="Aptos" w:eastAsia="Aptos" w:hAnsi="Aptos" w:cs="Arial"/>
          <w:kern w:val="2"/>
          <w:sz w:val="22"/>
          <w:szCs w:val="22"/>
          <w14:ligatures w14:val="standardContextual"/>
        </w:rPr>
        <w:t xml:space="preserve">the lack of data </w:t>
      </w:r>
      <w:r w:rsidRPr="005F7253">
        <w:rPr>
          <w:rFonts w:ascii="Aptos" w:eastAsia="Aptos" w:hAnsi="Aptos" w:cs="Arial"/>
          <w:kern w:val="2"/>
          <w:sz w:val="22"/>
          <w:szCs w:val="22"/>
          <w14:ligatures w14:val="standardContextual"/>
        </w:rPr>
        <w:t>makes it impossible to fully understand the extent of the problem or take effective action.</w:t>
      </w:r>
    </w:p>
    <w:p w14:paraId="3BAAD768" w14:textId="77777777" w:rsidR="006C41B5" w:rsidRPr="00C7425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C74255">
        <w:rPr>
          <w:rFonts w:ascii="Aptos" w:eastAsia="Aptos" w:hAnsi="Aptos"/>
          <w:color w:val="0070C0"/>
          <w:kern w:val="2"/>
          <w:sz w:val="22"/>
          <w14:ligatures w14:val="standardContextual"/>
        </w:rPr>
        <w:t>Mobile-cellular subscriptions per 100 inhabitants</w:t>
      </w:r>
    </w:p>
    <w:p w14:paraId="73CB7473" w14:textId="77777777" w:rsidR="000018FC" w:rsidRPr="00C7425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kern w:val="2"/>
          <w:sz w:val="16"/>
          <w14:ligatures w14:val="standardContextual"/>
        </w:rPr>
      </w:pPr>
      <w:r w:rsidRPr="005F7253">
        <w:rPr>
          <w:rFonts w:ascii="Aptos" w:eastAsia="Aptos" w:hAnsi="Aptos" w:cs="Arial"/>
          <w:noProof/>
          <w:kern w:val="2"/>
          <w:sz w:val="16"/>
          <w:szCs w:val="28"/>
          <w14:ligatures w14:val="standardContextual"/>
        </w:rPr>
        <w:drawing>
          <wp:inline distT="0" distB="0" distL="0" distR="0" wp14:anchorId="5FE26C11" wp14:editId="0C58A983">
            <wp:extent cx="5731510" cy="2532380"/>
            <wp:effectExtent l="0" t="0" r="2540" b="1270"/>
            <wp:docPr id="6535111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11149" name=""/>
                    <pic:cNvPicPr/>
                  </pic:nvPicPr>
                  <pic:blipFill>
                    <a:blip r:embed="rId88">
                      <a:extLst>
                        <a:ext uri="{96DAC541-7B7A-43D3-8B79-37D633B846F1}">
                          <asvg:svgBlip xmlns:asvg="http://schemas.microsoft.com/office/drawing/2016/SVG/main" r:embed="rId89"/>
                        </a:ext>
                      </a:extLst>
                    </a:blip>
                    <a:stretch>
                      <a:fillRect/>
                    </a:stretch>
                  </pic:blipFill>
                  <pic:spPr>
                    <a:xfrm>
                      <a:off x="0" y="0"/>
                      <a:ext cx="5731510" cy="2532380"/>
                    </a:xfrm>
                    <a:prstGeom prst="rect">
                      <a:avLst/>
                    </a:prstGeom>
                  </pic:spPr>
                </pic:pic>
              </a:graphicData>
            </a:graphic>
          </wp:inline>
        </w:drawing>
      </w:r>
    </w:p>
    <w:p w14:paraId="2416908B" w14:textId="23C32D28"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10B3DD38" w14:textId="1D30B3B0"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lastRenderedPageBreak/>
        <w:t xml:space="preserve">To use a mobile phone, a mobile-cellular </w:t>
      </w:r>
      <w:r w:rsidR="00CF6F1E" w:rsidRPr="005F7253">
        <w:rPr>
          <w:rFonts w:ascii="Aptos" w:eastAsia="Aptos" w:hAnsi="Aptos" w:cs="Arial"/>
          <w:kern w:val="2"/>
          <w:sz w:val="22"/>
          <w:szCs w:val="22"/>
          <w14:ligatures w14:val="standardContextual"/>
        </w:rPr>
        <w:t xml:space="preserve">or </w:t>
      </w:r>
      <w:r w:rsidRPr="005F7253">
        <w:rPr>
          <w:rFonts w:ascii="Aptos" w:eastAsia="Aptos" w:hAnsi="Aptos" w:cs="Arial"/>
          <w:kern w:val="2"/>
          <w:sz w:val="22"/>
          <w:szCs w:val="22"/>
          <w14:ligatures w14:val="standardContextual"/>
        </w:rPr>
        <w:t>mobile</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broadband subscription is needed. While </w:t>
      </w:r>
      <w:r w:rsidR="00F97DE5" w:rsidRPr="005F7253">
        <w:rPr>
          <w:rFonts w:ascii="Aptos" w:eastAsia="Aptos" w:hAnsi="Aptos" w:cs="Arial"/>
          <w:kern w:val="2"/>
          <w:sz w:val="22"/>
          <w:szCs w:val="22"/>
          <w14:ligatures w14:val="standardContextual"/>
        </w:rPr>
        <w:t xml:space="preserve">the Arab States are slightly ahead of global rates </w:t>
      </w:r>
      <w:r w:rsidRPr="005F7253">
        <w:rPr>
          <w:rFonts w:ascii="Aptos" w:eastAsia="Aptos" w:hAnsi="Aptos" w:cs="Arial"/>
          <w:kern w:val="2"/>
          <w:sz w:val="22"/>
          <w:szCs w:val="22"/>
          <w14:ligatures w14:val="standardContextual"/>
        </w:rPr>
        <w:t xml:space="preserve">for most indicators, for mobile-cellular subscriptions the region dropped below the global average in 2017 and has remained below </w:t>
      </w:r>
      <w:r w:rsidR="00F97DE5" w:rsidRPr="005F7253">
        <w:rPr>
          <w:rFonts w:ascii="Aptos" w:eastAsia="Aptos" w:hAnsi="Aptos" w:cs="Arial"/>
          <w:kern w:val="2"/>
          <w:sz w:val="22"/>
          <w:szCs w:val="22"/>
          <w14:ligatures w14:val="standardContextual"/>
        </w:rPr>
        <w:t xml:space="preserve">it </w:t>
      </w:r>
      <w:r w:rsidRPr="005F7253">
        <w:rPr>
          <w:rFonts w:ascii="Aptos" w:eastAsia="Aptos" w:hAnsi="Aptos" w:cs="Arial"/>
          <w:kern w:val="2"/>
          <w:sz w:val="22"/>
          <w:szCs w:val="22"/>
          <w14:ligatures w14:val="standardContextual"/>
        </w:rPr>
        <w:t>since.</w:t>
      </w:r>
    </w:p>
    <w:p w14:paraId="5F3A7413"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Mobile-cellular subscriptions per 100 inhabitants, latest year available</w:t>
      </w:r>
    </w:p>
    <w:p w14:paraId="3ED82F06" w14:textId="77777777" w:rsidR="000018FC"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406BB831" wp14:editId="7F861314">
            <wp:extent cx="5731510" cy="2846705"/>
            <wp:effectExtent l="0" t="0" r="2540" b="0"/>
            <wp:docPr id="2284705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70598" name=""/>
                    <pic:cNvPicPr/>
                  </pic:nvPicPr>
                  <pic:blipFill>
                    <a:blip r:embed="rId90">
                      <a:extLst>
                        <a:ext uri="{96DAC541-7B7A-43D3-8B79-37D633B846F1}">
                          <asvg:svgBlip xmlns:asvg="http://schemas.microsoft.com/office/drawing/2016/SVG/main" r:embed="rId91"/>
                        </a:ext>
                      </a:extLst>
                    </a:blip>
                    <a:stretch>
                      <a:fillRect/>
                    </a:stretch>
                  </pic:blipFill>
                  <pic:spPr>
                    <a:xfrm>
                      <a:off x="0" y="0"/>
                      <a:ext cx="5731510" cy="2846705"/>
                    </a:xfrm>
                    <a:prstGeom prst="rect">
                      <a:avLst/>
                    </a:prstGeom>
                  </pic:spPr>
                </pic:pic>
              </a:graphicData>
            </a:graphic>
          </wp:inline>
        </w:drawing>
      </w:r>
    </w:p>
    <w:p w14:paraId="6083E8B9" w14:textId="01F956FE"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3F83E9A8"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42A7B3D0"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Penetration rates of mobile cellular subscriptions are strongly correlated with the level of development of the economies in the region.</w:t>
      </w:r>
    </w:p>
    <w:p w14:paraId="36AA0DFA"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br w:type="page"/>
      </w:r>
    </w:p>
    <w:p w14:paraId="34E6FA60"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7" w:name="_Toc184940638"/>
      <w:r w:rsidRPr="005F7253">
        <w:rPr>
          <w:rFonts w:ascii="Aptos Display" w:eastAsia="Yu Gothic Light" w:hAnsi="Aptos Display"/>
          <w:color w:val="0F4761"/>
          <w:kern w:val="2"/>
          <w:sz w:val="32"/>
          <w:szCs w:val="32"/>
          <w14:ligatures w14:val="standardContextual"/>
        </w:rPr>
        <w:lastRenderedPageBreak/>
        <w:t>ICT skills</w:t>
      </w:r>
      <w:bookmarkEnd w:id="17"/>
    </w:p>
    <w:p w14:paraId="1C200474"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Large variety in ICT skills among Internet users</w:t>
      </w:r>
    </w:p>
    <w:p w14:paraId="135785DF" w14:textId="73876AFD"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Because self-reporting of individuals’ ICT skills is subjective, ICT skills are measured based on household surveys asking whether an individual has recently performed certain activities. </w:t>
      </w:r>
      <w:r w:rsidR="000C3C27" w:rsidRPr="005F7253">
        <w:rPr>
          <w:rFonts w:ascii="Aptos" w:eastAsia="Aptos" w:hAnsi="Aptos" w:cs="Arial"/>
          <w:kern w:val="2"/>
          <w:sz w:val="22"/>
          <w:szCs w:val="22"/>
          <w14:ligatures w14:val="standardContextual"/>
        </w:rPr>
        <w:t xml:space="preserve">Performing these activities </w:t>
      </w:r>
      <w:r w:rsidRPr="005F7253">
        <w:rPr>
          <w:rFonts w:ascii="Aptos" w:eastAsia="Aptos" w:hAnsi="Aptos" w:cs="Arial"/>
          <w:kern w:val="2"/>
          <w:sz w:val="22"/>
          <w:szCs w:val="22"/>
          <w14:ligatures w14:val="standardContextual"/>
        </w:rPr>
        <w:t>presupposes a degree of proficiency in relevant digital skills. The activities are grouped into five areas: information and data literacy; communication and collaboration; digital content creation; safety; and problem solving.</w:t>
      </w:r>
    </w:p>
    <w:p w14:paraId="1FB78A8A" w14:textId="2D316286"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While the importance of digital skills in leveraging ICTs for economic prosperity and social well-being is well-documented, data remain very scant. </w:t>
      </w:r>
      <w:r w:rsidR="005676EA" w:rsidRPr="005F7253">
        <w:rPr>
          <w:rFonts w:ascii="Aptos" w:eastAsia="Aptos" w:hAnsi="Aptos" w:cs="Arial"/>
          <w:kern w:val="2"/>
          <w:sz w:val="22"/>
          <w:szCs w:val="22"/>
          <w14:ligatures w14:val="standardContextual"/>
        </w:rPr>
        <w:t>Since 2020 o</w:t>
      </w:r>
      <w:r w:rsidRPr="005F7253">
        <w:rPr>
          <w:rFonts w:ascii="Aptos" w:eastAsia="Aptos" w:hAnsi="Aptos" w:cs="Arial"/>
          <w:kern w:val="2"/>
          <w:sz w:val="22"/>
          <w:szCs w:val="22"/>
          <w14:ligatures w14:val="standardContextual"/>
        </w:rPr>
        <w:t xml:space="preserve">nly 90 economies, </w:t>
      </w:r>
      <w:r w:rsidR="005676EA" w:rsidRPr="005F7253">
        <w:rPr>
          <w:rFonts w:ascii="Aptos" w:eastAsia="Aptos" w:hAnsi="Aptos" w:cs="Arial"/>
          <w:kern w:val="2"/>
          <w:sz w:val="22"/>
          <w:szCs w:val="22"/>
          <w14:ligatures w14:val="standardContextual"/>
        </w:rPr>
        <w:t xml:space="preserve">including </w:t>
      </w:r>
      <w:r w:rsidRPr="005F7253">
        <w:rPr>
          <w:rFonts w:ascii="Aptos" w:eastAsia="Aptos" w:hAnsi="Aptos" w:cs="Arial"/>
          <w:kern w:val="2"/>
          <w:sz w:val="22"/>
          <w:szCs w:val="22"/>
          <w14:ligatures w14:val="standardContextual"/>
        </w:rPr>
        <w:t>11 Arab States, have submitted data</w:t>
      </w:r>
      <w:r w:rsidR="005676EA" w:rsidRPr="005F7253">
        <w:rPr>
          <w:rFonts w:ascii="Aptos" w:eastAsia="Aptos" w:hAnsi="Aptos" w:cs="Arial"/>
          <w:kern w:val="2"/>
          <w:sz w:val="22"/>
          <w:szCs w:val="22"/>
          <w14:ligatures w14:val="standardContextual"/>
        </w:rPr>
        <w:t>, frequently patchy, on digital skills</w:t>
      </w:r>
      <w:r w:rsidRPr="005F7253">
        <w:rPr>
          <w:rFonts w:ascii="Aptos" w:eastAsia="Aptos" w:hAnsi="Aptos" w:cs="Arial"/>
          <w:kern w:val="2"/>
          <w:sz w:val="22"/>
          <w:szCs w:val="22"/>
          <w14:ligatures w14:val="standardContextual"/>
        </w:rPr>
        <w:t xml:space="preserve">. Even fewer – just 40 countries, </w:t>
      </w:r>
      <w:r w:rsidR="005676EA" w:rsidRPr="005F7253">
        <w:rPr>
          <w:rFonts w:ascii="Aptos" w:eastAsia="Aptos" w:hAnsi="Aptos" w:cs="Arial"/>
          <w:kern w:val="2"/>
          <w:sz w:val="22"/>
          <w:szCs w:val="22"/>
          <w14:ligatures w14:val="standardContextual"/>
        </w:rPr>
        <w:t xml:space="preserve">including 2 </w:t>
      </w:r>
      <w:r w:rsidRPr="005F7253">
        <w:rPr>
          <w:rFonts w:ascii="Aptos" w:eastAsia="Aptos" w:hAnsi="Aptos" w:cs="Arial"/>
          <w:kern w:val="2"/>
          <w:sz w:val="22"/>
          <w:szCs w:val="22"/>
          <w14:ligatures w14:val="standardContextual"/>
        </w:rPr>
        <w:t>Arab States – provided comparable data on ICT skill levels (see box for details on the methodology for calculating ICT skill levels).</w:t>
      </w:r>
    </w:p>
    <w:p w14:paraId="5F4A9165"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Internet users with ICT skills in the Arab States, by skill level, 2023</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C41B5" w:rsidRPr="005F7253" w14:paraId="67867336" w14:textId="77777777" w:rsidTr="00BF1164">
        <w:tc>
          <w:tcPr>
            <w:tcW w:w="4508" w:type="dxa"/>
          </w:tcPr>
          <w:p w14:paraId="4AB8B18C" w14:textId="77777777" w:rsidR="006C41B5" w:rsidRPr="005F7253" w:rsidRDefault="006C41B5" w:rsidP="00EE1232">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5F7253">
              <w:rPr>
                <w:rFonts w:ascii="Aptos" w:hAnsi="Aptos"/>
                <w:b/>
                <w:sz w:val="22"/>
              </w:rPr>
              <w:t>Oman</w:t>
            </w:r>
          </w:p>
          <w:p w14:paraId="2A802A3E"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5F7253">
              <w:rPr>
                <w:rFonts w:ascii="Aptos" w:hAnsi="Aptos"/>
                <w:noProof/>
                <w:sz w:val="22"/>
              </w:rPr>
              <w:drawing>
                <wp:inline distT="0" distB="0" distL="0" distR="0" wp14:anchorId="5596D9F4" wp14:editId="173450DE">
                  <wp:extent cx="2695575" cy="2733675"/>
                  <wp:effectExtent l="0" t="0" r="9525" b="9525"/>
                  <wp:docPr id="16010672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67216" name=""/>
                          <pic:cNvPicPr/>
                        </pic:nvPicPr>
                        <pic:blipFill>
                          <a:blip r:embed="rId92">
                            <a:extLst>
                              <a:ext uri="{96DAC541-7B7A-43D3-8B79-37D633B846F1}">
                                <asvg:svgBlip xmlns:asvg="http://schemas.microsoft.com/office/drawing/2016/SVG/main" r:embed="rId93"/>
                              </a:ext>
                            </a:extLst>
                          </a:blip>
                          <a:stretch>
                            <a:fillRect/>
                          </a:stretch>
                        </pic:blipFill>
                        <pic:spPr>
                          <a:xfrm>
                            <a:off x="0" y="0"/>
                            <a:ext cx="2695575" cy="2733675"/>
                          </a:xfrm>
                          <a:prstGeom prst="rect">
                            <a:avLst/>
                          </a:prstGeom>
                        </pic:spPr>
                      </pic:pic>
                    </a:graphicData>
                  </a:graphic>
                </wp:inline>
              </w:drawing>
            </w:r>
          </w:p>
        </w:tc>
        <w:tc>
          <w:tcPr>
            <w:tcW w:w="4508" w:type="dxa"/>
          </w:tcPr>
          <w:p w14:paraId="11E152F6" w14:textId="77777777" w:rsidR="006C41B5" w:rsidRPr="005F7253" w:rsidRDefault="006C41B5" w:rsidP="00EE1232">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5F7253">
              <w:rPr>
                <w:rFonts w:ascii="Aptos" w:hAnsi="Aptos"/>
                <w:b/>
                <w:sz w:val="22"/>
              </w:rPr>
              <w:t>State of Palestine*</w:t>
            </w:r>
          </w:p>
          <w:p w14:paraId="0C3850F5"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5F7253">
              <w:rPr>
                <w:rFonts w:ascii="Aptos" w:hAnsi="Aptos"/>
                <w:noProof/>
                <w:sz w:val="22"/>
              </w:rPr>
              <w:drawing>
                <wp:inline distT="0" distB="0" distL="0" distR="0" wp14:anchorId="4D0F055A" wp14:editId="544D2A15">
                  <wp:extent cx="2695575" cy="2733675"/>
                  <wp:effectExtent l="0" t="0" r="9525" b="9525"/>
                  <wp:docPr id="13369493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49375"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2695575" cy="2733675"/>
                          </a:xfrm>
                          <a:prstGeom prst="rect">
                            <a:avLst/>
                          </a:prstGeom>
                        </pic:spPr>
                      </pic:pic>
                    </a:graphicData>
                  </a:graphic>
                </wp:inline>
              </w:drawing>
            </w:r>
          </w:p>
        </w:tc>
      </w:tr>
    </w:tbl>
    <w:p w14:paraId="2BFEBEE7" w14:textId="2D5933DB"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66EE670D" w14:textId="3BB18199"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Note: Data for Oman refer to individuals aged 18 and older. Data for the State of Palestine refer to individuals aged 10 and older.</w:t>
      </w:r>
    </w:p>
    <w:p w14:paraId="62F45455"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52542F53" w14:textId="0CA2AC5A"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In the State of Palestine, communication and collaboration is the category for which most Internet users</w:t>
      </w:r>
      <w:r w:rsidR="005676EA" w:rsidRPr="005F7253">
        <w:rPr>
          <w:rFonts w:ascii="Aptos" w:eastAsia="Aptos" w:hAnsi="Aptos" w:cs="Arial"/>
          <w:kern w:val="2"/>
          <w:sz w:val="22"/>
          <w:szCs w:val="22"/>
          <w14:ligatures w14:val="standardContextual"/>
        </w:rPr>
        <w:t>—88 per cent in all—</w:t>
      </w:r>
      <w:r w:rsidRPr="005F7253">
        <w:rPr>
          <w:rFonts w:ascii="Aptos" w:eastAsia="Aptos" w:hAnsi="Aptos" w:cs="Arial"/>
          <w:kern w:val="2"/>
          <w:sz w:val="22"/>
          <w:szCs w:val="22"/>
          <w14:ligatures w14:val="standardContextual"/>
        </w:rPr>
        <w:t xml:space="preserve">have reported </w:t>
      </w:r>
      <w:r w:rsidR="005676EA" w:rsidRPr="005F7253">
        <w:rPr>
          <w:rFonts w:ascii="Aptos" w:eastAsia="Aptos" w:hAnsi="Aptos" w:cs="Arial"/>
          <w:kern w:val="2"/>
          <w:sz w:val="22"/>
          <w:szCs w:val="22"/>
          <w14:ligatures w14:val="standardContextual"/>
        </w:rPr>
        <w:t xml:space="preserve">having </w:t>
      </w:r>
      <w:r w:rsidRPr="005F7253">
        <w:rPr>
          <w:rFonts w:ascii="Aptos" w:eastAsia="Aptos" w:hAnsi="Aptos" w:cs="Arial"/>
          <w:kern w:val="2"/>
          <w:sz w:val="22"/>
          <w:szCs w:val="22"/>
          <w14:ligatures w14:val="standardContextual"/>
        </w:rPr>
        <w:t xml:space="preserve">basic or above basic skills. The second highest level of skills was in information and data literacy, with 67 per cent of Internet users having </w:t>
      </w:r>
      <w:r w:rsidR="005676EA" w:rsidRPr="005F7253">
        <w:rPr>
          <w:rFonts w:ascii="Aptos" w:eastAsia="Aptos" w:hAnsi="Aptos" w:cs="Arial"/>
          <w:kern w:val="2"/>
          <w:sz w:val="22"/>
          <w:szCs w:val="22"/>
          <w14:ligatures w14:val="standardContextual"/>
        </w:rPr>
        <w:t xml:space="preserve">at least </w:t>
      </w:r>
      <w:r w:rsidRPr="005F7253">
        <w:rPr>
          <w:rFonts w:ascii="Aptos" w:eastAsia="Aptos" w:hAnsi="Aptos" w:cs="Arial"/>
          <w:kern w:val="2"/>
          <w:sz w:val="22"/>
          <w:szCs w:val="22"/>
          <w14:ligatures w14:val="standardContextual"/>
        </w:rPr>
        <w:t>basic skills. Digital content creation follows</w:t>
      </w:r>
      <w:r w:rsidR="005676EA" w:rsidRPr="005F7253">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at 53 per cent. For the last two categories, safety and problem solving, only 26 and 27 per cent of Internet users</w:t>
      </w:r>
      <w:r w:rsidR="005676EA" w:rsidRPr="005F7253">
        <w:rPr>
          <w:rFonts w:ascii="Aptos" w:eastAsia="Aptos" w:hAnsi="Aptos" w:cs="Arial"/>
          <w:kern w:val="2"/>
          <w:sz w:val="22"/>
          <w:szCs w:val="22"/>
          <w14:ligatures w14:val="standardContextual"/>
        </w:rPr>
        <w:t>, respectively,</w:t>
      </w:r>
      <w:r w:rsidRPr="005F7253">
        <w:rPr>
          <w:rFonts w:ascii="Aptos" w:eastAsia="Aptos" w:hAnsi="Aptos" w:cs="Arial"/>
          <w:kern w:val="2"/>
          <w:sz w:val="22"/>
          <w:szCs w:val="22"/>
          <w14:ligatures w14:val="standardContextual"/>
        </w:rPr>
        <w:t xml:space="preserve"> reported at least basic skills. </w:t>
      </w:r>
    </w:p>
    <w:p w14:paraId="716F6753" w14:textId="25D21EF2" w:rsidR="00EF1EF8"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picture in Oman looks quite different. Except for communication and collaboration, for which data are not available, </w:t>
      </w:r>
      <w:r w:rsidR="005676EA" w:rsidRPr="005F7253">
        <w:rPr>
          <w:rFonts w:ascii="Aptos" w:eastAsia="Aptos" w:hAnsi="Aptos" w:cs="Arial"/>
          <w:kern w:val="2"/>
          <w:sz w:val="22"/>
          <w:szCs w:val="22"/>
          <w14:ligatures w14:val="standardContextual"/>
        </w:rPr>
        <w:t xml:space="preserve">a large proportion </w:t>
      </w:r>
      <w:r w:rsidRPr="005F7253">
        <w:rPr>
          <w:rFonts w:ascii="Aptos" w:eastAsia="Aptos" w:hAnsi="Aptos" w:cs="Arial"/>
          <w:kern w:val="2"/>
          <w:sz w:val="22"/>
          <w:szCs w:val="22"/>
          <w14:ligatures w14:val="standardContextual"/>
        </w:rPr>
        <w:t xml:space="preserve">of Internet users </w:t>
      </w:r>
      <w:r w:rsidR="005676EA" w:rsidRPr="005F7253">
        <w:rPr>
          <w:rFonts w:ascii="Aptos" w:eastAsia="Aptos" w:hAnsi="Aptos" w:cs="Arial"/>
          <w:kern w:val="2"/>
          <w:sz w:val="22"/>
          <w:szCs w:val="22"/>
          <w14:ligatures w14:val="standardContextual"/>
        </w:rPr>
        <w:t xml:space="preserve">report having at least </w:t>
      </w:r>
      <w:r w:rsidRPr="005F7253">
        <w:rPr>
          <w:rFonts w:ascii="Aptos" w:eastAsia="Aptos" w:hAnsi="Aptos" w:cs="Arial"/>
          <w:kern w:val="2"/>
          <w:sz w:val="22"/>
          <w:szCs w:val="22"/>
          <w14:ligatures w14:val="standardContextual"/>
        </w:rPr>
        <w:t>basic or above basic skills, between 88 and 95 per cent</w:t>
      </w:r>
      <w:r w:rsidR="005676EA" w:rsidRPr="005F7253">
        <w:rPr>
          <w:rFonts w:ascii="Aptos" w:eastAsia="Aptos" w:hAnsi="Aptos" w:cs="Arial"/>
          <w:kern w:val="2"/>
          <w:sz w:val="22"/>
          <w:szCs w:val="22"/>
          <w14:ligatures w14:val="standardContextual"/>
        </w:rPr>
        <w:t xml:space="preserve"> in each category</w:t>
      </w:r>
      <w:r w:rsidRPr="005F7253">
        <w:rPr>
          <w:rFonts w:ascii="Aptos" w:eastAsia="Aptos" w:hAnsi="Aptos" w:cs="Arial"/>
          <w:kern w:val="2"/>
          <w:sz w:val="22"/>
          <w:szCs w:val="22"/>
          <w14:ligatures w14:val="standardContextual"/>
        </w:rPr>
        <w:t>.</w:t>
      </w:r>
    </w:p>
    <w:p w14:paraId="3DEF477E" w14:textId="77777777" w:rsidR="00EF1EF8" w:rsidRPr="005F7253" w:rsidRDefault="00EF1EF8">
      <w:r w:rsidRPr="005F7253">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9016"/>
      </w:tblGrid>
      <w:tr w:rsidR="006C41B5" w:rsidRPr="005F7253" w14:paraId="41D5B970" w14:textId="77777777" w:rsidTr="006C41B5">
        <w:tc>
          <w:tcPr>
            <w:tcW w:w="9016" w:type="dxa"/>
            <w:shd w:val="clear" w:color="auto" w:fill="F2F2F2"/>
          </w:tcPr>
          <w:p w14:paraId="0E831F47" w14:textId="5BFAC1F2"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b/>
                <w:sz w:val="22"/>
              </w:rPr>
            </w:pPr>
            <w:r w:rsidRPr="005F7253">
              <w:rPr>
                <w:rFonts w:ascii="Aptos" w:hAnsi="Aptos"/>
                <w:b/>
                <w:sz w:val="22"/>
              </w:rPr>
              <w:lastRenderedPageBreak/>
              <w:t>Methodology for calculating ICT skill levels</w:t>
            </w:r>
          </w:p>
          <w:p w14:paraId="5753A8F5"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5F7253">
              <w:rPr>
                <w:rFonts w:ascii="Aptos" w:hAnsi="Aptos"/>
                <w:sz w:val="22"/>
              </w:rPr>
              <w:t>At its 11</w:t>
            </w:r>
            <w:r w:rsidRPr="005F7253">
              <w:rPr>
                <w:rFonts w:ascii="Aptos" w:hAnsi="Aptos"/>
                <w:sz w:val="22"/>
                <w:vertAlign w:val="superscript"/>
              </w:rPr>
              <w:t>th</w:t>
            </w:r>
            <w:r w:rsidRPr="005F7253">
              <w:rPr>
                <w:rFonts w:ascii="Aptos" w:hAnsi="Aptos"/>
                <w:sz w:val="22"/>
              </w:rPr>
              <w:t xml:space="preserve"> meeting in September 2023, ITU’s Expert Group on ICT Household Indicators (EGH) </w:t>
            </w:r>
            <w:hyperlink r:id="rId96">
              <w:r w:rsidRPr="005F7253">
                <w:rPr>
                  <w:rFonts w:ascii="Aptos" w:hAnsi="Aptos"/>
                  <w:color w:val="467886"/>
                  <w:sz w:val="22"/>
                  <w:u w:val="single"/>
                </w:rPr>
                <w:t>recommended changes</w:t>
              </w:r>
            </w:hyperlink>
            <w:r w:rsidRPr="005F7253">
              <w:rPr>
                <w:rFonts w:ascii="Aptos" w:hAnsi="Aptos"/>
                <w:sz w:val="22"/>
              </w:rPr>
              <w:t xml:space="preserve"> in how data on ICT skill levels are reported – most importantly, that skill levels of individuals should be assessed for different areas. </w:t>
            </w:r>
          </w:p>
          <w:p w14:paraId="3F859865"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p w14:paraId="033428EC" w14:textId="77777777" w:rsidR="006C41B5" w:rsidRPr="005F7253" w:rsidRDefault="006C41B5" w:rsidP="006C41B5">
            <w:pPr>
              <w:tabs>
                <w:tab w:val="clear" w:pos="794"/>
                <w:tab w:val="clear" w:pos="1191"/>
                <w:tab w:val="clear" w:pos="1588"/>
                <w:tab w:val="clear" w:pos="1985"/>
              </w:tabs>
              <w:overflowPunct/>
              <w:autoSpaceDE/>
              <w:autoSpaceDN/>
              <w:adjustRightInd/>
              <w:spacing w:before="0"/>
              <w:ind w:left="284"/>
              <w:textAlignment w:val="auto"/>
              <w:rPr>
                <w:rFonts w:ascii="Aptos" w:hAnsi="Aptos"/>
                <w:i/>
                <w:sz w:val="22"/>
              </w:rPr>
            </w:pPr>
            <w:r w:rsidRPr="005F7253">
              <w:rPr>
                <w:rFonts w:ascii="Aptos" w:hAnsi="Aptos"/>
                <w:i/>
                <w:sz w:val="22"/>
              </w:rPr>
              <w:t>Individuals should be assessed on the number of activities within a skill area they report having done in the last three months using the following progression:</w:t>
            </w:r>
          </w:p>
          <w:p w14:paraId="03128B2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i/>
                <w:sz w:val="22"/>
              </w:rPr>
            </w:pPr>
          </w:p>
          <w:tbl>
            <w:tblPr>
              <w:tblStyle w:val="GridTable2-Accent11"/>
              <w:tblW w:w="0" w:type="auto"/>
              <w:tblInd w:w="612" w:type="dxa"/>
              <w:tblLook w:val="04A0" w:firstRow="1" w:lastRow="0" w:firstColumn="1" w:lastColumn="0" w:noHBand="0" w:noVBand="1"/>
            </w:tblPr>
            <w:tblGrid>
              <w:gridCol w:w="1587"/>
              <w:gridCol w:w="1531"/>
              <w:gridCol w:w="2268"/>
            </w:tblGrid>
            <w:tr w:rsidR="006C41B5" w:rsidRPr="005F7253" w14:paraId="495BBFFE" w14:textId="77777777" w:rsidTr="006C4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7970169A" w14:textId="77777777" w:rsidR="006C41B5" w:rsidRPr="005F7253" w:rsidRDefault="006C41B5" w:rsidP="006C41B5">
                  <w:pPr>
                    <w:tabs>
                      <w:tab w:val="clear" w:pos="794"/>
                      <w:tab w:val="clear" w:pos="1191"/>
                      <w:tab w:val="clear" w:pos="1588"/>
                      <w:tab w:val="clear" w:pos="1985"/>
                    </w:tabs>
                    <w:overflowPunct/>
                    <w:autoSpaceDE/>
                    <w:autoSpaceDN/>
                    <w:adjustRightInd/>
                    <w:spacing w:before="0"/>
                    <w:contextualSpacing/>
                    <w:textAlignment w:val="auto"/>
                    <w:rPr>
                      <w:rFonts w:ascii="Aptos" w:hAnsi="Aptos"/>
                      <w:sz w:val="18"/>
                      <w:szCs w:val="18"/>
                    </w:rPr>
                  </w:pPr>
                  <w:r w:rsidRPr="005F7253">
                    <w:rPr>
                      <w:rFonts w:ascii="Aptos" w:hAnsi="Aptos"/>
                      <w:sz w:val="18"/>
                      <w:szCs w:val="18"/>
                    </w:rPr>
                    <w:t>None</w:t>
                  </w:r>
                </w:p>
              </w:tc>
              <w:tc>
                <w:tcPr>
                  <w:tcW w:w="1531" w:type="dxa"/>
                </w:tcPr>
                <w:p w14:paraId="5C2009D3" w14:textId="77777777" w:rsidR="006C41B5" w:rsidRPr="005F7253"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Aptos" w:hAnsi="Aptos"/>
                      <w:sz w:val="18"/>
                      <w:szCs w:val="18"/>
                    </w:rPr>
                  </w:pPr>
                  <w:r w:rsidRPr="005F7253">
                    <w:rPr>
                      <w:rFonts w:ascii="Aptos" w:hAnsi="Aptos"/>
                      <w:sz w:val="18"/>
                      <w:szCs w:val="18"/>
                    </w:rPr>
                    <w:t>Basic</w:t>
                  </w:r>
                </w:p>
              </w:tc>
              <w:tc>
                <w:tcPr>
                  <w:tcW w:w="2268" w:type="dxa"/>
                </w:tcPr>
                <w:p w14:paraId="5425CDFA" w14:textId="77777777" w:rsidR="006C41B5" w:rsidRPr="005F7253"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Aptos" w:hAnsi="Aptos"/>
                      <w:sz w:val="18"/>
                      <w:szCs w:val="18"/>
                    </w:rPr>
                  </w:pPr>
                  <w:r w:rsidRPr="005F7253">
                    <w:rPr>
                      <w:rFonts w:ascii="Aptos" w:hAnsi="Aptos"/>
                      <w:sz w:val="18"/>
                      <w:szCs w:val="18"/>
                    </w:rPr>
                    <w:t>Above basic</w:t>
                  </w:r>
                </w:p>
              </w:tc>
            </w:tr>
            <w:tr w:rsidR="006C41B5" w:rsidRPr="005F7253" w14:paraId="7CFA6A11" w14:textId="77777777" w:rsidTr="006C4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5FE15ABF" w14:textId="77777777" w:rsidR="006C41B5" w:rsidRPr="005F7253" w:rsidRDefault="006C41B5" w:rsidP="006C41B5">
                  <w:pPr>
                    <w:tabs>
                      <w:tab w:val="clear" w:pos="794"/>
                      <w:tab w:val="clear" w:pos="1191"/>
                      <w:tab w:val="clear" w:pos="1588"/>
                      <w:tab w:val="clear" w:pos="1985"/>
                    </w:tabs>
                    <w:overflowPunct/>
                    <w:autoSpaceDE/>
                    <w:autoSpaceDN/>
                    <w:adjustRightInd/>
                    <w:spacing w:before="0"/>
                    <w:contextualSpacing/>
                    <w:textAlignment w:val="auto"/>
                    <w:rPr>
                      <w:rFonts w:ascii="Aptos" w:hAnsi="Aptos"/>
                      <w:sz w:val="18"/>
                      <w:szCs w:val="18"/>
                    </w:rPr>
                  </w:pPr>
                  <w:r w:rsidRPr="005F7253">
                    <w:rPr>
                      <w:rFonts w:ascii="Aptos" w:hAnsi="Aptos"/>
                      <w:sz w:val="18"/>
                      <w:szCs w:val="18"/>
                    </w:rPr>
                    <w:t>0 activities</w:t>
                  </w:r>
                </w:p>
              </w:tc>
              <w:tc>
                <w:tcPr>
                  <w:tcW w:w="1531" w:type="dxa"/>
                </w:tcPr>
                <w:p w14:paraId="63634BAB" w14:textId="77777777" w:rsidR="006C41B5" w:rsidRPr="005F7253"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5F7253">
                    <w:rPr>
                      <w:rFonts w:ascii="Aptos" w:hAnsi="Aptos"/>
                      <w:sz w:val="18"/>
                      <w:szCs w:val="18"/>
                    </w:rPr>
                    <w:t>1 activity</w:t>
                  </w:r>
                </w:p>
              </w:tc>
              <w:tc>
                <w:tcPr>
                  <w:tcW w:w="2268" w:type="dxa"/>
                </w:tcPr>
                <w:p w14:paraId="735AC9BE" w14:textId="77777777" w:rsidR="006C41B5" w:rsidRPr="005F7253"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5F7253">
                    <w:rPr>
                      <w:rFonts w:ascii="Aptos" w:hAnsi="Aptos"/>
                      <w:sz w:val="18"/>
                      <w:szCs w:val="18"/>
                    </w:rPr>
                    <w:t>More than 1 activity</w:t>
                  </w:r>
                </w:p>
              </w:tc>
            </w:tr>
          </w:tbl>
          <w:p w14:paraId="2DC40BAF" w14:textId="77777777" w:rsidR="006C41B5" w:rsidRPr="005F7253" w:rsidRDefault="006C41B5" w:rsidP="006C41B5">
            <w:pPr>
              <w:tabs>
                <w:tab w:val="clear" w:pos="794"/>
                <w:tab w:val="clear" w:pos="1191"/>
                <w:tab w:val="clear" w:pos="1588"/>
                <w:tab w:val="clear" w:pos="1985"/>
              </w:tabs>
              <w:overflowPunct/>
              <w:autoSpaceDE/>
              <w:autoSpaceDN/>
              <w:adjustRightInd/>
              <w:spacing w:before="0"/>
              <w:ind w:left="1440"/>
              <w:contextualSpacing/>
              <w:textAlignment w:val="auto"/>
              <w:rPr>
                <w:rFonts w:ascii="Aptos" w:hAnsi="Aptos"/>
                <w:i/>
                <w:sz w:val="22"/>
              </w:rPr>
            </w:pPr>
          </w:p>
          <w:p w14:paraId="5500F5A4" w14:textId="77777777" w:rsidR="006C41B5" w:rsidRPr="005F7253" w:rsidRDefault="006C41B5" w:rsidP="006C41B5">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5F7253">
              <w:rPr>
                <w:rFonts w:ascii="Aptos" w:hAnsi="Aptos"/>
                <w:i/>
                <w:sz w:val="22"/>
              </w:rPr>
              <w:t>Skill levels should not be assessed in skill areas where fewer than two indicators are collected.</w:t>
            </w:r>
          </w:p>
          <w:p w14:paraId="20DC6FD8" w14:textId="77777777" w:rsidR="006C41B5" w:rsidRPr="005F7253" w:rsidRDefault="006C41B5" w:rsidP="006C41B5">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5F7253">
              <w:rPr>
                <w:rFonts w:ascii="Aptos" w:hAnsi="Aptos"/>
                <w:i/>
                <w:sz w:val="22"/>
              </w:rPr>
              <w:t>Indicators should be weighted equally within each skill area.</w:t>
            </w:r>
          </w:p>
          <w:p w14:paraId="43BB6E16" w14:textId="77777777" w:rsidR="006C41B5" w:rsidRPr="005F7253" w:rsidRDefault="006C41B5" w:rsidP="006C41B5">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5F7253">
              <w:rPr>
                <w:rFonts w:ascii="Aptos" w:hAnsi="Aptos"/>
                <w:i/>
                <w:sz w:val="22"/>
              </w:rPr>
              <w:t>Skill areas with different numbers of components should be treated equally.</w:t>
            </w:r>
          </w:p>
          <w:p w14:paraId="087B19D0"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p w14:paraId="7599EF8A" w14:textId="40532B6E"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5F7253">
              <w:rPr>
                <w:rFonts w:ascii="Aptos" w:hAnsi="Aptos"/>
                <w:sz w:val="22"/>
              </w:rPr>
              <w:t xml:space="preserve">While this recommendation does not require any additional data collection, it does require that countries perform additional analysis on existing survey microdata. ITU requested data on ICT skills for the first time in its April 2024 data collection, and received data from 40 countries, </w:t>
            </w:r>
            <w:r w:rsidR="005676EA" w:rsidRPr="005F7253">
              <w:rPr>
                <w:rFonts w:ascii="Aptos" w:hAnsi="Aptos"/>
                <w:sz w:val="22"/>
              </w:rPr>
              <w:t xml:space="preserve">including 2 </w:t>
            </w:r>
            <w:r w:rsidRPr="005F7253">
              <w:rPr>
                <w:rFonts w:ascii="Aptos" w:hAnsi="Aptos"/>
                <w:sz w:val="22"/>
              </w:rPr>
              <w:t>Arab States. However, other countries were unable to provide data, even though in many cases data on the underlying activities had been collected. It is expected that data availability will improve as familiarity with these new recommendations increases.</w:t>
            </w:r>
          </w:p>
          <w:p w14:paraId="2D877D1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tc>
      </w:tr>
    </w:tbl>
    <w:p w14:paraId="3F37C35F"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594EEA81" w14:textId="07AB01AC"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A different way to analyse these data is by comparing the distribution of country values for the activities that comprise each of the five skill areas. This provides a view of the prevalence of each activity among Internet users relative to others in the same area. It also shows the wide range of </w:t>
      </w:r>
      <w:r w:rsidR="005676EA" w:rsidRPr="005F7253">
        <w:rPr>
          <w:rFonts w:ascii="Aptos" w:eastAsia="Aptos" w:hAnsi="Aptos" w:cs="Arial"/>
          <w:kern w:val="2"/>
          <w:sz w:val="22"/>
          <w:szCs w:val="22"/>
          <w14:ligatures w14:val="standardContextual"/>
        </w:rPr>
        <w:t xml:space="preserve">variation in </w:t>
      </w:r>
      <w:r w:rsidRPr="005F7253">
        <w:rPr>
          <w:rFonts w:ascii="Aptos" w:eastAsia="Aptos" w:hAnsi="Aptos" w:cs="Arial"/>
          <w:kern w:val="2"/>
          <w:sz w:val="22"/>
          <w:szCs w:val="22"/>
          <w14:ligatures w14:val="standardContextual"/>
        </w:rPr>
        <w:t>ICT skills in countries in the region even when focusing only on those using the Internet.</w:t>
      </w:r>
    </w:p>
    <w:p w14:paraId="43872C48"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Internet users with information and data literacy skills, latest year available</w:t>
      </w:r>
    </w:p>
    <w:p w14:paraId="33BAA2B2"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noProof/>
          <w:kern w:val="2"/>
          <w:sz w:val="22"/>
          <w:szCs w:val="22"/>
          <w14:ligatures w14:val="standardContextual"/>
        </w:rPr>
        <w:drawing>
          <wp:inline distT="0" distB="0" distL="0" distR="0" wp14:anchorId="2F54400C" wp14:editId="2CDCC742">
            <wp:extent cx="5731510" cy="2541905"/>
            <wp:effectExtent l="0" t="0" r="2540" b="0"/>
            <wp:docPr id="5378933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93308" name=""/>
                    <pic:cNvPicPr/>
                  </pic:nvPicPr>
                  <pic:blipFill>
                    <a:blip r:embed="rId97">
                      <a:extLst>
                        <a:ext uri="{96DAC541-7B7A-43D3-8B79-37D633B846F1}">
                          <asvg:svgBlip xmlns:asvg="http://schemas.microsoft.com/office/drawing/2016/SVG/main" r:embed="rId98"/>
                        </a:ext>
                      </a:extLst>
                    </a:blip>
                    <a:stretch>
                      <a:fillRect/>
                    </a:stretch>
                  </pic:blipFill>
                  <pic:spPr>
                    <a:xfrm>
                      <a:off x="0" y="0"/>
                      <a:ext cx="5731510" cy="2541905"/>
                    </a:xfrm>
                    <a:prstGeom prst="rect">
                      <a:avLst/>
                    </a:prstGeom>
                  </pic:spPr>
                </pic:pic>
              </a:graphicData>
            </a:graphic>
          </wp:inline>
        </w:drawing>
      </w:r>
    </w:p>
    <w:p w14:paraId="1A0046A8" w14:textId="7BB65EAA"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Note: Bars indicate the 25th, median and 75th percentile of all country values. Bottom and top lines indicate minimum and maximum values. In-scope age varies between countries. Country data are for 2023 where available and no later than 2020. Data availability varies between indicator</w:t>
      </w:r>
      <w:r w:rsidR="00EC7277" w:rsidRPr="005F7253">
        <w:rPr>
          <w:rFonts w:ascii="Aptos" w:eastAsia="Aptos" w:hAnsi="Aptos" w:cs="Arial"/>
          <w:kern w:val="2"/>
          <w:sz w:val="16"/>
          <w:szCs w:val="28"/>
          <w14:ligatures w14:val="standardContextual"/>
        </w:rPr>
        <w:t>s,</w:t>
      </w:r>
      <w:r w:rsidRPr="005F7253">
        <w:rPr>
          <w:rFonts w:ascii="Aptos" w:eastAsia="Aptos" w:hAnsi="Aptos" w:cs="Arial"/>
          <w:kern w:val="2"/>
          <w:sz w:val="16"/>
          <w:szCs w:val="28"/>
          <w14:ligatures w14:val="standardContextual"/>
        </w:rPr>
        <w:t xml:space="preserve"> ranging from seven countries for </w:t>
      </w:r>
      <w:r w:rsidRPr="005F7253">
        <w:rPr>
          <w:rFonts w:ascii="Aptos" w:eastAsia="Aptos" w:hAnsi="Aptos" w:cs="Arial"/>
          <w:i/>
          <w:iCs/>
          <w:kern w:val="2"/>
          <w:sz w:val="16"/>
          <w:szCs w:val="28"/>
          <w14:ligatures w14:val="standardContextual"/>
        </w:rPr>
        <w:t>Reading or downloading newspapers, magazines or books to</w:t>
      </w:r>
      <w:r w:rsidRPr="005F7253">
        <w:rPr>
          <w:rFonts w:ascii="Aptos" w:eastAsia="Aptos" w:hAnsi="Aptos" w:cs="Arial"/>
          <w:kern w:val="2"/>
          <w:sz w:val="16"/>
          <w:szCs w:val="28"/>
          <w14:ligatures w14:val="standardContextual"/>
        </w:rPr>
        <w:t xml:space="preserve"> ten countries for </w:t>
      </w:r>
      <w:r w:rsidRPr="005F7253">
        <w:rPr>
          <w:rFonts w:ascii="Aptos" w:eastAsia="Aptos" w:hAnsi="Aptos" w:cs="Arial"/>
          <w:i/>
          <w:iCs/>
          <w:kern w:val="2"/>
          <w:sz w:val="16"/>
          <w:szCs w:val="28"/>
          <w14:ligatures w14:val="standardContextual"/>
        </w:rPr>
        <w:t xml:space="preserve">Seeking health information. </w:t>
      </w:r>
      <w:r w:rsidRPr="005F7253">
        <w:rPr>
          <w:rFonts w:ascii="Aptos" w:eastAsia="Aptos" w:hAnsi="Aptos" w:cs="Arial"/>
          <w:kern w:val="2"/>
          <w:sz w:val="16"/>
          <w:szCs w:val="28"/>
          <w14:ligatures w14:val="standardContextual"/>
        </w:rPr>
        <w:t xml:space="preserve">Detailed information – including complete indicator names – </w:t>
      </w:r>
      <w:r w:rsidR="00615FBB">
        <w:rPr>
          <w:rFonts w:ascii="Aptos" w:eastAsia="Aptos" w:hAnsi="Aptos" w:cs="Arial"/>
          <w:kern w:val="2"/>
          <w:sz w:val="16"/>
          <w:szCs w:val="28"/>
          <w14:ligatures w14:val="standardContextual"/>
        </w:rPr>
        <w:t>is</w:t>
      </w:r>
      <w:r w:rsidRPr="005F7253">
        <w:rPr>
          <w:rFonts w:ascii="Aptos" w:eastAsia="Aptos" w:hAnsi="Aptos" w:cs="Arial"/>
          <w:kern w:val="2"/>
          <w:sz w:val="16"/>
          <w:szCs w:val="28"/>
          <w14:ligatures w14:val="standardContextual"/>
        </w:rPr>
        <w:t xml:space="preserve"> available </w:t>
      </w:r>
      <w:hyperlink r:id="rId99" w:history="1">
        <w:r w:rsidRPr="005F7253">
          <w:rPr>
            <w:rFonts w:ascii="Aptos" w:eastAsia="Aptos" w:hAnsi="Aptos" w:cs="Arial"/>
            <w:color w:val="467886"/>
            <w:kern w:val="2"/>
            <w:sz w:val="16"/>
            <w:szCs w:val="28"/>
            <w:u w:val="single"/>
            <w14:ligatures w14:val="standardContextual"/>
          </w:rPr>
          <w:t>here</w:t>
        </w:r>
      </w:hyperlink>
      <w:r w:rsidRPr="005F7253">
        <w:rPr>
          <w:rFonts w:ascii="Aptos" w:eastAsia="Aptos" w:hAnsi="Aptos" w:cs="Arial"/>
          <w:kern w:val="2"/>
          <w:sz w:val="16"/>
          <w:szCs w:val="28"/>
          <w14:ligatures w14:val="standardContextual"/>
        </w:rPr>
        <w:t>.</w:t>
      </w:r>
    </w:p>
    <w:p w14:paraId="17A35328"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6FB9DAE1" w14:textId="2BB0E334"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lastRenderedPageBreak/>
        <w:t>For information and data literacy, getting information about goods or services had the highest median (52 per cent) of the four activities that make up this skill category</w:t>
      </w:r>
      <w:r w:rsidR="00EC7277" w:rsidRPr="005F7253">
        <w:rPr>
          <w:rFonts w:ascii="Aptos" w:eastAsia="Aptos" w:hAnsi="Aptos" w:cs="Arial"/>
          <w:kern w:val="2"/>
          <w:sz w:val="22"/>
          <w:szCs w:val="22"/>
          <w14:ligatures w14:val="standardContextual"/>
        </w:rPr>
        <w:t>. V</w:t>
      </w:r>
      <w:r w:rsidRPr="005F7253">
        <w:rPr>
          <w:rFonts w:ascii="Aptos" w:eastAsia="Aptos" w:hAnsi="Aptos" w:cs="Arial"/>
          <w:kern w:val="2"/>
          <w:sz w:val="22"/>
          <w:szCs w:val="22"/>
          <w14:ligatures w14:val="standardContextual"/>
        </w:rPr>
        <w:t xml:space="preserve">erifying the reliability of information found online, seeking health information </w:t>
      </w:r>
      <w:r w:rsidR="00EC7277" w:rsidRPr="005F7253">
        <w:rPr>
          <w:rFonts w:ascii="Aptos" w:eastAsia="Aptos" w:hAnsi="Aptos" w:cs="Arial"/>
          <w:kern w:val="2"/>
          <w:sz w:val="22"/>
          <w:szCs w:val="22"/>
          <w14:ligatures w14:val="standardContextual"/>
        </w:rPr>
        <w:t xml:space="preserve">had </w:t>
      </w:r>
      <w:r w:rsidRPr="005F7253">
        <w:rPr>
          <w:rFonts w:ascii="Aptos" w:eastAsia="Aptos" w:hAnsi="Aptos" w:cs="Arial"/>
          <w:kern w:val="2"/>
          <w:sz w:val="22"/>
          <w:szCs w:val="22"/>
          <w14:ligatures w14:val="standardContextual"/>
        </w:rPr>
        <w:t>similar distributions of country shares.</w:t>
      </w:r>
      <w:r w:rsidRPr="005F7253" w:rsidDel="004317D7">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Conversely, </w:t>
      </w:r>
      <w:r w:rsidR="00EC7277" w:rsidRPr="005F7253">
        <w:rPr>
          <w:rFonts w:ascii="Aptos" w:eastAsia="Aptos" w:hAnsi="Aptos" w:cs="Arial"/>
          <w:kern w:val="2"/>
          <w:sz w:val="22"/>
          <w:szCs w:val="22"/>
          <w14:ligatures w14:val="standardContextual"/>
        </w:rPr>
        <w:t xml:space="preserve">using the Internet to </w:t>
      </w:r>
      <w:r w:rsidRPr="005F7253">
        <w:rPr>
          <w:rFonts w:ascii="Aptos" w:eastAsia="Aptos" w:hAnsi="Aptos" w:cs="Arial"/>
          <w:kern w:val="2"/>
          <w:sz w:val="22"/>
          <w:szCs w:val="22"/>
          <w14:ligatures w14:val="standardContextual"/>
        </w:rPr>
        <w:t>read or download newspapers, magazines or books was less frequently reported</w:t>
      </w:r>
      <w:r w:rsidR="00EC7277" w:rsidRPr="005F7253">
        <w:rPr>
          <w:rFonts w:ascii="Aptos" w:eastAsia="Aptos" w:hAnsi="Aptos" w:cs="Arial"/>
          <w:kern w:val="2"/>
          <w:sz w:val="22"/>
          <w:szCs w:val="22"/>
          <w14:ligatures w14:val="standardContextual"/>
        </w:rPr>
        <w:t xml:space="preserve"> (median of 16 per cent)</w:t>
      </w:r>
      <w:r w:rsidRPr="005F7253">
        <w:rPr>
          <w:rFonts w:ascii="Aptos" w:eastAsia="Aptos" w:hAnsi="Aptos" w:cs="Arial"/>
          <w:kern w:val="2"/>
          <w:sz w:val="22"/>
          <w:szCs w:val="22"/>
          <w14:ligatures w14:val="standardContextual"/>
        </w:rPr>
        <w:t xml:space="preserve"> by individuals across the region.</w:t>
      </w:r>
    </w:p>
    <w:p w14:paraId="480ED02A"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Internet users with communication and collaboration skills, latest year available</w:t>
      </w:r>
    </w:p>
    <w:p w14:paraId="7B54C0C8"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noProof/>
          <w:kern w:val="2"/>
          <w:sz w:val="22"/>
          <w:szCs w:val="22"/>
          <w14:ligatures w14:val="standardContextual"/>
        </w:rPr>
        <w:drawing>
          <wp:inline distT="0" distB="0" distL="0" distR="0" wp14:anchorId="349FB02C" wp14:editId="04EF6D09">
            <wp:extent cx="5731510" cy="2548255"/>
            <wp:effectExtent l="0" t="0" r="2540" b="4445"/>
            <wp:docPr id="15313188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18856" name=""/>
                    <pic:cNvPicPr/>
                  </pic:nvPicPr>
                  <pic:blipFill>
                    <a:blip r:embed="rId100">
                      <a:extLst>
                        <a:ext uri="{96DAC541-7B7A-43D3-8B79-37D633B846F1}">
                          <asvg:svgBlip xmlns:asvg="http://schemas.microsoft.com/office/drawing/2016/SVG/main" r:embed="rId101"/>
                        </a:ext>
                      </a:extLst>
                    </a:blip>
                    <a:stretch>
                      <a:fillRect/>
                    </a:stretch>
                  </pic:blipFill>
                  <pic:spPr>
                    <a:xfrm>
                      <a:off x="0" y="0"/>
                      <a:ext cx="5731510" cy="2548255"/>
                    </a:xfrm>
                    <a:prstGeom prst="rect">
                      <a:avLst/>
                    </a:prstGeom>
                  </pic:spPr>
                </pic:pic>
              </a:graphicData>
            </a:graphic>
          </wp:inline>
        </w:drawing>
      </w:r>
    </w:p>
    <w:p w14:paraId="7D74BD93" w14:textId="6975CFEE"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Note: Bars indicate the 25th, median and 75th percentile of all country values. </w:t>
      </w:r>
      <w:r w:rsidR="00EC7277" w:rsidRPr="005F7253">
        <w:rPr>
          <w:rFonts w:ascii="Aptos" w:eastAsia="Aptos" w:hAnsi="Aptos" w:cs="Arial"/>
          <w:kern w:val="2"/>
          <w:sz w:val="16"/>
          <w:szCs w:val="28"/>
          <w14:ligatures w14:val="standardContextual"/>
        </w:rPr>
        <w:t>The whiskers (b</w:t>
      </w:r>
      <w:r w:rsidRPr="005F7253">
        <w:rPr>
          <w:rFonts w:ascii="Aptos" w:eastAsia="Aptos" w:hAnsi="Aptos" w:cs="Arial"/>
          <w:kern w:val="2"/>
          <w:sz w:val="16"/>
          <w:szCs w:val="28"/>
          <w14:ligatures w14:val="standardContextual"/>
        </w:rPr>
        <w:t>ottom and top lines</w:t>
      </w:r>
      <w:r w:rsidR="00EC7277" w:rsidRPr="005F7253">
        <w:rPr>
          <w:rFonts w:ascii="Aptos" w:eastAsia="Aptos" w:hAnsi="Aptos" w:cs="Arial"/>
          <w:kern w:val="2"/>
          <w:sz w:val="16"/>
          <w:szCs w:val="28"/>
          <w14:ligatures w14:val="standardContextual"/>
        </w:rPr>
        <w:t>)</w:t>
      </w:r>
      <w:r w:rsidRPr="005F7253">
        <w:rPr>
          <w:rFonts w:ascii="Aptos" w:eastAsia="Aptos" w:hAnsi="Aptos" w:cs="Arial"/>
          <w:kern w:val="2"/>
          <w:sz w:val="16"/>
          <w:szCs w:val="28"/>
          <w14:ligatures w14:val="standardContextual"/>
        </w:rPr>
        <w:t xml:space="preserve"> indicate </w:t>
      </w:r>
      <w:r w:rsidR="00EC7277" w:rsidRPr="005F7253">
        <w:rPr>
          <w:rFonts w:ascii="Aptos" w:eastAsia="Aptos" w:hAnsi="Aptos" w:cs="Arial"/>
          <w:kern w:val="2"/>
          <w:sz w:val="16"/>
          <w:szCs w:val="28"/>
          <w14:ligatures w14:val="standardContextual"/>
        </w:rPr>
        <w:t xml:space="preserve">individual </w:t>
      </w:r>
      <w:r w:rsidRPr="005F7253">
        <w:rPr>
          <w:rFonts w:ascii="Aptos" w:eastAsia="Aptos" w:hAnsi="Aptos" w:cs="Arial"/>
          <w:kern w:val="2"/>
          <w:sz w:val="16"/>
          <w:szCs w:val="28"/>
          <w14:ligatures w14:val="standardContextual"/>
        </w:rPr>
        <w:t xml:space="preserve">minimum and maximum values. In-scope age varies between countries. Country data are for 2023 where available </w:t>
      </w:r>
      <w:r w:rsidR="001071A0" w:rsidRPr="005F7253">
        <w:rPr>
          <w:rFonts w:ascii="Aptos" w:eastAsia="Aptos" w:hAnsi="Aptos" w:cs="Arial"/>
          <w:kern w:val="2"/>
          <w:sz w:val="16"/>
          <w:szCs w:val="28"/>
          <w14:ligatures w14:val="standardContextual"/>
        </w:rPr>
        <w:t xml:space="preserve">but no </w:t>
      </w:r>
      <w:r w:rsidR="00EC7277" w:rsidRPr="005F7253">
        <w:rPr>
          <w:rFonts w:ascii="Aptos" w:eastAsia="Aptos" w:hAnsi="Aptos" w:cs="Arial"/>
          <w:kern w:val="2"/>
          <w:sz w:val="16"/>
          <w:szCs w:val="28"/>
          <w14:ligatures w14:val="standardContextual"/>
        </w:rPr>
        <w:t xml:space="preserve">earlier </w:t>
      </w:r>
      <w:r w:rsidRPr="005F7253">
        <w:rPr>
          <w:rFonts w:ascii="Aptos" w:eastAsia="Aptos" w:hAnsi="Aptos" w:cs="Arial"/>
          <w:kern w:val="2"/>
          <w:sz w:val="16"/>
          <w:szCs w:val="28"/>
          <w14:ligatures w14:val="standardContextual"/>
        </w:rPr>
        <w:t>than 2020. Data availability varies between indicators</w:t>
      </w:r>
      <w:r w:rsidR="00EC7277" w:rsidRPr="005F7253">
        <w:rPr>
          <w:rFonts w:ascii="Aptos" w:eastAsia="Aptos" w:hAnsi="Aptos" w:cs="Arial"/>
          <w:kern w:val="2"/>
          <w:sz w:val="16"/>
          <w:szCs w:val="28"/>
          <w14:ligatures w14:val="standardContextual"/>
        </w:rPr>
        <w:t>,</w:t>
      </w:r>
      <w:r w:rsidRPr="005F7253">
        <w:rPr>
          <w:rFonts w:ascii="Aptos" w:eastAsia="Aptos" w:hAnsi="Aptos" w:cs="Arial"/>
          <w:kern w:val="2"/>
          <w:sz w:val="16"/>
          <w:szCs w:val="28"/>
          <w14:ligatures w14:val="standardContextual"/>
        </w:rPr>
        <w:t xml:space="preserve"> ranging from ten countries for </w:t>
      </w:r>
      <w:r w:rsidRPr="005F7253">
        <w:rPr>
          <w:rFonts w:ascii="Aptos" w:eastAsia="Aptos" w:hAnsi="Aptos" w:cs="Arial"/>
          <w:i/>
          <w:iCs/>
          <w:kern w:val="2"/>
          <w:sz w:val="16"/>
          <w:szCs w:val="28"/>
          <w14:ligatures w14:val="standardContextual"/>
        </w:rPr>
        <w:t>Sending e-mails with attached files</w:t>
      </w:r>
      <w:r w:rsidRPr="005F7253">
        <w:rPr>
          <w:rFonts w:ascii="Aptos" w:eastAsia="Aptos" w:hAnsi="Aptos" w:cs="Arial"/>
          <w:i/>
          <w:kern w:val="2"/>
          <w:sz w:val="16"/>
          <w:szCs w:val="28"/>
          <w14:ligatures w14:val="standardContextual"/>
        </w:rPr>
        <w:t xml:space="preserve"> </w:t>
      </w:r>
      <w:r w:rsidRPr="005F7253">
        <w:rPr>
          <w:rFonts w:ascii="Aptos" w:eastAsia="Aptos" w:hAnsi="Aptos" w:cs="Arial"/>
          <w:kern w:val="2"/>
          <w:sz w:val="16"/>
          <w:szCs w:val="28"/>
          <w14:ligatures w14:val="standardContextual"/>
        </w:rPr>
        <w:t xml:space="preserve">and </w:t>
      </w:r>
      <w:proofErr w:type="gramStart"/>
      <w:r w:rsidRPr="005F7253">
        <w:rPr>
          <w:rFonts w:ascii="Aptos" w:eastAsia="Aptos" w:hAnsi="Aptos" w:cs="Arial"/>
          <w:i/>
          <w:iCs/>
          <w:kern w:val="2"/>
          <w:sz w:val="16"/>
          <w:szCs w:val="28"/>
          <w14:ligatures w14:val="standardContextual"/>
        </w:rPr>
        <w:t>Participating</w:t>
      </w:r>
      <w:proofErr w:type="gramEnd"/>
      <w:r w:rsidRPr="005F7253">
        <w:rPr>
          <w:rFonts w:ascii="Aptos" w:eastAsia="Aptos" w:hAnsi="Aptos" w:cs="Arial"/>
          <w:i/>
          <w:iCs/>
          <w:kern w:val="2"/>
          <w:sz w:val="16"/>
          <w:szCs w:val="28"/>
          <w14:ligatures w14:val="standardContextual"/>
        </w:rPr>
        <w:t xml:space="preserve"> in social networks </w:t>
      </w:r>
      <w:r w:rsidRPr="005F7253">
        <w:rPr>
          <w:rFonts w:ascii="Aptos" w:eastAsia="Aptos" w:hAnsi="Aptos" w:cs="Arial"/>
          <w:kern w:val="2"/>
          <w:sz w:val="16"/>
          <w:szCs w:val="28"/>
          <w14:ligatures w14:val="standardContextual"/>
        </w:rPr>
        <w:t xml:space="preserve">and seven countries for </w:t>
      </w:r>
      <w:r w:rsidRPr="005F7253">
        <w:rPr>
          <w:rFonts w:ascii="Aptos" w:eastAsia="Aptos" w:hAnsi="Aptos" w:cs="Arial"/>
          <w:i/>
          <w:iCs/>
          <w:kern w:val="2"/>
          <w:sz w:val="16"/>
          <w:szCs w:val="28"/>
          <w14:ligatures w14:val="standardContextual"/>
        </w:rPr>
        <w:t xml:space="preserve">Taking part in online consultations or voting to define civic or political issues. </w:t>
      </w:r>
      <w:r w:rsidRPr="005F7253">
        <w:rPr>
          <w:rFonts w:ascii="Aptos" w:eastAsia="Aptos" w:hAnsi="Aptos" w:cs="Arial"/>
          <w:kern w:val="2"/>
          <w:sz w:val="16"/>
          <w:szCs w:val="28"/>
          <w14:ligatures w14:val="standardContextual"/>
        </w:rPr>
        <w:t xml:space="preserve">Detailed information – including complete indicator names – </w:t>
      </w:r>
      <w:r w:rsidR="00EC7277" w:rsidRPr="005F7253">
        <w:rPr>
          <w:rFonts w:ascii="Aptos" w:eastAsia="Aptos" w:hAnsi="Aptos" w:cs="Arial"/>
          <w:kern w:val="2"/>
          <w:sz w:val="16"/>
          <w:szCs w:val="28"/>
          <w14:ligatures w14:val="standardContextual"/>
        </w:rPr>
        <w:t xml:space="preserve">is </w:t>
      </w:r>
      <w:r w:rsidRPr="005F7253">
        <w:rPr>
          <w:rFonts w:ascii="Aptos" w:eastAsia="Aptos" w:hAnsi="Aptos" w:cs="Arial"/>
          <w:kern w:val="2"/>
          <w:sz w:val="16"/>
          <w:szCs w:val="28"/>
          <w14:ligatures w14:val="standardContextual"/>
        </w:rPr>
        <w:t xml:space="preserve">available </w:t>
      </w:r>
      <w:hyperlink r:id="rId102" w:history="1">
        <w:r w:rsidRPr="005F7253">
          <w:rPr>
            <w:rFonts w:ascii="Aptos" w:eastAsia="Aptos" w:hAnsi="Aptos" w:cs="Arial"/>
            <w:color w:val="467886"/>
            <w:kern w:val="2"/>
            <w:sz w:val="16"/>
            <w:szCs w:val="28"/>
            <w:u w:val="single"/>
            <w14:ligatures w14:val="standardContextual"/>
          </w:rPr>
          <w:t>here</w:t>
        </w:r>
      </w:hyperlink>
      <w:r w:rsidRPr="005F7253">
        <w:rPr>
          <w:rFonts w:ascii="Aptos" w:eastAsia="Aptos" w:hAnsi="Aptos" w:cs="Arial"/>
          <w:kern w:val="2"/>
          <w:sz w:val="16"/>
          <w:szCs w:val="28"/>
          <w14:ligatures w14:val="standardContextual"/>
        </w:rPr>
        <w:t>.</w:t>
      </w:r>
    </w:p>
    <w:p w14:paraId="0299B99A"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5E71EC89" w14:textId="1A6C3AD9"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The medians for communication and collaboration were much higher than for information and data literacy, ranging from 62 to 84 per cent</w:t>
      </w:r>
      <w:r w:rsidR="001071A0" w:rsidRPr="005F7253">
        <w:rPr>
          <w:rFonts w:ascii="Aptos" w:eastAsia="Aptos" w:hAnsi="Aptos" w:cs="Arial"/>
          <w:kern w:val="2"/>
          <w:sz w:val="22"/>
          <w:szCs w:val="22"/>
          <w14:ligatures w14:val="standardContextual"/>
        </w:rPr>
        <w:t xml:space="preserve">. The one </w:t>
      </w:r>
      <w:r w:rsidRPr="005F7253">
        <w:rPr>
          <w:rFonts w:ascii="Aptos" w:eastAsia="Aptos" w:hAnsi="Aptos" w:cs="Arial"/>
          <w:kern w:val="2"/>
          <w:sz w:val="22"/>
          <w:szCs w:val="22"/>
          <w14:ligatures w14:val="standardContextual"/>
        </w:rPr>
        <w:t xml:space="preserve">exception </w:t>
      </w:r>
      <w:r w:rsidR="001071A0" w:rsidRPr="005F7253">
        <w:rPr>
          <w:rFonts w:ascii="Aptos" w:eastAsia="Aptos" w:hAnsi="Aptos" w:cs="Arial"/>
          <w:kern w:val="2"/>
          <w:sz w:val="22"/>
          <w:szCs w:val="22"/>
          <w14:ligatures w14:val="standardContextual"/>
        </w:rPr>
        <w:t xml:space="preserve">was </w:t>
      </w:r>
      <w:r w:rsidRPr="005F7253">
        <w:rPr>
          <w:rFonts w:ascii="Aptos" w:eastAsia="Aptos" w:hAnsi="Aptos" w:cs="Arial"/>
          <w:kern w:val="2"/>
          <w:sz w:val="22"/>
          <w:szCs w:val="22"/>
          <w14:ligatures w14:val="standardContextual"/>
        </w:rPr>
        <w:t>taking part in online consultations or voting to define civic or political issues, which had a median of only 6 per cent.</w:t>
      </w:r>
    </w:p>
    <w:p w14:paraId="538C2853"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Internet users with digital content creation skills, latest year available</w:t>
      </w:r>
    </w:p>
    <w:p w14:paraId="7C8C3488" w14:textId="77777777" w:rsidR="000018FC"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57850DA8" wp14:editId="4267DFFE">
            <wp:extent cx="5731510" cy="2517140"/>
            <wp:effectExtent l="0" t="0" r="0" b="0"/>
            <wp:docPr id="10608532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53262" name=""/>
                    <pic:cNvPicPr/>
                  </pic:nvPicPr>
                  <pic:blipFill>
                    <a:blip r:embed="rId103">
                      <a:extLst>
                        <a:ext uri="{96DAC541-7B7A-43D3-8B79-37D633B846F1}">
                          <asvg:svgBlip xmlns:asvg="http://schemas.microsoft.com/office/drawing/2016/SVG/main" r:embed="rId104"/>
                        </a:ext>
                      </a:extLst>
                    </a:blip>
                    <a:stretch>
                      <a:fillRect/>
                    </a:stretch>
                  </pic:blipFill>
                  <pic:spPr>
                    <a:xfrm>
                      <a:off x="0" y="0"/>
                      <a:ext cx="5731510" cy="2517140"/>
                    </a:xfrm>
                    <a:prstGeom prst="rect">
                      <a:avLst/>
                    </a:prstGeom>
                  </pic:spPr>
                </pic:pic>
              </a:graphicData>
            </a:graphic>
          </wp:inline>
        </w:drawing>
      </w:r>
    </w:p>
    <w:p w14:paraId="42F3DFDA" w14:textId="7701861F"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Note: Bars indicate the 25th, median and 75th percentile of all country values. </w:t>
      </w:r>
      <w:r w:rsidR="001071A0" w:rsidRPr="005F7253">
        <w:rPr>
          <w:rFonts w:ascii="Aptos" w:eastAsia="Aptos" w:hAnsi="Aptos" w:cs="Arial"/>
          <w:kern w:val="2"/>
          <w:sz w:val="16"/>
          <w:szCs w:val="28"/>
          <w14:ligatures w14:val="standardContextual"/>
        </w:rPr>
        <w:t xml:space="preserve">The whiskers </w:t>
      </w:r>
      <w:r w:rsidRPr="005F7253">
        <w:rPr>
          <w:rFonts w:ascii="Aptos" w:eastAsia="Aptos" w:hAnsi="Aptos" w:cs="Arial"/>
          <w:kern w:val="2"/>
          <w:sz w:val="16"/>
          <w:szCs w:val="28"/>
          <w14:ligatures w14:val="standardContextual"/>
        </w:rPr>
        <w:t xml:space="preserve">indicate </w:t>
      </w:r>
      <w:r w:rsidR="001071A0" w:rsidRPr="005F7253">
        <w:rPr>
          <w:rFonts w:ascii="Aptos" w:eastAsia="Aptos" w:hAnsi="Aptos" w:cs="Arial"/>
          <w:kern w:val="2"/>
          <w:sz w:val="16"/>
          <w:szCs w:val="28"/>
          <w14:ligatures w14:val="standardContextual"/>
        </w:rPr>
        <w:t xml:space="preserve">individual </w:t>
      </w:r>
      <w:r w:rsidRPr="005F7253">
        <w:rPr>
          <w:rFonts w:ascii="Aptos" w:eastAsia="Aptos" w:hAnsi="Aptos" w:cs="Arial"/>
          <w:kern w:val="2"/>
          <w:sz w:val="16"/>
          <w:szCs w:val="28"/>
          <w14:ligatures w14:val="standardContextual"/>
        </w:rPr>
        <w:t xml:space="preserve">minimum and maximum values. In-scope age varies between countries. Country data are for 2023 where available </w:t>
      </w:r>
      <w:r w:rsidR="001071A0" w:rsidRPr="005F7253">
        <w:rPr>
          <w:rFonts w:ascii="Aptos" w:eastAsia="Aptos" w:hAnsi="Aptos" w:cs="Arial"/>
          <w:kern w:val="2"/>
          <w:sz w:val="16"/>
          <w:szCs w:val="28"/>
          <w14:ligatures w14:val="standardContextual"/>
        </w:rPr>
        <w:t xml:space="preserve">but no earlier </w:t>
      </w:r>
      <w:r w:rsidRPr="005F7253">
        <w:rPr>
          <w:rFonts w:ascii="Aptos" w:eastAsia="Aptos" w:hAnsi="Aptos" w:cs="Arial"/>
          <w:kern w:val="2"/>
          <w:sz w:val="16"/>
          <w:szCs w:val="28"/>
          <w14:ligatures w14:val="standardContextual"/>
        </w:rPr>
        <w:t xml:space="preserve">than 2020. Data availability varies </w:t>
      </w:r>
      <w:r w:rsidR="001071A0" w:rsidRPr="005F7253">
        <w:rPr>
          <w:rFonts w:ascii="Aptos" w:eastAsia="Aptos" w:hAnsi="Aptos" w:cs="Arial"/>
          <w:kern w:val="2"/>
          <w:sz w:val="16"/>
          <w:szCs w:val="28"/>
          <w14:ligatures w14:val="standardContextual"/>
        </w:rPr>
        <w:t xml:space="preserve">among </w:t>
      </w:r>
      <w:r w:rsidR="005F7253" w:rsidRPr="005F7253">
        <w:rPr>
          <w:rFonts w:ascii="Aptos" w:eastAsia="Aptos" w:hAnsi="Aptos" w:cs="Arial"/>
          <w:kern w:val="2"/>
          <w:sz w:val="16"/>
          <w:szCs w:val="28"/>
          <w14:ligatures w14:val="standardContextual"/>
        </w:rPr>
        <w:t>indicators</w:t>
      </w:r>
      <w:r w:rsidR="001071A0" w:rsidRPr="005F7253">
        <w:rPr>
          <w:rFonts w:ascii="Aptos" w:eastAsia="Aptos" w:hAnsi="Aptos" w:cs="Arial"/>
          <w:kern w:val="2"/>
          <w:sz w:val="16"/>
          <w:szCs w:val="28"/>
          <w14:ligatures w14:val="standardContextual"/>
        </w:rPr>
        <w:t>,</w:t>
      </w:r>
      <w:r w:rsidRPr="005F7253">
        <w:rPr>
          <w:rFonts w:ascii="Aptos" w:eastAsia="Aptos" w:hAnsi="Aptos" w:cs="Arial"/>
          <w:kern w:val="2"/>
          <w:sz w:val="16"/>
          <w:szCs w:val="28"/>
          <w14:ligatures w14:val="standardContextual"/>
        </w:rPr>
        <w:t xml:space="preserve"> ranging from seven countries for </w:t>
      </w:r>
      <w:r w:rsidRPr="005F7253">
        <w:rPr>
          <w:rFonts w:ascii="Aptos" w:eastAsia="Aptos" w:hAnsi="Aptos" w:cs="Arial"/>
          <w:i/>
          <w:iCs/>
          <w:kern w:val="2"/>
          <w:sz w:val="16"/>
          <w:szCs w:val="28"/>
          <w14:ligatures w14:val="standardContextual"/>
        </w:rPr>
        <w:t xml:space="preserve">Using software run over the Internet for editing text documents, spreadsheets or </w:t>
      </w:r>
      <w:r w:rsidRPr="005F7253">
        <w:rPr>
          <w:rFonts w:ascii="Aptos" w:eastAsia="Aptos" w:hAnsi="Aptos" w:cs="Arial"/>
          <w:i/>
          <w:iCs/>
          <w:kern w:val="2"/>
          <w:sz w:val="16"/>
          <w:szCs w:val="28"/>
          <w14:ligatures w14:val="standardContextual"/>
        </w:rPr>
        <w:lastRenderedPageBreak/>
        <w:t xml:space="preserve">presentations </w:t>
      </w:r>
      <w:r w:rsidRPr="005F7253">
        <w:rPr>
          <w:rFonts w:ascii="Aptos" w:eastAsia="Aptos" w:hAnsi="Aptos" w:cs="Arial"/>
          <w:kern w:val="2"/>
          <w:sz w:val="16"/>
          <w:szCs w:val="28"/>
          <w14:ligatures w14:val="standardContextual"/>
        </w:rPr>
        <w:t xml:space="preserve">to nine countries for </w:t>
      </w:r>
      <w:r w:rsidRPr="005F7253">
        <w:rPr>
          <w:rFonts w:ascii="Aptos" w:eastAsia="Aptos" w:hAnsi="Aptos" w:cs="Arial"/>
          <w:i/>
          <w:iCs/>
          <w:kern w:val="2"/>
          <w:sz w:val="16"/>
          <w:szCs w:val="28"/>
          <w14:ligatures w14:val="standardContextual"/>
        </w:rPr>
        <w:t xml:space="preserve">Writing a computer program using a programming language </w:t>
      </w:r>
      <w:r w:rsidRPr="005F7253">
        <w:rPr>
          <w:rFonts w:ascii="Aptos" w:eastAsia="Aptos" w:hAnsi="Aptos" w:cs="Arial"/>
          <w:kern w:val="2"/>
          <w:sz w:val="16"/>
          <w:szCs w:val="28"/>
          <w14:ligatures w14:val="standardContextual"/>
        </w:rPr>
        <w:t>and ten countries for all other indicators</w:t>
      </w:r>
      <w:r w:rsidRPr="005F7253">
        <w:rPr>
          <w:rFonts w:ascii="Aptos" w:eastAsia="Aptos" w:hAnsi="Aptos" w:cs="Arial"/>
          <w:i/>
          <w:iCs/>
          <w:kern w:val="2"/>
          <w:sz w:val="16"/>
          <w:szCs w:val="28"/>
          <w14:ligatures w14:val="standardContextual"/>
        </w:rPr>
        <w:t xml:space="preserve">. </w:t>
      </w:r>
      <w:r w:rsidRPr="005F7253">
        <w:rPr>
          <w:rFonts w:ascii="Aptos" w:eastAsia="Aptos" w:hAnsi="Aptos" w:cs="Arial"/>
          <w:kern w:val="2"/>
          <w:sz w:val="16"/>
          <w:szCs w:val="28"/>
          <w14:ligatures w14:val="standardContextual"/>
        </w:rPr>
        <w:t xml:space="preserve">Detailed information – including complete indicator names – </w:t>
      </w:r>
      <w:r w:rsidR="003B0A51">
        <w:rPr>
          <w:rFonts w:ascii="Aptos" w:eastAsia="Aptos" w:hAnsi="Aptos" w:cs="Arial"/>
          <w:kern w:val="2"/>
          <w:sz w:val="16"/>
          <w:szCs w:val="28"/>
          <w14:ligatures w14:val="standardContextual"/>
        </w:rPr>
        <w:t>is</w:t>
      </w:r>
      <w:r w:rsidR="003B0A51" w:rsidRPr="005F7253">
        <w:rPr>
          <w:rFonts w:ascii="Aptos" w:eastAsia="Aptos" w:hAnsi="Aptos" w:cs="Arial"/>
          <w:kern w:val="2"/>
          <w:sz w:val="16"/>
          <w:szCs w:val="28"/>
          <w14:ligatures w14:val="standardContextual"/>
        </w:rPr>
        <w:t xml:space="preserve"> </w:t>
      </w:r>
      <w:r w:rsidRPr="005F7253">
        <w:rPr>
          <w:rFonts w:ascii="Aptos" w:eastAsia="Aptos" w:hAnsi="Aptos" w:cs="Arial"/>
          <w:kern w:val="2"/>
          <w:sz w:val="16"/>
          <w:szCs w:val="28"/>
          <w14:ligatures w14:val="standardContextual"/>
        </w:rPr>
        <w:t xml:space="preserve">available </w:t>
      </w:r>
      <w:hyperlink r:id="rId105" w:history="1">
        <w:r w:rsidRPr="005F7253">
          <w:rPr>
            <w:rFonts w:ascii="Aptos" w:eastAsia="Aptos" w:hAnsi="Aptos" w:cs="Arial"/>
            <w:color w:val="467886"/>
            <w:kern w:val="2"/>
            <w:sz w:val="16"/>
            <w:szCs w:val="28"/>
            <w:u w:val="single"/>
            <w14:ligatures w14:val="standardContextual"/>
          </w:rPr>
          <w:t>here</w:t>
        </w:r>
      </w:hyperlink>
      <w:r w:rsidRPr="005F7253">
        <w:rPr>
          <w:rFonts w:ascii="Aptos" w:eastAsia="Aptos" w:hAnsi="Aptos" w:cs="Arial"/>
          <w:kern w:val="2"/>
          <w:sz w:val="16"/>
          <w:szCs w:val="28"/>
          <w14:ligatures w14:val="standardContextual"/>
        </w:rPr>
        <w:t>.</w:t>
      </w:r>
    </w:p>
    <w:p w14:paraId="20DF9706"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3CB17914" w14:textId="0BCFB3BD"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digital content creation skill area generally shows relatively low medians for five of the six activities, ranging from </w:t>
      </w:r>
      <w:r w:rsidR="001071A0" w:rsidRPr="005F7253">
        <w:rPr>
          <w:rFonts w:ascii="Aptos" w:eastAsia="Aptos" w:hAnsi="Aptos" w:cs="Arial"/>
          <w:kern w:val="2"/>
          <w:sz w:val="22"/>
          <w:szCs w:val="22"/>
          <w14:ligatures w14:val="standardContextual"/>
        </w:rPr>
        <w:t xml:space="preserve">10 </w:t>
      </w:r>
      <w:r w:rsidRPr="005F7253">
        <w:rPr>
          <w:rFonts w:ascii="Aptos" w:eastAsia="Aptos" w:hAnsi="Aptos" w:cs="Arial"/>
          <w:kern w:val="2"/>
          <w:sz w:val="22"/>
          <w:szCs w:val="22"/>
          <w14:ligatures w14:val="standardContextual"/>
        </w:rPr>
        <w:t>to 33 per cent. The exception is using copy and paste tools within a document, which had a median of 59 per cent.</w:t>
      </w:r>
    </w:p>
    <w:p w14:paraId="7F7EBB12"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Internet users with safety skills, latest year available</w:t>
      </w:r>
    </w:p>
    <w:p w14:paraId="3BDB9454"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noProof/>
          <w:kern w:val="2"/>
          <w:sz w:val="22"/>
          <w:szCs w:val="22"/>
          <w14:ligatures w14:val="standardContextual"/>
        </w:rPr>
        <w:drawing>
          <wp:inline distT="0" distB="0" distL="0" distR="0" wp14:anchorId="410CAA08" wp14:editId="3F1BB351">
            <wp:extent cx="5731510" cy="2541905"/>
            <wp:effectExtent l="0" t="0" r="4445" b="0"/>
            <wp:docPr id="2937442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44296" name=""/>
                    <pic:cNvPicPr/>
                  </pic:nvPicPr>
                  <pic:blipFill>
                    <a:blip r:embed="rId106">
                      <a:extLst>
                        <a:ext uri="{96DAC541-7B7A-43D3-8B79-37D633B846F1}">
                          <asvg:svgBlip xmlns:asvg="http://schemas.microsoft.com/office/drawing/2016/SVG/main" r:embed="rId107"/>
                        </a:ext>
                      </a:extLst>
                    </a:blip>
                    <a:stretch>
                      <a:fillRect/>
                    </a:stretch>
                  </pic:blipFill>
                  <pic:spPr>
                    <a:xfrm>
                      <a:off x="0" y="0"/>
                      <a:ext cx="5731510" cy="2541905"/>
                    </a:xfrm>
                    <a:prstGeom prst="rect">
                      <a:avLst/>
                    </a:prstGeom>
                  </pic:spPr>
                </pic:pic>
              </a:graphicData>
            </a:graphic>
          </wp:inline>
        </w:drawing>
      </w:r>
    </w:p>
    <w:p w14:paraId="71D63ED8" w14:textId="106EE42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Note: Bars indicate the 25th, median and 75th percentile of all country values. </w:t>
      </w:r>
      <w:r w:rsidR="00637900" w:rsidRPr="005F7253">
        <w:rPr>
          <w:rFonts w:ascii="Aptos" w:eastAsia="Aptos" w:hAnsi="Aptos" w:cs="Arial"/>
          <w:kern w:val="2"/>
          <w:sz w:val="16"/>
          <w:szCs w:val="28"/>
          <w14:ligatures w14:val="standardContextual"/>
        </w:rPr>
        <w:t>The whiskers (bottom and top lines) indicate individual minimum and maximum values</w:t>
      </w:r>
      <w:r w:rsidRPr="005F7253">
        <w:rPr>
          <w:rFonts w:ascii="Aptos" w:eastAsia="Aptos" w:hAnsi="Aptos" w:cs="Arial"/>
          <w:kern w:val="2"/>
          <w:sz w:val="16"/>
          <w:szCs w:val="28"/>
          <w14:ligatures w14:val="standardContextual"/>
        </w:rPr>
        <w:t xml:space="preserve">. In-scope age varies between countries. </w:t>
      </w:r>
      <w:r w:rsidR="00637900" w:rsidRPr="005F7253">
        <w:rPr>
          <w:rFonts w:ascii="Aptos" w:eastAsia="Aptos" w:hAnsi="Aptos" w:cs="Arial"/>
          <w:kern w:val="2"/>
          <w:sz w:val="16"/>
          <w:szCs w:val="28"/>
          <w14:ligatures w14:val="standardContextual"/>
        </w:rPr>
        <w:t>Country data are for 2023 where available but no earlier than 2020</w:t>
      </w:r>
      <w:r w:rsidRPr="005F7253">
        <w:rPr>
          <w:rFonts w:ascii="Aptos" w:eastAsia="Aptos" w:hAnsi="Aptos" w:cs="Arial"/>
          <w:kern w:val="2"/>
          <w:sz w:val="16"/>
          <w:szCs w:val="28"/>
          <w14:ligatures w14:val="standardContextual"/>
        </w:rPr>
        <w:t>. Nine countries provided data for each indicator</w:t>
      </w:r>
      <w:r w:rsidRPr="005F7253">
        <w:rPr>
          <w:rFonts w:ascii="Aptos" w:eastAsia="Aptos" w:hAnsi="Aptos" w:cs="Arial"/>
          <w:i/>
          <w:iCs/>
          <w:kern w:val="2"/>
          <w:sz w:val="16"/>
          <w:szCs w:val="28"/>
          <w14:ligatures w14:val="standardContextual"/>
        </w:rPr>
        <w:t xml:space="preserve">. </w:t>
      </w:r>
      <w:r w:rsidRPr="005F7253">
        <w:rPr>
          <w:rFonts w:ascii="Aptos" w:eastAsia="Aptos" w:hAnsi="Aptos" w:cs="Arial"/>
          <w:kern w:val="2"/>
          <w:sz w:val="16"/>
          <w:szCs w:val="28"/>
          <w14:ligatures w14:val="standardContextual"/>
        </w:rPr>
        <w:t xml:space="preserve">Detailed information – including complete indicator names – </w:t>
      </w:r>
      <w:r w:rsidR="005132BB">
        <w:rPr>
          <w:rFonts w:ascii="Aptos" w:eastAsia="Aptos" w:hAnsi="Aptos" w:cs="Arial"/>
          <w:kern w:val="2"/>
          <w:sz w:val="16"/>
          <w:szCs w:val="28"/>
          <w14:ligatures w14:val="standardContextual"/>
        </w:rPr>
        <w:t>is</w:t>
      </w:r>
      <w:r w:rsidR="005132BB" w:rsidRPr="005F7253">
        <w:rPr>
          <w:rFonts w:ascii="Aptos" w:eastAsia="Aptos" w:hAnsi="Aptos" w:cs="Arial"/>
          <w:kern w:val="2"/>
          <w:sz w:val="16"/>
          <w:szCs w:val="28"/>
          <w14:ligatures w14:val="standardContextual"/>
        </w:rPr>
        <w:t xml:space="preserve"> </w:t>
      </w:r>
      <w:r w:rsidRPr="005F7253">
        <w:rPr>
          <w:rFonts w:ascii="Aptos" w:eastAsia="Aptos" w:hAnsi="Aptos" w:cs="Arial"/>
          <w:kern w:val="2"/>
          <w:sz w:val="16"/>
          <w:szCs w:val="28"/>
          <w14:ligatures w14:val="standardContextual"/>
        </w:rPr>
        <w:t xml:space="preserve">available </w:t>
      </w:r>
      <w:hyperlink r:id="rId108" w:history="1">
        <w:r w:rsidRPr="005F7253">
          <w:rPr>
            <w:rFonts w:ascii="Aptos" w:eastAsia="Aptos" w:hAnsi="Aptos" w:cs="Arial"/>
            <w:color w:val="467886"/>
            <w:kern w:val="2"/>
            <w:sz w:val="16"/>
            <w:szCs w:val="28"/>
            <w:u w:val="single"/>
            <w14:ligatures w14:val="standardContextual"/>
          </w:rPr>
          <w:t>here</w:t>
        </w:r>
      </w:hyperlink>
      <w:r w:rsidRPr="005F7253">
        <w:rPr>
          <w:rFonts w:ascii="Aptos" w:eastAsia="Aptos" w:hAnsi="Aptos" w:cs="Arial"/>
          <w:kern w:val="2"/>
          <w:sz w:val="16"/>
          <w:szCs w:val="28"/>
          <w14:ligatures w14:val="standardContextual"/>
        </w:rPr>
        <w:t>.</w:t>
      </w:r>
    </w:p>
    <w:p w14:paraId="4335C6A0"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0111C02B" w14:textId="4B40CDB0"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two activities in the safety category </w:t>
      </w:r>
      <w:r w:rsidR="001071A0" w:rsidRPr="005F7253">
        <w:rPr>
          <w:rFonts w:ascii="Aptos" w:eastAsia="Aptos" w:hAnsi="Aptos" w:cs="Arial"/>
          <w:kern w:val="2"/>
          <w:sz w:val="22"/>
          <w:szCs w:val="22"/>
          <w14:ligatures w14:val="standardContextual"/>
        </w:rPr>
        <w:t xml:space="preserve">showed </w:t>
      </w:r>
      <w:r w:rsidRPr="005F7253">
        <w:rPr>
          <w:rFonts w:ascii="Aptos" w:eastAsia="Aptos" w:hAnsi="Aptos" w:cs="Arial"/>
          <w:kern w:val="2"/>
          <w:sz w:val="22"/>
          <w:szCs w:val="22"/>
          <w14:ligatures w14:val="standardContextual"/>
        </w:rPr>
        <w:t xml:space="preserve">similar </w:t>
      </w:r>
      <w:r w:rsidR="001071A0" w:rsidRPr="005F7253">
        <w:rPr>
          <w:rFonts w:ascii="Aptos" w:eastAsia="Aptos" w:hAnsi="Aptos" w:cs="Arial"/>
          <w:kern w:val="2"/>
          <w:sz w:val="22"/>
          <w:szCs w:val="22"/>
          <w14:ligatures w14:val="standardContextual"/>
        </w:rPr>
        <w:t xml:space="preserve">prevalence </w:t>
      </w:r>
      <w:r w:rsidRPr="005F7253">
        <w:rPr>
          <w:rFonts w:ascii="Aptos" w:eastAsia="Aptos" w:hAnsi="Aptos" w:cs="Arial"/>
          <w:kern w:val="2"/>
          <w:sz w:val="22"/>
          <w:szCs w:val="22"/>
          <w14:ligatures w14:val="standardContextual"/>
        </w:rPr>
        <w:t xml:space="preserve">for countries in the region. The median shares were 57 and 54 per cent for changing privacy settings on </w:t>
      </w:r>
      <w:r w:rsidR="001071A0" w:rsidRPr="005F7253">
        <w:rPr>
          <w:rFonts w:ascii="Aptos" w:eastAsia="Aptos" w:hAnsi="Aptos" w:cs="Arial"/>
          <w:kern w:val="2"/>
          <w:sz w:val="22"/>
          <w:szCs w:val="22"/>
          <w14:ligatures w14:val="standardContextual"/>
        </w:rPr>
        <w:t xml:space="preserve">one’s </w:t>
      </w:r>
      <w:r w:rsidRPr="005F7253">
        <w:rPr>
          <w:rFonts w:ascii="Aptos" w:eastAsia="Aptos" w:hAnsi="Aptos" w:cs="Arial"/>
          <w:kern w:val="2"/>
          <w:sz w:val="22"/>
          <w:szCs w:val="22"/>
          <w14:ligatures w14:val="standardContextual"/>
        </w:rPr>
        <w:t>device, account or app and setting up effective security measures to protect devices and accounts, respectively.</w:t>
      </w:r>
    </w:p>
    <w:p w14:paraId="2105F582"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Internet users with problem solving skills, latest year available</w:t>
      </w:r>
    </w:p>
    <w:p w14:paraId="7CA8456E"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noProof/>
          <w:kern w:val="2"/>
          <w:sz w:val="22"/>
          <w:szCs w:val="22"/>
          <w14:ligatures w14:val="standardContextual"/>
        </w:rPr>
        <w:drawing>
          <wp:inline distT="0" distB="0" distL="0" distR="0" wp14:anchorId="451822BC" wp14:editId="49F95F3D">
            <wp:extent cx="5731510" cy="2541905"/>
            <wp:effectExtent l="0" t="0" r="2540" b="0"/>
            <wp:docPr id="16692897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89720" name=""/>
                    <pic:cNvPicPr/>
                  </pic:nvPicPr>
                  <pic:blipFill>
                    <a:blip r:embed="rId109">
                      <a:extLst>
                        <a:ext uri="{96DAC541-7B7A-43D3-8B79-37D633B846F1}">
                          <asvg:svgBlip xmlns:asvg="http://schemas.microsoft.com/office/drawing/2016/SVG/main" r:embed="rId110"/>
                        </a:ext>
                      </a:extLst>
                    </a:blip>
                    <a:stretch>
                      <a:fillRect/>
                    </a:stretch>
                  </pic:blipFill>
                  <pic:spPr>
                    <a:xfrm>
                      <a:off x="0" y="0"/>
                      <a:ext cx="5731510" cy="2541905"/>
                    </a:xfrm>
                    <a:prstGeom prst="rect">
                      <a:avLst/>
                    </a:prstGeom>
                  </pic:spPr>
                </pic:pic>
              </a:graphicData>
            </a:graphic>
          </wp:inline>
        </w:drawing>
      </w:r>
    </w:p>
    <w:p w14:paraId="5E7C840F" w14:textId="60865A16"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Note: Bars indicate the 25th, median and 75th percentile of all country values. </w:t>
      </w:r>
      <w:r w:rsidR="001071A0" w:rsidRPr="005F7253">
        <w:rPr>
          <w:rFonts w:ascii="Aptos" w:eastAsia="Aptos" w:hAnsi="Aptos" w:cs="Arial"/>
          <w:kern w:val="2"/>
          <w:sz w:val="16"/>
          <w:szCs w:val="28"/>
          <w14:ligatures w14:val="standardContextual"/>
        </w:rPr>
        <w:t xml:space="preserve">Whiskers </w:t>
      </w:r>
      <w:r w:rsidRPr="005F7253">
        <w:rPr>
          <w:rFonts w:ascii="Aptos" w:eastAsia="Aptos" w:hAnsi="Aptos" w:cs="Arial"/>
          <w:kern w:val="2"/>
          <w:sz w:val="16"/>
          <w:szCs w:val="28"/>
          <w14:ligatures w14:val="standardContextual"/>
        </w:rPr>
        <w:t xml:space="preserve">indicate minimum and maximum values. In-scope age varies between countries. Country data are for 2023 where available </w:t>
      </w:r>
      <w:r w:rsidR="001071A0" w:rsidRPr="005F7253">
        <w:rPr>
          <w:rFonts w:ascii="Aptos" w:eastAsia="Aptos" w:hAnsi="Aptos" w:cs="Arial"/>
          <w:kern w:val="2"/>
          <w:sz w:val="16"/>
          <w:szCs w:val="28"/>
          <w14:ligatures w14:val="standardContextual"/>
        </w:rPr>
        <w:t xml:space="preserve">but no earlier </w:t>
      </w:r>
      <w:r w:rsidRPr="005F7253">
        <w:rPr>
          <w:rFonts w:ascii="Aptos" w:eastAsia="Aptos" w:hAnsi="Aptos" w:cs="Arial"/>
          <w:kern w:val="2"/>
          <w:sz w:val="16"/>
          <w:szCs w:val="28"/>
          <w14:ligatures w14:val="standardContextual"/>
        </w:rPr>
        <w:t>than 2020. Data availability varies between nine and ten countries for each indicator</w:t>
      </w:r>
      <w:r w:rsidRPr="005F7253">
        <w:rPr>
          <w:rFonts w:ascii="Aptos" w:eastAsia="Aptos" w:hAnsi="Aptos" w:cs="Arial"/>
          <w:i/>
          <w:iCs/>
          <w:kern w:val="2"/>
          <w:sz w:val="16"/>
          <w:szCs w:val="28"/>
          <w14:ligatures w14:val="standardContextual"/>
        </w:rPr>
        <w:t xml:space="preserve">. </w:t>
      </w:r>
      <w:r w:rsidRPr="005F7253">
        <w:rPr>
          <w:rFonts w:ascii="Aptos" w:eastAsia="Aptos" w:hAnsi="Aptos" w:cs="Arial"/>
          <w:kern w:val="2"/>
          <w:sz w:val="16"/>
          <w:szCs w:val="28"/>
          <w14:ligatures w14:val="standardContextual"/>
        </w:rPr>
        <w:t xml:space="preserve">Detailed information – including complete indicator names – </w:t>
      </w:r>
      <w:r w:rsidR="009D6CE0">
        <w:rPr>
          <w:rFonts w:ascii="Aptos" w:eastAsia="Aptos" w:hAnsi="Aptos" w:cs="Arial"/>
          <w:kern w:val="2"/>
          <w:sz w:val="16"/>
          <w:szCs w:val="28"/>
          <w14:ligatures w14:val="standardContextual"/>
        </w:rPr>
        <w:t>is</w:t>
      </w:r>
      <w:r w:rsidR="009D6CE0" w:rsidRPr="005F7253">
        <w:rPr>
          <w:rFonts w:ascii="Aptos" w:eastAsia="Aptos" w:hAnsi="Aptos" w:cs="Arial"/>
          <w:kern w:val="2"/>
          <w:sz w:val="16"/>
          <w:szCs w:val="28"/>
          <w14:ligatures w14:val="standardContextual"/>
        </w:rPr>
        <w:t xml:space="preserve"> </w:t>
      </w:r>
      <w:r w:rsidRPr="005F7253">
        <w:rPr>
          <w:rFonts w:ascii="Aptos" w:eastAsia="Aptos" w:hAnsi="Aptos" w:cs="Arial"/>
          <w:kern w:val="2"/>
          <w:sz w:val="16"/>
          <w:szCs w:val="28"/>
          <w14:ligatures w14:val="standardContextual"/>
        </w:rPr>
        <w:t xml:space="preserve">available </w:t>
      </w:r>
      <w:hyperlink r:id="rId111" w:history="1">
        <w:r w:rsidRPr="005F7253">
          <w:rPr>
            <w:rFonts w:ascii="Aptos" w:eastAsia="Aptos" w:hAnsi="Aptos" w:cs="Arial"/>
            <w:color w:val="467886"/>
            <w:kern w:val="2"/>
            <w:sz w:val="16"/>
            <w:szCs w:val="28"/>
            <w:u w:val="single"/>
            <w14:ligatures w14:val="standardContextual"/>
          </w:rPr>
          <w:t>here</w:t>
        </w:r>
      </w:hyperlink>
      <w:r w:rsidRPr="005F7253">
        <w:rPr>
          <w:rFonts w:ascii="Aptos" w:eastAsia="Aptos" w:hAnsi="Aptos" w:cs="Arial"/>
          <w:kern w:val="2"/>
          <w:sz w:val="16"/>
          <w:szCs w:val="28"/>
          <w14:ligatures w14:val="standardContextual"/>
        </w:rPr>
        <w:t>.</w:t>
      </w:r>
    </w:p>
    <w:p w14:paraId="69E315AE"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lastRenderedPageBreak/>
        <w:t>Source: ITU</w:t>
      </w:r>
    </w:p>
    <w:p w14:paraId="47C39312" w14:textId="38BD9184"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Finally, the medians for activities in the </w:t>
      </w:r>
      <w:r w:rsidR="005F7253" w:rsidRPr="005F7253">
        <w:rPr>
          <w:rFonts w:ascii="Aptos" w:eastAsia="Aptos" w:hAnsi="Aptos" w:cs="Arial"/>
          <w:kern w:val="2"/>
          <w:sz w:val="22"/>
          <w:szCs w:val="22"/>
          <w14:ligatures w14:val="standardContextual"/>
        </w:rPr>
        <w:t>problem-solving</w:t>
      </w:r>
      <w:r w:rsidRPr="005F7253">
        <w:rPr>
          <w:rFonts w:ascii="Aptos" w:eastAsia="Aptos" w:hAnsi="Aptos" w:cs="Arial"/>
          <w:kern w:val="2"/>
          <w:sz w:val="22"/>
          <w:szCs w:val="22"/>
          <w14:ligatures w14:val="standardContextual"/>
        </w:rPr>
        <w:t xml:space="preserve"> skill area vary widely, from 18 per cent for doing an online course to 62 per cent for finding, downloading, installing and configuring software.</w:t>
      </w:r>
    </w:p>
    <w:p w14:paraId="34EDF1BB"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br w:type="page"/>
      </w:r>
    </w:p>
    <w:p w14:paraId="275F64C2"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8" w:name="_Toc184940639"/>
      <w:r w:rsidRPr="005F7253">
        <w:rPr>
          <w:rFonts w:ascii="Aptos Display" w:eastAsia="Yu Gothic Light" w:hAnsi="Aptos Display"/>
          <w:color w:val="0F4761"/>
          <w:kern w:val="2"/>
          <w:sz w:val="32"/>
          <w:szCs w:val="32"/>
          <w14:ligatures w14:val="standardContextual"/>
        </w:rPr>
        <w:lastRenderedPageBreak/>
        <w:t>Revenues and investment</w:t>
      </w:r>
      <w:bookmarkEnd w:id="18"/>
      <w:r w:rsidRPr="005F7253">
        <w:rPr>
          <w:rFonts w:ascii="Aptos Display" w:eastAsia="Yu Gothic Light" w:hAnsi="Aptos Display"/>
          <w:color w:val="0F4761"/>
          <w:kern w:val="2"/>
          <w:sz w:val="32"/>
          <w:szCs w:val="32"/>
          <w14:ligatures w14:val="standardContextual"/>
        </w:rPr>
        <w:t xml:space="preserve"> </w:t>
      </w:r>
    </w:p>
    <w:p w14:paraId="4C09D5BC" w14:textId="77777777" w:rsidR="003455B6" w:rsidRPr="003455B6" w:rsidRDefault="003455B6" w:rsidP="003455B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3455B6">
        <w:rPr>
          <w:rFonts w:ascii="Aptos" w:eastAsia="Aptos" w:hAnsi="Aptos" w:cs="Arial"/>
          <w:b/>
          <w:bCs/>
          <w:i/>
          <w:iCs/>
          <w:kern w:val="2"/>
          <w:sz w:val="22"/>
          <w:szCs w:val="22"/>
          <w14:ligatures w14:val="standardContextual"/>
        </w:rPr>
        <w:t>The ICT sector is a major driver of the economy</w:t>
      </w:r>
    </w:p>
    <w:p w14:paraId="11A92771" w14:textId="623F465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The telecommunications sector is an important enabler of economic development, with both direct and indirect impacts. While it is harder to capture the indirect contribution, recent data on revenues and investment reveals both the significance of its direct contribution</w:t>
      </w:r>
      <w:r w:rsidR="001071A0" w:rsidRPr="005F7253">
        <w:rPr>
          <w:rFonts w:ascii="Aptos" w:eastAsia="Aptos" w:hAnsi="Aptos" w:cs="Arial"/>
          <w:kern w:val="2"/>
          <w:sz w:val="22"/>
          <w:szCs w:val="22"/>
          <w14:ligatures w14:val="standardContextual"/>
        </w:rPr>
        <w:t xml:space="preserve"> and the existence </w:t>
      </w:r>
      <w:r w:rsidRPr="005F7253">
        <w:rPr>
          <w:rFonts w:ascii="Aptos" w:eastAsia="Aptos" w:hAnsi="Aptos" w:cs="Arial"/>
          <w:kern w:val="2"/>
          <w:sz w:val="22"/>
          <w:szCs w:val="22"/>
          <w14:ligatures w14:val="standardContextual"/>
        </w:rPr>
        <w:t xml:space="preserve">of </w:t>
      </w:r>
      <w:r w:rsidR="005F7253" w:rsidRPr="005F7253">
        <w:rPr>
          <w:rFonts w:ascii="Aptos" w:eastAsia="Aptos" w:hAnsi="Aptos" w:cs="Arial"/>
          <w:kern w:val="2"/>
          <w:sz w:val="22"/>
          <w:szCs w:val="22"/>
          <w14:ligatures w14:val="standardContextual"/>
        </w:rPr>
        <w:t>significant</w:t>
      </w:r>
      <w:r w:rsidRPr="005F7253">
        <w:rPr>
          <w:rFonts w:ascii="Aptos" w:eastAsia="Aptos" w:hAnsi="Aptos" w:cs="Arial"/>
          <w:kern w:val="2"/>
          <w:sz w:val="22"/>
          <w:szCs w:val="22"/>
          <w14:ligatures w14:val="standardContextual"/>
        </w:rPr>
        <w:t xml:space="preserve"> gaps </w:t>
      </w:r>
      <w:r w:rsidR="001071A0" w:rsidRPr="005F7253">
        <w:rPr>
          <w:rFonts w:ascii="Aptos" w:eastAsia="Aptos" w:hAnsi="Aptos" w:cs="Arial"/>
          <w:kern w:val="2"/>
          <w:sz w:val="22"/>
          <w:szCs w:val="22"/>
          <w14:ligatures w14:val="standardContextual"/>
        </w:rPr>
        <w:t xml:space="preserve">between </w:t>
      </w:r>
      <w:r w:rsidRPr="005F7253">
        <w:rPr>
          <w:rFonts w:ascii="Aptos" w:eastAsia="Aptos" w:hAnsi="Aptos" w:cs="Arial"/>
          <w:kern w:val="2"/>
          <w:sz w:val="22"/>
          <w:szCs w:val="22"/>
          <w14:ligatures w14:val="standardContextual"/>
        </w:rPr>
        <w:t>countries.</w:t>
      </w:r>
    </w:p>
    <w:p w14:paraId="215AE009" w14:textId="77777777" w:rsidR="006C41B5" w:rsidRPr="005F7253" w:rsidRDefault="006C41B5" w:rsidP="006C41B5">
      <w:pP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Revenue from all telecommunication services, in USD million and as a % of GDP, latest available year</w:t>
      </w:r>
    </w:p>
    <w:p w14:paraId="7085C1DC" w14:textId="282FAA46" w:rsidR="006C41B5" w:rsidRPr="005F7253" w:rsidRDefault="00557194"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Pr>
          <w:noProof/>
        </w:rPr>
        <w:drawing>
          <wp:inline distT="0" distB="0" distL="0" distR="0" wp14:anchorId="2D825AF3" wp14:editId="74BED290">
            <wp:extent cx="6120765" cy="3230880"/>
            <wp:effectExtent l="0" t="0" r="0" b="7620"/>
            <wp:docPr id="4463877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87784" name=""/>
                    <pic:cNvPicPr/>
                  </pic:nvPicPr>
                  <pic:blipFill>
                    <a:blip r:embed="rId112">
                      <a:extLst>
                        <a:ext uri="{96DAC541-7B7A-43D3-8B79-37D633B846F1}">
                          <asvg:svgBlip xmlns:asvg="http://schemas.microsoft.com/office/drawing/2016/SVG/main" r:embed="rId113"/>
                        </a:ext>
                      </a:extLst>
                    </a:blip>
                    <a:stretch>
                      <a:fillRect/>
                    </a:stretch>
                  </pic:blipFill>
                  <pic:spPr>
                    <a:xfrm>
                      <a:off x="0" y="0"/>
                      <a:ext cx="6120765" cy="3230880"/>
                    </a:xfrm>
                    <a:prstGeom prst="rect">
                      <a:avLst/>
                    </a:prstGeom>
                  </pic:spPr>
                </pic:pic>
              </a:graphicData>
            </a:graphic>
          </wp:inline>
        </w:drawing>
      </w:r>
      <w:r w:rsidR="006C41B5" w:rsidRPr="005F7253">
        <w:rPr>
          <w:rFonts w:ascii="Aptos" w:eastAsia="Aptos" w:hAnsi="Aptos" w:cs="Arial"/>
          <w:kern w:val="2"/>
          <w:sz w:val="16"/>
          <w:szCs w:val="28"/>
          <w14:ligatures w14:val="standardContextual"/>
        </w:rPr>
        <w:t>Note: Annual average exchange rates applied, last available year values at constant 2023 prices.</w:t>
      </w:r>
    </w:p>
    <w:p w14:paraId="566B1952"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 World Bank World Development Indicators</w:t>
      </w:r>
    </w:p>
    <w:p w14:paraId="40CACCBF" w14:textId="128C9180" w:rsidR="006C41B5" w:rsidRPr="005F7253" w:rsidRDefault="0062707B"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w:t>
      </w:r>
      <w:r w:rsidR="006C41B5" w:rsidRPr="005F7253">
        <w:rPr>
          <w:rFonts w:ascii="Aptos" w:eastAsia="Aptos" w:hAnsi="Aptos" w:cs="Arial"/>
          <w:kern w:val="2"/>
          <w:sz w:val="22"/>
          <w:szCs w:val="22"/>
          <w14:ligatures w14:val="standardContextual"/>
        </w:rPr>
        <w:t>ICT services sector includes activities providing telecommunications and related service activities, i.e. transmitting voice, data, text, sound and video, over wired, wireless, satellite or other networks</w:t>
      </w:r>
      <w:r w:rsidR="00204EDD">
        <w:rPr>
          <w:rFonts w:ascii="Aptos" w:eastAsia="Aptos" w:hAnsi="Aptos" w:cs="Arial"/>
          <w:noProof/>
          <w:kern w:val="2"/>
          <w:sz w:val="22"/>
          <w:szCs w:val="22"/>
          <w14:ligatures w14:val="standardContextual"/>
        </w:rPr>
        <w:t>.</w:t>
      </w:r>
      <w:r w:rsidR="006C41B5" w:rsidRPr="006C41B5">
        <w:rPr>
          <w:rFonts w:ascii="Aptos" w:eastAsia="Aptos" w:hAnsi="Aptos" w:cs="Arial"/>
          <w:noProof/>
          <w:kern w:val="2"/>
          <w:sz w:val="22"/>
          <w:szCs w:val="22"/>
          <w:vertAlign w:val="superscript"/>
          <w14:ligatures w14:val="standardContextual"/>
        </w:rPr>
        <w:footnoteReference w:id="13"/>
      </w:r>
      <w:r w:rsidR="006C41B5"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The total retail revenues for the sector </w:t>
      </w:r>
      <w:r w:rsidR="006C41B5" w:rsidRPr="005F7253">
        <w:rPr>
          <w:rFonts w:ascii="Aptos" w:eastAsia="Aptos" w:hAnsi="Aptos" w:cs="Arial"/>
          <w:kern w:val="2"/>
          <w:sz w:val="22"/>
          <w:szCs w:val="22"/>
          <w14:ligatures w14:val="standardContextual"/>
        </w:rPr>
        <w:t>in the Arab</w:t>
      </w:r>
      <w:r w:rsidR="00C361C1">
        <w:rPr>
          <w:rFonts w:ascii="Aptos" w:eastAsia="Aptos" w:hAnsi="Aptos" w:cs="Arial"/>
          <w:kern w:val="2"/>
          <w:sz w:val="22"/>
          <w:szCs w:val="22"/>
          <w14:ligatures w14:val="standardContextual"/>
        </w:rPr>
        <w:t xml:space="preserve"> States</w:t>
      </w:r>
      <w:r w:rsidR="006C41B5" w:rsidRPr="005F7253">
        <w:rPr>
          <w:rFonts w:ascii="Aptos" w:eastAsia="Aptos" w:hAnsi="Aptos" w:cs="Arial"/>
          <w:kern w:val="2"/>
          <w:sz w:val="22"/>
          <w:szCs w:val="22"/>
          <w14:ligatures w14:val="standardContextual"/>
        </w:rPr>
        <w:t xml:space="preserve"> region</w:t>
      </w:r>
      <w:r w:rsidRPr="005F7253">
        <w:rPr>
          <w:rFonts w:ascii="Aptos" w:eastAsia="Aptos" w:hAnsi="Aptos" w:cs="Arial"/>
          <w:kern w:val="2"/>
          <w:sz w:val="22"/>
          <w:szCs w:val="22"/>
          <w14:ligatures w14:val="standardContextual"/>
        </w:rPr>
        <w:t>,</w:t>
      </w:r>
      <w:r w:rsidR="006C41B5" w:rsidRPr="005F7253">
        <w:rPr>
          <w:rFonts w:ascii="Aptos" w:eastAsia="Aptos" w:hAnsi="Aptos" w:cs="Arial"/>
          <w:kern w:val="2"/>
          <w:sz w:val="22"/>
          <w:szCs w:val="22"/>
          <w14:ligatures w14:val="standardContextual"/>
        </w:rPr>
        <w:t xml:space="preserve"> for the 1</w:t>
      </w:r>
      <w:r w:rsidR="00322E82">
        <w:rPr>
          <w:rFonts w:ascii="Aptos" w:eastAsia="Aptos" w:hAnsi="Aptos" w:cs="Arial"/>
          <w:kern w:val="2"/>
          <w:sz w:val="22"/>
          <w:szCs w:val="22"/>
          <w14:ligatures w14:val="standardContextual"/>
        </w:rPr>
        <w:t>5</w:t>
      </w:r>
      <w:r w:rsidR="006C41B5" w:rsidRPr="005F7253">
        <w:rPr>
          <w:rFonts w:ascii="Aptos" w:eastAsia="Aptos" w:hAnsi="Aptos" w:cs="Arial"/>
          <w:kern w:val="2"/>
          <w:sz w:val="22"/>
          <w:szCs w:val="22"/>
          <w14:ligatures w14:val="standardContextual"/>
        </w:rPr>
        <w:t xml:space="preserve"> countries </w:t>
      </w:r>
      <w:r w:rsidRPr="005F7253">
        <w:rPr>
          <w:rFonts w:ascii="Aptos" w:eastAsia="Aptos" w:hAnsi="Aptos" w:cs="Arial"/>
          <w:kern w:val="2"/>
          <w:sz w:val="22"/>
          <w:szCs w:val="22"/>
          <w14:ligatures w14:val="standardContextual"/>
        </w:rPr>
        <w:t xml:space="preserve">that provided </w:t>
      </w:r>
      <w:r w:rsidR="006C41B5" w:rsidRPr="005F7253">
        <w:rPr>
          <w:rFonts w:ascii="Aptos" w:eastAsia="Aptos" w:hAnsi="Aptos" w:cs="Arial"/>
          <w:kern w:val="2"/>
          <w:sz w:val="22"/>
          <w:szCs w:val="22"/>
          <w14:ligatures w14:val="standardContextual"/>
        </w:rPr>
        <w:t>data in the last available year since 2021</w:t>
      </w:r>
      <w:r w:rsidRPr="005F7253">
        <w:rPr>
          <w:rFonts w:ascii="Aptos" w:eastAsia="Aptos" w:hAnsi="Aptos" w:cs="Arial"/>
          <w:kern w:val="2"/>
          <w:sz w:val="22"/>
          <w:szCs w:val="22"/>
          <w14:ligatures w14:val="standardContextual"/>
        </w:rPr>
        <w:t>,</w:t>
      </w:r>
      <w:r w:rsidR="006C41B5" w:rsidRPr="005F7253">
        <w:rPr>
          <w:rFonts w:ascii="Aptos" w:eastAsia="Aptos" w:hAnsi="Aptos" w:cs="Arial"/>
          <w:kern w:val="2"/>
          <w:sz w:val="22"/>
          <w:szCs w:val="22"/>
          <w14:ligatures w14:val="standardContextual"/>
        </w:rPr>
        <w:t xml:space="preserve"> is estimated at around </w:t>
      </w:r>
      <w:r w:rsidRPr="005F7253">
        <w:rPr>
          <w:rFonts w:ascii="Aptos" w:eastAsia="Aptos" w:hAnsi="Aptos" w:cs="Arial"/>
          <w:kern w:val="2"/>
          <w:sz w:val="22"/>
          <w:szCs w:val="22"/>
          <w14:ligatures w14:val="standardContextual"/>
        </w:rPr>
        <w:t xml:space="preserve">USD </w:t>
      </w:r>
      <w:r w:rsidR="006C41B5" w:rsidRPr="005F7253">
        <w:rPr>
          <w:rFonts w:ascii="Aptos" w:eastAsia="Aptos" w:hAnsi="Aptos" w:cs="Arial"/>
          <w:kern w:val="2"/>
          <w:sz w:val="22"/>
          <w:szCs w:val="22"/>
          <w14:ligatures w14:val="standardContextual"/>
        </w:rPr>
        <w:t>5</w:t>
      </w:r>
      <w:r w:rsidR="00700BBD">
        <w:rPr>
          <w:rFonts w:ascii="Aptos" w:eastAsia="Aptos" w:hAnsi="Aptos" w:cs="Arial"/>
          <w:kern w:val="2"/>
          <w:sz w:val="22"/>
          <w:szCs w:val="22"/>
          <w14:ligatures w14:val="standardContextual"/>
        </w:rPr>
        <w:t>7.</w:t>
      </w:r>
      <w:r w:rsidR="006C41B5" w:rsidRPr="005F7253">
        <w:rPr>
          <w:rFonts w:ascii="Aptos" w:eastAsia="Aptos" w:hAnsi="Aptos" w:cs="Arial"/>
          <w:kern w:val="2"/>
          <w:sz w:val="22"/>
          <w:szCs w:val="22"/>
          <w14:ligatures w14:val="standardContextual"/>
        </w:rPr>
        <w:t xml:space="preserve">8 billion. This </w:t>
      </w:r>
      <w:r w:rsidRPr="005F7253">
        <w:rPr>
          <w:rFonts w:ascii="Aptos" w:eastAsia="Aptos" w:hAnsi="Aptos" w:cs="Arial"/>
          <w:kern w:val="2"/>
          <w:sz w:val="22"/>
          <w:szCs w:val="22"/>
          <w14:ligatures w14:val="standardContextual"/>
        </w:rPr>
        <w:t xml:space="preserve">equates </w:t>
      </w:r>
      <w:r w:rsidR="006C41B5" w:rsidRPr="005F7253">
        <w:rPr>
          <w:rFonts w:ascii="Aptos" w:eastAsia="Aptos" w:hAnsi="Aptos" w:cs="Arial"/>
          <w:kern w:val="2"/>
          <w:sz w:val="22"/>
          <w:szCs w:val="22"/>
          <w14:ligatures w14:val="standardContextual"/>
        </w:rPr>
        <w:t xml:space="preserve">to an average of </w:t>
      </w:r>
      <w:r w:rsidRPr="005F7253">
        <w:rPr>
          <w:rFonts w:ascii="Aptos" w:eastAsia="Aptos" w:hAnsi="Aptos" w:cs="Arial"/>
          <w:kern w:val="2"/>
          <w:sz w:val="22"/>
          <w:szCs w:val="22"/>
          <w14:ligatures w14:val="standardContextual"/>
        </w:rPr>
        <w:t xml:space="preserve">USD </w:t>
      </w:r>
      <w:r w:rsidR="000D0C83">
        <w:rPr>
          <w:rFonts w:ascii="Aptos" w:eastAsia="Aptos" w:hAnsi="Aptos" w:cs="Arial"/>
          <w:kern w:val="2"/>
          <w:sz w:val="22"/>
          <w:szCs w:val="22"/>
          <w14:ligatures w14:val="standardContextual"/>
        </w:rPr>
        <w:t>3</w:t>
      </w:r>
      <w:r w:rsidR="006C41B5" w:rsidRPr="005F7253">
        <w:rPr>
          <w:rFonts w:ascii="Aptos" w:eastAsia="Aptos" w:hAnsi="Aptos" w:cs="Arial"/>
          <w:kern w:val="2"/>
          <w:sz w:val="22"/>
          <w:szCs w:val="22"/>
          <w14:ligatures w14:val="standardContextual"/>
        </w:rPr>
        <w:t>.</w:t>
      </w:r>
      <w:r w:rsidR="000D0C83">
        <w:rPr>
          <w:rFonts w:ascii="Aptos" w:eastAsia="Aptos" w:hAnsi="Aptos" w:cs="Arial"/>
          <w:kern w:val="2"/>
          <w:sz w:val="22"/>
          <w:szCs w:val="22"/>
          <w14:ligatures w14:val="standardContextual"/>
        </w:rPr>
        <w:t>9</w:t>
      </w:r>
      <w:r w:rsidR="006C41B5" w:rsidRPr="005F7253">
        <w:rPr>
          <w:rFonts w:ascii="Aptos" w:eastAsia="Aptos" w:hAnsi="Aptos" w:cs="Arial"/>
          <w:kern w:val="2"/>
          <w:sz w:val="22"/>
          <w:szCs w:val="22"/>
          <w14:ligatures w14:val="standardContextual"/>
        </w:rPr>
        <w:t xml:space="preserve"> billion per country, and typically represents 2.4 per cent of a country’s GDP.</w:t>
      </w:r>
    </w:p>
    <w:p w14:paraId="26307813" w14:textId="77777777" w:rsidR="00D727E4" w:rsidRPr="005F7253" w:rsidRDefault="00D727E4">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br w:type="page"/>
      </w:r>
    </w:p>
    <w:p w14:paraId="3F1D9A79" w14:textId="1A0FBB71" w:rsidR="006C41B5" w:rsidRPr="005F7253" w:rsidRDefault="006C41B5" w:rsidP="006C41B5">
      <w:pP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lastRenderedPageBreak/>
        <w:t xml:space="preserve">Annual investment in telecommunication services, in USD </w:t>
      </w:r>
      <w:r w:rsidR="0062707B" w:rsidRPr="005F7253">
        <w:rPr>
          <w:rFonts w:ascii="AvenirNext LT Pro Light" w:eastAsia="Yu Gothic Light" w:hAnsi="AvenirNext LT Pro Light" w:cs="Calibri"/>
          <w:color w:val="0070C0"/>
          <w:spacing w:val="-10"/>
          <w:kern w:val="28"/>
          <w:szCs w:val="24"/>
        </w:rPr>
        <w:t xml:space="preserve">million </w:t>
      </w:r>
      <w:r w:rsidRPr="005F7253">
        <w:rPr>
          <w:rFonts w:ascii="AvenirNext LT Pro Light" w:eastAsia="Yu Gothic Light" w:hAnsi="AvenirNext LT Pro Light" w:cs="Calibri"/>
          <w:color w:val="0070C0"/>
          <w:spacing w:val="-10"/>
          <w:kern w:val="28"/>
          <w:szCs w:val="24"/>
        </w:rPr>
        <w:t>and as % of GDP</w:t>
      </w:r>
    </w:p>
    <w:p w14:paraId="5AC17DC2" w14:textId="77788E47" w:rsidR="006C41B5" w:rsidRPr="005F7253" w:rsidRDefault="00705BEA"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Pr>
          <w:noProof/>
        </w:rPr>
        <w:drawing>
          <wp:inline distT="0" distB="0" distL="0" distR="0" wp14:anchorId="7BCA5C58" wp14:editId="319113C1">
            <wp:extent cx="6120765" cy="3239770"/>
            <wp:effectExtent l="0" t="0" r="0" b="0"/>
            <wp:docPr id="180301239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12395" name=""/>
                    <pic:cNvPicPr/>
                  </pic:nvPicPr>
                  <pic:blipFill>
                    <a:blip r:embed="rId114">
                      <a:extLst>
                        <a:ext uri="{96DAC541-7B7A-43D3-8B79-37D633B846F1}">
                          <asvg:svgBlip xmlns:asvg="http://schemas.microsoft.com/office/drawing/2016/SVG/main" r:embed="rId115"/>
                        </a:ext>
                      </a:extLst>
                    </a:blip>
                    <a:stretch>
                      <a:fillRect/>
                    </a:stretch>
                  </pic:blipFill>
                  <pic:spPr>
                    <a:xfrm>
                      <a:off x="0" y="0"/>
                      <a:ext cx="6120765" cy="3239770"/>
                    </a:xfrm>
                    <a:prstGeom prst="rect">
                      <a:avLst/>
                    </a:prstGeom>
                  </pic:spPr>
                </pic:pic>
              </a:graphicData>
            </a:graphic>
          </wp:inline>
        </w:drawing>
      </w:r>
      <w:r w:rsidR="006C41B5" w:rsidRPr="005F7253">
        <w:rPr>
          <w:rFonts w:ascii="Aptos" w:eastAsia="Aptos" w:hAnsi="Aptos" w:cs="Arial"/>
          <w:kern w:val="2"/>
          <w:sz w:val="16"/>
          <w:szCs w:val="28"/>
          <w14:ligatures w14:val="standardContextual"/>
        </w:rPr>
        <w:t xml:space="preserve">Note: Data are a three-year </w:t>
      </w:r>
      <w:r w:rsidR="0062707B" w:rsidRPr="005F7253">
        <w:rPr>
          <w:rFonts w:ascii="Aptos" w:eastAsia="Aptos" w:hAnsi="Aptos" w:cs="Arial"/>
          <w:kern w:val="2"/>
          <w:sz w:val="16"/>
          <w:szCs w:val="28"/>
          <w14:ligatures w14:val="standardContextual"/>
        </w:rPr>
        <w:t xml:space="preserve">(2021-2023) </w:t>
      </w:r>
      <w:r w:rsidR="006C41B5" w:rsidRPr="005F7253">
        <w:rPr>
          <w:rFonts w:ascii="Aptos" w:eastAsia="Aptos" w:hAnsi="Aptos" w:cs="Arial"/>
          <w:kern w:val="2"/>
          <w:sz w:val="16"/>
          <w:szCs w:val="28"/>
          <w14:ligatures w14:val="standardContextual"/>
        </w:rPr>
        <w:t>average of available data points to correct for annual fluctuations and gaps. Investment figures are in constant 2023 US dollars.</w:t>
      </w:r>
    </w:p>
    <w:p w14:paraId="4C026400"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 World Bank World Development Indicators</w:t>
      </w:r>
    </w:p>
    <w:p w14:paraId="12C33CC1" w14:textId="4600D7D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deployment of new network technologies and the upgrading of existing ones </w:t>
      </w:r>
      <w:r w:rsidR="00004CCE" w:rsidRPr="005F7253">
        <w:rPr>
          <w:rFonts w:ascii="Aptos" w:eastAsia="Aptos" w:hAnsi="Aptos" w:cs="Arial"/>
          <w:kern w:val="2"/>
          <w:sz w:val="22"/>
          <w:szCs w:val="22"/>
          <w14:ligatures w14:val="standardContextual"/>
        </w:rPr>
        <w:t xml:space="preserve">are </w:t>
      </w:r>
      <w:r w:rsidRPr="005F7253">
        <w:rPr>
          <w:rFonts w:ascii="Aptos" w:eastAsia="Aptos" w:hAnsi="Aptos" w:cs="Arial"/>
          <w:kern w:val="2"/>
          <w:sz w:val="22"/>
          <w:szCs w:val="22"/>
          <w14:ligatures w14:val="standardContextual"/>
        </w:rPr>
        <w:t>highly capital</w:t>
      </w:r>
      <w:r w:rsidR="00004CCE" w:rsidRPr="005F7253">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intensive</w:t>
      </w:r>
      <w:r w:rsidR="00004CCE" w:rsidRPr="005F7253">
        <w:rPr>
          <w:rFonts w:ascii="Aptos" w:eastAsia="Aptos" w:hAnsi="Aptos" w:cs="Arial"/>
          <w:kern w:val="2"/>
          <w:sz w:val="22"/>
          <w:szCs w:val="22"/>
          <w14:ligatures w14:val="standardContextual"/>
        </w:rPr>
        <w:t xml:space="preserve"> activities</w:t>
      </w:r>
      <w:r w:rsidRPr="005F7253">
        <w:rPr>
          <w:rFonts w:ascii="Aptos" w:eastAsia="Aptos" w:hAnsi="Aptos" w:cs="Arial"/>
          <w:kern w:val="2"/>
          <w:sz w:val="22"/>
          <w:szCs w:val="22"/>
          <w14:ligatures w14:val="standardContextual"/>
        </w:rPr>
        <w:t xml:space="preserve">. </w:t>
      </w:r>
      <w:r w:rsidR="0062707B" w:rsidRPr="005F7253">
        <w:rPr>
          <w:rFonts w:ascii="Aptos" w:eastAsia="Aptos" w:hAnsi="Aptos" w:cs="Arial"/>
          <w:kern w:val="2"/>
          <w:sz w:val="22"/>
          <w:szCs w:val="22"/>
          <w14:ligatures w14:val="standardContextual"/>
        </w:rPr>
        <w:t xml:space="preserve">Those </w:t>
      </w:r>
      <w:r w:rsidRPr="005F7253">
        <w:rPr>
          <w:rFonts w:ascii="Aptos" w:eastAsia="Aptos" w:hAnsi="Aptos" w:cs="Arial"/>
          <w:kern w:val="2"/>
          <w:sz w:val="22"/>
          <w:szCs w:val="22"/>
          <w14:ligatures w14:val="standardContextual"/>
        </w:rPr>
        <w:t xml:space="preserve">countries in the Arab </w:t>
      </w:r>
      <w:r w:rsidR="00C361C1">
        <w:rPr>
          <w:rFonts w:ascii="Aptos" w:eastAsia="Aptos" w:hAnsi="Aptos" w:cs="Arial"/>
          <w:kern w:val="2"/>
          <w:sz w:val="22"/>
          <w:szCs w:val="22"/>
          <w14:ligatures w14:val="standardContextual"/>
        </w:rPr>
        <w:t xml:space="preserve">States </w:t>
      </w:r>
      <w:r w:rsidRPr="005F7253">
        <w:rPr>
          <w:rFonts w:ascii="Aptos" w:eastAsia="Aptos" w:hAnsi="Aptos" w:cs="Arial"/>
          <w:kern w:val="2"/>
          <w:sz w:val="22"/>
          <w:szCs w:val="22"/>
          <w14:ligatures w14:val="standardContextual"/>
        </w:rPr>
        <w:t xml:space="preserve">region </w:t>
      </w:r>
      <w:r w:rsidR="0062707B" w:rsidRPr="005F7253">
        <w:rPr>
          <w:rFonts w:ascii="Aptos" w:eastAsia="Aptos" w:hAnsi="Aptos" w:cs="Arial"/>
          <w:kern w:val="2"/>
          <w:sz w:val="22"/>
          <w:szCs w:val="22"/>
          <w14:ligatures w14:val="standardContextual"/>
        </w:rPr>
        <w:t xml:space="preserve">for which </w:t>
      </w:r>
      <w:r w:rsidRPr="005F7253">
        <w:rPr>
          <w:rFonts w:ascii="Aptos" w:eastAsia="Aptos" w:hAnsi="Aptos" w:cs="Arial"/>
          <w:kern w:val="2"/>
          <w:sz w:val="22"/>
          <w:szCs w:val="22"/>
          <w14:ligatures w14:val="standardContextual"/>
        </w:rPr>
        <w:t xml:space="preserve">data </w:t>
      </w:r>
      <w:r w:rsidR="0062707B" w:rsidRPr="005F7253">
        <w:rPr>
          <w:rFonts w:ascii="Aptos" w:eastAsia="Aptos" w:hAnsi="Aptos" w:cs="Arial"/>
          <w:kern w:val="2"/>
          <w:sz w:val="22"/>
          <w:szCs w:val="22"/>
          <w14:ligatures w14:val="standardContextual"/>
        </w:rPr>
        <w:t xml:space="preserve">was </w:t>
      </w:r>
      <w:r w:rsidRPr="005F7253">
        <w:rPr>
          <w:rFonts w:ascii="Aptos" w:eastAsia="Aptos" w:hAnsi="Aptos" w:cs="Arial"/>
          <w:kern w:val="2"/>
          <w:sz w:val="22"/>
          <w:szCs w:val="22"/>
          <w14:ligatures w14:val="standardContextual"/>
        </w:rPr>
        <w:t xml:space="preserve">available made annual investments of around US$ </w:t>
      </w:r>
      <w:r w:rsidR="003443C1">
        <w:rPr>
          <w:rFonts w:ascii="Aptos" w:eastAsia="Aptos" w:hAnsi="Aptos" w:cs="Arial"/>
          <w:kern w:val="2"/>
          <w:sz w:val="22"/>
          <w:szCs w:val="22"/>
          <w14:ligatures w14:val="standardContextual"/>
        </w:rPr>
        <w:t>76</w:t>
      </w:r>
      <w:r w:rsidRPr="005F7253">
        <w:rPr>
          <w:rFonts w:ascii="Aptos" w:eastAsia="Aptos" w:hAnsi="Aptos" w:cs="Arial"/>
          <w:kern w:val="2"/>
          <w:sz w:val="22"/>
          <w:szCs w:val="22"/>
          <w14:ligatures w14:val="standardContextual"/>
        </w:rPr>
        <w:t xml:space="preserve">0 million </w:t>
      </w:r>
      <w:r w:rsidR="0062707B" w:rsidRPr="005F7253">
        <w:rPr>
          <w:rFonts w:ascii="Aptos" w:eastAsia="Aptos" w:hAnsi="Aptos" w:cs="Arial"/>
          <w:kern w:val="2"/>
          <w:sz w:val="22"/>
          <w:szCs w:val="22"/>
          <w14:ligatures w14:val="standardContextual"/>
        </w:rPr>
        <w:t xml:space="preserve">on average </w:t>
      </w:r>
      <w:r w:rsidRPr="005F7253">
        <w:rPr>
          <w:rFonts w:ascii="Aptos" w:eastAsia="Aptos" w:hAnsi="Aptos" w:cs="Arial"/>
          <w:kern w:val="2"/>
          <w:sz w:val="22"/>
          <w:szCs w:val="22"/>
          <w14:ligatures w14:val="standardContextual"/>
        </w:rPr>
        <w:t>–</w:t>
      </w:r>
      <w:r w:rsidR="007D7438"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corresponding to a median value of 0.4 per cent of their GDP –</w:t>
      </w:r>
      <w:r w:rsidR="007D7438"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in the</w:t>
      </w:r>
      <w:r w:rsidR="0062707B" w:rsidRPr="005F7253">
        <w:rPr>
          <w:rFonts w:ascii="Aptos" w:eastAsia="Aptos" w:hAnsi="Aptos" w:cs="Arial"/>
          <w:kern w:val="2"/>
          <w:sz w:val="22"/>
          <w:szCs w:val="22"/>
          <w14:ligatures w14:val="standardContextual"/>
        </w:rPr>
        <w:t>ir</w:t>
      </w:r>
      <w:r w:rsidRPr="005F7253">
        <w:rPr>
          <w:rFonts w:ascii="Aptos" w:eastAsia="Aptos" w:hAnsi="Aptos" w:cs="Arial"/>
          <w:kern w:val="2"/>
          <w:sz w:val="22"/>
          <w:szCs w:val="22"/>
          <w14:ligatures w14:val="standardContextual"/>
        </w:rPr>
        <w:t xml:space="preserve"> telecommunication sector over the 2021-2023 period.</w:t>
      </w:r>
      <w:r w:rsidRPr="005F7253">
        <w:rPr>
          <w:rFonts w:ascii="Aptos" w:eastAsia="Aptos" w:hAnsi="Aptos" w:cs="Arial"/>
          <w:kern w:val="2"/>
          <w:sz w:val="22"/>
          <w:szCs w:val="22"/>
          <w:vertAlign w:val="superscript"/>
          <w14:ligatures w14:val="standardContextual"/>
        </w:rPr>
        <w:footnoteReference w:id="14"/>
      </w:r>
      <w:r w:rsidRPr="005F7253">
        <w:rPr>
          <w:rFonts w:ascii="Aptos" w:eastAsia="Aptos" w:hAnsi="Aptos" w:cs="Arial"/>
          <w:kern w:val="2"/>
          <w:sz w:val="22"/>
          <w:szCs w:val="22"/>
          <w14:ligatures w14:val="standardContextual"/>
        </w:rPr>
        <w:t xml:space="preserve"> Investment projects often span </w:t>
      </w:r>
      <w:r w:rsidR="0062707B" w:rsidRPr="005F7253">
        <w:rPr>
          <w:rFonts w:ascii="Aptos" w:eastAsia="Aptos" w:hAnsi="Aptos" w:cs="Arial"/>
          <w:kern w:val="2"/>
          <w:sz w:val="22"/>
          <w:szCs w:val="22"/>
          <w14:ligatures w14:val="standardContextual"/>
        </w:rPr>
        <w:t xml:space="preserve">multiple </w:t>
      </w:r>
      <w:r w:rsidRPr="005F7253">
        <w:rPr>
          <w:rFonts w:ascii="Aptos" w:eastAsia="Aptos" w:hAnsi="Aptos" w:cs="Arial"/>
          <w:kern w:val="2"/>
          <w:sz w:val="22"/>
          <w:szCs w:val="22"/>
          <w14:ligatures w14:val="standardContextual"/>
        </w:rPr>
        <w:t>years and values fluctuate</w:t>
      </w:r>
      <w:r w:rsidR="0062707B" w:rsidRPr="005F7253">
        <w:rPr>
          <w:rFonts w:ascii="Aptos" w:eastAsia="Aptos" w:hAnsi="Aptos" w:cs="Arial"/>
          <w:kern w:val="2"/>
          <w:sz w:val="22"/>
          <w:szCs w:val="22"/>
          <w14:ligatures w14:val="standardContextual"/>
        </w:rPr>
        <w:t>. C</w:t>
      </w:r>
      <w:r w:rsidRPr="005F7253">
        <w:rPr>
          <w:rFonts w:ascii="Aptos" w:eastAsia="Aptos" w:hAnsi="Aptos" w:cs="Arial"/>
          <w:kern w:val="2"/>
          <w:sz w:val="22"/>
          <w:szCs w:val="22"/>
          <w14:ligatures w14:val="standardContextual"/>
        </w:rPr>
        <w:t xml:space="preserve">onsidering moving averages, it can be estimated that the telecommunications sector mobilized over </w:t>
      </w:r>
      <w:r w:rsidR="0062707B" w:rsidRPr="005F7253">
        <w:rPr>
          <w:rFonts w:ascii="Aptos" w:eastAsia="Aptos" w:hAnsi="Aptos" w:cs="Arial"/>
          <w:kern w:val="2"/>
          <w:sz w:val="22"/>
          <w:szCs w:val="22"/>
          <w14:ligatures w14:val="standardContextual"/>
        </w:rPr>
        <w:t xml:space="preserve">USD </w:t>
      </w:r>
      <w:r w:rsidRPr="005F7253">
        <w:rPr>
          <w:rFonts w:ascii="Aptos" w:eastAsia="Aptos" w:hAnsi="Aptos" w:cs="Arial"/>
          <w:kern w:val="2"/>
          <w:sz w:val="22"/>
          <w:szCs w:val="22"/>
          <w14:ligatures w14:val="standardContextual"/>
        </w:rPr>
        <w:t xml:space="preserve">11 billion a year in </w:t>
      </w:r>
      <w:r w:rsidR="0062707B" w:rsidRPr="005F7253">
        <w:rPr>
          <w:rFonts w:ascii="Aptos" w:eastAsia="Aptos" w:hAnsi="Aptos" w:cs="Arial"/>
          <w:kern w:val="2"/>
          <w:sz w:val="22"/>
          <w:szCs w:val="22"/>
          <w14:ligatures w14:val="standardContextual"/>
        </w:rPr>
        <w:t xml:space="preserve">those </w:t>
      </w:r>
      <w:r w:rsidRPr="005F7253">
        <w:rPr>
          <w:rFonts w:ascii="Aptos" w:eastAsia="Aptos" w:hAnsi="Aptos" w:cs="Arial"/>
          <w:kern w:val="2"/>
          <w:sz w:val="22"/>
          <w:szCs w:val="22"/>
          <w14:ligatures w14:val="standardContextual"/>
        </w:rPr>
        <w:t xml:space="preserve">countries </w:t>
      </w:r>
      <w:r w:rsidR="0062707B" w:rsidRPr="005F7253">
        <w:rPr>
          <w:rFonts w:ascii="Aptos" w:eastAsia="Aptos" w:hAnsi="Aptos" w:cs="Arial"/>
          <w:kern w:val="2"/>
          <w:sz w:val="22"/>
          <w:szCs w:val="22"/>
          <w14:ligatures w14:val="standardContextual"/>
        </w:rPr>
        <w:t xml:space="preserve">for which </w:t>
      </w:r>
      <w:r w:rsidRPr="005F7253">
        <w:rPr>
          <w:rFonts w:ascii="Aptos" w:eastAsia="Aptos" w:hAnsi="Aptos" w:cs="Arial"/>
          <w:kern w:val="2"/>
          <w:sz w:val="22"/>
          <w:szCs w:val="22"/>
          <w14:ligatures w14:val="standardContextual"/>
        </w:rPr>
        <w:t xml:space="preserve">data </w:t>
      </w:r>
      <w:r w:rsidR="0062707B" w:rsidRPr="005F7253">
        <w:rPr>
          <w:rFonts w:ascii="Aptos" w:eastAsia="Aptos" w:hAnsi="Aptos" w:cs="Arial"/>
          <w:kern w:val="2"/>
          <w:sz w:val="22"/>
          <w:szCs w:val="22"/>
          <w14:ligatures w14:val="standardContextual"/>
        </w:rPr>
        <w:t xml:space="preserve">was </w:t>
      </w:r>
      <w:r w:rsidRPr="005F7253">
        <w:rPr>
          <w:rFonts w:ascii="Aptos" w:eastAsia="Aptos" w:hAnsi="Aptos" w:cs="Arial"/>
          <w:kern w:val="2"/>
          <w:sz w:val="22"/>
          <w:szCs w:val="22"/>
          <w14:ligatures w14:val="standardContextual"/>
        </w:rPr>
        <w:t xml:space="preserve">available. </w:t>
      </w:r>
      <w:r w:rsidR="0062707B" w:rsidRPr="005F7253">
        <w:rPr>
          <w:rFonts w:ascii="Aptos" w:eastAsia="Aptos" w:hAnsi="Aptos" w:cs="Arial"/>
          <w:kern w:val="2"/>
          <w:sz w:val="22"/>
          <w:szCs w:val="22"/>
          <w14:ligatures w14:val="standardContextual"/>
        </w:rPr>
        <w:t xml:space="preserve">Investment </w:t>
      </w:r>
      <w:r w:rsidRPr="005F7253">
        <w:rPr>
          <w:rFonts w:ascii="Aptos" w:eastAsia="Aptos" w:hAnsi="Aptos" w:cs="Arial"/>
          <w:kern w:val="2"/>
          <w:sz w:val="22"/>
          <w:szCs w:val="22"/>
          <w14:ligatures w14:val="standardContextual"/>
        </w:rPr>
        <w:t>is unevenly distributed across countries in the region, and both the levels and the per GDP rates of capital expenditure vary significantly. Low levels of investment in countries with mobile network coverage gaps and low mobile and fixed broadband penetration is a particular concern</w:t>
      </w:r>
      <w:r w:rsidR="0062707B" w:rsidRPr="005F7253">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as it perpetuates digital development divides. </w:t>
      </w:r>
    </w:p>
    <w:p w14:paraId="66FE690A"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br w:type="page"/>
      </w:r>
    </w:p>
    <w:p w14:paraId="491095ED"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9" w:name="_Toc184940640"/>
      <w:r w:rsidRPr="005F7253">
        <w:rPr>
          <w:rFonts w:ascii="Aptos Display" w:eastAsia="Yu Gothic Light" w:hAnsi="Aptos Display"/>
          <w:color w:val="0F4761"/>
          <w:kern w:val="2"/>
          <w:sz w:val="32"/>
          <w:szCs w:val="32"/>
          <w14:ligatures w14:val="standardContextual"/>
        </w:rPr>
        <w:lastRenderedPageBreak/>
        <w:t>Cybersecurity</w:t>
      </w:r>
      <w:bookmarkEnd w:id="19"/>
    </w:p>
    <w:p w14:paraId="1C547127"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Arab States are increasingly committed to cybersecurity</w:t>
      </w:r>
    </w:p>
    <w:p w14:paraId="6E85A6A7" w14:textId="205194E6"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Meaningful connectivity requires trustworthy and secure communications. With over 5.5 billion people now online, cybersecurity in the digital economy</w:t>
      </w:r>
      <w:r w:rsidR="00A176D9" w:rsidRPr="00A176D9">
        <w:rPr>
          <w:rFonts w:ascii="Aptos" w:eastAsia="Aptos" w:hAnsi="Aptos" w:cs="Arial"/>
          <w:kern w:val="2"/>
          <w:sz w:val="22"/>
          <w:szCs w:val="22"/>
          <w14:ligatures w14:val="standardContextual"/>
        </w:rPr>
        <w:t xml:space="preserve"> </w:t>
      </w:r>
      <w:r w:rsidR="00A176D9" w:rsidRPr="005F7253">
        <w:rPr>
          <w:rFonts w:ascii="Aptos" w:eastAsia="Aptos" w:hAnsi="Aptos" w:cs="Arial"/>
          <w:kern w:val="2"/>
          <w:sz w:val="22"/>
          <w:szCs w:val="22"/>
          <w14:ligatures w14:val="standardContextual"/>
        </w:rPr>
        <w:t>is no longer an afterthought</w:t>
      </w:r>
      <w:r w:rsidRPr="005F7253">
        <w:rPr>
          <w:rFonts w:ascii="Aptos" w:eastAsia="Aptos" w:hAnsi="Aptos" w:cs="Arial"/>
          <w:kern w:val="2"/>
          <w:sz w:val="22"/>
          <w:szCs w:val="22"/>
          <w14:ligatures w14:val="standardContextual"/>
        </w:rPr>
        <w:t xml:space="preserve">. Addressing cybersecurity requires a holistic approach encompassing legal, technical, organizational, capacity development, and cooperation </w:t>
      </w:r>
      <w:r w:rsidR="00C361D7">
        <w:rPr>
          <w:rFonts w:ascii="Aptos" w:eastAsia="Aptos" w:hAnsi="Aptos" w:cs="Arial"/>
          <w:kern w:val="2"/>
          <w:sz w:val="22"/>
          <w:szCs w:val="22"/>
          <w14:ligatures w14:val="standardContextual"/>
        </w:rPr>
        <w:t>issues</w:t>
      </w:r>
      <w:r w:rsidRPr="005F7253">
        <w:rPr>
          <w:rFonts w:ascii="Aptos" w:eastAsia="Aptos" w:hAnsi="Aptos" w:cs="Arial"/>
          <w:kern w:val="2"/>
          <w:sz w:val="22"/>
          <w:szCs w:val="22"/>
          <w14:ligatures w14:val="standardContextual"/>
        </w:rPr>
        <w:t xml:space="preserve">. Since 2015, the Global Cybersecurity Index (GCI) has tracked countries' </w:t>
      </w:r>
      <w:r w:rsidR="00C361D7">
        <w:rPr>
          <w:rFonts w:ascii="Aptos" w:eastAsia="Aptos" w:hAnsi="Aptos" w:cs="Arial"/>
          <w:kern w:val="2"/>
          <w:sz w:val="22"/>
          <w:szCs w:val="22"/>
          <w14:ligatures w14:val="standardContextual"/>
        </w:rPr>
        <w:t xml:space="preserve">performance on these issues, </w:t>
      </w:r>
      <w:r w:rsidRPr="005F7253">
        <w:rPr>
          <w:rFonts w:ascii="Aptos" w:eastAsia="Aptos" w:hAnsi="Aptos" w:cs="Arial"/>
          <w:kern w:val="2"/>
          <w:sz w:val="22"/>
          <w:szCs w:val="22"/>
          <w14:ligatures w14:val="standardContextual"/>
        </w:rPr>
        <w:t>each represent</w:t>
      </w:r>
      <w:r w:rsidR="00C361D7">
        <w:rPr>
          <w:rFonts w:ascii="Aptos" w:eastAsia="Aptos" w:hAnsi="Aptos" w:cs="Arial"/>
          <w:kern w:val="2"/>
          <w:sz w:val="22"/>
          <w:szCs w:val="22"/>
          <w14:ligatures w14:val="standardContextual"/>
        </w:rPr>
        <w:t>ed</w:t>
      </w:r>
      <w:r w:rsidRPr="005F7253">
        <w:rPr>
          <w:rFonts w:ascii="Aptos" w:eastAsia="Aptos" w:hAnsi="Aptos" w:cs="Arial"/>
          <w:kern w:val="2"/>
          <w:sz w:val="22"/>
          <w:szCs w:val="22"/>
          <w14:ligatures w14:val="standardContextual"/>
        </w:rPr>
        <w:t xml:space="preserve"> </w:t>
      </w:r>
      <w:r w:rsidR="00C361D7">
        <w:rPr>
          <w:rFonts w:ascii="Aptos" w:eastAsia="Aptos" w:hAnsi="Aptos" w:cs="Arial"/>
          <w:kern w:val="2"/>
          <w:sz w:val="22"/>
          <w:szCs w:val="22"/>
          <w14:ligatures w14:val="standardContextual"/>
        </w:rPr>
        <w:t xml:space="preserve">by </w:t>
      </w:r>
      <w:r w:rsidRPr="005F7253">
        <w:rPr>
          <w:rFonts w:ascii="Aptos" w:eastAsia="Aptos" w:hAnsi="Aptos" w:cs="Arial"/>
          <w:kern w:val="2"/>
          <w:sz w:val="22"/>
          <w:szCs w:val="22"/>
          <w14:ligatures w14:val="standardContextual"/>
        </w:rPr>
        <w:t xml:space="preserve">a pillar of the </w:t>
      </w:r>
      <w:r w:rsidR="00C361D7">
        <w:rPr>
          <w:rFonts w:ascii="Aptos" w:eastAsia="Aptos" w:hAnsi="Aptos" w:cs="Arial"/>
          <w:kern w:val="2"/>
          <w:sz w:val="22"/>
          <w:szCs w:val="22"/>
          <w14:ligatures w14:val="standardContextual"/>
        </w:rPr>
        <w:t>index</w:t>
      </w:r>
      <w:r w:rsidR="009B4AC8">
        <w:rPr>
          <w:rFonts w:ascii="Aptos" w:eastAsia="Aptos" w:hAnsi="Aptos" w:cs="Arial"/>
          <w:kern w:val="2"/>
          <w:sz w:val="22"/>
          <w:szCs w:val="22"/>
          <w14:ligatures w14:val="standardContextual"/>
        </w:rPr>
        <w:t xml:space="preserve">, with an aggregate GCI score </w:t>
      </w:r>
      <w:r w:rsidRPr="005F7253">
        <w:rPr>
          <w:rFonts w:ascii="Aptos" w:eastAsia="Aptos" w:hAnsi="Aptos" w:cs="Arial"/>
          <w:kern w:val="2"/>
          <w:sz w:val="22"/>
          <w:szCs w:val="22"/>
          <w14:ligatures w14:val="standardContextual"/>
        </w:rPr>
        <w:t xml:space="preserve">on a 0-100 scale. The 2024 edition revealed a notable improvement in countries’ commitment to cybersecurity: the average GCI score reached 66, up 14 points from the 2021 edition. The Arab States have mirrored this progression with the same average score of 66 and a gain of 15 points from the previous edition. </w:t>
      </w:r>
    </w:p>
    <w:p w14:paraId="18574B6F"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Global Cybersecurity Index scores, 2017-2024</w:t>
      </w:r>
    </w:p>
    <w:p w14:paraId="52CA949C" w14:textId="552B3577" w:rsidR="006C41B5" w:rsidRPr="005F7253" w:rsidRDefault="002026C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Pr>
          <w:noProof/>
        </w:rPr>
        <w:drawing>
          <wp:inline distT="0" distB="0" distL="0" distR="0" wp14:anchorId="75AEFF94" wp14:editId="7103A9BB">
            <wp:extent cx="6120765" cy="2757170"/>
            <wp:effectExtent l="0" t="0" r="0" b="5080"/>
            <wp:docPr id="17482649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64912" name=""/>
                    <pic:cNvPicPr/>
                  </pic:nvPicPr>
                  <pic:blipFill>
                    <a:blip r:embed="rId116">
                      <a:extLst>
                        <a:ext uri="{96DAC541-7B7A-43D3-8B79-37D633B846F1}">
                          <asvg:svgBlip xmlns:asvg="http://schemas.microsoft.com/office/drawing/2016/SVG/main" r:embed="rId117"/>
                        </a:ext>
                      </a:extLst>
                    </a:blip>
                    <a:stretch>
                      <a:fillRect/>
                    </a:stretch>
                  </pic:blipFill>
                  <pic:spPr>
                    <a:xfrm>
                      <a:off x="0" y="0"/>
                      <a:ext cx="6120765" cy="2757170"/>
                    </a:xfrm>
                    <a:prstGeom prst="rect">
                      <a:avLst/>
                    </a:prstGeom>
                  </pic:spPr>
                </pic:pic>
              </a:graphicData>
            </a:graphic>
          </wp:inline>
        </w:drawing>
      </w:r>
      <w:r w:rsidR="006C41B5" w:rsidRPr="005F7253">
        <w:rPr>
          <w:rFonts w:ascii="Aptos" w:eastAsia="Aptos" w:hAnsi="Aptos" w:cs="Arial"/>
          <w:kern w:val="2"/>
          <w:sz w:val="16"/>
          <w:szCs w:val="28"/>
          <w14:ligatures w14:val="standardContextual"/>
        </w:rPr>
        <w:t xml:space="preserve">Note: Questions and weightings have been updated between editions, in collaboration with the GCI Expert Group, to better measure cybersecurity commitments by countries. </w:t>
      </w:r>
    </w:p>
    <w:p w14:paraId="40B40C4C"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5648A177" w14:textId="152F710F" w:rsidR="006C41B5" w:rsidRPr="005F7253" w:rsidRDefault="00B55619"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The performance in the GCI of Arab States is extremely mixed</w:t>
      </w:r>
      <w:r w:rsidR="009B4AC8">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with a 93-point gap between the region’s best performers, which achieved the maximum score of 100, and the region’s worst performer, Yemen, with a score of 7. All development groups are represented among the top scoring countries in the GCI, indicating that development level is not a reliable predictor of cybersecurity </w:t>
      </w:r>
      <w:r w:rsidR="009B4AC8">
        <w:rPr>
          <w:rFonts w:ascii="Aptos" w:eastAsia="Aptos" w:hAnsi="Aptos" w:cs="Arial"/>
          <w:kern w:val="2"/>
          <w:sz w:val="22"/>
          <w:szCs w:val="22"/>
          <w14:ligatures w14:val="standardContextual"/>
        </w:rPr>
        <w:t>performance</w:t>
      </w:r>
      <w:r w:rsidRPr="005F7253">
        <w:rPr>
          <w:rFonts w:ascii="Aptos" w:eastAsia="Aptos" w:hAnsi="Aptos" w:cs="Arial"/>
          <w:kern w:val="2"/>
          <w:sz w:val="22"/>
          <w:szCs w:val="22"/>
          <w14:ligatures w14:val="standardContextual"/>
        </w:rPr>
        <w:t>. However, the Arab least developed countries (LDCs) are among the worst performers globally.</w:t>
      </w:r>
      <w:r w:rsidRPr="005F7253" w:rsidDel="00DC5090">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Several Arab economies </w:t>
      </w:r>
      <w:r w:rsidR="009B4AC8">
        <w:rPr>
          <w:rFonts w:ascii="Aptos" w:eastAsia="Aptos" w:hAnsi="Aptos" w:cs="Arial"/>
          <w:kern w:val="2"/>
          <w:sz w:val="22"/>
          <w:szCs w:val="22"/>
          <w14:ligatures w14:val="standardContextual"/>
        </w:rPr>
        <w:t xml:space="preserve">have made </w:t>
      </w:r>
      <w:r w:rsidRPr="005F7253">
        <w:rPr>
          <w:rFonts w:ascii="Aptos" w:eastAsia="Aptos" w:hAnsi="Aptos" w:cs="Arial"/>
          <w:kern w:val="2"/>
          <w:sz w:val="22"/>
          <w:szCs w:val="22"/>
          <w14:ligatures w14:val="standardContextual"/>
        </w:rPr>
        <w:t xml:space="preserve">efforts to enhance the quality of their commitments, </w:t>
      </w:r>
      <w:r w:rsidR="009B4AC8">
        <w:rPr>
          <w:rFonts w:ascii="Aptos" w:eastAsia="Aptos" w:hAnsi="Aptos" w:cs="Arial"/>
          <w:kern w:val="2"/>
          <w:sz w:val="22"/>
          <w:szCs w:val="22"/>
          <w14:ligatures w14:val="standardContextual"/>
        </w:rPr>
        <w:t xml:space="preserve">with </w:t>
      </w:r>
      <w:r w:rsidRPr="005F7253">
        <w:rPr>
          <w:rFonts w:ascii="Aptos" w:eastAsia="Aptos" w:hAnsi="Aptos" w:cs="Arial"/>
          <w:kern w:val="2"/>
          <w:sz w:val="22"/>
          <w:szCs w:val="22"/>
          <w14:ligatures w14:val="standardContextual"/>
        </w:rPr>
        <w:t>extensive auditing, tailor</w:t>
      </w:r>
      <w:r w:rsidR="009B4AC8">
        <w:rPr>
          <w:rFonts w:ascii="Aptos" w:eastAsia="Aptos" w:hAnsi="Aptos" w:cs="Arial"/>
          <w:kern w:val="2"/>
          <w:sz w:val="22"/>
          <w:szCs w:val="22"/>
          <w14:ligatures w14:val="standardContextual"/>
        </w:rPr>
        <w:t>ed</w:t>
      </w:r>
      <w:r w:rsidRPr="005F7253">
        <w:rPr>
          <w:rFonts w:ascii="Aptos" w:eastAsia="Aptos" w:hAnsi="Aptos" w:cs="Arial"/>
          <w:kern w:val="2"/>
          <w:sz w:val="22"/>
          <w:szCs w:val="22"/>
          <w14:ligatures w14:val="standardContextual"/>
        </w:rPr>
        <w:t xml:space="preserve"> cyber awareness efforts, and a range of educational opportunities. For example, Northern African Arab countries have many legal measures in place but lack measures in other areas. </w:t>
      </w:r>
    </w:p>
    <w:p w14:paraId="3B67349D"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lastRenderedPageBreak/>
        <w:t>Global Cybersecurity Index scores, by pillar and overall, 2024</w:t>
      </w:r>
    </w:p>
    <w:p w14:paraId="015A3179" w14:textId="66F11AD3" w:rsidR="006C41B5" w:rsidRPr="005F7253" w:rsidRDefault="00CD324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Pr>
          <w:noProof/>
        </w:rPr>
        <w:drawing>
          <wp:inline distT="0" distB="0" distL="0" distR="0" wp14:anchorId="4A9F09D0" wp14:editId="30B2AB44">
            <wp:extent cx="6120765" cy="2788920"/>
            <wp:effectExtent l="0" t="0" r="0" b="0"/>
            <wp:docPr id="17162422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42212" name=""/>
                    <pic:cNvPicPr/>
                  </pic:nvPicPr>
                  <pic:blipFill>
                    <a:blip r:embed="rId118">
                      <a:extLst>
                        <a:ext uri="{96DAC541-7B7A-43D3-8B79-37D633B846F1}">
                          <asvg:svgBlip xmlns:asvg="http://schemas.microsoft.com/office/drawing/2016/SVG/main" r:embed="rId119"/>
                        </a:ext>
                      </a:extLst>
                    </a:blip>
                    <a:stretch>
                      <a:fillRect/>
                    </a:stretch>
                  </pic:blipFill>
                  <pic:spPr>
                    <a:xfrm>
                      <a:off x="0" y="0"/>
                      <a:ext cx="6120765" cy="2788920"/>
                    </a:xfrm>
                    <a:prstGeom prst="rect">
                      <a:avLst/>
                    </a:prstGeom>
                  </pic:spPr>
                </pic:pic>
              </a:graphicData>
            </a:graphic>
          </wp:inline>
        </w:drawing>
      </w:r>
      <w:r w:rsidR="006C41B5"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006C41B5" w:rsidRPr="005F7253">
        <w:rPr>
          <w:rFonts w:ascii="Aptos" w:eastAsia="Aptos" w:hAnsi="Aptos" w:cs="Arial"/>
          <w:kern w:val="2"/>
          <w:sz w:val="16"/>
          <w:szCs w:val="28"/>
          <w14:ligatures w14:val="standardContextual"/>
        </w:rPr>
        <w:t>) of the ITU Plenipotentiary Conference.</w:t>
      </w:r>
    </w:p>
    <w:p w14:paraId="7C28988A"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Note: The overall CGI score shown is the sum of the score of the five pillars</w:t>
      </w:r>
    </w:p>
    <w:p w14:paraId="3C70DF12"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65BD7116" w14:textId="4C2637C6"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w:t>
      </w:r>
      <w:r w:rsidR="00046F89">
        <w:rPr>
          <w:rFonts w:ascii="Aptos" w:eastAsia="Aptos" w:hAnsi="Aptos" w:cs="Arial"/>
          <w:kern w:val="2"/>
          <w:sz w:val="22"/>
          <w:szCs w:val="22"/>
          <w14:ligatures w14:val="standardContextual"/>
        </w:rPr>
        <w:t>t</w:t>
      </w:r>
      <w:r w:rsidRPr="005F7253">
        <w:rPr>
          <w:rFonts w:ascii="Aptos" w:eastAsia="Aptos" w:hAnsi="Aptos" w:cs="Arial"/>
          <w:kern w:val="2"/>
          <w:sz w:val="22"/>
          <w:szCs w:val="22"/>
          <w14:ligatures w14:val="standardContextual"/>
        </w:rPr>
        <w:t xml:space="preserve">echnical </w:t>
      </w:r>
      <w:r w:rsidR="00046F89">
        <w:rPr>
          <w:rFonts w:ascii="Aptos" w:eastAsia="Aptos" w:hAnsi="Aptos" w:cs="Arial"/>
          <w:kern w:val="2"/>
          <w:sz w:val="22"/>
          <w:szCs w:val="22"/>
          <w14:ligatures w14:val="standardContextual"/>
        </w:rPr>
        <w:t>p</w:t>
      </w:r>
      <w:r w:rsidRPr="005F7253">
        <w:rPr>
          <w:rFonts w:ascii="Aptos" w:eastAsia="Aptos" w:hAnsi="Aptos" w:cs="Arial"/>
          <w:kern w:val="2"/>
          <w:sz w:val="22"/>
          <w:szCs w:val="22"/>
          <w14:ligatures w14:val="standardContextual"/>
        </w:rPr>
        <w:t xml:space="preserve">illar of the GCI assesses the effectiveness of national mechanisms and institutional structures in detecting, preventing, responding to, and mitigating cyberthreats and incidents. Computer </w:t>
      </w:r>
      <w:r w:rsidR="009B4AC8">
        <w:rPr>
          <w:rFonts w:ascii="Aptos" w:eastAsia="Aptos" w:hAnsi="Aptos" w:cs="Arial"/>
          <w:kern w:val="2"/>
          <w:sz w:val="22"/>
          <w:szCs w:val="22"/>
          <w14:ligatures w14:val="standardContextual"/>
        </w:rPr>
        <w:t>i</w:t>
      </w:r>
      <w:r w:rsidRPr="005F7253">
        <w:rPr>
          <w:rFonts w:ascii="Aptos" w:eastAsia="Aptos" w:hAnsi="Aptos" w:cs="Arial"/>
          <w:kern w:val="2"/>
          <w:sz w:val="22"/>
          <w:szCs w:val="22"/>
          <w14:ligatures w14:val="standardContextual"/>
        </w:rPr>
        <w:t xml:space="preserve">ncident </w:t>
      </w:r>
      <w:r w:rsidR="009B4AC8">
        <w:rPr>
          <w:rFonts w:ascii="Aptos" w:eastAsia="Aptos" w:hAnsi="Aptos" w:cs="Arial"/>
          <w:kern w:val="2"/>
          <w:sz w:val="22"/>
          <w:szCs w:val="22"/>
          <w14:ligatures w14:val="standardContextual"/>
        </w:rPr>
        <w:t>r</w:t>
      </w:r>
      <w:r w:rsidRPr="005F7253">
        <w:rPr>
          <w:rFonts w:ascii="Aptos" w:eastAsia="Aptos" w:hAnsi="Aptos" w:cs="Arial"/>
          <w:kern w:val="2"/>
          <w:sz w:val="22"/>
          <w:szCs w:val="22"/>
          <w14:ligatures w14:val="standardContextual"/>
        </w:rPr>
        <w:t xml:space="preserve">esponse </w:t>
      </w:r>
      <w:r w:rsidR="009B4AC8">
        <w:rPr>
          <w:rFonts w:ascii="Aptos" w:eastAsia="Aptos" w:hAnsi="Aptos" w:cs="Arial"/>
          <w:kern w:val="2"/>
          <w:sz w:val="22"/>
          <w:szCs w:val="22"/>
          <w14:ligatures w14:val="standardContextual"/>
        </w:rPr>
        <w:t>t</w:t>
      </w:r>
      <w:r w:rsidRPr="005F7253">
        <w:rPr>
          <w:rFonts w:ascii="Aptos" w:eastAsia="Aptos" w:hAnsi="Aptos" w:cs="Arial"/>
          <w:kern w:val="2"/>
          <w:sz w:val="22"/>
          <w:szCs w:val="22"/>
          <w14:ligatures w14:val="standardContextual"/>
        </w:rPr>
        <w:t xml:space="preserve">eams (CIRTs) are responsible for protection against, detection of, and response to cybersecurity incidents, and can enhance a country’s ability to manage </w:t>
      </w:r>
      <w:r w:rsidR="00837109">
        <w:rPr>
          <w:rFonts w:ascii="Aptos" w:eastAsia="Aptos" w:hAnsi="Aptos" w:cs="Arial"/>
          <w:kern w:val="2"/>
          <w:sz w:val="22"/>
          <w:szCs w:val="22"/>
          <w14:ligatures w14:val="standardContextual"/>
        </w:rPr>
        <w:t xml:space="preserve">such </w:t>
      </w:r>
      <w:r w:rsidRPr="005F7253">
        <w:rPr>
          <w:rFonts w:ascii="Aptos" w:eastAsia="Aptos" w:hAnsi="Aptos" w:cs="Arial"/>
          <w:kern w:val="2"/>
          <w:sz w:val="22"/>
          <w:szCs w:val="22"/>
          <w14:ligatures w14:val="standardContextual"/>
        </w:rPr>
        <w:t xml:space="preserve">incidents. Although nearly all countries in the Arab </w:t>
      </w:r>
      <w:r w:rsidR="00C361C1">
        <w:rPr>
          <w:rFonts w:ascii="Aptos" w:eastAsia="Aptos" w:hAnsi="Aptos" w:cs="Arial"/>
          <w:kern w:val="2"/>
          <w:sz w:val="22"/>
          <w:szCs w:val="22"/>
          <w14:ligatures w14:val="standardContextual"/>
        </w:rPr>
        <w:t xml:space="preserve">States </w:t>
      </w:r>
      <w:r w:rsidRPr="005F7253">
        <w:rPr>
          <w:rFonts w:ascii="Aptos" w:eastAsia="Aptos" w:hAnsi="Aptos" w:cs="Arial"/>
          <w:kern w:val="2"/>
          <w:sz w:val="22"/>
          <w:szCs w:val="22"/>
          <w14:ligatures w14:val="standardContextual"/>
        </w:rPr>
        <w:t xml:space="preserve">region have established their national CIRTs, there is a need for increased support, particularly for LDCs. Out of six Arab LDCs, only one has a CIRT </w:t>
      </w:r>
      <w:r w:rsidR="009B4AC8">
        <w:rPr>
          <w:rFonts w:ascii="Aptos" w:eastAsia="Aptos" w:hAnsi="Aptos" w:cs="Arial"/>
          <w:kern w:val="2"/>
          <w:sz w:val="22"/>
          <w:szCs w:val="22"/>
          <w14:ligatures w14:val="standardContextual"/>
        </w:rPr>
        <w:t xml:space="preserve">in place, with </w:t>
      </w:r>
      <w:r w:rsidRPr="005F7253">
        <w:rPr>
          <w:rFonts w:ascii="Aptos" w:eastAsia="Aptos" w:hAnsi="Aptos" w:cs="Arial"/>
          <w:kern w:val="2"/>
          <w:sz w:val="22"/>
          <w:szCs w:val="22"/>
          <w14:ligatures w14:val="standardContextual"/>
        </w:rPr>
        <w:t xml:space="preserve">three </w:t>
      </w:r>
      <w:r w:rsidR="009B4AC8">
        <w:rPr>
          <w:rFonts w:ascii="Aptos" w:eastAsia="Aptos" w:hAnsi="Aptos" w:cs="Arial"/>
          <w:kern w:val="2"/>
          <w:sz w:val="22"/>
          <w:szCs w:val="22"/>
          <w14:ligatures w14:val="standardContextual"/>
        </w:rPr>
        <w:t xml:space="preserve">others </w:t>
      </w:r>
      <w:r w:rsidRPr="005F7253">
        <w:rPr>
          <w:rFonts w:ascii="Aptos" w:eastAsia="Aptos" w:hAnsi="Aptos" w:cs="Arial"/>
          <w:kern w:val="2"/>
          <w:sz w:val="22"/>
          <w:szCs w:val="22"/>
          <w14:ligatures w14:val="standardContextual"/>
        </w:rPr>
        <w:t xml:space="preserve">in </w:t>
      </w:r>
      <w:r w:rsidR="009B4AC8">
        <w:rPr>
          <w:rFonts w:ascii="Aptos" w:eastAsia="Aptos" w:hAnsi="Aptos" w:cs="Arial"/>
          <w:kern w:val="2"/>
          <w:sz w:val="22"/>
          <w:szCs w:val="22"/>
          <w14:ligatures w14:val="standardContextual"/>
        </w:rPr>
        <w:t>the process of setting one up</w:t>
      </w:r>
      <w:r w:rsidRPr="005F7253">
        <w:rPr>
          <w:rFonts w:ascii="Aptos" w:eastAsia="Aptos" w:hAnsi="Aptos" w:cs="Arial"/>
          <w:kern w:val="2"/>
          <w:sz w:val="22"/>
          <w:szCs w:val="22"/>
          <w14:ligatures w14:val="standardContextual"/>
        </w:rPr>
        <w:t>.</w:t>
      </w:r>
    </w:p>
    <w:p w14:paraId="2FA83AC6" w14:textId="5BFC0F5B"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Child </w:t>
      </w:r>
      <w:r w:rsidR="009B4AC8">
        <w:rPr>
          <w:rFonts w:ascii="Aptos" w:eastAsia="Aptos" w:hAnsi="Aptos" w:cs="Arial"/>
          <w:kern w:val="2"/>
          <w:sz w:val="22"/>
          <w:szCs w:val="22"/>
          <w14:ligatures w14:val="standardContextual"/>
        </w:rPr>
        <w:t>o</w:t>
      </w:r>
      <w:r w:rsidRPr="005F7253">
        <w:rPr>
          <w:rFonts w:ascii="Aptos" w:eastAsia="Aptos" w:hAnsi="Aptos" w:cs="Arial"/>
          <w:kern w:val="2"/>
          <w:sz w:val="22"/>
          <w:szCs w:val="22"/>
          <w14:ligatures w14:val="standardContextual"/>
        </w:rPr>
        <w:t xml:space="preserve">nline </w:t>
      </w:r>
      <w:r w:rsidR="009B4AC8">
        <w:rPr>
          <w:rFonts w:ascii="Aptos" w:eastAsia="Aptos" w:hAnsi="Aptos" w:cs="Arial"/>
          <w:kern w:val="2"/>
          <w:sz w:val="22"/>
          <w:szCs w:val="22"/>
          <w14:ligatures w14:val="standardContextual"/>
        </w:rPr>
        <w:t>p</w:t>
      </w:r>
      <w:r w:rsidRPr="005F7253">
        <w:rPr>
          <w:rFonts w:ascii="Aptos" w:eastAsia="Aptos" w:hAnsi="Aptos" w:cs="Arial"/>
          <w:kern w:val="2"/>
          <w:sz w:val="22"/>
          <w:szCs w:val="22"/>
          <w14:ligatures w14:val="standardContextual"/>
        </w:rPr>
        <w:t xml:space="preserve">rotection (COP) encompasses strategies and initiatives to protect children from harm or exploitation online. This includes ensuring children are using age-appropriate software and filtering tools and educating parents and children about staying safe online. Child </w:t>
      </w:r>
      <w:r w:rsidR="009B4AC8">
        <w:rPr>
          <w:rFonts w:ascii="Aptos" w:eastAsia="Aptos" w:hAnsi="Aptos" w:cs="Arial"/>
          <w:kern w:val="2"/>
          <w:sz w:val="22"/>
          <w:szCs w:val="22"/>
          <w14:ligatures w14:val="standardContextual"/>
        </w:rPr>
        <w:t>o</w:t>
      </w:r>
      <w:r w:rsidRPr="005F7253">
        <w:rPr>
          <w:rFonts w:ascii="Aptos" w:eastAsia="Aptos" w:hAnsi="Aptos" w:cs="Arial"/>
          <w:kern w:val="2"/>
          <w:sz w:val="22"/>
          <w:szCs w:val="22"/>
          <w14:ligatures w14:val="standardContextual"/>
        </w:rPr>
        <w:t xml:space="preserve">nline </w:t>
      </w:r>
      <w:r w:rsidR="009B4AC8">
        <w:rPr>
          <w:rFonts w:ascii="Aptos" w:eastAsia="Aptos" w:hAnsi="Aptos" w:cs="Arial"/>
          <w:kern w:val="2"/>
          <w:sz w:val="22"/>
          <w:szCs w:val="22"/>
          <w14:ligatures w14:val="standardContextual"/>
        </w:rPr>
        <w:t>p</w:t>
      </w:r>
      <w:r w:rsidRPr="005F7253">
        <w:rPr>
          <w:rFonts w:ascii="Aptos" w:eastAsia="Aptos" w:hAnsi="Aptos" w:cs="Arial"/>
          <w:kern w:val="2"/>
          <w:sz w:val="22"/>
          <w:szCs w:val="22"/>
          <w14:ligatures w14:val="standardContextual"/>
        </w:rPr>
        <w:t xml:space="preserve">rotection is tracked through questions under the </w:t>
      </w:r>
      <w:r w:rsidR="00837109">
        <w:rPr>
          <w:rFonts w:ascii="Aptos" w:eastAsia="Aptos" w:hAnsi="Aptos" w:cs="Arial"/>
          <w:kern w:val="2"/>
          <w:sz w:val="22"/>
          <w:szCs w:val="22"/>
          <w14:ligatures w14:val="standardContextual"/>
        </w:rPr>
        <w:t>l</w:t>
      </w:r>
      <w:r w:rsidRPr="005F7253">
        <w:rPr>
          <w:rFonts w:ascii="Aptos" w:eastAsia="Aptos" w:hAnsi="Aptos" w:cs="Arial"/>
          <w:kern w:val="2"/>
          <w:sz w:val="22"/>
          <w:szCs w:val="22"/>
          <w14:ligatures w14:val="standardContextual"/>
        </w:rPr>
        <w:t xml:space="preserve">egal, </w:t>
      </w:r>
      <w:r w:rsidR="00837109">
        <w:rPr>
          <w:rFonts w:ascii="Aptos" w:eastAsia="Aptos" w:hAnsi="Aptos" w:cs="Arial"/>
          <w:kern w:val="2"/>
          <w:sz w:val="22"/>
          <w:szCs w:val="22"/>
          <w14:ligatures w14:val="standardContextual"/>
        </w:rPr>
        <w:t>o</w:t>
      </w:r>
      <w:r w:rsidRPr="005F7253">
        <w:rPr>
          <w:rFonts w:ascii="Aptos" w:eastAsia="Aptos" w:hAnsi="Aptos" w:cs="Arial"/>
          <w:kern w:val="2"/>
          <w:sz w:val="22"/>
          <w:szCs w:val="22"/>
          <w14:ligatures w14:val="standardContextual"/>
        </w:rPr>
        <w:t xml:space="preserve">rganizational, and </w:t>
      </w:r>
      <w:r w:rsidR="00837109">
        <w:rPr>
          <w:rFonts w:ascii="Aptos" w:eastAsia="Aptos" w:hAnsi="Aptos" w:cs="Arial"/>
          <w:kern w:val="2"/>
          <w:sz w:val="22"/>
          <w:szCs w:val="22"/>
          <w14:ligatures w14:val="standardContextual"/>
        </w:rPr>
        <w:t>c</w:t>
      </w:r>
      <w:r w:rsidRPr="005F7253">
        <w:rPr>
          <w:rFonts w:ascii="Aptos" w:eastAsia="Aptos" w:hAnsi="Aptos" w:cs="Arial"/>
          <w:kern w:val="2"/>
          <w:sz w:val="22"/>
          <w:szCs w:val="22"/>
          <w14:ligatures w14:val="standardContextual"/>
        </w:rPr>
        <w:t xml:space="preserve">apacity </w:t>
      </w:r>
      <w:r w:rsidR="00837109">
        <w:rPr>
          <w:rFonts w:ascii="Aptos" w:eastAsia="Aptos" w:hAnsi="Aptos" w:cs="Arial"/>
          <w:kern w:val="2"/>
          <w:sz w:val="22"/>
          <w:szCs w:val="22"/>
          <w14:ligatures w14:val="standardContextual"/>
        </w:rPr>
        <w:t>d</w:t>
      </w:r>
      <w:r w:rsidRPr="005F7253">
        <w:rPr>
          <w:rFonts w:ascii="Aptos" w:eastAsia="Aptos" w:hAnsi="Aptos" w:cs="Arial"/>
          <w:kern w:val="2"/>
          <w:sz w:val="22"/>
          <w:szCs w:val="22"/>
          <w14:ligatures w14:val="standardContextual"/>
        </w:rPr>
        <w:t xml:space="preserve">evelopment pillars. A total of 164 countries reported having legal measures on </w:t>
      </w:r>
      <w:r w:rsidR="00837109">
        <w:rPr>
          <w:rFonts w:ascii="Aptos" w:eastAsia="Aptos" w:hAnsi="Aptos" w:cs="Arial"/>
          <w:kern w:val="2"/>
          <w:sz w:val="22"/>
          <w:szCs w:val="22"/>
          <w14:ligatures w14:val="standardContextual"/>
        </w:rPr>
        <w:t xml:space="preserve">COP </w:t>
      </w:r>
      <w:r w:rsidRPr="005F7253">
        <w:rPr>
          <w:rFonts w:ascii="Aptos" w:eastAsia="Aptos" w:hAnsi="Aptos" w:cs="Arial"/>
          <w:kern w:val="2"/>
          <w:sz w:val="22"/>
          <w:szCs w:val="22"/>
          <w14:ligatures w14:val="standardContextual"/>
        </w:rPr>
        <w:t xml:space="preserve">in the GCI 2024, compared to 130 countries in the previous edition. These measures were sometimes part of other rules, regulations, and substantive law, such as on online crime or sexual exploitation. While </w:t>
      </w:r>
      <w:r w:rsidR="00837109">
        <w:rPr>
          <w:rFonts w:ascii="Aptos" w:eastAsia="Aptos" w:hAnsi="Aptos" w:cs="Arial"/>
          <w:kern w:val="2"/>
          <w:sz w:val="22"/>
          <w:szCs w:val="22"/>
          <w14:ligatures w14:val="standardContextual"/>
        </w:rPr>
        <w:t xml:space="preserve">the </w:t>
      </w:r>
      <w:r w:rsidRPr="005F7253">
        <w:rPr>
          <w:rFonts w:ascii="Aptos" w:eastAsia="Aptos" w:hAnsi="Aptos" w:cs="Arial"/>
          <w:kern w:val="2"/>
          <w:sz w:val="22"/>
          <w:szCs w:val="22"/>
          <w14:ligatures w14:val="standardContextual"/>
        </w:rPr>
        <w:t xml:space="preserve">Arab States </w:t>
      </w:r>
      <w:r w:rsidR="00837109">
        <w:rPr>
          <w:rFonts w:ascii="Aptos" w:eastAsia="Aptos" w:hAnsi="Aptos" w:cs="Arial"/>
          <w:kern w:val="2"/>
          <w:sz w:val="22"/>
          <w:szCs w:val="22"/>
          <w14:ligatures w14:val="standardContextual"/>
        </w:rPr>
        <w:t xml:space="preserve">region </w:t>
      </w:r>
      <w:proofErr w:type="gramStart"/>
      <w:r w:rsidR="00837109">
        <w:rPr>
          <w:rFonts w:ascii="Aptos" w:eastAsia="Aptos" w:hAnsi="Aptos" w:cs="Arial"/>
          <w:kern w:val="2"/>
          <w:sz w:val="22"/>
          <w:szCs w:val="22"/>
          <w14:ligatures w14:val="standardContextual"/>
        </w:rPr>
        <w:t xml:space="preserve">as a whole </w:t>
      </w:r>
      <w:r w:rsidRPr="005F7253">
        <w:rPr>
          <w:rFonts w:ascii="Aptos" w:eastAsia="Aptos" w:hAnsi="Aptos" w:cs="Arial"/>
          <w:kern w:val="2"/>
          <w:sz w:val="22"/>
          <w:szCs w:val="22"/>
          <w14:ligatures w14:val="standardContextual"/>
        </w:rPr>
        <w:t>stand</w:t>
      </w:r>
      <w:r w:rsidR="00837109">
        <w:rPr>
          <w:rFonts w:ascii="Aptos" w:eastAsia="Aptos" w:hAnsi="Aptos" w:cs="Arial"/>
          <w:kern w:val="2"/>
          <w:sz w:val="22"/>
          <w:szCs w:val="22"/>
          <w14:ligatures w14:val="standardContextual"/>
        </w:rPr>
        <w:t>s</w:t>
      </w:r>
      <w:proofErr w:type="gramEnd"/>
      <w:r w:rsidRPr="005F7253">
        <w:rPr>
          <w:rFonts w:ascii="Aptos" w:eastAsia="Aptos" w:hAnsi="Aptos" w:cs="Arial"/>
          <w:kern w:val="2"/>
          <w:sz w:val="22"/>
          <w:szCs w:val="22"/>
          <w14:ligatures w14:val="standardContextual"/>
        </w:rPr>
        <w:t xml:space="preserve"> out </w:t>
      </w:r>
      <w:r w:rsidR="00837109">
        <w:rPr>
          <w:rFonts w:ascii="Aptos" w:eastAsia="Aptos" w:hAnsi="Aptos" w:cs="Arial"/>
          <w:kern w:val="2"/>
          <w:sz w:val="22"/>
          <w:szCs w:val="22"/>
          <w14:ligatures w14:val="standardContextual"/>
        </w:rPr>
        <w:t xml:space="preserve">with these </w:t>
      </w:r>
      <w:r w:rsidRPr="005F7253">
        <w:rPr>
          <w:rFonts w:ascii="Aptos" w:eastAsia="Aptos" w:hAnsi="Aptos" w:cs="Arial"/>
          <w:kern w:val="2"/>
          <w:sz w:val="22"/>
          <w:szCs w:val="22"/>
          <w14:ligatures w14:val="standardContextual"/>
        </w:rPr>
        <w:t>efforts, Arab LDCs need more targeted support to develop their COP strategies</w:t>
      </w:r>
      <w:r w:rsidR="00837109">
        <w:rPr>
          <w:rFonts w:ascii="Aptos" w:eastAsia="Aptos" w:hAnsi="Aptos" w:cs="Arial"/>
          <w:kern w:val="2"/>
          <w:sz w:val="22"/>
          <w:szCs w:val="22"/>
          <w14:ligatures w14:val="standardContextual"/>
        </w:rPr>
        <w:t>; currently</w:t>
      </w:r>
      <w:r w:rsidRPr="005F7253">
        <w:rPr>
          <w:rFonts w:ascii="Aptos" w:eastAsia="Aptos" w:hAnsi="Aptos" w:cs="Arial"/>
          <w:kern w:val="2"/>
          <w:sz w:val="22"/>
          <w:szCs w:val="22"/>
          <w14:ligatures w14:val="standardContextual"/>
        </w:rPr>
        <w:t>, only one has a COP strategy.</w:t>
      </w:r>
    </w:p>
    <w:p w14:paraId="63E39957" w14:textId="6683F5F2"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Display" w:eastAsia="Yu Gothic Light" w:hAnsi="Aptos Display"/>
          <w:color w:val="0F4761"/>
          <w:kern w:val="2"/>
          <w:sz w:val="32"/>
          <w:szCs w:val="32"/>
          <w14:ligatures w14:val="standardContextual"/>
        </w:rPr>
      </w:pPr>
      <w:r w:rsidRPr="005F7253">
        <w:rPr>
          <w:rFonts w:ascii="Aptos" w:eastAsia="Aptos" w:hAnsi="Aptos" w:cs="Arial"/>
          <w:kern w:val="2"/>
          <w:sz w:val="22"/>
          <w:szCs w:val="22"/>
          <w14:ligatures w14:val="standardContextual"/>
        </w:rPr>
        <w:t>Finally, to meet the demand for cybersecurity professionals, countries are increasingly developing cybersecurity skills within their populations. While the Arab countries have cybersecurity-focused university degrees, there is still room for improvement in secondary schools</w:t>
      </w:r>
      <w:r w:rsidR="00837109">
        <w:rPr>
          <w:rFonts w:ascii="Aptos" w:eastAsia="Aptos" w:hAnsi="Aptos" w:cs="Arial"/>
          <w:kern w:val="2"/>
          <w:sz w:val="22"/>
          <w:szCs w:val="22"/>
          <w14:ligatures w14:val="standardContextual"/>
        </w:rPr>
        <w:t xml:space="preserve">. Currently, </w:t>
      </w:r>
      <w:r w:rsidRPr="005F7253">
        <w:rPr>
          <w:rFonts w:ascii="Aptos" w:eastAsia="Aptos" w:hAnsi="Aptos" w:cs="Arial"/>
          <w:kern w:val="2"/>
          <w:sz w:val="22"/>
          <w:szCs w:val="22"/>
          <w14:ligatures w14:val="standardContextual"/>
        </w:rPr>
        <w:t>eight countries hav</w:t>
      </w:r>
      <w:r w:rsidR="00837109">
        <w:rPr>
          <w:rFonts w:ascii="Aptos" w:eastAsia="Aptos" w:hAnsi="Aptos" w:cs="Arial"/>
          <w:kern w:val="2"/>
          <w:sz w:val="22"/>
          <w:szCs w:val="22"/>
          <w14:ligatures w14:val="standardContextual"/>
        </w:rPr>
        <w:t>e</w:t>
      </w:r>
      <w:r w:rsidRPr="005F7253">
        <w:rPr>
          <w:rFonts w:ascii="Aptos" w:eastAsia="Aptos" w:hAnsi="Aptos" w:cs="Arial"/>
          <w:kern w:val="2"/>
          <w:sz w:val="22"/>
          <w:szCs w:val="22"/>
          <w14:ligatures w14:val="standardContextual"/>
        </w:rPr>
        <w:t xml:space="preserve"> a curriculum in place.</w:t>
      </w:r>
      <w:r w:rsidRPr="005F7253">
        <w:rPr>
          <w:rFonts w:ascii="Aptos" w:eastAsia="Aptos" w:hAnsi="Aptos" w:cs="Arial"/>
          <w:kern w:val="2"/>
          <w:sz w:val="22"/>
          <w:szCs w:val="22"/>
          <w14:ligatures w14:val="standardContextual"/>
        </w:rPr>
        <w:br w:type="page"/>
      </w:r>
    </w:p>
    <w:p w14:paraId="2D7E8F86"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20" w:name="_Toc184940641"/>
      <w:r w:rsidRPr="005F7253">
        <w:rPr>
          <w:rFonts w:ascii="Aptos Display" w:eastAsia="Yu Gothic Light" w:hAnsi="Aptos Display"/>
          <w:color w:val="0F4761"/>
          <w:kern w:val="2"/>
          <w:sz w:val="32"/>
          <w:szCs w:val="32"/>
          <w14:ligatures w14:val="standardContextual"/>
        </w:rPr>
        <w:lastRenderedPageBreak/>
        <w:t>E-waste management</w:t>
      </w:r>
      <w:bookmarkEnd w:id="20"/>
    </w:p>
    <w:p w14:paraId="6B54D740" w14:textId="6524F580" w:rsidR="006C41B5" w:rsidRPr="0013247F"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13247F">
        <w:rPr>
          <w:rFonts w:ascii="Aptos" w:eastAsia="Aptos" w:hAnsi="Aptos"/>
          <w:kern w:val="2"/>
          <w:sz w:val="22"/>
          <w14:ligatures w14:val="standardContextual"/>
        </w:rPr>
        <w:t xml:space="preserve">As countries strive to harness the benefits of technology to drive economic growth and achieve their national development priorities, the challenge of managing electronic waste has become increasingly urgent. Strengthened e-waste policy and regulatory e-waste management are pivotal for ensuring environmental sustainability, supporting circular economy practices, and advancing progress </w:t>
      </w:r>
      <w:r w:rsidR="002312FA">
        <w:rPr>
          <w:rFonts w:ascii="Aptos" w:eastAsia="Aptos" w:hAnsi="Aptos"/>
          <w:kern w:val="2"/>
          <w:sz w:val="22"/>
          <w14:ligatures w14:val="standardContextual"/>
        </w:rPr>
        <w:t>towards</w:t>
      </w:r>
      <w:r w:rsidRPr="0013247F">
        <w:rPr>
          <w:rFonts w:ascii="Aptos" w:eastAsia="Aptos" w:hAnsi="Aptos"/>
          <w:kern w:val="2"/>
          <w:sz w:val="22"/>
          <w14:ligatures w14:val="standardContextual"/>
        </w:rPr>
        <w:t xml:space="preserve"> the </w:t>
      </w:r>
      <w:r w:rsidR="00837109">
        <w:rPr>
          <w:rFonts w:ascii="Aptos" w:eastAsia="Aptos" w:hAnsi="Aptos"/>
          <w:kern w:val="2"/>
          <w:sz w:val="22"/>
          <w14:ligatures w14:val="standardContextual"/>
        </w:rPr>
        <w:t>s</w:t>
      </w:r>
      <w:r w:rsidRPr="0013247F">
        <w:rPr>
          <w:rFonts w:ascii="Aptos" w:eastAsia="Aptos" w:hAnsi="Aptos"/>
          <w:kern w:val="2"/>
          <w:sz w:val="22"/>
          <w14:ligatures w14:val="standardContextual"/>
        </w:rPr>
        <w:t xml:space="preserve">ustainable </w:t>
      </w:r>
      <w:r w:rsidR="00837109">
        <w:rPr>
          <w:rFonts w:ascii="Aptos" w:eastAsia="Aptos" w:hAnsi="Aptos"/>
          <w:kern w:val="2"/>
          <w:sz w:val="22"/>
          <w14:ligatures w14:val="standardContextual"/>
        </w:rPr>
        <w:t>d</w:t>
      </w:r>
      <w:r w:rsidRPr="0013247F">
        <w:rPr>
          <w:rFonts w:ascii="Aptos" w:eastAsia="Aptos" w:hAnsi="Aptos"/>
          <w:kern w:val="2"/>
          <w:sz w:val="22"/>
          <w14:ligatures w14:val="standardContextual"/>
        </w:rPr>
        <w:t xml:space="preserve">evelopment </w:t>
      </w:r>
      <w:r w:rsidR="00837109">
        <w:rPr>
          <w:rFonts w:ascii="Aptos" w:eastAsia="Aptos" w:hAnsi="Aptos"/>
          <w:kern w:val="2"/>
          <w:sz w:val="22"/>
          <w14:ligatures w14:val="standardContextual"/>
        </w:rPr>
        <w:t>g</w:t>
      </w:r>
      <w:r w:rsidRPr="0013247F">
        <w:rPr>
          <w:rFonts w:ascii="Aptos" w:eastAsia="Aptos" w:hAnsi="Aptos"/>
          <w:kern w:val="2"/>
          <w:sz w:val="22"/>
          <w14:ligatures w14:val="standardContextual"/>
        </w:rPr>
        <w:t>oals (SDGs).</w:t>
      </w:r>
    </w:p>
    <w:p w14:paraId="30D2AEB5" w14:textId="255F7E81"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E-waste generated</w:t>
      </w:r>
      <w:r w:rsidR="00837109">
        <w:rPr>
          <w:rFonts w:ascii="AvenirNext LT Pro Light" w:eastAsia="Yu Gothic Light" w:hAnsi="AvenirNext LT Pro Light" w:cs="Calibri"/>
          <w:color w:val="0070C0"/>
          <w:spacing w:val="-10"/>
          <w:kern w:val="28"/>
          <w:szCs w:val="24"/>
        </w:rPr>
        <w:t>,</w:t>
      </w:r>
      <w:r w:rsidRPr="005F7253">
        <w:rPr>
          <w:rFonts w:ascii="AvenirNext LT Pro Light" w:eastAsia="Yu Gothic Light" w:hAnsi="AvenirNext LT Pro Light" w:cs="Calibri"/>
          <w:color w:val="0070C0"/>
          <w:spacing w:val="-10"/>
          <w:kern w:val="28"/>
          <w:szCs w:val="24"/>
        </w:rPr>
        <w:t xml:space="preserve"> in millions of kg, 2022 </w:t>
      </w:r>
    </w:p>
    <w:p w14:paraId="1D85245B"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noProof/>
          <w:kern w:val="2"/>
          <w:sz w:val="22"/>
          <w:szCs w:val="22"/>
          <w14:ligatures w14:val="standardContextual"/>
        </w:rPr>
        <w:drawing>
          <wp:inline distT="0" distB="0" distL="0" distR="0" wp14:anchorId="317F3837" wp14:editId="789C730A">
            <wp:extent cx="5731510" cy="2984500"/>
            <wp:effectExtent l="0" t="0" r="2540" b="6350"/>
            <wp:docPr id="3792782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78242"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5731510" cy="2984500"/>
                    </a:xfrm>
                    <a:prstGeom prst="rect">
                      <a:avLst/>
                    </a:prstGeom>
                  </pic:spPr>
                </pic:pic>
              </a:graphicData>
            </a:graphic>
          </wp:inline>
        </w:drawing>
      </w:r>
    </w:p>
    <w:p w14:paraId="17D07F4B" w14:textId="40F049F2"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34B0179E"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Source: ITU and UNITAR, </w:t>
      </w:r>
      <w:hyperlink r:id="rId122" w:history="1">
        <w:r w:rsidRPr="005F7253">
          <w:rPr>
            <w:rFonts w:ascii="Aptos" w:eastAsia="Aptos" w:hAnsi="Aptos" w:cs="Arial"/>
            <w:color w:val="467886"/>
            <w:kern w:val="2"/>
            <w:sz w:val="16"/>
            <w:szCs w:val="28"/>
            <w:u w:val="single"/>
            <w14:ligatures w14:val="standardContextual"/>
          </w:rPr>
          <w:t>Global E-waste Monitor, 2024</w:t>
        </w:r>
      </w:hyperlink>
    </w:p>
    <w:p w14:paraId="6286EB27" w14:textId="32395367" w:rsidR="006C41B5" w:rsidRPr="003E3A76"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3E3A76">
        <w:rPr>
          <w:rFonts w:ascii="Aptos" w:eastAsia="Aptos" w:hAnsi="Aptos"/>
          <w:kern w:val="2"/>
          <w:sz w:val="22"/>
          <w14:ligatures w14:val="standardContextual"/>
        </w:rPr>
        <w:t xml:space="preserve">The </w:t>
      </w:r>
      <w:hyperlink r:id="rId123" w:history="1">
        <w:r w:rsidRPr="003E3A76">
          <w:rPr>
            <w:rFonts w:ascii="Aptos" w:eastAsia="Aptos" w:hAnsi="Aptos"/>
            <w:color w:val="467886"/>
            <w:kern w:val="2"/>
            <w:sz w:val="22"/>
            <w:u w:val="single"/>
            <w14:ligatures w14:val="standardContextual"/>
          </w:rPr>
          <w:t>Global E-waste Monitor 2024</w:t>
        </w:r>
      </w:hyperlink>
      <w:r w:rsidRPr="003E3A76">
        <w:rPr>
          <w:rFonts w:ascii="Aptos" w:eastAsia="Aptos" w:hAnsi="Aptos"/>
          <w:kern w:val="2"/>
          <w:sz w:val="22"/>
          <w14:ligatures w14:val="standardContextual"/>
        </w:rPr>
        <w:t xml:space="preserve"> finds that in 2022 the Arab States generated approximately 3</w:t>
      </w:r>
      <w:r w:rsidR="00837109">
        <w:rPr>
          <w:rFonts w:ascii="Aptos" w:eastAsia="Aptos" w:hAnsi="Aptos"/>
          <w:kern w:val="2"/>
          <w:sz w:val="22"/>
          <w14:ligatures w14:val="standardContextual"/>
        </w:rPr>
        <w:t> </w:t>
      </w:r>
      <w:r w:rsidRPr="003E3A76">
        <w:rPr>
          <w:rFonts w:ascii="Aptos" w:eastAsia="Aptos" w:hAnsi="Aptos"/>
          <w:kern w:val="2"/>
          <w:sz w:val="22"/>
          <w14:ligatures w14:val="standardContextual"/>
        </w:rPr>
        <w:t xml:space="preserve">081 million kg of e-waste, representing almost 5 per cent of global e-waste generation (62 billion kg). </w:t>
      </w:r>
      <w:r w:rsidR="00837109">
        <w:rPr>
          <w:rFonts w:ascii="Aptos" w:eastAsia="Aptos" w:hAnsi="Aptos"/>
          <w:kern w:val="2"/>
          <w:sz w:val="22"/>
          <w14:ligatures w14:val="standardContextual"/>
        </w:rPr>
        <w:t>Again</w:t>
      </w:r>
      <w:r w:rsidRPr="003E3A76">
        <w:rPr>
          <w:rFonts w:ascii="Aptos" w:eastAsia="Aptos" w:hAnsi="Aptos"/>
          <w:kern w:val="2"/>
          <w:sz w:val="22"/>
          <w14:ligatures w14:val="standardContextual"/>
        </w:rPr>
        <w:t xml:space="preserve">, significant disparities exist across the region. Egypt and Saudi Arabia were the largest contributors, producing 692 million kg and 617 million kg respectively, </w:t>
      </w:r>
      <w:r w:rsidR="00837109">
        <w:rPr>
          <w:rFonts w:ascii="Aptos" w:eastAsia="Aptos" w:hAnsi="Aptos"/>
          <w:kern w:val="2"/>
          <w:sz w:val="22"/>
          <w14:ligatures w14:val="standardContextual"/>
        </w:rPr>
        <w:t xml:space="preserve">and </w:t>
      </w:r>
      <w:r w:rsidRPr="003E3A76">
        <w:rPr>
          <w:rFonts w:ascii="Aptos" w:eastAsia="Aptos" w:hAnsi="Aptos"/>
          <w:kern w:val="2"/>
          <w:sz w:val="22"/>
          <w14:ligatures w14:val="standardContextual"/>
        </w:rPr>
        <w:t>together contribut</w:t>
      </w:r>
      <w:r w:rsidR="00837109">
        <w:rPr>
          <w:rFonts w:ascii="Aptos" w:eastAsia="Aptos" w:hAnsi="Aptos"/>
          <w:kern w:val="2"/>
          <w:sz w:val="22"/>
          <w14:ligatures w14:val="standardContextual"/>
        </w:rPr>
        <w:t>ed</w:t>
      </w:r>
      <w:r w:rsidRPr="003E3A76">
        <w:rPr>
          <w:rFonts w:ascii="Aptos" w:eastAsia="Aptos" w:hAnsi="Aptos"/>
          <w:kern w:val="2"/>
          <w:sz w:val="22"/>
          <w14:ligatures w14:val="standardContextual"/>
        </w:rPr>
        <w:t xml:space="preserve"> more than 40 per cent of the region’s total e-waste. In contrast, smaller countries like Comoros and Djibouti generated close to 3 million kg of e-waste combined, representing less than 0.1 per cent of the total. This significant variation reflects differences in population size, economic development, and technological adoption across the region. </w:t>
      </w:r>
    </w:p>
    <w:p w14:paraId="6CF82071" w14:textId="77777777" w:rsidR="006C41B5" w:rsidRPr="00204ED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olor w:val="0070C0"/>
          <w:spacing w:val="-10"/>
          <w:kern w:val="28"/>
          <w:lang w:val="it-IT"/>
        </w:rPr>
      </w:pPr>
      <w:r w:rsidRPr="00204EDD">
        <w:rPr>
          <w:rFonts w:ascii="AvenirNext LT Pro Light" w:eastAsia="Yu Gothic Light" w:hAnsi="AvenirNext LT Pro Light"/>
          <w:color w:val="0070C0"/>
          <w:spacing w:val="-10"/>
          <w:kern w:val="28"/>
          <w:lang w:val="it-IT"/>
        </w:rPr>
        <w:lastRenderedPageBreak/>
        <w:t>E-waste per capita generated in kg, 2022</w:t>
      </w:r>
    </w:p>
    <w:p w14:paraId="060170C3" w14:textId="77777777" w:rsidR="006C41B5" w:rsidRPr="00160631" w:rsidRDefault="006C41B5" w:rsidP="006C41B5">
      <w:pPr>
        <w:rPr>
          <w:rFonts w:ascii="Aptos" w:eastAsia="Aptos" w:hAnsi="Aptos"/>
          <w:kern w:val="2"/>
          <w:sz w:val="22"/>
          <w14:ligatures w14:val="standardContextual"/>
        </w:rPr>
      </w:pPr>
      <w:r w:rsidRPr="005F7253">
        <w:rPr>
          <w:rFonts w:ascii="Aptos" w:eastAsia="Aptos" w:hAnsi="Aptos" w:cs="Arial"/>
          <w:noProof/>
          <w:kern w:val="2"/>
          <w:sz w:val="22"/>
          <w:szCs w:val="22"/>
          <w14:ligatures w14:val="standardContextual"/>
        </w:rPr>
        <w:drawing>
          <wp:inline distT="0" distB="0" distL="0" distR="0" wp14:anchorId="24F63767" wp14:editId="14B82C22">
            <wp:extent cx="5731510" cy="2818130"/>
            <wp:effectExtent l="0" t="0" r="2540" b="1270"/>
            <wp:docPr id="3771110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11007" name=""/>
                    <pic:cNvPicPr/>
                  </pic:nvPicPr>
                  <pic:blipFill>
                    <a:blip r:embed="rId124">
                      <a:extLst>
                        <a:ext uri="{96DAC541-7B7A-43D3-8B79-37D633B846F1}">
                          <asvg:svgBlip xmlns:asvg="http://schemas.microsoft.com/office/drawing/2016/SVG/main" r:embed="rId125"/>
                        </a:ext>
                      </a:extLst>
                    </a:blip>
                    <a:stretch>
                      <a:fillRect/>
                    </a:stretch>
                  </pic:blipFill>
                  <pic:spPr>
                    <a:xfrm>
                      <a:off x="0" y="0"/>
                      <a:ext cx="5731510" cy="2818130"/>
                    </a:xfrm>
                    <a:prstGeom prst="rect">
                      <a:avLst/>
                    </a:prstGeom>
                  </pic:spPr>
                </pic:pic>
              </a:graphicData>
            </a:graphic>
          </wp:inline>
        </w:drawing>
      </w:r>
    </w:p>
    <w:p w14:paraId="004F96ED" w14:textId="0302DA7F"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085DAA6A"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Source: ITU and UNITAR, </w:t>
      </w:r>
      <w:hyperlink r:id="rId126" w:history="1">
        <w:r w:rsidRPr="005F7253">
          <w:rPr>
            <w:rFonts w:ascii="Aptos" w:eastAsia="Aptos" w:hAnsi="Aptos" w:cs="Arial"/>
            <w:color w:val="467886"/>
            <w:kern w:val="2"/>
            <w:sz w:val="16"/>
            <w:szCs w:val="28"/>
            <w:u w:val="single"/>
            <w14:ligatures w14:val="standardContextual"/>
          </w:rPr>
          <w:t>Global E-waste Monitor, 2024</w:t>
        </w:r>
      </w:hyperlink>
    </w:p>
    <w:p w14:paraId="0C5F4D59" w14:textId="2E122E10" w:rsidR="006C41B5" w:rsidRPr="00D022D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D022D2">
        <w:rPr>
          <w:rFonts w:ascii="Aptos" w:eastAsia="Aptos" w:hAnsi="Aptos"/>
          <w:kern w:val="2"/>
          <w:sz w:val="22"/>
          <w14:ligatures w14:val="standardContextual"/>
        </w:rPr>
        <w:t>The analysis of e-waste trends</w:t>
      </w:r>
      <w:r w:rsidRPr="00D022D2" w:rsidDel="001B06DC">
        <w:rPr>
          <w:rFonts w:ascii="Aptos" w:eastAsia="Aptos" w:hAnsi="Aptos"/>
          <w:kern w:val="2"/>
          <w:sz w:val="22"/>
          <w14:ligatures w14:val="standardContextual"/>
        </w:rPr>
        <w:t xml:space="preserve"> </w:t>
      </w:r>
      <w:r w:rsidRPr="00D022D2">
        <w:rPr>
          <w:rFonts w:ascii="Aptos" w:eastAsia="Aptos" w:hAnsi="Aptos"/>
          <w:kern w:val="2"/>
          <w:sz w:val="22"/>
          <w14:ligatures w14:val="standardContextual"/>
        </w:rPr>
        <w:t xml:space="preserve">can be further deepened by examining per capita e-waste generation. </w:t>
      </w:r>
      <w:r w:rsidR="00837109">
        <w:rPr>
          <w:rFonts w:ascii="Aptos" w:eastAsia="Aptos" w:hAnsi="Aptos"/>
          <w:kern w:val="2"/>
          <w:sz w:val="22"/>
          <w14:ligatures w14:val="standardContextual"/>
        </w:rPr>
        <w:t>T</w:t>
      </w:r>
      <w:r w:rsidRPr="00D022D2">
        <w:rPr>
          <w:rFonts w:ascii="Aptos" w:eastAsia="Aptos" w:hAnsi="Aptos"/>
          <w:kern w:val="2"/>
          <w:sz w:val="22"/>
          <w14:ligatures w14:val="standardContextual"/>
        </w:rPr>
        <w:t xml:space="preserve">he Arab States </w:t>
      </w:r>
      <w:r w:rsidR="00971516">
        <w:rPr>
          <w:rFonts w:ascii="Aptos" w:eastAsia="Aptos" w:hAnsi="Aptos"/>
          <w:kern w:val="2"/>
          <w:sz w:val="22"/>
          <w14:ligatures w14:val="standardContextual"/>
        </w:rPr>
        <w:t xml:space="preserve">region </w:t>
      </w:r>
      <w:proofErr w:type="gramStart"/>
      <w:r w:rsidR="00971516">
        <w:rPr>
          <w:rFonts w:ascii="Aptos" w:eastAsia="Aptos" w:hAnsi="Aptos"/>
          <w:kern w:val="2"/>
          <w:sz w:val="22"/>
          <w14:ligatures w14:val="standardContextual"/>
        </w:rPr>
        <w:t>as a whole annually</w:t>
      </w:r>
      <w:proofErr w:type="gramEnd"/>
      <w:r w:rsidR="00971516">
        <w:rPr>
          <w:rFonts w:ascii="Aptos" w:eastAsia="Aptos" w:hAnsi="Aptos"/>
          <w:kern w:val="2"/>
          <w:sz w:val="22"/>
          <w14:ligatures w14:val="standardContextual"/>
        </w:rPr>
        <w:t xml:space="preserve"> </w:t>
      </w:r>
      <w:r w:rsidR="00837109">
        <w:rPr>
          <w:rFonts w:ascii="Aptos" w:eastAsia="Aptos" w:hAnsi="Aptos"/>
          <w:kern w:val="2"/>
          <w:sz w:val="22"/>
          <w14:ligatures w14:val="standardContextual"/>
        </w:rPr>
        <w:t>generate</w:t>
      </w:r>
      <w:r w:rsidR="00971516">
        <w:rPr>
          <w:rFonts w:ascii="Aptos" w:eastAsia="Aptos" w:hAnsi="Aptos"/>
          <w:kern w:val="2"/>
          <w:sz w:val="22"/>
          <w14:ligatures w14:val="standardContextual"/>
        </w:rPr>
        <w:t>s</w:t>
      </w:r>
      <w:r w:rsidR="00837109">
        <w:rPr>
          <w:rFonts w:ascii="Aptos" w:eastAsia="Aptos" w:hAnsi="Aptos"/>
          <w:kern w:val="2"/>
          <w:sz w:val="22"/>
          <w14:ligatures w14:val="standardContextual"/>
        </w:rPr>
        <w:t xml:space="preserve"> </w:t>
      </w:r>
      <w:r w:rsidR="00837109" w:rsidRPr="00953EF4">
        <w:rPr>
          <w:rFonts w:ascii="Aptos" w:eastAsia="Aptos" w:hAnsi="Aptos"/>
          <w:kern w:val="2"/>
          <w:sz w:val="22"/>
          <w14:ligatures w14:val="standardContextual"/>
        </w:rPr>
        <w:t>6.6</w:t>
      </w:r>
      <w:r w:rsidR="00837109">
        <w:rPr>
          <w:rFonts w:ascii="Aptos" w:eastAsia="Aptos" w:hAnsi="Aptos"/>
          <w:kern w:val="2"/>
          <w:sz w:val="22"/>
          <w14:ligatures w14:val="standardContextual"/>
        </w:rPr>
        <w:t> </w:t>
      </w:r>
      <w:r w:rsidR="00837109" w:rsidRPr="00953EF4">
        <w:rPr>
          <w:rFonts w:ascii="Aptos" w:eastAsia="Aptos" w:hAnsi="Aptos"/>
          <w:kern w:val="2"/>
          <w:sz w:val="22"/>
          <w14:ligatures w14:val="standardContextual"/>
        </w:rPr>
        <w:t xml:space="preserve">kg </w:t>
      </w:r>
      <w:r w:rsidR="00837109">
        <w:rPr>
          <w:rFonts w:ascii="Aptos" w:eastAsia="Aptos" w:hAnsi="Aptos"/>
          <w:kern w:val="2"/>
          <w:sz w:val="22"/>
          <w14:ligatures w14:val="standardContextual"/>
        </w:rPr>
        <w:t xml:space="preserve">of e-waste </w:t>
      </w:r>
      <w:r w:rsidR="00837109" w:rsidRPr="00953EF4">
        <w:rPr>
          <w:rFonts w:ascii="Aptos" w:eastAsia="Aptos" w:hAnsi="Aptos"/>
          <w:kern w:val="2"/>
          <w:sz w:val="22"/>
          <w14:ligatures w14:val="standardContextual"/>
        </w:rPr>
        <w:t>per capita</w:t>
      </w:r>
      <w:r w:rsidR="00837109">
        <w:rPr>
          <w:rFonts w:ascii="Aptos" w:eastAsia="Aptos" w:hAnsi="Aptos"/>
          <w:kern w:val="2"/>
          <w:sz w:val="22"/>
          <w14:ligatures w14:val="standardContextual"/>
        </w:rPr>
        <w:t>,</w:t>
      </w:r>
      <w:r w:rsidR="00837109" w:rsidRPr="00953EF4">
        <w:rPr>
          <w:rFonts w:ascii="Aptos" w:eastAsia="Aptos" w:hAnsi="Aptos"/>
          <w:kern w:val="2"/>
          <w:sz w:val="22"/>
          <w14:ligatures w14:val="standardContextual"/>
        </w:rPr>
        <w:t xml:space="preserve"> </w:t>
      </w:r>
      <w:r w:rsidR="00837109">
        <w:rPr>
          <w:rFonts w:ascii="Aptos" w:eastAsia="Aptos" w:hAnsi="Aptos"/>
          <w:kern w:val="2"/>
          <w:sz w:val="22"/>
          <w14:ligatures w14:val="standardContextual"/>
        </w:rPr>
        <w:t>less than</w:t>
      </w:r>
      <w:r w:rsidR="00837109" w:rsidRPr="00D022D2">
        <w:rPr>
          <w:rFonts w:ascii="Aptos" w:eastAsia="Aptos" w:hAnsi="Aptos"/>
          <w:kern w:val="2"/>
          <w:sz w:val="22"/>
          <w14:ligatures w14:val="standardContextual"/>
        </w:rPr>
        <w:t xml:space="preserve"> </w:t>
      </w:r>
      <w:r w:rsidRPr="00D022D2">
        <w:rPr>
          <w:rFonts w:ascii="Aptos" w:eastAsia="Aptos" w:hAnsi="Aptos"/>
          <w:kern w:val="2"/>
          <w:sz w:val="22"/>
          <w14:ligatures w14:val="standardContextual"/>
        </w:rPr>
        <w:t>the global average of 7.8</w:t>
      </w:r>
      <w:r w:rsidR="00837109">
        <w:rPr>
          <w:rFonts w:ascii="Aptos" w:eastAsia="Aptos" w:hAnsi="Aptos"/>
          <w:kern w:val="2"/>
          <w:sz w:val="22"/>
          <w14:ligatures w14:val="standardContextual"/>
        </w:rPr>
        <w:t> </w:t>
      </w:r>
      <w:r w:rsidRPr="00D022D2">
        <w:rPr>
          <w:rFonts w:ascii="Aptos" w:eastAsia="Aptos" w:hAnsi="Aptos"/>
          <w:kern w:val="2"/>
          <w:sz w:val="22"/>
          <w14:ligatures w14:val="standardContextual"/>
        </w:rPr>
        <w:t xml:space="preserve">kg, </w:t>
      </w:r>
      <w:r w:rsidR="00837109">
        <w:rPr>
          <w:rFonts w:ascii="Aptos" w:eastAsia="Aptos" w:hAnsi="Aptos"/>
          <w:kern w:val="2"/>
          <w:sz w:val="22"/>
          <w14:ligatures w14:val="standardContextual"/>
        </w:rPr>
        <w:t xml:space="preserve">but, again, </w:t>
      </w:r>
      <w:r w:rsidRPr="00D022D2">
        <w:rPr>
          <w:rFonts w:ascii="Aptos" w:eastAsia="Aptos" w:hAnsi="Aptos"/>
          <w:kern w:val="2"/>
          <w:sz w:val="22"/>
          <w14:ligatures w14:val="standardContextual"/>
        </w:rPr>
        <w:t xml:space="preserve">disparities between </w:t>
      </w:r>
      <w:r w:rsidR="00837109">
        <w:rPr>
          <w:rFonts w:ascii="Aptos" w:eastAsia="Aptos" w:hAnsi="Aptos"/>
          <w:kern w:val="2"/>
          <w:sz w:val="22"/>
          <w14:ligatures w14:val="standardContextual"/>
        </w:rPr>
        <w:t xml:space="preserve">individual </w:t>
      </w:r>
      <w:r w:rsidRPr="00D022D2">
        <w:rPr>
          <w:rFonts w:ascii="Aptos" w:eastAsia="Aptos" w:hAnsi="Aptos"/>
          <w:kern w:val="2"/>
          <w:sz w:val="22"/>
          <w14:ligatures w14:val="standardContextual"/>
        </w:rPr>
        <w:t xml:space="preserve">countries are stark. </w:t>
      </w:r>
      <w:r w:rsidR="00837109">
        <w:rPr>
          <w:rFonts w:ascii="Aptos" w:eastAsia="Aptos" w:hAnsi="Aptos"/>
          <w:kern w:val="2"/>
          <w:sz w:val="22"/>
          <w14:ligatures w14:val="standardContextual"/>
        </w:rPr>
        <w:t>Behind t</w:t>
      </w:r>
      <w:r w:rsidR="00837109" w:rsidRPr="00D022D2">
        <w:rPr>
          <w:rFonts w:ascii="Aptos" w:eastAsia="Aptos" w:hAnsi="Aptos"/>
          <w:kern w:val="2"/>
          <w:sz w:val="22"/>
          <w14:ligatures w14:val="standardContextual"/>
        </w:rPr>
        <w:t xml:space="preserve">he </w:t>
      </w:r>
      <w:r w:rsidRPr="00D022D2">
        <w:rPr>
          <w:rFonts w:ascii="Aptos" w:eastAsia="Aptos" w:hAnsi="Aptos"/>
          <w:kern w:val="2"/>
          <w:sz w:val="22"/>
          <w14:ligatures w14:val="standardContextual"/>
        </w:rPr>
        <w:t xml:space="preserve">regional average </w:t>
      </w:r>
      <w:r w:rsidR="00837109">
        <w:rPr>
          <w:rFonts w:ascii="Aptos" w:eastAsia="Aptos" w:hAnsi="Aptos"/>
          <w:kern w:val="2"/>
          <w:sz w:val="22"/>
          <w14:ligatures w14:val="standardContextual"/>
        </w:rPr>
        <w:t xml:space="preserve">is </w:t>
      </w:r>
      <w:r w:rsidRPr="00D022D2">
        <w:rPr>
          <w:rFonts w:ascii="Aptos" w:eastAsia="Aptos" w:hAnsi="Aptos"/>
          <w:kern w:val="2"/>
          <w:sz w:val="22"/>
          <w14:ligatures w14:val="standardContextual"/>
        </w:rPr>
        <w:t>a diverse landscape</w:t>
      </w:r>
      <w:r w:rsidR="00837109">
        <w:rPr>
          <w:rFonts w:ascii="Aptos" w:eastAsia="Aptos" w:hAnsi="Aptos"/>
          <w:kern w:val="2"/>
          <w:sz w:val="22"/>
          <w14:ligatures w14:val="standardContextual"/>
        </w:rPr>
        <w:t>,</w:t>
      </w:r>
      <w:r w:rsidRPr="00D022D2">
        <w:rPr>
          <w:rFonts w:ascii="Aptos" w:eastAsia="Aptos" w:hAnsi="Aptos"/>
          <w:kern w:val="2"/>
          <w:sz w:val="22"/>
          <w14:ligatures w14:val="standardContextual"/>
        </w:rPr>
        <w:t xml:space="preserve"> where high-income nations significantly drive up the overall figure. For instance, the United Arab Emirates stands out with the highest per capita </w:t>
      </w:r>
      <w:r w:rsidR="00971516">
        <w:rPr>
          <w:rFonts w:ascii="Aptos" w:eastAsia="Aptos" w:hAnsi="Aptos"/>
          <w:kern w:val="2"/>
          <w:sz w:val="22"/>
          <w14:ligatures w14:val="standardContextual"/>
        </w:rPr>
        <w:t xml:space="preserve">figure </w:t>
      </w:r>
      <w:r w:rsidRPr="00D022D2">
        <w:rPr>
          <w:rFonts w:ascii="Aptos" w:eastAsia="Aptos" w:hAnsi="Aptos"/>
          <w:kern w:val="2"/>
          <w:sz w:val="22"/>
          <w14:ligatures w14:val="standardContextual"/>
        </w:rPr>
        <w:t>at 18.9 kg, more than double the global average. Bahrain and Qatar</w:t>
      </w:r>
      <w:r w:rsidR="00971516">
        <w:rPr>
          <w:rFonts w:ascii="Aptos" w:eastAsia="Aptos" w:hAnsi="Aptos"/>
          <w:kern w:val="2"/>
          <w:sz w:val="22"/>
          <w14:ligatures w14:val="standardContextual"/>
        </w:rPr>
        <w:t xml:space="preserve"> also generate well above-average amounts of e-waste</w:t>
      </w:r>
      <w:r w:rsidRPr="00D022D2">
        <w:rPr>
          <w:rFonts w:ascii="Aptos" w:eastAsia="Aptos" w:hAnsi="Aptos"/>
          <w:kern w:val="2"/>
          <w:sz w:val="22"/>
          <w14:ligatures w14:val="standardContextual"/>
        </w:rPr>
        <w:t xml:space="preserve">, </w:t>
      </w:r>
      <w:r w:rsidR="00971516">
        <w:rPr>
          <w:rFonts w:ascii="Aptos" w:eastAsia="Aptos" w:hAnsi="Aptos"/>
          <w:kern w:val="2"/>
          <w:sz w:val="22"/>
          <w14:ligatures w14:val="standardContextual"/>
        </w:rPr>
        <w:t xml:space="preserve">at </w:t>
      </w:r>
      <w:r w:rsidRPr="00D022D2">
        <w:rPr>
          <w:rFonts w:ascii="Aptos" w:eastAsia="Aptos" w:hAnsi="Aptos"/>
          <w:kern w:val="2"/>
          <w:sz w:val="22"/>
          <w14:ligatures w14:val="standardContextual"/>
        </w:rPr>
        <w:t xml:space="preserve">17.8 kg and 16.2 kg per capita respectively, </w:t>
      </w:r>
      <w:r w:rsidR="00971516">
        <w:rPr>
          <w:rFonts w:ascii="Aptos" w:eastAsia="Aptos" w:hAnsi="Aptos"/>
          <w:kern w:val="2"/>
          <w:sz w:val="22"/>
          <w14:ligatures w14:val="standardContextual"/>
        </w:rPr>
        <w:t xml:space="preserve">reflecting </w:t>
      </w:r>
      <w:r w:rsidRPr="00D022D2">
        <w:rPr>
          <w:rFonts w:ascii="Aptos" w:eastAsia="Aptos" w:hAnsi="Aptos"/>
          <w:kern w:val="2"/>
          <w:sz w:val="22"/>
          <w14:ligatures w14:val="standardContextual"/>
        </w:rPr>
        <w:t>their economic status and widespread access to advanced digital technologies. In contrast, lower-income nations such as Somalia and Yemen</w:t>
      </w:r>
      <w:r w:rsidR="00971516" w:rsidRPr="00971516">
        <w:rPr>
          <w:rFonts w:ascii="Aptos" w:eastAsia="Aptos" w:hAnsi="Aptos"/>
          <w:kern w:val="2"/>
          <w:sz w:val="22"/>
          <w14:ligatures w14:val="standardContextual"/>
        </w:rPr>
        <w:t xml:space="preserve"> </w:t>
      </w:r>
      <w:r w:rsidR="00971516" w:rsidRPr="00B205EF">
        <w:rPr>
          <w:rFonts w:ascii="Aptos" w:eastAsia="Aptos" w:hAnsi="Aptos"/>
          <w:kern w:val="2"/>
          <w:sz w:val="22"/>
          <w14:ligatures w14:val="standardContextual"/>
        </w:rPr>
        <w:t>generate significantly less</w:t>
      </w:r>
      <w:r w:rsidRPr="00D022D2">
        <w:rPr>
          <w:rFonts w:ascii="Aptos" w:eastAsia="Aptos" w:hAnsi="Aptos"/>
          <w:kern w:val="2"/>
          <w:sz w:val="22"/>
          <w14:ligatures w14:val="standardContextual"/>
        </w:rPr>
        <w:t>, with e-waste generation of just 0.5 kg and 1.5 kg</w:t>
      </w:r>
      <w:r w:rsidR="00971516" w:rsidRPr="00971516">
        <w:rPr>
          <w:rFonts w:ascii="Aptos" w:eastAsia="Aptos" w:hAnsi="Aptos"/>
          <w:kern w:val="2"/>
          <w:sz w:val="22"/>
          <w14:ligatures w14:val="standardContextual"/>
        </w:rPr>
        <w:t xml:space="preserve"> </w:t>
      </w:r>
      <w:r w:rsidR="00971516" w:rsidRPr="00953EF4">
        <w:rPr>
          <w:rFonts w:ascii="Aptos" w:eastAsia="Aptos" w:hAnsi="Aptos"/>
          <w:kern w:val="2"/>
          <w:sz w:val="22"/>
          <w14:ligatures w14:val="standardContextual"/>
        </w:rPr>
        <w:t>per capita</w:t>
      </w:r>
      <w:r w:rsidRPr="00D022D2">
        <w:rPr>
          <w:rFonts w:ascii="Aptos" w:eastAsia="Aptos" w:hAnsi="Aptos"/>
          <w:kern w:val="2"/>
          <w:sz w:val="22"/>
          <w14:ligatures w14:val="standardContextual"/>
        </w:rPr>
        <w:t xml:space="preserve"> respectively</w:t>
      </w:r>
      <w:r w:rsidR="00971516">
        <w:rPr>
          <w:rFonts w:ascii="Aptos" w:eastAsia="Aptos" w:hAnsi="Aptos"/>
          <w:kern w:val="2"/>
          <w:sz w:val="22"/>
          <w14:ligatures w14:val="standardContextual"/>
        </w:rPr>
        <w:t xml:space="preserve"> for those two countries</w:t>
      </w:r>
      <w:r w:rsidRPr="00D022D2">
        <w:rPr>
          <w:rFonts w:ascii="Aptos" w:eastAsia="Aptos" w:hAnsi="Aptos"/>
          <w:kern w:val="2"/>
          <w:sz w:val="22"/>
          <w14:ligatures w14:val="standardContextual"/>
        </w:rPr>
        <w:t>. Meanwhile, mid-range contributors such as Algeria (7.5 kg) and Tunisia (6.9 kg) hover closer to the global average.</w:t>
      </w:r>
    </w:p>
    <w:p w14:paraId="3F2710F6" w14:textId="0A7DF3A2"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Despite these high regional generation rates, only 0.2 per cent (7.3 million kg) of the e-waste generated was documented as properly collected and recycled – well below the global average of 22.3 per cent. Only four countries – Lebanon, Jordan, Qatar, and the United Arab Emirates – reported formal collection and recycling initiatives. Notably, the United Arab Emirates documented having recycled 5.4 million kg of e-waste. In contrast, many countries in the region, including high e-waste generators like Egypt and Saudi Arabia (which together produced over 1</w:t>
      </w:r>
      <w:r w:rsidR="00971516">
        <w:rPr>
          <w:rFonts w:ascii="Aptos" w:eastAsia="Aptos" w:hAnsi="Aptos" w:cs="Arial"/>
          <w:kern w:val="2"/>
          <w:sz w:val="22"/>
          <w:szCs w:val="22"/>
          <w14:ligatures w14:val="standardContextual"/>
        </w:rPr>
        <w:t> </w:t>
      </w:r>
      <w:r w:rsidRPr="005F7253">
        <w:rPr>
          <w:rFonts w:ascii="Aptos" w:eastAsia="Aptos" w:hAnsi="Aptos" w:cs="Arial"/>
          <w:kern w:val="2"/>
          <w:sz w:val="22"/>
          <w:szCs w:val="22"/>
          <w14:ligatures w14:val="standardContextual"/>
        </w:rPr>
        <w:t xml:space="preserve">200 million kg), lack significant formal recycling activity. </w:t>
      </w:r>
    </w:p>
    <w:p w14:paraId="58C27C72"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venirNext LT Pro Light" w:eastAsia="Yu Gothic Light" w:hAnsi="AvenirNext LT Pro Light" w:cs="Calibri"/>
          <w:color w:val="0070C0"/>
          <w:spacing w:val="-10"/>
          <w:kern w:val="28"/>
          <w:szCs w:val="24"/>
        </w:rPr>
      </w:pPr>
      <w:r w:rsidRPr="005F7253">
        <w:rPr>
          <w:rFonts w:ascii="Aptos" w:eastAsia="Aptos" w:hAnsi="Aptos" w:cs="Arial"/>
          <w:kern w:val="2"/>
          <w:sz w:val="22"/>
          <w:szCs w:val="22"/>
          <w14:ligatures w14:val="standardContextual"/>
        </w:rPr>
        <w:br w:type="page"/>
      </w:r>
    </w:p>
    <w:p w14:paraId="382CF483"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lastRenderedPageBreak/>
        <w:t>E-waste policies and regulations in place, 2022</w:t>
      </w:r>
    </w:p>
    <w:tbl>
      <w:tblPr>
        <w:tblW w:w="5000" w:type="pct"/>
        <w:tblLook w:val="04A0" w:firstRow="1" w:lastRow="0" w:firstColumn="1" w:lastColumn="0" w:noHBand="0" w:noVBand="1"/>
      </w:tblPr>
      <w:tblGrid>
        <w:gridCol w:w="1718"/>
        <w:gridCol w:w="2565"/>
        <w:gridCol w:w="2141"/>
        <w:gridCol w:w="1639"/>
        <w:gridCol w:w="1566"/>
      </w:tblGrid>
      <w:tr w:rsidR="006C41B5" w:rsidRPr="005F7253" w14:paraId="43D5D3B1" w14:textId="77777777" w:rsidTr="00BF1164">
        <w:trPr>
          <w:trHeight w:val="20"/>
        </w:trPr>
        <w:tc>
          <w:tcPr>
            <w:tcW w:w="892"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2FAD09ED"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b/>
                <w:color w:val="404040"/>
                <w:sz w:val="18"/>
                <w:szCs w:val="18"/>
                <w:lang w:eastAsia="en-GB"/>
              </w:rPr>
            </w:pPr>
          </w:p>
        </w:tc>
        <w:tc>
          <w:tcPr>
            <w:tcW w:w="1332" w:type="pct"/>
            <w:tcBorders>
              <w:top w:val="single" w:sz="4" w:space="0" w:color="auto"/>
              <w:left w:val="nil"/>
              <w:bottom w:val="single" w:sz="4" w:space="0" w:color="auto"/>
              <w:right w:val="single" w:sz="4" w:space="0" w:color="auto"/>
            </w:tcBorders>
            <w:shd w:val="clear" w:color="000000" w:fill="CAEDFB"/>
            <w:vAlign w:val="center"/>
            <w:hideMark/>
          </w:tcPr>
          <w:p w14:paraId="1C6295C0"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b/>
                <w:color w:val="404040"/>
                <w:sz w:val="18"/>
                <w:szCs w:val="18"/>
                <w:lang w:eastAsia="en-GB"/>
              </w:rPr>
            </w:pPr>
            <w:r w:rsidRPr="005F7253">
              <w:rPr>
                <w:rFonts w:ascii="Avenir Next LT Pro Demi" w:hAnsi="Avenir Next LT Pro Demi"/>
                <w:b/>
                <w:color w:val="404040"/>
                <w:sz w:val="18"/>
                <w:szCs w:val="18"/>
                <w:lang w:eastAsia="en-GB"/>
              </w:rPr>
              <w:t xml:space="preserve">National e-waste legislation/policy or regulation </w:t>
            </w:r>
          </w:p>
        </w:tc>
        <w:tc>
          <w:tcPr>
            <w:tcW w:w="1112" w:type="pct"/>
            <w:tcBorders>
              <w:top w:val="single" w:sz="4" w:space="0" w:color="auto"/>
              <w:left w:val="nil"/>
              <w:bottom w:val="single" w:sz="4" w:space="0" w:color="auto"/>
              <w:right w:val="single" w:sz="4" w:space="0" w:color="auto"/>
            </w:tcBorders>
            <w:shd w:val="clear" w:color="000000" w:fill="CAEDFB"/>
            <w:vAlign w:val="center"/>
            <w:hideMark/>
          </w:tcPr>
          <w:p w14:paraId="0D17B9A0" w14:textId="088C7704"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b/>
                <w:color w:val="404040"/>
                <w:sz w:val="18"/>
                <w:szCs w:val="18"/>
                <w:lang w:eastAsia="en-GB"/>
              </w:rPr>
            </w:pPr>
            <w:r w:rsidRPr="005F7253">
              <w:rPr>
                <w:rFonts w:ascii="Avenir Next LT Pro Demi" w:hAnsi="Avenir Next LT Pro Demi"/>
                <w:b/>
                <w:color w:val="404040"/>
                <w:sz w:val="18"/>
                <w:szCs w:val="18"/>
                <w:lang w:eastAsia="en-GB"/>
              </w:rPr>
              <w:t xml:space="preserve">Extended </w:t>
            </w:r>
            <w:r w:rsidR="00971516">
              <w:rPr>
                <w:rFonts w:ascii="Avenir Next LT Pro Demi" w:hAnsi="Avenir Next LT Pro Demi"/>
                <w:b/>
                <w:color w:val="404040"/>
                <w:sz w:val="18"/>
                <w:szCs w:val="18"/>
                <w:lang w:eastAsia="en-GB"/>
              </w:rPr>
              <w:t>p</w:t>
            </w:r>
            <w:r w:rsidRPr="005F7253">
              <w:rPr>
                <w:rFonts w:ascii="Avenir Next LT Pro Demi" w:hAnsi="Avenir Next LT Pro Demi"/>
                <w:b/>
                <w:color w:val="404040"/>
                <w:sz w:val="18"/>
                <w:szCs w:val="18"/>
                <w:lang w:eastAsia="en-GB"/>
              </w:rPr>
              <w:t xml:space="preserve">roducer </w:t>
            </w:r>
            <w:r w:rsidR="00971516">
              <w:rPr>
                <w:rFonts w:ascii="Avenir Next LT Pro Demi" w:hAnsi="Avenir Next LT Pro Demi"/>
                <w:b/>
                <w:color w:val="404040"/>
                <w:sz w:val="18"/>
                <w:szCs w:val="18"/>
                <w:lang w:eastAsia="en-GB"/>
              </w:rPr>
              <w:t>r</w:t>
            </w:r>
            <w:r w:rsidRPr="005F7253">
              <w:rPr>
                <w:rFonts w:ascii="Avenir Next LT Pro Demi" w:hAnsi="Avenir Next LT Pro Demi"/>
                <w:b/>
                <w:color w:val="404040"/>
                <w:sz w:val="18"/>
                <w:szCs w:val="18"/>
                <w:lang w:eastAsia="en-GB"/>
              </w:rPr>
              <w:t>esponsibility (EPR) framework for e-waste</w:t>
            </w:r>
          </w:p>
        </w:tc>
        <w:tc>
          <w:tcPr>
            <w:tcW w:w="851" w:type="pct"/>
            <w:tcBorders>
              <w:top w:val="single" w:sz="4" w:space="0" w:color="auto"/>
              <w:left w:val="nil"/>
              <w:bottom w:val="single" w:sz="4" w:space="0" w:color="auto"/>
              <w:right w:val="single" w:sz="4" w:space="0" w:color="auto"/>
            </w:tcBorders>
            <w:shd w:val="clear" w:color="000000" w:fill="CAEDFB"/>
            <w:vAlign w:val="center"/>
            <w:hideMark/>
          </w:tcPr>
          <w:p w14:paraId="6238DE8E"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b/>
                <w:color w:val="404040"/>
                <w:sz w:val="18"/>
                <w:szCs w:val="18"/>
                <w:lang w:eastAsia="en-GB"/>
              </w:rPr>
            </w:pPr>
            <w:r w:rsidRPr="005F7253">
              <w:rPr>
                <w:rFonts w:ascii="Avenir Next LT Pro Demi" w:hAnsi="Avenir Next LT Pro Demi"/>
                <w:b/>
                <w:color w:val="404040"/>
                <w:sz w:val="18"/>
                <w:szCs w:val="18"/>
                <w:lang w:eastAsia="en-GB"/>
              </w:rPr>
              <w:t>Collection targets</w:t>
            </w:r>
          </w:p>
        </w:tc>
        <w:tc>
          <w:tcPr>
            <w:tcW w:w="813" w:type="pct"/>
            <w:tcBorders>
              <w:top w:val="single" w:sz="4" w:space="0" w:color="auto"/>
              <w:left w:val="nil"/>
              <w:bottom w:val="single" w:sz="4" w:space="0" w:color="auto"/>
              <w:right w:val="single" w:sz="4" w:space="0" w:color="auto"/>
            </w:tcBorders>
            <w:shd w:val="clear" w:color="000000" w:fill="CAEDFB"/>
            <w:vAlign w:val="center"/>
            <w:hideMark/>
          </w:tcPr>
          <w:p w14:paraId="3ABEC69A"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b/>
                <w:color w:val="404040"/>
                <w:sz w:val="18"/>
                <w:szCs w:val="18"/>
                <w:lang w:eastAsia="en-GB"/>
              </w:rPr>
            </w:pPr>
            <w:r w:rsidRPr="005F7253">
              <w:rPr>
                <w:rFonts w:ascii="Avenir Next LT Pro Demi" w:hAnsi="Avenir Next LT Pro Demi"/>
                <w:b/>
                <w:color w:val="404040"/>
                <w:sz w:val="18"/>
                <w:szCs w:val="18"/>
                <w:lang w:eastAsia="en-GB"/>
              </w:rPr>
              <w:t>Recycling targets</w:t>
            </w:r>
          </w:p>
        </w:tc>
      </w:tr>
      <w:tr w:rsidR="006C41B5" w:rsidRPr="005F7253" w14:paraId="00410E7A"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7D270DA8"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Algeria</w:t>
            </w:r>
          </w:p>
        </w:tc>
        <w:tc>
          <w:tcPr>
            <w:tcW w:w="1332" w:type="pct"/>
            <w:tcBorders>
              <w:top w:val="nil"/>
              <w:left w:val="nil"/>
              <w:bottom w:val="single" w:sz="4" w:space="0" w:color="auto"/>
              <w:right w:val="single" w:sz="4" w:space="0" w:color="auto"/>
            </w:tcBorders>
            <w:shd w:val="clear" w:color="auto" w:fill="auto"/>
            <w:noWrap/>
            <w:vAlign w:val="center"/>
            <w:hideMark/>
          </w:tcPr>
          <w:p w14:paraId="5E43D67F"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6B88B8B3"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7722A0D0"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06803A16"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01B55DB9"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AD4FF70"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Bahrain</w:t>
            </w:r>
          </w:p>
        </w:tc>
        <w:tc>
          <w:tcPr>
            <w:tcW w:w="1332" w:type="pct"/>
            <w:tcBorders>
              <w:top w:val="nil"/>
              <w:left w:val="nil"/>
              <w:bottom w:val="single" w:sz="4" w:space="0" w:color="auto"/>
              <w:right w:val="single" w:sz="4" w:space="0" w:color="auto"/>
            </w:tcBorders>
            <w:shd w:val="clear" w:color="auto" w:fill="auto"/>
            <w:noWrap/>
            <w:vAlign w:val="center"/>
            <w:hideMark/>
          </w:tcPr>
          <w:p w14:paraId="38585078"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hideMark/>
          </w:tcPr>
          <w:p w14:paraId="2F13D939"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27811A14"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1ED237DA"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40A540A2"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25D9262D"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Comoros</w:t>
            </w:r>
          </w:p>
        </w:tc>
        <w:tc>
          <w:tcPr>
            <w:tcW w:w="1332" w:type="pct"/>
            <w:tcBorders>
              <w:top w:val="nil"/>
              <w:left w:val="nil"/>
              <w:bottom w:val="single" w:sz="4" w:space="0" w:color="auto"/>
              <w:right w:val="single" w:sz="4" w:space="0" w:color="auto"/>
            </w:tcBorders>
            <w:shd w:val="clear" w:color="auto" w:fill="auto"/>
            <w:noWrap/>
            <w:vAlign w:val="center"/>
            <w:hideMark/>
          </w:tcPr>
          <w:p w14:paraId="169A4706"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37A35DEA"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11569E58"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4305629F"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68E2C1CF"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1EAD5CA6"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Djibouti</w:t>
            </w:r>
          </w:p>
        </w:tc>
        <w:tc>
          <w:tcPr>
            <w:tcW w:w="1332" w:type="pct"/>
            <w:tcBorders>
              <w:top w:val="nil"/>
              <w:left w:val="nil"/>
              <w:bottom w:val="single" w:sz="4" w:space="0" w:color="auto"/>
              <w:right w:val="single" w:sz="4" w:space="0" w:color="auto"/>
            </w:tcBorders>
            <w:shd w:val="clear" w:color="auto" w:fill="auto"/>
            <w:noWrap/>
            <w:vAlign w:val="center"/>
            <w:hideMark/>
          </w:tcPr>
          <w:p w14:paraId="7BC7FEF4"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428CCEC0"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2EE47C2F"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0E7CE826"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395E1E99"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E321164"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Egypt</w:t>
            </w:r>
          </w:p>
        </w:tc>
        <w:tc>
          <w:tcPr>
            <w:tcW w:w="1332" w:type="pct"/>
            <w:tcBorders>
              <w:top w:val="nil"/>
              <w:left w:val="nil"/>
              <w:bottom w:val="single" w:sz="4" w:space="0" w:color="auto"/>
              <w:right w:val="single" w:sz="4" w:space="0" w:color="auto"/>
            </w:tcBorders>
            <w:shd w:val="clear" w:color="auto" w:fill="auto"/>
            <w:noWrap/>
            <w:vAlign w:val="center"/>
            <w:hideMark/>
          </w:tcPr>
          <w:p w14:paraId="41D21872"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hideMark/>
          </w:tcPr>
          <w:p w14:paraId="3400B591"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hideMark/>
          </w:tcPr>
          <w:p w14:paraId="1A424196"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7ADADD06"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1F460988"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6AC8B15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Iraq</w:t>
            </w:r>
          </w:p>
        </w:tc>
        <w:tc>
          <w:tcPr>
            <w:tcW w:w="1332" w:type="pct"/>
            <w:tcBorders>
              <w:top w:val="nil"/>
              <w:left w:val="nil"/>
              <w:bottom w:val="single" w:sz="4" w:space="0" w:color="auto"/>
              <w:right w:val="single" w:sz="4" w:space="0" w:color="auto"/>
            </w:tcBorders>
            <w:shd w:val="clear" w:color="auto" w:fill="auto"/>
            <w:noWrap/>
            <w:vAlign w:val="center"/>
            <w:hideMark/>
          </w:tcPr>
          <w:p w14:paraId="3047532F"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3B4EF523"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5F1F08FE"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44A8EAD7"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0A55456A"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CE86E90"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Jordan</w:t>
            </w:r>
          </w:p>
        </w:tc>
        <w:tc>
          <w:tcPr>
            <w:tcW w:w="1332" w:type="pct"/>
            <w:tcBorders>
              <w:top w:val="nil"/>
              <w:left w:val="nil"/>
              <w:bottom w:val="single" w:sz="4" w:space="0" w:color="auto"/>
              <w:right w:val="single" w:sz="4" w:space="0" w:color="auto"/>
            </w:tcBorders>
            <w:shd w:val="clear" w:color="auto" w:fill="auto"/>
            <w:noWrap/>
            <w:vAlign w:val="center"/>
            <w:hideMark/>
          </w:tcPr>
          <w:p w14:paraId="5BE66114"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hideMark/>
          </w:tcPr>
          <w:p w14:paraId="30272325"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687C04FA"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78D7D00C"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60EEA864"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04549A1A"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Kuwait</w:t>
            </w:r>
          </w:p>
        </w:tc>
        <w:tc>
          <w:tcPr>
            <w:tcW w:w="1332" w:type="pct"/>
            <w:tcBorders>
              <w:top w:val="nil"/>
              <w:left w:val="nil"/>
              <w:bottom w:val="single" w:sz="4" w:space="0" w:color="auto"/>
              <w:right w:val="single" w:sz="4" w:space="0" w:color="auto"/>
            </w:tcBorders>
            <w:shd w:val="clear" w:color="auto" w:fill="auto"/>
            <w:noWrap/>
            <w:vAlign w:val="center"/>
            <w:hideMark/>
          </w:tcPr>
          <w:p w14:paraId="3CA87977"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26488F8B"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48B77BA5"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420F52F7"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3C064747"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3EBEFC4A"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Lebanon</w:t>
            </w:r>
          </w:p>
        </w:tc>
        <w:tc>
          <w:tcPr>
            <w:tcW w:w="1332" w:type="pct"/>
            <w:tcBorders>
              <w:top w:val="nil"/>
              <w:left w:val="nil"/>
              <w:bottom w:val="single" w:sz="4" w:space="0" w:color="auto"/>
              <w:right w:val="single" w:sz="4" w:space="0" w:color="auto"/>
            </w:tcBorders>
            <w:shd w:val="clear" w:color="auto" w:fill="auto"/>
            <w:noWrap/>
            <w:vAlign w:val="center"/>
            <w:hideMark/>
          </w:tcPr>
          <w:p w14:paraId="3FE1754E"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475E03AF"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7CC01BF3"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70FD2F23"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00FAA52C"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7E9487B"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Libya</w:t>
            </w:r>
          </w:p>
        </w:tc>
        <w:tc>
          <w:tcPr>
            <w:tcW w:w="1332" w:type="pct"/>
            <w:tcBorders>
              <w:top w:val="nil"/>
              <w:left w:val="nil"/>
              <w:bottom w:val="single" w:sz="4" w:space="0" w:color="auto"/>
              <w:right w:val="single" w:sz="4" w:space="0" w:color="auto"/>
            </w:tcBorders>
            <w:shd w:val="clear" w:color="auto" w:fill="auto"/>
            <w:noWrap/>
            <w:vAlign w:val="center"/>
            <w:hideMark/>
          </w:tcPr>
          <w:p w14:paraId="2B8E80C9"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14EF5A4A"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3D67965C"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4A001A38"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345A6234"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2A9F3FC2"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Mauritania</w:t>
            </w:r>
          </w:p>
        </w:tc>
        <w:tc>
          <w:tcPr>
            <w:tcW w:w="1332" w:type="pct"/>
            <w:tcBorders>
              <w:top w:val="nil"/>
              <w:left w:val="nil"/>
              <w:bottom w:val="single" w:sz="4" w:space="0" w:color="auto"/>
              <w:right w:val="single" w:sz="4" w:space="0" w:color="auto"/>
            </w:tcBorders>
            <w:shd w:val="clear" w:color="auto" w:fill="auto"/>
            <w:noWrap/>
            <w:vAlign w:val="center"/>
            <w:hideMark/>
          </w:tcPr>
          <w:p w14:paraId="3A5DC6DA"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3AA26237"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029E9F04"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1A47176D"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05FD8A4D"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0A7638D0"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Morocco</w:t>
            </w:r>
          </w:p>
        </w:tc>
        <w:tc>
          <w:tcPr>
            <w:tcW w:w="1332" w:type="pct"/>
            <w:tcBorders>
              <w:top w:val="nil"/>
              <w:left w:val="nil"/>
              <w:bottom w:val="single" w:sz="4" w:space="0" w:color="auto"/>
              <w:right w:val="single" w:sz="4" w:space="0" w:color="auto"/>
            </w:tcBorders>
            <w:shd w:val="clear" w:color="auto" w:fill="auto"/>
            <w:noWrap/>
            <w:vAlign w:val="center"/>
            <w:hideMark/>
          </w:tcPr>
          <w:p w14:paraId="746E47D2"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45C62F56"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5F12CD62"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6F5E0BF4"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56144BD1"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6AAF6CC9"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Oman</w:t>
            </w:r>
          </w:p>
        </w:tc>
        <w:tc>
          <w:tcPr>
            <w:tcW w:w="1332" w:type="pct"/>
            <w:tcBorders>
              <w:top w:val="nil"/>
              <w:left w:val="nil"/>
              <w:bottom w:val="single" w:sz="4" w:space="0" w:color="auto"/>
              <w:right w:val="single" w:sz="4" w:space="0" w:color="auto"/>
            </w:tcBorders>
            <w:shd w:val="clear" w:color="auto" w:fill="auto"/>
            <w:noWrap/>
            <w:vAlign w:val="center"/>
            <w:hideMark/>
          </w:tcPr>
          <w:p w14:paraId="66ED396D"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35C105B5"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4904B4F0"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549E4044"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3AF70272"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63AD65F8"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Palestine*</w:t>
            </w:r>
          </w:p>
        </w:tc>
        <w:tc>
          <w:tcPr>
            <w:tcW w:w="1332" w:type="pct"/>
            <w:tcBorders>
              <w:top w:val="nil"/>
              <w:left w:val="nil"/>
              <w:bottom w:val="single" w:sz="4" w:space="0" w:color="auto"/>
              <w:right w:val="single" w:sz="4" w:space="0" w:color="auto"/>
            </w:tcBorders>
            <w:shd w:val="clear" w:color="auto" w:fill="auto"/>
            <w:vAlign w:val="center"/>
            <w:hideMark/>
          </w:tcPr>
          <w:p w14:paraId="0E2DBB28"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N/A</w:t>
            </w:r>
          </w:p>
        </w:tc>
        <w:tc>
          <w:tcPr>
            <w:tcW w:w="1112" w:type="pct"/>
            <w:tcBorders>
              <w:top w:val="nil"/>
              <w:left w:val="nil"/>
              <w:bottom w:val="single" w:sz="4" w:space="0" w:color="auto"/>
              <w:right w:val="single" w:sz="4" w:space="0" w:color="auto"/>
            </w:tcBorders>
            <w:shd w:val="clear" w:color="auto" w:fill="auto"/>
            <w:vAlign w:val="center"/>
            <w:hideMark/>
          </w:tcPr>
          <w:p w14:paraId="0B719BC4"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N/A</w:t>
            </w:r>
          </w:p>
        </w:tc>
        <w:tc>
          <w:tcPr>
            <w:tcW w:w="851" w:type="pct"/>
            <w:tcBorders>
              <w:top w:val="nil"/>
              <w:left w:val="nil"/>
              <w:bottom w:val="single" w:sz="4" w:space="0" w:color="auto"/>
              <w:right w:val="single" w:sz="4" w:space="0" w:color="auto"/>
            </w:tcBorders>
            <w:shd w:val="clear" w:color="auto" w:fill="auto"/>
            <w:vAlign w:val="center"/>
            <w:hideMark/>
          </w:tcPr>
          <w:p w14:paraId="20716474"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N/A</w:t>
            </w:r>
          </w:p>
        </w:tc>
        <w:tc>
          <w:tcPr>
            <w:tcW w:w="813" w:type="pct"/>
            <w:tcBorders>
              <w:top w:val="nil"/>
              <w:left w:val="nil"/>
              <w:bottom w:val="single" w:sz="4" w:space="0" w:color="auto"/>
              <w:right w:val="single" w:sz="4" w:space="0" w:color="auto"/>
            </w:tcBorders>
            <w:shd w:val="clear" w:color="auto" w:fill="auto"/>
            <w:vAlign w:val="center"/>
            <w:hideMark/>
          </w:tcPr>
          <w:p w14:paraId="39277D19"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N/A</w:t>
            </w:r>
          </w:p>
        </w:tc>
      </w:tr>
      <w:tr w:rsidR="006C41B5" w:rsidRPr="005F7253" w14:paraId="0CAF3961"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3125AB8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Qatar</w:t>
            </w:r>
          </w:p>
        </w:tc>
        <w:tc>
          <w:tcPr>
            <w:tcW w:w="1332" w:type="pct"/>
            <w:tcBorders>
              <w:top w:val="nil"/>
              <w:left w:val="nil"/>
              <w:bottom w:val="single" w:sz="4" w:space="0" w:color="auto"/>
              <w:right w:val="single" w:sz="4" w:space="0" w:color="auto"/>
            </w:tcBorders>
            <w:shd w:val="clear" w:color="auto" w:fill="auto"/>
            <w:noWrap/>
            <w:vAlign w:val="center"/>
            <w:hideMark/>
          </w:tcPr>
          <w:p w14:paraId="0D313069"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331AD6A1"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27A8B7F4"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0EA5E0D6"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02111458"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3938E43A"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Saudi Arabia</w:t>
            </w:r>
          </w:p>
        </w:tc>
        <w:tc>
          <w:tcPr>
            <w:tcW w:w="1332" w:type="pct"/>
            <w:tcBorders>
              <w:top w:val="nil"/>
              <w:left w:val="nil"/>
              <w:bottom w:val="single" w:sz="4" w:space="0" w:color="auto"/>
              <w:right w:val="single" w:sz="4" w:space="0" w:color="auto"/>
            </w:tcBorders>
            <w:shd w:val="clear" w:color="auto" w:fill="auto"/>
            <w:noWrap/>
            <w:vAlign w:val="center"/>
            <w:hideMark/>
          </w:tcPr>
          <w:p w14:paraId="5698626E"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2F04FC3D"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6D4D87AD"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525AD7AE"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7CDE12FC"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6446172F"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Somalia</w:t>
            </w:r>
          </w:p>
        </w:tc>
        <w:tc>
          <w:tcPr>
            <w:tcW w:w="1332" w:type="pct"/>
            <w:tcBorders>
              <w:top w:val="nil"/>
              <w:left w:val="nil"/>
              <w:bottom w:val="single" w:sz="4" w:space="0" w:color="auto"/>
              <w:right w:val="single" w:sz="4" w:space="0" w:color="auto"/>
            </w:tcBorders>
            <w:shd w:val="clear" w:color="auto" w:fill="auto"/>
            <w:noWrap/>
            <w:vAlign w:val="center"/>
            <w:hideMark/>
          </w:tcPr>
          <w:p w14:paraId="6FF44E26"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0A67041D"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2D158D33"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2ED6AE00"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7C1164B1"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6E8B3758"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Sudan</w:t>
            </w:r>
          </w:p>
        </w:tc>
        <w:tc>
          <w:tcPr>
            <w:tcW w:w="1332" w:type="pct"/>
            <w:tcBorders>
              <w:top w:val="nil"/>
              <w:left w:val="nil"/>
              <w:bottom w:val="single" w:sz="4" w:space="0" w:color="auto"/>
              <w:right w:val="single" w:sz="4" w:space="0" w:color="auto"/>
            </w:tcBorders>
            <w:shd w:val="clear" w:color="auto" w:fill="auto"/>
            <w:noWrap/>
            <w:vAlign w:val="center"/>
            <w:hideMark/>
          </w:tcPr>
          <w:p w14:paraId="6DD71716"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6F9DAB63"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0EC4F3AC"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34C4C6F5"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4226CCCE"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4250C347"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Syria</w:t>
            </w:r>
          </w:p>
        </w:tc>
        <w:tc>
          <w:tcPr>
            <w:tcW w:w="1332" w:type="pct"/>
            <w:tcBorders>
              <w:top w:val="nil"/>
              <w:left w:val="nil"/>
              <w:bottom w:val="single" w:sz="4" w:space="0" w:color="auto"/>
              <w:right w:val="single" w:sz="4" w:space="0" w:color="auto"/>
            </w:tcBorders>
            <w:shd w:val="clear" w:color="auto" w:fill="auto"/>
            <w:noWrap/>
            <w:vAlign w:val="center"/>
            <w:hideMark/>
          </w:tcPr>
          <w:p w14:paraId="2F6040B4"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1A9EFEED"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60A69327"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71681CD3"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56B78E8E"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658BC1F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Tunisia</w:t>
            </w:r>
          </w:p>
        </w:tc>
        <w:tc>
          <w:tcPr>
            <w:tcW w:w="1332" w:type="pct"/>
            <w:tcBorders>
              <w:top w:val="nil"/>
              <w:left w:val="nil"/>
              <w:bottom w:val="single" w:sz="4" w:space="0" w:color="auto"/>
              <w:right w:val="single" w:sz="4" w:space="0" w:color="auto"/>
            </w:tcBorders>
            <w:shd w:val="clear" w:color="auto" w:fill="auto"/>
            <w:noWrap/>
            <w:vAlign w:val="center"/>
            <w:hideMark/>
          </w:tcPr>
          <w:p w14:paraId="3D9C22DA"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29F1D90B"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3E20384A"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751C38AF"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6E18AE1C"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AE4B686"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UAE</w:t>
            </w:r>
          </w:p>
        </w:tc>
        <w:tc>
          <w:tcPr>
            <w:tcW w:w="1332" w:type="pct"/>
            <w:tcBorders>
              <w:top w:val="nil"/>
              <w:left w:val="nil"/>
              <w:bottom w:val="single" w:sz="4" w:space="0" w:color="auto"/>
              <w:right w:val="single" w:sz="4" w:space="0" w:color="auto"/>
            </w:tcBorders>
            <w:shd w:val="clear" w:color="auto" w:fill="auto"/>
            <w:noWrap/>
            <w:vAlign w:val="center"/>
            <w:hideMark/>
          </w:tcPr>
          <w:p w14:paraId="133B23D3"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hideMark/>
          </w:tcPr>
          <w:p w14:paraId="5EDA13C4"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hideMark/>
          </w:tcPr>
          <w:p w14:paraId="6F35364B"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6770D142"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52FA0FF8"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43DC5FE8"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Yemen</w:t>
            </w:r>
          </w:p>
        </w:tc>
        <w:tc>
          <w:tcPr>
            <w:tcW w:w="1332" w:type="pct"/>
            <w:tcBorders>
              <w:top w:val="nil"/>
              <w:left w:val="nil"/>
              <w:bottom w:val="single" w:sz="4" w:space="0" w:color="auto"/>
              <w:right w:val="single" w:sz="4" w:space="0" w:color="auto"/>
            </w:tcBorders>
            <w:shd w:val="clear" w:color="auto" w:fill="auto"/>
            <w:noWrap/>
            <w:vAlign w:val="center"/>
            <w:hideMark/>
          </w:tcPr>
          <w:p w14:paraId="78582B4F"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69826258"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4A03B27E"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0AE37487"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bl>
    <w:p w14:paraId="5E438E62" w14:textId="3A9E5182"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60BA3804"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Source: ITU and UNITAR, </w:t>
      </w:r>
      <w:hyperlink r:id="rId127" w:history="1">
        <w:r w:rsidRPr="005F7253">
          <w:rPr>
            <w:rFonts w:ascii="Aptos" w:eastAsia="Aptos" w:hAnsi="Aptos" w:cs="Arial"/>
            <w:kern w:val="2"/>
            <w:sz w:val="16"/>
            <w:szCs w:val="28"/>
            <w14:ligatures w14:val="standardContextual"/>
          </w:rPr>
          <w:t>Global E-waste Monitor, 2024</w:t>
        </w:r>
      </w:hyperlink>
    </w:p>
    <w:p w14:paraId="6303D94D" w14:textId="27AF5DF7" w:rsidR="006C41B5" w:rsidRPr="006602B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6602B3">
        <w:rPr>
          <w:rFonts w:ascii="Aptos" w:eastAsia="Aptos" w:hAnsi="Aptos"/>
          <w:kern w:val="2"/>
          <w:sz w:val="22"/>
          <w14:ligatures w14:val="standardContextual"/>
        </w:rPr>
        <w:t xml:space="preserve">The lack of comprehensive policies for e-waste management remains a significant challenge in the Arab States, where only a few countries have implemented national e-waste legislation and </w:t>
      </w:r>
      <w:r w:rsidR="0046679D">
        <w:rPr>
          <w:rFonts w:ascii="Aptos" w:eastAsia="Aptos" w:hAnsi="Aptos"/>
          <w:kern w:val="2"/>
          <w:sz w:val="22"/>
          <w14:ligatures w14:val="standardContextual"/>
        </w:rPr>
        <w:t xml:space="preserve">introduced a framework for </w:t>
      </w:r>
      <w:r w:rsidRPr="006602B3">
        <w:rPr>
          <w:rFonts w:ascii="Aptos" w:eastAsia="Aptos" w:hAnsi="Aptos"/>
          <w:kern w:val="2"/>
          <w:sz w:val="22"/>
          <w14:ligatures w14:val="standardContextual"/>
        </w:rPr>
        <w:t>extended producer responsibility (EPR). Globally, 42 per cent of countries (81 out of 193) have enacted national e-waste policies, legislation or regulations. In contrast, only</w:t>
      </w:r>
      <w:r w:rsidRPr="006602B3" w:rsidDel="00473122">
        <w:rPr>
          <w:rFonts w:ascii="Aptos" w:eastAsia="Aptos" w:hAnsi="Aptos"/>
          <w:kern w:val="2"/>
          <w:sz w:val="22"/>
          <w14:ligatures w14:val="standardContextual"/>
        </w:rPr>
        <w:t xml:space="preserve"> </w:t>
      </w:r>
      <w:r w:rsidRPr="006602B3">
        <w:rPr>
          <w:rFonts w:ascii="Aptos" w:eastAsia="Aptos" w:hAnsi="Aptos"/>
          <w:kern w:val="2"/>
          <w:sz w:val="22"/>
          <w14:ligatures w14:val="standardContextual"/>
        </w:rPr>
        <w:t>four Arab States (Bahrain, Egypt, Jordan, and the United Arab Emirates</w:t>
      </w:r>
      <w:r w:rsidR="0046679D">
        <w:rPr>
          <w:rFonts w:ascii="Aptos" w:eastAsia="Aptos" w:hAnsi="Aptos"/>
          <w:kern w:val="2"/>
          <w:sz w:val="22"/>
          <w14:ligatures w14:val="standardContextual"/>
        </w:rPr>
        <w:t xml:space="preserve">, i.e. just </w:t>
      </w:r>
      <w:r w:rsidR="0046679D" w:rsidRPr="00953EF4">
        <w:rPr>
          <w:rFonts w:ascii="Aptos" w:eastAsia="Aptos" w:hAnsi="Aptos"/>
          <w:kern w:val="2"/>
          <w:sz w:val="22"/>
          <w14:ligatures w14:val="standardContextual"/>
        </w:rPr>
        <w:t>18 per cent</w:t>
      </w:r>
      <w:r w:rsidRPr="006602B3">
        <w:rPr>
          <w:rFonts w:ascii="Aptos" w:eastAsia="Aptos" w:hAnsi="Aptos"/>
          <w:kern w:val="2"/>
          <w:sz w:val="22"/>
          <w14:ligatures w14:val="standardContextual"/>
        </w:rPr>
        <w:t xml:space="preserve">) have </w:t>
      </w:r>
      <w:r w:rsidR="0046679D">
        <w:rPr>
          <w:rFonts w:ascii="Aptos" w:eastAsia="Aptos" w:hAnsi="Aptos"/>
          <w:kern w:val="2"/>
          <w:sz w:val="22"/>
          <w14:ligatures w14:val="standardContextual"/>
        </w:rPr>
        <w:t xml:space="preserve">such instruments </w:t>
      </w:r>
      <w:r w:rsidRPr="006602B3">
        <w:rPr>
          <w:rFonts w:ascii="Aptos" w:eastAsia="Aptos" w:hAnsi="Aptos"/>
          <w:kern w:val="2"/>
          <w:sz w:val="22"/>
          <w14:ligatures w14:val="standardContextual"/>
        </w:rPr>
        <w:t xml:space="preserve">in place. </w:t>
      </w:r>
    </w:p>
    <w:p w14:paraId="25B455BC" w14:textId="46F26547" w:rsidR="006C41B5" w:rsidRPr="0077524C"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77524C">
        <w:rPr>
          <w:rFonts w:ascii="Aptos" w:eastAsia="Aptos" w:hAnsi="Aptos"/>
          <w:kern w:val="2"/>
          <w:sz w:val="22"/>
          <w14:ligatures w14:val="standardContextual"/>
        </w:rPr>
        <w:t xml:space="preserve">Moreover, only two </w:t>
      </w:r>
      <w:r w:rsidR="0046679D">
        <w:rPr>
          <w:rFonts w:ascii="Aptos" w:eastAsia="Aptos" w:hAnsi="Aptos"/>
          <w:kern w:val="2"/>
          <w:sz w:val="22"/>
          <w14:ligatures w14:val="standardContextual"/>
        </w:rPr>
        <w:t xml:space="preserve">of the </w:t>
      </w:r>
      <w:r w:rsidRPr="0077524C">
        <w:rPr>
          <w:rFonts w:ascii="Aptos" w:eastAsia="Aptos" w:hAnsi="Aptos"/>
          <w:kern w:val="2"/>
          <w:sz w:val="22"/>
          <w14:ligatures w14:val="standardContextual"/>
        </w:rPr>
        <w:t xml:space="preserve">countries (Egypt and the United Arab Emirates) have </w:t>
      </w:r>
      <w:r w:rsidR="0046679D">
        <w:rPr>
          <w:rFonts w:ascii="Aptos" w:eastAsia="Aptos" w:hAnsi="Aptos"/>
          <w:kern w:val="2"/>
          <w:sz w:val="22"/>
          <w14:ligatures w14:val="standardContextual"/>
        </w:rPr>
        <w:t xml:space="preserve">an </w:t>
      </w:r>
      <w:r w:rsidRPr="0077524C">
        <w:rPr>
          <w:rFonts w:ascii="Aptos" w:eastAsia="Aptos" w:hAnsi="Aptos"/>
          <w:kern w:val="2"/>
          <w:sz w:val="22"/>
          <w14:ligatures w14:val="standardContextual"/>
        </w:rPr>
        <w:t xml:space="preserve">EPR framework for e-waste, essential for holding producers accountable for the entire lifecycle of their products. This figure is well below the global average, where 67 of the 81 countries with national e-waste policies or legislation have </w:t>
      </w:r>
      <w:r w:rsidR="0046679D">
        <w:rPr>
          <w:rFonts w:ascii="Aptos" w:eastAsia="Aptos" w:hAnsi="Aptos"/>
          <w:kern w:val="2"/>
          <w:sz w:val="22"/>
          <w14:ligatures w14:val="standardContextual"/>
        </w:rPr>
        <w:t>such a framework</w:t>
      </w:r>
      <w:r w:rsidRPr="0077524C">
        <w:rPr>
          <w:rFonts w:ascii="Aptos" w:eastAsia="Aptos" w:hAnsi="Aptos"/>
          <w:kern w:val="2"/>
          <w:sz w:val="22"/>
          <w14:ligatures w14:val="standardContextual"/>
        </w:rPr>
        <w:t xml:space="preserve">. The absence of these frameworks across most of the Arab States exacerbates the region’s e-waste challenges, </w:t>
      </w:r>
      <w:r w:rsidR="0046679D">
        <w:rPr>
          <w:rFonts w:ascii="Aptos" w:eastAsia="Aptos" w:hAnsi="Aptos"/>
          <w:kern w:val="2"/>
          <w:sz w:val="22"/>
          <w14:ligatures w14:val="standardContextual"/>
        </w:rPr>
        <w:t xml:space="preserve">keeping them reliant on </w:t>
      </w:r>
      <w:r w:rsidRPr="0077524C">
        <w:rPr>
          <w:rFonts w:ascii="Aptos" w:eastAsia="Aptos" w:hAnsi="Aptos"/>
          <w:kern w:val="2"/>
          <w:sz w:val="22"/>
          <w14:ligatures w14:val="standardContextual"/>
        </w:rPr>
        <w:t>informal practices that are harmful to both the environment and public health.</w:t>
      </w:r>
    </w:p>
    <w:p w14:paraId="1249E351" w14:textId="2E18DB87" w:rsidR="006C41B5" w:rsidRPr="0077524C"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77524C">
        <w:rPr>
          <w:rFonts w:ascii="Aptos" w:eastAsia="Aptos" w:hAnsi="Aptos"/>
          <w:kern w:val="2"/>
          <w:sz w:val="22"/>
          <w14:ligatures w14:val="standardContextual"/>
        </w:rPr>
        <w:t xml:space="preserve">The lack of </w:t>
      </w:r>
      <w:r w:rsidR="0046679D">
        <w:rPr>
          <w:rFonts w:ascii="Aptos" w:eastAsia="Aptos" w:hAnsi="Aptos"/>
          <w:kern w:val="2"/>
          <w:sz w:val="22"/>
          <w14:ligatures w14:val="standardContextual"/>
        </w:rPr>
        <w:t xml:space="preserve">statutory </w:t>
      </w:r>
      <w:r w:rsidRPr="0077524C">
        <w:rPr>
          <w:rFonts w:ascii="Aptos" w:eastAsia="Aptos" w:hAnsi="Aptos"/>
          <w:kern w:val="2"/>
          <w:sz w:val="22"/>
          <w14:ligatures w14:val="standardContextual"/>
        </w:rPr>
        <w:t xml:space="preserve">collection and recycling </w:t>
      </w:r>
      <w:r w:rsidR="0046679D">
        <w:rPr>
          <w:rFonts w:ascii="Aptos" w:eastAsia="Aptos" w:hAnsi="Aptos"/>
          <w:kern w:val="2"/>
          <w:sz w:val="22"/>
          <w14:ligatures w14:val="standardContextual"/>
        </w:rPr>
        <w:t xml:space="preserve">requirements </w:t>
      </w:r>
      <w:r w:rsidRPr="0077524C">
        <w:rPr>
          <w:rFonts w:ascii="Aptos" w:eastAsia="Aptos" w:hAnsi="Aptos"/>
          <w:kern w:val="2"/>
          <w:sz w:val="22"/>
          <w14:ligatures w14:val="standardContextual"/>
        </w:rPr>
        <w:t xml:space="preserve">can significantly impede progress. </w:t>
      </w:r>
      <w:r w:rsidR="0046679D">
        <w:rPr>
          <w:rFonts w:ascii="Aptos" w:eastAsia="Aptos" w:hAnsi="Aptos"/>
          <w:kern w:val="2"/>
          <w:sz w:val="22"/>
          <w14:ligatures w14:val="standardContextual"/>
        </w:rPr>
        <w:t>C</w:t>
      </w:r>
      <w:r w:rsidRPr="0077524C">
        <w:rPr>
          <w:rFonts w:ascii="Aptos" w:eastAsia="Aptos" w:hAnsi="Aptos"/>
          <w:kern w:val="2"/>
          <w:sz w:val="22"/>
          <w14:ligatures w14:val="standardContextual"/>
        </w:rPr>
        <w:t xml:space="preserve">ountries with a policy or legal instrument that includes collection targets have a collection rate of 35 per cent on average, much higher than the global average of 22 per cent. In contrast, the Arab States, with limited policy, legislation </w:t>
      </w:r>
      <w:r w:rsidR="00AC0585">
        <w:rPr>
          <w:rFonts w:ascii="Aptos" w:eastAsia="Aptos" w:hAnsi="Aptos"/>
          <w:kern w:val="2"/>
          <w:sz w:val="22"/>
          <w14:ligatures w14:val="standardContextual"/>
        </w:rPr>
        <w:t xml:space="preserve">and </w:t>
      </w:r>
      <w:r w:rsidRPr="0077524C">
        <w:rPr>
          <w:rFonts w:ascii="Aptos" w:eastAsia="Aptos" w:hAnsi="Aptos"/>
          <w:kern w:val="2"/>
          <w:sz w:val="22"/>
          <w14:ligatures w14:val="standardContextual"/>
        </w:rPr>
        <w:t>regulation</w:t>
      </w:r>
      <w:r w:rsidR="00AC0585">
        <w:rPr>
          <w:rFonts w:ascii="Aptos" w:eastAsia="Aptos" w:hAnsi="Aptos"/>
          <w:kern w:val="2"/>
          <w:sz w:val="22"/>
          <w14:ligatures w14:val="standardContextual"/>
        </w:rPr>
        <w:t xml:space="preserve"> </w:t>
      </w:r>
      <w:r w:rsidRPr="0077524C">
        <w:rPr>
          <w:rFonts w:ascii="Aptos" w:eastAsia="Aptos" w:hAnsi="Aptos"/>
          <w:kern w:val="2"/>
          <w:sz w:val="22"/>
          <w14:ligatures w14:val="standardContextual"/>
        </w:rPr>
        <w:t xml:space="preserve">in place, will face difficulties meeting even </w:t>
      </w:r>
      <w:r w:rsidR="0046679D">
        <w:rPr>
          <w:rFonts w:ascii="Aptos" w:eastAsia="Aptos" w:hAnsi="Aptos"/>
          <w:kern w:val="2"/>
          <w:sz w:val="22"/>
          <w14:ligatures w14:val="standardContextual"/>
        </w:rPr>
        <w:t xml:space="preserve">modest </w:t>
      </w:r>
      <w:r w:rsidRPr="0077524C">
        <w:rPr>
          <w:rFonts w:ascii="Aptos" w:eastAsia="Aptos" w:hAnsi="Aptos"/>
          <w:kern w:val="2"/>
          <w:sz w:val="22"/>
          <w14:ligatures w14:val="standardContextual"/>
        </w:rPr>
        <w:t xml:space="preserve">recycling targets. </w:t>
      </w:r>
      <w:r w:rsidR="00AC0585">
        <w:rPr>
          <w:rFonts w:ascii="Aptos" w:eastAsia="Aptos" w:hAnsi="Aptos"/>
          <w:kern w:val="2"/>
          <w:sz w:val="22"/>
          <w14:ligatures w14:val="standardContextual"/>
        </w:rPr>
        <w:t>T</w:t>
      </w:r>
      <w:r w:rsidRPr="0077524C">
        <w:rPr>
          <w:rFonts w:ascii="Aptos" w:eastAsia="Aptos" w:hAnsi="Aptos"/>
          <w:kern w:val="2"/>
          <w:sz w:val="22"/>
          <w14:ligatures w14:val="standardContextual"/>
        </w:rPr>
        <w:t xml:space="preserve">he region risks missing key opportunities to advance towards a circular economy and reduce its environmental footprint. </w:t>
      </w:r>
    </w:p>
    <w:p w14:paraId="37A261FC"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br w:type="page"/>
      </w:r>
    </w:p>
    <w:p w14:paraId="6B95C5EE" w14:textId="43904251"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21" w:name="_Toc184940642"/>
      <w:r w:rsidRPr="005F7253">
        <w:rPr>
          <w:rFonts w:ascii="Aptos Display" w:eastAsia="Yu Gothic Light" w:hAnsi="Aptos Display"/>
          <w:color w:val="0F4761"/>
          <w:kern w:val="2"/>
          <w:sz w:val="32"/>
          <w:szCs w:val="32"/>
          <w14:ligatures w14:val="standardContextual"/>
        </w:rPr>
        <w:lastRenderedPageBreak/>
        <w:t>Disparit</w:t>
      </w:r>
      <w:r w:rsidR="00AC0585">
        <w:rPr>
          <w:rFonts w:ascii="Aptos Display" w:eastAsia="Yu Gothic Light" w:hAnsi="Aptos Display"/>
          <w:color w:val="0F4761"/>
          <w:kern w:val="2"/>
          <w:sz w:val="32"/>
          <w:szCs w:val="32"/>
          <w14:ligatures w14:val="standardContextual"/>
        </w:rPr>
        <w:t>ies</w:t>
      </w:r>
      <w:r w:rsidRPr="005F7253">
        <w:rPr>
          <w:rFonts w:ascii="Aptos Display" w:eastAsia="Yu Gothic Light" w:hAnsi="Aptos Display"/>
          <w:color w:val="0F4761"/>
          <w:kern w:val="2"/>
          <w:sz w:val="32"/>
          <w:szCs w:val="32"/>
          <w14:ligatures w14:val="standardContextual"/>
        </w:rPr>
        <w:t xml:space="preserve"> within the region</w:t>
      </w:r>
      <w:bookmarkEnd w:id="21"/>
    </w:p>
    <w:p w14:paraId="6BD71CF1"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Regional averages conceal vast disparities in connectivity among Arab States</w:t>
      </w:r>
    </w:p>
    <w:p w14:paraId="367E2F87" w14:textId="043BA890"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The Arab States are diverse in many respects</w:t>
      </w:r>
      <w:r w:rsidR="00AC0585">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income level, </w:t>
      </w:r>
      <w:r w:rsidR="00AC0585">
        <w:rPr>
          <w:rFonts w:ascii="Aptos" w:eastAsia="Aptos" w:hAnsi="Aptos" w:cs="Arial"/>
          <w:kern w:val="2"/>
          <w:sz w:val="22"/>
          <w:szCs w:val="22"/>
          <w14:ligatures w14:val="standardContextual"/>
        </w:rPr>
        <w:t xml:space="preserve">with </w:t>
      </w:r>
      <w:r w:rsidRPr="005F7253">
        <w:rPr>
          <w:rFonts w:ascii="Aptos" w:eastAsia="Aptos" w:hAnsi="Aptos" w:cs="Arial"/>
          <w:kern w:val="2"/>
          <w:sz w:val="22"/>
          <w:szCs w:val="22"/>
          <w14:ligatures w14:val="standardContextual"/>
        </w:rPr>
        <w:t>the wealthiest country’s GNI per capita nearly 100 times larger than the poorest; urbanization rate, which range</w:t>
      </w:r>
      <w:r w:rsidR="00AC0585">
        <w:rPr>
          <w:rFonts w:ascii="Aptos" w:eastAsia="Aptos" w:hAnsi="Aptos" w:cs="Arial"/>
          <w:kern w:val="2"/>
          <w:sz w:val="22"/>
          <w:szCs w:val="22"/>
          <w14:ligatures w14:val="standardContextual"/>
        </w:rPr>
        <w:t>s</w:t>
      </w:r>
      <w:r w:rsidRPr="005F7253">
        <w:rPr>
          <w:rFonts w:ascii="Aptos" w:eastAsia="Aptos" w:hAnsi="Aptos" w:cs="Arial"/>
          <w:kern w:val="2"/>
          <w:sz w:val="22"/>
          <w:szCs w:val="22"/>
          <w14:ligatures w14:val="standardContextual"/>
        </w:rPr>
        <w:t xml:space="preserve"> from 30 per cent to 100 per cent; and population, which range</w:t>
      </w:r>
      <w:r w:rsidR="00AC0585">
        <w:rPr>
          <w:rFonts w:ascii="Aptos" w:eastAsia="Aptos" w:hAnsi="Aptos" w:cs="Arial"/>
          <w:kern w:val="2"/>
          <w:sz w:val="22"/>
          <w:szCs w:val="22"/>
          <w14:ligatures w14:val="standardContextual"/>
        </w:rPr>
        <w:t>s</w:t>
      </w:r>
      <w:r w:rsidRPr="005F7253">
        <w:rPr>
          <w:rFonts w:ascii="Aptos" w:eastAsia="Aptos" w:hAnsi="Aptos" w:cs="Arial"/>
          <w:kern w:val="2"/>
          <w:sz w:val="22"/>
          <w:szCs w:val="22"/>
          <w14:ligatures w14:val="standardContextual"/>
        </w:rPr>
        <w:t xml:space="preserve"> from under one million to over 100 million people. </w:t>
      </w:r>
    </w:p>
    <w:p w14:paraId="21F23020" w14:textId="10A2C0C4"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Given these differences, it can be useful to group the Arab States </w:t>
      </w:r>
      <w:r w:rsidR="00AC0585">
        <w:rPr>
          <w:rFonts w:ascii="Aptos" w:eastAsia="Aptos" w:hAnsi="Aptos" w:cs="Arial"/>
          <w:kern w:val="2"/>
          <w:sz w:val="22"/>
          <w:szCs w:val="22"/>
          <w14:ligatures w14:val="standardContextual"/>
        </w:rPr>
        <w:t xml:space="preserve">into clusters, </w:t>
      </w:r>
      <w:r w:rsidRPr="005F7253">
        <w:rPr>
          <w:rFonts w:ascii="Aptos" w:eastAsia="Aptos" w:hAnsi="Aptos" w:cs="Arial"/>
          <w:kern w:val="2"/>
          <w:sz w:val="22"/>
          <w:szCs w:val="22"/>
          <w14:ligatures w14:val="standardContextual"/>
        </w:rPr>
        <w:t xml:space="preserve">according to </w:t>
      </w:r>
      <w:r w:rsidR="00AC0585">
        <w:rPr>
          <w:rFonts w:ascii="Aptos" w:eastAsia="Aptos" w:hAnsi="Aptos" w:cs="Arial"/>
          <w:kern w:val="2"/>
          <w:sz w:val="22"/>
          <w:szCs w:val="22"/>
          <w14:ligatures w14:val="standardContextual"/>
        </w:rPr>
        <w:t xml:space="preserve">their scores on </w:t>
      </w:r>
      <w:r w:rsidRPr="005F7253">
        <w:rPr>
          <w:rFonts w:ascii="Aptos" w:eastAsia="Aptos" w:hAnsi="Aptos" w:cs="Arial"/>
          <w:kern w:val="2"/>
          <w:sz w:val="22"/>
          <w:szCs w:val="22"/>
          <w14:ligatures w14:val="standardContextual"/>
        </w:rPr>
        <w:t>indicators of Internet use, mobile phone ownership, mobile</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broadband and fixed</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broadband subscription rates, affordability of entry-level mobile and fixed broadband, and gender equality. This ‘cluster analysis’ yields three distinct groups</w:t>
      </w:r>
      <w:r w:rsidRPr="005F7253">
        <w:rPr>
          <w:rFonts w:ascii="Aptos" w:eastAsia="Aptos" w:hAnsi="Aptos" w:cs="Arial"/>
          <w:kern w:val="2"/>
          <w:sz w:val="22"/>
          <w:szCs w:val="22"/>
          <w:vertAlign w:val="superscript"/>
          <w14:ligatures w14:val="standardContextual"/>
        </w:rPr>
        <w:footnoteReference w:id="15"/>
      </w:r>
      <w:r w:rsidRPr="005F7253">
        <w:rPr>
          <w:rFonts w:ascii="Aptos" w:eastAsia="Aptos" w:hAnsi="Aptos" w:cs="Arial"/>
          <w:kern w:val="2"/>
          <w:sz w:val="22"/>
          <w:szCs w:val="22"/>
          <w14:ligatures w14:val="standardContextual"/>
        </w:rPr>
        <w:t>, whose respective members share similar ICT profiles.</w:t>
      </w:r>
    </w:p>
    <w:p w14:paraId="632D0C8C" w14:textId="4EC9DA05"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first group, made up of Algeria, Bahrain, Egypt, Kuwait, Libya, Morocco, Oman, Qatar, Saudi Arabia, Tunisia and the </w:t>
      </w:r>
      <w:r w:rsidRPr="00AB5127">
        <w:rPr>
          <w:rFonts w:ascii="Aptos" w:eastAsia="Aptos" w:hAnsi="Aptos"/>
          <w:kern w:val="2"/>
          <w:sz w:val="22"/>
          <w14:ligatures w14:val="standardContextual"/>
        </w:rPr>
        <w:t xml:space="preserve">United Arab Emirates </w:t>
      </w:r>
      <w:r w:rsidRPr="005F7253">
        <w:rPr>
          <w:rFonts w:ascii="Aptos" w:eastAsia="Aptos" w:hAnsi="Aptos" w:cs="Arial"/>
          <w:kern w:val="2"/>
          <w:sz w:val="22"/>
          <w:szCs w:val="22"/>
          <w14:ligatures w14:val="standardContextual"/>
        </w:rPr>
        <w:t xml:space="preserve">is characterized by rates of ICT usage and ownership that are well above the world average. </w:t>
      </w:r>
      <w:r w:rsidR="00A84C0C">
        <w:rPr>
          <w:rFonts w:ascii="Aptos" w:eastAsia="Aptos" w:hAnsi="Aptos" w:cs="Arial"/>
          <w:kern w:val="2"/>
          <w:sz w:val="22"/>
          <w:szCs w:val="22"/>
          <w14:ligatures w14:val="standardContextual"/>
        </w:rPr>
        <w:t>A</w:t>
      </w:r>
      <w:r w:rsidRPr="005F7253">
        <w:rPr>
          <w:rFonts w:ascii="Aptos" w:eastAsia="Aptos" w:hAnsi="Aptos" w:cs="Arial"/>
          <w:kern w:val="2"/>
          <w:sz w:val="22"/>
          <w:szCs w:val="22"/>
          <w14:ligatures w14:val="standardContextual"/>
        </w:rPr>
        <w:t>ffordability of fixed broadband remains a challenge</w:t>
      </w:r>
      <w:r w:rsidR="00AC0585">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w:t>
      </w:r>
      <w:r w:rsidR="00A84C0C">
        <w:rPr>
          <w:rFonts w:ascii="Aptos" w:eastAsia="Aptos" w:hAnsi="Aptos" w:cs="Arial"/>
          <w:kern w:val="2"/>
          <w:sz w:val="22"/>
          <w:szCs w:val="22"/>
          <w14:ligatures w14:val="standardContextual"/>
        </w:rPr>
        <w:t xml:space="preserve">however, </w:t>
      </w:r>
      <w:r w:rsidRPr="005F7253">
        <w:rPr>
          <w:rFonts w:ascii="Aptos" w:eastAsia="Aptos" w:hAnsi="Aptos" w:cs="Arial"/>
          <w:kern w:val="2"/>
          <w:sz w:val="22"/>
          <w:szCs w:val="22"/>
          <w14:ligatures w14:val="standardContextual"/>
        </w:rPr>
        <w:t xml:space="preserve">with the median entry-level price </w:t>
      </w:r>
      <w:r w:rsidR="00906163" w:rsidRPr="005F7253">
        <w:rPr>
          <w:rFonts w:ascii="Aptos" w:eastAsia="Aptos" w:hAnsi="Aptos" w:cs="Arial"/>
          <w:kern w:val="2"/>
          <w:sz w:val="22"/>
          <w:szCs w:val="22"/>
          <w14:ligatures w14:val="standardContextual"/>
        </w:rPr>
        <w:t xml:space="preserve">as a share of monthly GNI per capita </w:t>
      </w:r>
      <w:r w:rsidRPr="005F7253">
        <w:rPr>
          <w:rFonts w:ascii="Aptos" w:eastAsia="Aptos" w:hAnsi="Aptos" w:cs="Arial"/>
          <w:kern w:val="2"/>
          <w:sz w:val="22"/>
          <w:szCs w:val="22"/>
          <w14:ligatures w14:val="standardContextual"/>
        </w:rPr>
        <w:t xml:space="preserve">above the Broadband Commission target of 2 per cent of monthly GNI per capita or lower. </w:t>
      </w:r>
    </w:p>
    <w:p w14:paraId="5247374B" w14:textId="7F62781C"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second group, consisting of Iraq, Jordan, Lebanon and the State of Palestine, also has </w:t>
      </w:r>
      <w:r w:rsidR="00A84C0C">
        <w:rPr>
          <w:rFonts w:ascii="Aptos" w:eastAsia="Aptos" w:hAnsi="Aptos" w:cs="Arial"/>
          <w:kern w:val="2"/>
          <w:sz w:val="22"/>
          <w:szCs w:val="22"/>
          <w14:ligatures w14:val="standardContextual"/>
        </w:rPr>
        <w:t xml:space="preserve">above-average </w:t>
      </w:r>
      <w:r w:rsidRPr="005F7253">
        <w:rPr>
          <w:rFonts w:ascii="Aptos" w:eastAsia="Aptos" w:hAnsi="Aptos" w:cs="Arial"/>
          <w:kern w:val="2"/>
          <w:sz w:val="22"/>
          <w:szCs w:val="22"/>
          <w14:ligatures w14:val="standardContextual"/>
        </w:rPr>
        <w:t>rates of ICT usage and ownership</w:t>
      </w:r>
      <w:r w:rsidR="00A84C0C">
        <w:rPr>
          <w:rFonts w:ascii="Aptos" w:eastAsia="Aptos" w:hAnsi="Aptos" w:cs="Arial"/>
          <w:kern w:val="2"/>
          <w:sz w:val="22"/>
          <w:szCs w:val="22"/>
          <w14:ligatures w14:val="standardContextual"/>
        </w:rPr>
        <w:t xml:space="preserve">, but </w:t>
      </w:r>
      <w:r w:rsidR="00906163" w:rsidRPr="005F7253">
        <w:rPr>
          <w:rFonts w:ascii="Aptos" w:eastAsia="Aptos" w:hAnsi="Aptos" w:cs="Arial"/>
          <w:kern w:val="2"/>
          <w:sz w:val="22"/>
          <w:szCs w:val="22"/>
          <w14:ligatures w14:val="standardContextual"/>
        </w:rPr>
        <w:t>challenges remain</w:t>
      </w:r>
      <w:r w:rsidR="00906163">
        <w:rPr>
          <w:rFonts w:ascii="Aptos" w:eastAsia="Aptos" w:hAnsi="Aptos" w:cs="Arial"/>
          <w:kern w:val="2"/>
          <w:sz w:val="22"/>
          <w:szCs w:val="22"/>
          <w14:ligatures w14:val="standardContextual"/>
        </w:rPr>
        <w:t xml:space="preserve"> </w:t>
      </w:r>
      <w:r w:rsidR="00A84C0C">
        <w:rPr>
          <w:rFonts w:ascii="Aptos" w:eastAsia="Aptos" w:hAnsi="Aptos" w:cs="Arial"/>
          <w:kern w:val="2"/>
          <w:sz w:val="22"/>
          <w:szCs w:val="22"/>
          <w14:ligatures w14:val="standardContextual"/>
        </w:rPr>
        <w:t xml:space="preserve">on </w:t>
      </w:r>
      <w:r w:rsidRPr="005F7253">
        <w:rPr>
          <w:rFonts w:ascii="Aptos" w:eastAsia="Aptos" w:hAnsi="Aptos" w:cs="Arial"/>
          <w:kern w:val="2"/>
          <w:sz w:val="22"/>
          <w:szCs w:val="22"/>
          <w14:ligatures w14:val="standardContextual"/>
        </w:rPr>
        <w:t>other indicators. Subscription rates are substantially lower than that in the first group</w:t>
      </w:r>
      <w:r w:rsidR="00906163">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and connectivity is also less affordable – the median entry-level price for both mobile and fixed</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broadband</w:t>
      </w:r>
      <w:r w:rsidR="00906163" w:rsidRPr="00906163">
        <w:rPr>
          <w:rFonts w:ascii="Aptos" w:eastAsia="Aptos" w:hAnsi="Aptos" w:cs="Arial"/>
          <w:kern w:val="2"/>
          <w:sz w:val="22"/>
          <w:szCs w:val="22"/>
          <w14:ligatures w14:val="standardContextual"/>
        </w:rPr>
        <w:t xml:space="preserve"> </w:t>
      </w:r>
      <w:r w:rsidR="00906163" w:rsidRPr="005F7253">
        <w:rPr>
          <w:rFonts w:ascii="Aptos" w:eastAsia="Aptos" w:hAnsi="Aptos" w:cs="Arial"/>
          <w:kern w:val="2"/>
          <w:sz w:val="22"/>
          <w:szCs w:val="22"/>
          <w14:ligatures w14:val="standardContextual"/>
        </w:rPr>
        <w:t>is above the Broadband Commission target</w:t>
      </w:r>
      <w:r w:rsidRPr="005F7253">
        <w:rPr>
          <w:rFonts w:ascii="Aptos" w:eastAsia="Aptos" w:hAnsi="Aptos" w:cs="Arial"/>
          <w:kern w:val="2"/>
          <w:sz w:val="22"/>
          <w:szCs w:val="22"/>
          <w14:ligatures w14:val="standardContextual"/>
        </w:rPr>
        <w:t>. In addition, the gender gap for Internet use is much wider than in the first group</w:t>
      </w:r>
      <w:r w:rsidR="00906163">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despite the high levels of overall Internet use. </w:t>
      </w:r>
    </w:p>
    <w:p w14:paraId="4837FB3C" w14:textId="22B666B7" w:rsidR="0090616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In contrast to the first two, the next group, consisting of Comoros, Djibouti, Mauritania, Sudan, the Syrian Arab Republic and Yemen</w:t>
      </w:r>
      <w:r w:rsidR="00AC0585">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has much lower rates of ICT use and ownership </w:t>
      </w:r>
      <w:r w:rsidR="00906163">
        <w:rPr>
          <w:rFonts w:ascii="Aptos" w:eastAsia="Aptos" w:hAnsi="Aptos" w:cs="Arial"/>
          <w:kern w:val="2"/>
          <w:sz w:val="22"/>
          <w:szCs w:val="22"/>
          <w14:ligatures w14:val="standardContextual"/>
        </w:rPr>
        <w:t xml:space="preserve">that are far lower than </w:t>
      </w:r>
      <w:r w:rsidRPr="005F7253">
        <w:rPr>
          <w:rFonts w:ascii="Aptos" w:eastAsia="Aptos" w:hAnsi="Aptos" w:cs="Arial"/>
          <w:kern w:val="2"/>
          <w:sz w:val="22"/>
          <w:szCs w:val="22"/>
          <w14:ligatures w14:val="standardContextual"/>
        </w:rPr>
        <w:t xml:space="preserve">the world </w:t>
      </w:r>
      <w:r w:rsidR="00906163">
        <w:rPr>
          <w:rFonts w:ascii="Aptos" w:eastAsia="Aptos" w:hAnsi="Aptos" w:cs="Arial"/>
          <w:kern w:val="2"/>
          <w:sz w:val="22"/>
          <w:szCs w:val="22"/>
          <w14:ligatures w14:val="standardContextual"/>
        </w:rPr>
        <w:t xml:space="preserve">average, in addition to </w:t>
      </w:r>
      <w:r w:rsidRPr="005F7253">
        <w:rPr>
          <w:rFonts w:ascii="Aptos" w:eastAsia="Aptos" w:hAnsi="Aptos" w:cs="Arial"/>
          <w:kern w:val="2"/>
          <w:sz w:val="22"/>
          <w:szCs w:val="22"/>
          <w14:ligatures w14:val="standardContextual"/>
        </w:rPr>
        <w:t xml:space="preserve">low subscription rates and affordability scores. In this group, on average only 39 per cent of the population uses the Internet, less than half the average share </w:t>
      </w:r>
      <w:r w:rsidR="00906163">
        <w:rPr>
          <w:rFonts w:ascii="Aptos" w:eastAsia="Aptos" w:hAnsi="Aptos" w:cs="Arial"/>
          <w:kern w:val="2"/>
          <w:sz w:val="22"/>
          <w:szCs w:val="22"/>
          <w14:ligatures w14:val="standardContextual"/>
        </w:rPr>
        <w:t xml:space="preserve">for </w:t>
      </w:r>
      <w:r w:rsidRPr="005F7253">
        <w:rPr>
          <w:rFonts w:ascii="Aptos" w:eastAsia="Aptos" w:hAnsi="Aptos" w:cs="Arial"/>
          <w:kern w:val="2"/>
          <w:sz w:val="22"/>
          <w:szCs w:val="22"/>
          <w14:ligatures w14:val="standardContextual"/>
        </w:rPr>
        <w:t xml:space="preserve">the other two groups, and the data-only mobile broadband plan costs the equivalent of more than five per cent of monthly GNI per capita. The low results for these indicators reflect the development challenges </w:t>
      </w:r>
      <w:r w:rsidR="00906163">
        <w:rPr>
          <w:rFonts w:ascii="Aptos" w:eastAsia="Aptos" w:hAnsi="Aptos" w:cs="Arial"/>
          <w:kern w:val="2"/>
          <w:sz w:val="22"/>
          <w:szCs w:val="22"/>
          <w14:ligatures w14:val="standardContextual"/>
        </w:rPr>
        <w:t xml:space="preserve">faced by </w:t>
      </w:r>
      <w:r w:rsidRPr="005F7253">
        <w:rPr>
          <w:rFonts w:ascii="Aptos" w:eastAsia="Aptos" w:hAnsi="Aptos" w:cs="Arial"/>
          <w:kern w:val="2"/>
          <w:sz w:val="22"/>
          <w:szCs w:val="22"/>
          <w14:ligatures w14:val="standardContextual"/>
        </w:rPr>
        <w:t xml:space="preserve">these countries, </w:t>
      </w:r>
      <w:r w:rsidR="00906163">
        <w:rPr>
          <w:rFonts w:ascii="Aptos" w:eastAsia="Aptos" w:hAnsi="Aptos" w:cs="Arial"/>
          <w:kern w:val="2"/>
          <w:sz w:val="22"/>
          <w:szCs w:val="22"/>
          <w14:ligatures w14:val="standardContextual"/>
        </w:rPr>
        <w:t>all but one of which (</w:t>
      </w:r>
      <w:r w:rsidRPr="005F7253">
        <w:rPr>
          <w:rFonts w:ascii="Aptos" w:eastAsia="Aptos" w:hAnsi="Aptos" w:cs="Arial"/>
          <w:kern w:val="2"/>
          <w:sz w:val="22"/>
          <w:szCs w:val="22"/>
          <w14:ligatures w14:val="standardContextual"/>
        </w:rPr>
        <w:t>the Syrian Arab Republic</w:t>
      </w:r>
      <w:r w:rsidR="00906163">
        <w:rPr>
          <w:rFonts w:ascii="Aptos" w:eastAsia="Aptos" w:hAnsi="Aptos" w:cs="Arial"/>
          <w:kern w:val="2"/>
          <w:sz w:val="22"/>
          <w:szCs w:val="22"/>
          <w14:ligatures w14:val="standardContextual"/>
        </w:rPr>
        <w:t xml:space="preserve"> is the exception)</w:t>
      </w:r>
      <w:r w:rsidRPr="005F7253">
        <w:rPr>
          <w:rFonts w:ascii="Aptos" w:eastAsia="Aptos" w:hAnsi="Aptos" w:cs="Arial"/>
          <w:kern w:val="2"/>
          <w:sz w:val="22"/>
          <w:szCs w:val="22"/>
          <w14:ligatures w14:val="standardContextual"/>
        </w:rPr>
        <w:t xml:space="preserve"> are classified as LDCs. </w:t>
      </w:r>
    </w:p>
    <w:p w14:paraId="11210952" w14:textId="4A8F3C31"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Finally, Somalia – another LDC – </w:t>
      </w:r>
      <w:r w:rsidR="00906163">
        <w:rPr>
          <w:rFonts w:ascii="Aptos" w:eastAsia="Aptos" w:hAnsi="Aptos" w:cs="Arial"/>
          <w:kern w:val="2"/>
          <w:sz w:val="22"/>
          <w:szCs w:val="22"/>
          <w14:ligatures w14:val="standardContextual"/>
        </w:rPr>
        <w:t xml:space="preserve">does not fall into any of the three groups, </w:t>
      </w:r>
      <w:r w:rsidRPr="005F7253">
        <w:rPr>
          <w:rFonts w:ascii="Aptos" w:eastAsia="Aptos" w:hAnsi="Aptos" w:cs="Arial"/>
          <w:kern w:val="2"/>
          <w:sz w:val="22"/>
          <w:szCs w:val="22"/>
          <w14:ligatures w14:val="standardContextual"/>
        </w:rPr>
        <w:t>due to its low levels of ICT use and ownership, poor gender parity and a lack of affordability of broadband services.</w:t>
      </w:r>
    </w:p>
    <w:p w14:paraId="3B6F56CC" w14:textId="77777777" w:rsidR="006C41B5" w:rsidRPr="005F7253" w:rsidRDefault="006C41B5" w:rsidP="006C41B5">
      <w:pPr>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The diversity of these groups of countries underlines the need to design tailored approaches to</w:t>
      </w:r>
      <w:r w:rsidRPr="005F7253" w:rsidDel="00D14485">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achieve universal and meaningful connectivity.</w:t>
      </w:r>
    </w:p>
    <w:p w14:paraId="396198F1" w14:textId="3A4928D2"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venirNext LT Pro Light" w:eastAsia="Yu Gothic Light" w:hAnsi="AvenirNext LT Pro Light" w:cs="Calibri"/>
          <w:color w:val="0070C0"/>
          <w:spacing w:val="-10"/>
          <w:kern w:val="28"/>
          <w:szCs w:val="24"/>
          <w:highlight w:val="yellow"/>
        </w:rPr>
      </w:pPr>
    </w:p>
    <w:p w14:paraId="5FAF18F1" w14:textId="77777777" w:rsidR="00C775FD" w:rsidRPr="005F7253" w:rsidRDefault="00C775FD">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br w:type="page"/>
      </w:r>
    </w:p>
    <w:p w14:paraId="70351E4E" w14:textId="750BC5C5"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lastRenderedPageBreak/>
        <w:t>Average of key ICT indicators by groups of similar Arab States, 2022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5"/>
        <w:gridCol w:w="1379"/>
        <w:gridCol w:w="1348"/>
        <w:gridCol w:w="1349"/>
        <w:gridCol w:w="1348"/>
      </w:tblGrid>
      <w:tr w:rsidR="006C41B5" w:rsidRPr="005F7253" w14:paraId="159E3EFE" w14:textId="77777777" w:rsidTr="006C41B5">
        <w:trPr>
          <w:trHeight w:val="315"/>
          <w:jc w:val="center"/>
        </w:trPr>
        <w:tc>
          <w:tcPr>
            <w:tcW w:w="3938" w:type="dxa"/>
            <w:shd w:val="clear" w:color="auto" w:fill="C1E4F5"/>
            <w:noWrap/>
            <w:vAlign w:val="bottom"/>
            <w:hideMark/>
          </w:tcPr>
          <w:p w14:paraId="40D87E7D"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5F7253">
              <w:rPr>
                <w:rFonts w:ascii="Avenir Next LT Pro Demi" w:hAnsi="Avenir Next LT Pro Demi" w:cs="Calibri"/>
                <w:color w:val="000000"/>
                <w:spacing w:val="-10"/>
                <w:kern w:val="28"/>
                <w:sz w:val="16"/>
                <w:szCs w:val="16"/>
                <w:lang w:eastAsia="en-GB"/>
              </w:rPr>
              <w:t> </w:t>
            </w:r>
          </w:p>
        </w:tc>
        <w:tc>
          <w:tcPr>
            <w:tcW w:w="3816" w:type="dxa"/>
            <w:gridSpan w:val="3"/>
            <w:shd w:val="clear" w:color="auto" w:fill="C1E4F5"/>
            <w:noWrap/>
            <w:vAlign w:val="bottom"/>
            <w:hideMark/>
          </w:tcPr>
          <w:p w14:paraId="4C794778"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5F7253">
              <w:rPr>
                <w:rFonts w:ascii="Avenir Next LT Pro Demi" w:hAnsi="Avenir Next LT Pro Demi" w:cs="Calibri"/>
                <w:color w:val="000000"/>
                <w:spacing w:val="-10"/>
                <w:kern w:val="28"/>
                <w:sz w:val="16"/>
                <w:szCs w:val="16"/>
                <w:lang w:eastAsia="en-GB"/>
              </w:rPr>
              <w:t>Group</w:t>
            </w:r>
          </w:p>
        </w:tc>
        <w:tc>
          <w:tcPr>
            <w:tcW w:w="1262" w:type="dxa"/>
            <w:shd w:val="clear" w:color="auto" w:fill="C1E4F5"/>
            <w:noWrap/>
            <w:vAlign w:val="bottom"/>
            <w:hideMark/>
          </w:tcPr>
          <w:p w14:paraId="63B79A10"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5F7253">
              <w:rPr>
                <w:rFonts w:ascii="Avenir Next LT Pro Demi" w:hAnsi="Avenir Next LT Pro Demi" w:cs="Calibri"/>
                <w:color w:val="000000"/>
                <w:spacing w:val="-10"/>
                <w:kern w:val="28"/>
                <w:sz w:val="16"/>
                <w:szCs w:val="16"/>
                <w:lang w:eastAsia="en-GB"/>
              </w:rPr>
              <w:t> </w:t>
            </w:r>
          </w:p>
        </w:tc>
      </w:tr>
      <w:tr w:rsidR="006C41B5" w:rsidRPr="005F7253" w14:paraId="222DA800" w14:textId="77777777" w:rsidTr="006C41B5">
        <w:trPr>
          <w:trHeight w:val="315"/>
          <w:jc w:val="center"/>
        </w:trPr>
        <w:tc>
          <w:tcPr>
            <w:tcW w:w="3938" w:type="dxa"/>
            <w:shd w:val="clear" w:color="auto" w:fill="C1E4F5"/>
            <w:vAlign w:val="bottom"/>
            <w:hideMark/>
          </w:tcPr>
          <w:p w14:paraId="72E34E51"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eastAsia="Yu Gothic Light" w:hAnsi="Avenir Next LT Pro Demi" w:cs="Calibri"/>
                <w:b/>
                <w:color w:val="000000"/>
                <w:spacing w:val="-10"/>
                <w:kern w:val="28"/>
                <w:sz w:val="16"/>
                <w:szCs w:val="16"/>
              </w:rPr>
            </w:pPr>
            <w:r w:rsidRPr="005F7253">
              <w:rPr>
                <w:rFonts w:ascii="Avenir Next LT Pro Demi" w:hAnsi="Avenir Next LT Pro Demi" w:cs="Calibri"/>
                <w:b/>
                <w:color w:val="000000"/>
                <w:spacing w:val="-10"/>
                <w:kern w:val="28"/>
                <w:sz w:val="16"/>
                <w:szCs w:val="16"/>
                <w:lang w:eastAsia="en-GB"/>
              </w:rPr>
              <w:t> </w:t>
            </w:r>
            <w:r w:rsidRPr="005F7253">
              <w:rPr>
                <w:rFonts w:ascii="Avenir Next LT Pro Demi" w:eastAsia="Yu Gothic Light" w:hAnsi="Avenir Next LT Pro Demi" w:cs="Calibri"/>
                <w:b/>
                <w:color w:val="000000"/>
                <w:spacing w:val="-10"/>
                <w:kern w:val="28"/>
                <w:sz w:val="16"/>
                <w:szCs w:val="16"/>
              </w:rPr>
              <w:t>Indicator (units)</w:t>
            </w:r>
          </w:p>
        </w:tc>
        <w:tc>
          <w:tcPr>
            <w:tcW w:w="1291" w:type="dxa"/>
            <w:shd w:val="clear" w:color="auto" w:fill="C1E4F5"/>
            <w:noWrap/>
            <w:vAlign w:val="bottom"/>
            <w:hideMark/>
          </w:tcPr>
          <w:p w14:paraId="15407489"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5F7253">
              <w:rPr>
                <w:rFonts w:ascii="Avenir Next LT Pro Demi" w:hAnsi="Avenir Next LT Pro Demi" w:cs="Calibri"/>
                <w:color w:val="000000"/>
                <w:spacing w:val="-10"/>
                <w:kern w:val="28"/>
                <w:sz w:val="16"/>
                <w:szCs w:val="16"/>
                <w:lang w:eastAsia="en-GB"/>
              </w:rPr>
              <w:t xml:space="preserve">1 </w:t>
            </w:r>
          </w:p>
          <w:p w14:paraId="64C37007"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5F7253">
              <w:rPr>
                <w:rFonts w:ascii="Avenir Next LT Pro Demi" w:hAnsi="Avenir Next LT Pro Demi" w:cs="Calibri"/>
                <w:color w:val="000000"/>
                <w:spacing w:val="-10"/>
                <w:kern w:val="28"/>
                <w:sz w:val="16"/>
                <w:szCs w:val="16"/>
                <w:lang w:eastAsia="en-GB"/>
              </w:rPr>
              <w:t>(11 Arab States)</w:t>
            </w:r>
          </w:p>
        </w:tc>
        <w:tc>
          <w:tcPr>
            <w:tcW w:w="1262" w:type="dxa"/>
            <w:shd w:val="clear" w:color="auto" w:fill="C1E4F5"/>
            <w:noWrap/>
            <w:vAlign w:val="bottom"/>
            <w:hideMark/>
          </w:tcPr>
          <w:p w14:paraId="38ADA897"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5F7253">
              <w:rPr>
                <w:rFonts w:ascii="Avenir Next LT Pro Demi" w:hAnsi="Avenir Next LT Pro Demi" w:cs="Calibri"/>
                <w:color w:val="000000"/>
                <w:spacing w:val="-10"/>
                <w:kern w:val="28"/>
                <w:sz w:val="16"/>
                <w:szCs w:val="16"/>
                <w:lang w:eastAsia="en-GB"/>
              </w:rPr>
              <w:t xml:space="preserve">2 </w:t>
            </w:r>
          </w:p>
          <w:p w14:paraId="79297FD8"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5F7253">
              <w:rPr>
                <w:rFonts w:ascii="Avenir Next LT Pro Demi" w:hAnsi="Avenir Next LT Pro Demi" w:cs="Calibri"/>
                <w:color w:val="000000"/>
                <w:spacing w:val="-10"/>
                <w:kern w:val="28"/>
                <w:sz w:val="16"/>
                <w:szCs w:val="16"/>
                <w:lang w:eastAsia="en-GB"/>
              </w:rPr>
              <w:t>(4 Arab States)</w:t>
            </w:r>
          </w:p>
        </w:tc>
        <w:tc>
          <w:tcPr>
            <w:tcW w:w="1263" w:type="dxa"/>
            <w:shd w:val="clear" w:color="auto" w:fill="C1E4F5"/>
            <w:noWrap/>
            <w:vAlign w:val="bottom"/>
            <w:hideMark/>
          </w:tcPr>
          <w:p w14:paraId="481A7D40"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5F7253">
              <w:rPr>
                <w:rFonts w:ascii="Avenir Next LT Pro Demi" w:hAnsi="Avenir Next LT Pro Demi" w:cs="Calibri"/>
                <w:color w:val="000000"/>
                <w:spacing w:val="-10"/>
                <w:kern w:val="28"/>
                <w:sz w:val="16"/>
                <w:szCs w:val="16"/>
                <w:lang w:eastAsia="en-GB"/>
              </w:rPr>
              <w:t xml:space="preserve">3 </w:t>
            </w:r>
          </w:p>
          <w:p w14:paraId="3B43DCC9"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5F7253">
              <w:rPr>
                <w:rFonts w:ascii="Avenir Next LT Pro Demi" w:hAnsi="Avenir Next LT Pro Demi" w:cs="Calibri"/>
                <w:color w:val="000000"/>
                <w:spacing w:val="-10"/>
                <w:kern w:val="28"/>
                <w:sz w:val="16"/>
                <w:szCs w:val="16"/>
                <w:lang w:eastAsia="en-GB"/>
              </w:rPr>
              <w:t>(6 Arab States)</w:t>
            </w:r>
          </w:p>
        </w:tc>
        <w:tc>
          <w:tcPr>
            <w:tcW w:w="1262" w:type="dxa"/>
            <w:shd w:val="clear" w:color="auto" w:fill="C1E4F5"/>
            <w:noWrap/>
            <w:vAlign w:val="bottom"/>
            <w:hideMark/>
          </w:tcPr>
          <w:p w14:paraId="3579F15F"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b/>
                <w:color w:val="000000"/>
                <w:spacing w:val="-10"/>
                <w:kern w:val="28"/>
                <w:sz w:val="16"/>
                <w:szCs w:val="16"/>
                <w:lang w:eastAsia="en-GB"/>
              </w:rPr>
            </w:pPr>
            <w:r w:rsidRPr="005F7253">
              <w:rPr>
                <w:rFonts w:ascii="Avenir Next LT Pro Demi" w:hAnsi="Avenir Next LT Pro Demi" w:cs="Calibri"/>
                <w:b/>
                <w:color w:val="000000"/>
                <w:spacing w:val="-10"/>
                <w:kern w:val="28"/>
                <w:sz w:val="16"/>
                <w:szCs w:val="16"/>
                <w:lang w:eastAsia="en-GB"/>
              </w:rPr>
              <w:t>World average</w:t>
            </w:r>
          </w:p>
        </w:tc>
      </w:tr>
      <w:tr w:rsidR="006C41B5" w:rsidRPr="005F7253" w14:paraId="7BC9A59C" w14:textId="77777777" w:rsidTr="006C41B5">
        <w:trPr>
          <w:trHeight w:val="510"/>
          <w:jc w:val="center"/>
        </w:trPr>
        <w:tc>
          <w:tcPr>
            <w:tcW w:w="3938" w:type="dxa"/>
            <w:shd w:val="clear" w:color="auto" w:fill="FFFFFF"/>
            <w:vAlign w:val="center"/>
            <w:hideMark/>
          </w:tcPr>
          <w:p w14:paraId="4C92BD59"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venir Next LT Pro Demi" w:hAnsi="Avenir Next LT Pro Demi" w:cs="Calibri"/>
                <w:color w:val="000000"/>
                <w:kern w:val="28"/>
                <w:sz w:val="16"/>
                <w:szCs w:val="16"/>
                <w:lang w:eastAsia="en-GB"/>
              </w:rPr>
            </w:pPr>
            <w:r w:rsidRPr="005F7253">
              <w:rPr>
                <w:rFonts w:ascii="Avenir Next LT Pro Demi" w:hAnsi="Avenir Next LT Pro Demi" w:cs="Calibri"/>
                <w:color w:val="000000"/>
                <w:kern w:val="28"/>
                <w:sz w:val="16"/>
                <w:szCs w:val="16"/>
                <w:lang w:eastAsia="en-GB"/>
              </w:rPr>
              <w:t>Share of individuals using</w:t>
            </w:r>
            <w:r w:rsidRPr="005F7253">
              <w:rPr>
                <w:rFonts w:ascii="Avenir Next LT Pro Demi" w:hAnsi="Avenir Next LT Pro Demi" w:cs="Calibri"/>
                <w:color w:val="000000"/>
                <w:kern w:val="28"/>
                <w:sz w:val="16"/>
                <w:szCs w:val="16"/>
                <w:lang w:eastAsia="en-GB"/>
              </w:rPr>
              <w:br/>
              <w:t>the Internet</w:t>
            </w:r>
            <w:r w:rsidRPr="005F7253">
              <w:rPr>
                <w:rFonts w:ascii="Avenir Next LT Pro Demi" w:hAnsi="Avenir Next LT Pro Demi" w:cs="Calibri"/>
                <w:color w:val="A6A6A6"/>
                <w:kern w:val="28"/>
                <w:sz w:val="16"/>
                <w:szCs w:val="16"/>
                <w:lang w:eastAsia="en-GB"/>
              </w:rPr>
              <w:t xml:space="preserve"> (%)</w:t>
            </w:r>
          </w:p>
        </w:tc>
        <w:tc>
          <w:tcPr>
            <w:tcW w:w="1291" w:type="dxa"/>
            <w:shd w:val="clear" w:color="auto" w:fill="FFFFFF"/>
            <w:noWrap/>
            <w:vAlign w:val="bottom"/>
          </w:tcPr>
          <w:p w14:paraId="3476E5C3"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90.3</w:t>
            </w:r>
          </w:p>
        </w:tc>
        <w:tc>
          <w:tcPr>
            <w:tcW w:w="1262" w:type="dxa"/>
            <w:shd w:val="clear" w:color="auto" w:fill="FFFFFF"/>
            <w:noWrap/>
            <w:vAlign w:val="bottom"/>
          </w:tcPr>
          <w:p w14:paraId="505928EE"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87.0</w:t>
            </w:r>
          </w:p>
        </w:tc>
        <w:tc>
          <w:tcPr>
            <w:tcW w:w="1263" w:type="dxa"/>
            <w:shd w:val="clear" w:color="auto" w:fill="FFFFFF"/>
            <w:noWrap/>
            <w:vAlign w:val="bottom"/>
          </w:tcPr>
          <w:p w14:paraId="07840A0E"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38.9</w:t>
            </w:r>
          </w:p>
        </w:tc>
        <w:tc>
          <w:tcPr>
            <w:tcW w:w="1262" w:type="dxa"/>
            <w:shd w:val="clear" w:color="auto" w:fill="FFFFFF"/>
            <w:noWrap/>
            <w:vAlign w:val="bottom"/>
          </w:tcPr>
          <w:p w14:paraId="6F827B86"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b/>
                <w:color w:val="000000"/>
                <w:kern w:val="28"/>
                <w:sz w:val="16"/>
                <w:szCs w:val="16"/>
                <w:lang w:eastAsia="en-GB"/>
              </w:rPr>
            </w:pPr>
            <w:r w:rsidRPr="005F7253">
              <w:rPr>
                <w:rFonts w:ascii="Avenir Next LT Pro Demi" w:hAnsi="Avenir Next LT Pro Demi" w:cs="Calibri"/>
                <w:b/>
                <w:color w:val="000000"/>
                <w:kern w:val="28"/>
                <w:sz w:val="16"/>
                <w:szCs w:val="16"/>
                <w:lang w:eastAsia="en-GB"/>
              </w:rPr>
              <w:t>63.7</w:t>
            </w:r>
          </w:p>
        </w:tc>
      </w:tr>
      <w:tr w:rsidR="006C41B5" w:rsidRPr="005F7253" w14:paraId="51093069" w14:textId="77777777" w:rsidTr="006C41B5">
        <w:trPr>
          <w:trHeight w:val="510"/>
          <w:jc w:val="center"/>
        </w:trPr>
        <w:tc>
          <w:tcPr>
            <w:tcW w:w="3938" w:type="dxa"/>
            <w:shd w:val="clear" w:color="auto" w:fill="FFFFFF"/>
            <w:vAlign w:val="center"/>
            <w:hideMark/>
          </w:tcPr>
          <w:p w14:paraId="01E33B1A"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venir Next LT Pro Demi" w:hAnsi="Avenir Next LT Pro Demi" w:cs="Calibri"/>
                <w:color w:val="000000"/>
                <w:kern w:val="28"/>
                <w:sz w:val="16"/>
                <w:szCs w:val="16"/>
                <w:lang w:eastAsia="en-GB"/>
              </w:rPr>
            </w:pPr>
            <w:r w:rsidRPr="005F7253">
              <w:rPr>
                <w:rFonts w:ascii="Avenir Next LT Pro Demi" w:hAnsi="Avenir Next LT Pro Demi" w:cs="Calibri"/>
                <w:color w:val="000000"/>
                <w:kern w:val="28"/>
                <w:sz w:val="16"/>
                <w:szCs w:val="16"/>
                <w:lang w:eastAsia="en-GB"/>
              </w:rPr>
              <w:t xml:space="preserve">Gender equality - Internet use </w:t>
            </w:r>
            <w:r w:rsidRPr="005F7253">
              <w:rPr>
                <w:rFonts w:ascii="Avenir Next LT Pro Demi" w:hAnsi="Avenir Next LT Pro Demi" w:cs="Calibri"/>
                <w:color w:val="000000"/>
                <w:kern w:val="28"/>
                <w:sz w:val="16"/>
                <w:szCs w:val="16"/>
                <w:lang w:eastAsia="en-GB"/>
              </w:rPr>
              <w:br/>
            </w:r>
            <w:r w:rsidRPr="005F7253">
              <w:rPr>
                <w:rFonts w:ascii="Avenir Next LT Pro Demi" w:hAnsi="Avenir Next LT Pro Demi" w:cs="Calibri"/>
                <w:color w:val="A6A6A6"/>
                <w:kern w:val="28"/>
                <w:sz w:val="16"/>
                <w:szCs w:val="16"/>
                <w:lang w:eastAsia="en-GB"/>
              </w:rPr>
              <w:t>(relative gap)</w:t>
            </w:r>
          </w:p>
        </w:tc>
        <w:tc>
          <w:tcPr>
            <w:tcW w:w="1291" w:type="dxa"/>
            <w:shd w:val="clear" w:color="auto" w:fill="FFFFFF"/>
            <w:noWrap/>
            <w:vAlign w:val="bottom"/>
          </w:tcPr>
          <w:p w14:paraId="055EF771"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0.97</w:t>
            </w:r>
          </w:p>
        </w:tc>
        <w:tc>
          <w:tcPr>
            <w:tcW w:w="1262" w:type="dxa"/>
            <w:shd w:val="clear" w:color="auto" w:fill="FFFFFF"/>
            <w:noWrap/>
            <w:vAlign w:val="bottom"/>
          </w:tcPr>
          <w:p w14:paraId="274756DD"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0.71</w:t>
            </w:r>
          </w:p>
        </w:tc>
        <w:tc>
          <w:tcPr>
            <w:tcW w:w="1263" w:type="dxa"/>
            <w:shd w:val="clear" w:color="auto" w:fill="FFFFFF"/>
            <w:noWrap/>
            <w:vAlign w:val="bottom"/>
          </w:tcPr>
          <w:p w14:paraId="76DC1837"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0.67</w:t>
            </w:r>
          </w:p>
        </w:tc>
        <w:tc>
          <w:tcPr>
            <w:tcW w:w="1262" w:type="dxa"/>
            <w:shd w:val="clear" w:color="auto" w:fill="FFFFFF"/>
            <w:noWrap/>
            <w:vAlign w:val="bottom"/>
          </w:tcPr>
          <w:p w14:paraId="7499F2EC"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b/>
                <w:color w:val="000000"/>
                <w:kern w:val="28"/>
                <w:sz w:val="16"/>
                <w:szCs w:val="16"/>
                <w:lang w:eastAsia="en-GB"/>
              </w:rPr>
            </w:pPr>
            <w:r w:rsidRPr="005F7253">
              <w:rPr>
                <w:rFonts w:ascii="Avenir Next LT Pro Demi" w:hAnsi="Avenir Next LT Pro Demi" w:cs="Calibri"/>
                <w:b/>
                <w:color w:val="000000"/>
                <w:kern w:val="28"/>
                <w:sz w:val="16"/>
                <w:szCs w:val="16"/>
                <w:lang w:eastAsia="en-GB"/>
              </w:rPr>
              <w:t>0.88</w:t>
            </w:r>
          </w:p>
        </w:tc>
      </w:tr>
      <w:tr w:rsidR="006C41B5" w:rsidRPr="005F7253" w14:paraId="10D0A118" w14:textId="77777777" w:rsidTr="006C41B5">
        <w:trPr>
          <w:trHeight w:val="510"/>
          <w:jc w:val="center"/>
        </w:trPr>
        <w:tc>
          <w:tcPr>
            <w:tcW w:w="3938" w:type="dxa"/>
            <w:shd w:val="clear" w:color="auto" w:fill="FFFFFF"/>
            <w:vAlign w:val="center"/>
            <w:hideMark/>
          </w:tcPr>
          <w:p w14:paraId="6892FC8A"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venir Next LT Pro Demi" w:hAnsi="Avenir Next LT Pro Demi" w:cs="Calibri"/>
                <w:color w:val="000000"/>
                <w:kern w:val="28"/>
                <w:sz w:val="16"/>
                <w:szCs w:val="16"/>
                <w:lang w:eastAsia="en-GB"/>
              </w:rPr>
            </w:pPr>
            <w:r w:rsidRPr="005F7253">
              <w:rPr>
                <w:rFonts w:ascii="Avenir Next LT Pro Demi" w:hAnsi="Avenir Next LT Pro Demi" w:cs="Calibri"/>
                <w:color w:val="000000"/>
                <w:kern w:val="28"/>
                <w:sz w:val="16"/>
                <w:szCs w:val="16"/>
                <w:lang w:eastAsia="en-GB"/>
              </w:rPr>
              <w:t>Share of individuals owning mobile phones</w:t>
            </w:r>
            <w:r w:rsidRPr="005F7253">
              <w:rPr>
                <w:rFonts w:ascii="Avenir Next LT Pro Demi" w:hAnsi="Avenir Next LT Pro Demi" w:cs="Calibri"/>
                <w:color w:val="A6A6A6"/>
                <w:kern w:val="28"/>
                <w:sz w:val="16"/>
                <w:szCs w:val="16"/>
                <w:lang w:eastAsia="en-GB"/>
              </w:rPr>
              <w:t xml:space="preserve"> (%)</w:t>
            </w:r>
          </w:p>
        </w:tc>
        <w:tc>
          <w:tcPr>
            <w:tcW w:w="1291" w:type="dxa"/>
            <w:shd w:val="clear" w:color="auto" w:fill="FFFFFF"/>
            <w:noWrap/>
            <w:vAlign w:val="bottom"/>
          </w:tcPr>
          <w:p w14:paraId="69EF3683"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95.8</w:t>
            </w:r>
          </w:p>
        </w:tc>
        <w:tc>
          <w:tcPr>
            <w:tcW w:w="1262" w:type="dxa"/>
            <w:shd w:val="clear" w:color="auto" w:fill="FFFFFF"/>
            <w:noWrap/>
            <w:vAlign w:val="bottom"/>
          </w:tcPr>
          <w:p w14:paraId="190B2D83"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81.6</w:t>
            </w:r>
          </w:p>
        </w:tc>
        <w:tc>
          <w:tcPr>
            <w:tcW w:w="1263" w:type="dxa"/>
            <w:shd w:val="clear" w:color="auto" w:fill="FFFFFF"/>
            <w:noWrap/>
            <w:vAlign w:val="bottom"/>
          </w:tcPr>
          <w:p w14:paraId="5CDDBFF9"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59.5</w:t>
            </w:r>
          </w:p>
        </w:tc>
        <w:tc>
          <w:tcPr>
            <w:tcW w:w="1262" w:type="dxa"/>
            <w:shd w:val="clear" w:color="auto" w:fill="FFFFFF"/>
            <w:noWrap/>
            <w:vAlign w:val="bottom"/>
          </w:tcPr>
          <w:p w14:paraId="421A94F0"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b/>
                <w:color w:val="000000"/>
                <w:kern w:val="28"/>
                <w:sz w:val="16"/>
                <w:szCs w:val="16"/>
                <w:lang w:eastAsia="en-GB"/>
              </w:rPr>
            </w:pPr>
            <w:r w:rsidRPr="005F7253">
              <w:rPr>
                <w:rFonts w:ascii="Avenir Next LT Pro Demi" w:hAnsi="Avenir Next LT Pro Demi" w:cs="Calibri"/>
                <w:b/>
                <w:color w:val="000000"/>
                <w:kern w:val="28"/>
                <w:sz w:val="16"/>
                <w:szCs w:val="16"/>
                <w:lang w:eastAsia="en-GB"/>
              </w:rPr>
              <w:t>77.7</w:t>
            </w:r>
          </w:p>
        </w:tc>
      </w:tr>
      <w:tr w:rsidR="006C41B5" w:rsidRPr="005F7253" w14:paraId="31F71ECC" w14:textId="77777777" w:rsidTr="006C41B5">
        <w:trPr>
          <w:trHeight w:val="510"/>
          <w:jc w:val="center"/>
        </w:trPr>
        <w:tc>
          <w:tcPr>
            <w:tcW w:w="3938" w:type="dxa"/>
            <w:shd w:val="clear" w:color="auto" w:fill="FFFFFF"/>
            <w:vAlign w:val="center"/>
            <w:hideMark/>
          </w:tcPr>
          <w:p w14:paraId="2EC0CA65" w14:textId="2AC022B9"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venir Next LT Pro Demi" w:hAnsi="Avenir Next LT Pro Demi" w:cs="Calibri"/>
                <w:color w:val="000000"/>
                <w:kern w:val="28"/>
                <w:sz w:val="16"/>
                <w:szCs w:val="16"/>
                <w:lang w:eastAsia="en-GB"/>
              </w:rPr>
            </w:pPr>
            <w:r w:rsidRPr="005F7253">
              <w:rPr>
                <w:rFonts w:ascii="Avenir Next LT Pro Demi" w:hAnsi="Avenir Next LT Pro Demi" w:cs="Calibri"/>
                <w:color w:val="000000"/>
                <w:kern w:val="28"/>
                <w:sz w:val="16"/>
                <w:szCs w:val="16"/>
                <w:lang w:eastAsia="en-GB"/>
              </w:rPr>
              <w:t>Mobile</w:t>
            </w:r>
            <w:r w:rsidR="00CF6F1E" w:rsidRPr="005F7253">
              <w:rPr>
                <w:rFonts w:ascii="Avenir Next LT Pro Demi" w:hAnsi="Avenir Next LT Pro Demi" w:cs="Calibri"/>
                <w:color w:val="000000"/>
                <w:kern w:val="28"/>
                <w:sz w:val="16"/>
                <w:szCs w:val="16"/>
                <w:lang w:eastAsia="en-GB"/>
              </w:rPr>
              <w:t xml:space="preserve"> </w:t>
            </w:r>
            <w:r w:rsidRPr="005F7253">
              <w:rPr>
                <w:rFonts w:ascii="Avenir Next LT Pro Demi" w:hAnsi="Avenir Next LT Pro Demi" w:cs="Calibri"/>
                <w:color w:val="000000"/>
                <w:kern w:val="28"/>
                <w:sz w:val="16"/>
                <w:szCs w:val="16"/>
                <w:lang w:eastAsia="en-GB"/>
              </w:rPr>
              <w:t xml:space="preserve">broadband subscriptions </w:t>
            </w:r>
            <w:r w:rsidRPr="005F7253">
              <w:rPr>
                <w:rFonts w:ascii="Avenir Next LT Pro Demi" w:hAnsi="Avenir Next LT Pro Demi" w:cs="Calibri"/>
                <w:color w:val="000000"/>
                <w:kern w:val="28"/>
                <w:sz w:val="16"/>
                <w:szCs w:val="16"/>
                <w:lang w:eastAsia="en-GB"/>
              </w:rPr>
              <w:br/>
            </w:r>
            <w:r w:rsidRPr="005F7253">
              <w:rPr>
                <w:rFonts w:ascii="Avenir Next LT Pro Demi" w:hAnsi="Avenir Next LT Pro Demi" w:cs="Calibri"/>
                <w:color w:val="A6A6A6"/>
                <w:kern w:val="28"/>
                <w:sz w:val="16"/>
                <w:szCs w:val="16"/>
                <w:lang w:eastAsia="en-GB"/>
              </w:rPr>
              <w:t>(per 100 inhabitants)</w:t>
            </w:r>
          </w:p>
        </w:tc>
        <w:tc>
          <w:tcPr>
            <w:tcW w:w="1291" w:type="dxa"/>
            <w:shd w:val="clear" w:color="auto" w:fill="FFFFFF"/>
            <w:noWrap/>
            <w:vAlign w:val="bottom"/>
          </w:tcPr>
          <w:p w14:paraId="352152C5"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125.4</w:t>
            </w:r>
          </w:p>
        </w:tc>
        <w:tc>
          <w:tcPr>
            <w:tcW w:w="1262" w:type="dxa"/>
            <w:shd w:val="clear" w:color="auto" w:fill="FFFFFF"/>
            <w:noWrap/>
            <w:vAlign w:val="bottom"/>
          </w:tcPr>
          <w:p w14:paraId="5A710D62"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55.4</w:t>
            </w:r>
          </w:p>
        </w:tc>
        <w:tc>
          <w:tcPr>
            <w:tcW w:w="1263" w:type="dxa"/>
            <w:shd w:val="clear" w:color="auto" w:fill="FFFFFF"/>
            <w:noWrap/>
            <w:vAlign w:val="bottom"/>
          </w:tcPr>
          <w:p w14:paraId="3E1B3CD2"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43.4</w:t>
            </w:r>
          </w:p>
        </w:tc>
        <w:tc>
          <w:tcPr>
            <w:tcW w:w="1262" w:type="dxa"/>
            <w:shd w:val="clear" w:color="auto" w:fill="FFFFFF"/>
            <w:noWrap/>
            <w:vAlign w:val="bottom"/>
          </w:tcPr>
          <w:p w14:paraId="35F9246C"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b/>
                <w:color w:val="000000"/>
                <w:kern w:val="28"/>
                <w:sz w:val="16"/>
                <w:szCs w:val="16"/>
                <w:lang w:eastAsia="en-GB"/>
              </w:rPr>
            </w:pPr>
            <w:r w:rsidRPr="005F7253">
              <w:rPr>
                <w:rFonts w:ascii="Avenir Next LT Pro Demi" w:hAnsi="Avenir Next LT Pro Demi" w:cs="Calibri"/>
                <w:b/>
                <w:color w:val="000000"/>
                <w:kern w:val="28"/>
                <w:sz w:val="16"/>
                <w:szCs w:val="16"/>
                <w:lang w:eastAsia="en-GB"/>
              </w:rPr>
              <w:t>85.9</w:t>
            </w:r>
          </w:p>
        </w:tc>
      </w:tr>
      <w:tr w:rsidR="006C41B5" w:rsidRPr="005F7253" w14:paraId="1096FC8C" w14:textId="77777777" w:rsidTr="006C41B5">
        <w:trPr>
          <w:trHeight w:val="510"/>
          <w:jc w:val="center"/>
        </w:trPr>
        <w:tc>
          <w:tcPr>
            <w:tcW w:w="3938" w:type="dxa"/>
            <w:shd w:val="clear" w:color="auto" w:fill="FFFFFF"/>
            <w:vAlign w:val="center"/>
            <w:hideMark/>
          </w:tcPr>
          <w:p w14:paraId="70655099" w14:textId="2800D7D8"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venir Next LT Pro Demi" w:hAnsi="Avenir Next LT Pro Demi" w:cs="Calibri"/>
                <w:color w:val="000000"/>
                <w:kern w:val="28"/>
                <w:sz w:val="16"/>
                <w:szCs w:val="16"/>
                <w:lang w:eastAsia="en-GB"/>
              </w:rPr>
            </w:pPr>
            <w:r w:rsidRPr="005F7253">
              <w:rPr>
                <w:rFonts w:ascii="Avenir Next LT Pro Demi" w:hAnsi="Avenir Next LT Pro Demi" w:cs="Calibri"/>
                <w:color w:val="000000"/>
                <w:kern w:val="28"/>
                <w:sz w:val="16"/>
                <w:szCs w:val="16"/>
                <w:lang w:eastAsia="en-GB"/>
              </w:rPr>
              <w:t>Fixed</w:t>
            </w:r>
            <w:r w:rsidR="00CF6F1E" w:rsidRPr="005F7253">
              <w:rPr>
                <w:rFonts w:ascii="Avenir Next LT Pro Demi" w:hAnsi="Avenir Next LT Pro Demi" w:cs="Calibri"/>
                <w:color w:val="000000"/>
                <w:kern w:val="28"/>
                <w:sz w:val="16"/>
                <w:szCs w:val="16"/>
                <w:lang w:eastAsia="en-GB"/>
              </w:rPr>
              <w:t xml:space="preserve"> </w:t>
            </w:r>
            <w:r w:rsidRPr="005F7253">
              <w:rPr>
                <w:rFonts w:ascii="Avenir Next LT Pro Demi" w:hAnsi="Avenir Next LT Pro Demi" w:cs="Calibri"/>
                <w:color w:val="000000"/>
                <w:kern w:val="28"/>
                <w:sz w:val="16"/>
                <w:szCs w:val="16"/>
                <w:lang w:eastAsia="en-GB"/>
              </w:rPr>
              <w:t xml:space="preserve">broadband subscriptions </w:t>
            </w:r>
            <w:r w:rsidRPr="005F7253">
              <w:rPr>
                <w:rFonts w:ascii="Avenir Next LT Pro Demi" w:hAnsi="Avenir Next LT Pro Demi" w:cs="Calibri"/>
                <w:color w:val="000000"/>
                <w:kern w:val="28"/>
                <w:sz w:val="16"/>
                <w:szCs w:val="16"/>
                <w:lang w:eastAsia="en-GB"/>
              </w:rPr>
              <w:br/>
            </w:r>
            <w:r w:rsidRPr="005F7253">
              <w:rPr>
                <w:rFonts w:ascii="Avenir Next LT Pro Demi" w:hAnsi="Avenir Next LT Pro Demi" w:cs="Calibri"/>
                <w:color w:val="A6A6A6"/>
                <w:kern w:val="28"/>
                <w:sz w:val="16"/>
                <w:szCs w:val="16"/>
                <w:lang w:eastAsia="en-GB"/>
              </w:rPr>
              <w:t>(per 100 inhabitants)</w:t>
            </w:r>
          </w:p>
        </w:tc>
        <w:tc>
          <w:tcPr>
            <w:tcW w:w="1291" w:type="dxa"/>
            <w:shd w:val="clear" w:color="auto" w:fill="FFFFFF"/>
            <w:noWrap/>
            <w:vAlign w:val="bottom"/>
          </w:tcPr>
          <w:p w14:paraId="79D1EB46"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15.2</w:t>
            </w:r>
          </w:p>
        </w:tc>
        <w:tc>
          <w:tcPr>
            <w:tcW w:w="1262" w:type="dxa"/>
            <w:shd w:val="clear" w:color="auto" w:fill="FFFFFF"/>
            <w:noWrap/>
            <w:vAlign w:val="bottom"/>
          </w:tcPr>
          <w:p w14:paraId="053BD9A4"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9.2</w:t>
            </w:r>
          </w:p>
        </w:tc>
        <w:tc>
          <w:tcPr>
            <w:tcW w:w="1263" w:type="dxa"/>
            <w:shd w:val="clear" w:color="auto" w:fill="FFFFFF"/>
            <w:noWrap/>
            <w:vAlign w:val="bottom"/>
          </w:tcPr>
          <w:p w14:paraId="641909C5"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1.7</w:t>
            </w:r>
          </w:p>
        </w:tc>
        <w:tc>
          <w:tcPr>
            <w:tcW w:w="1262" w:type="dxa"/>
            <w:shd w:val="clear" w:color="auto" w:fill="FFFFFF"/>
            <w:noWrap/>
            <w:vAlign w:val="bottom"/>
          </w:tcPr>
          <w:p w14:paraId="2F98B651"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b/>
                <w:color w:val="000000"/>
                <w:kern w:val="28"/>
                <w:sz w:val="16"/>
                <w:szCs w:val="16"/>
                <w:lang w:eastAsia="en-GB"/>
              </w:rPr>
            </w:pPr>
            <w:r w:rsidRPr="005F7253">
              <w:rPr>
                <w:rFonts w:ascii="Avenir Next LT Pro Demi" w:hAnsi="Avenir Next LT Pro Demi" w:cs="Calibri"/>
                <w:b/>
                <w:color w:val="000000"/>
                <w:kern w:val="28"/>
                <w:sz w:val="16"/>
                <w:szCs w:val="16"/>
                <w:lang w:eastAsia="en-GB"/>
              </w:rPr>
              <w:t>17.7</w:t>
            </w:r>
          </w:p>
        </w:tc>
      </w:tr>
      <w:tr w:rsidR="006C41B5" w:rsidRPr="005F7253" w14:paraId="28610658" w14:textId="77777777" w:rsidTr="006C41B5">
        <w:trPr>
          <w:trHeight w:val="479"/>
          <w:jc w:val="center"/>
        </w:trPr>
        <w:tc>
          <w:tcPr>
            <w:tcW w:w="3938" w:type="dxa"/>
            <w:shd w:val="clear" w:color="auto" w:fill="FFFFFF"/>
            <w:vAlign w:val="center"/>
            <w:hideMark/>
          </w:tcPr>
          <w:p w14:paraId="0B634667"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venir Next LT Pro Demi" w:hAnsi="Avenir Next LT Pro Demi" w:cs="Calibri"/>
                <w:color w:val="A6A6A6"/>
                <w:kern w:val="28"/>
                <w:sz w:val="16"/>
                <w:szCs w:val="16"/>
                <w:lang w:eastAsia="en-GB"/>
              </w:rPr>
            </w:pPr>
            <w:r w:rsidRPr="005F7253">
              <w:rPr>
                <w:rFonts w:ascii="Avenir Next LT Pro Demi" w:hAnsi="Avenir Next LT Pro Demi" w:cs="Calibri"/>
                <w:color w:val="000000"/>
                <w:kern w:val="28"/>
                <w:sz w:val="16"/>
                <w:szCs w:val="16"/>
                <w:lang w:eastAsia="en-GB"/>
              </w:rPr>
              <w:t xml:space="preserve">Data-only mobile broadband prices </w:t>
            </w:r>
            <w:r w:rsidRPr="005F7253">
              <w:rPr>
                <w:rFonts w:ascii="Avenir Next LT Pro Demi" w:hAnsi="Avenir Next LT Pro Demi" w:cs="Calibri"/>
                <w:color w:val="A6A6A6"/>
                <w:kern w:val="28"/>
                <w:sz w:val="16"/>
                <w:szCs w:val="16"/>
                <w:lang w:eastAsia="en-GB"/>
              </w:rPr>
              <w:br/>
              <w:t>(as a % of GNI per capita)</w:t>
            </w:r>
          </w:p>
        </w:tc>
        <w:tc>
          <w:tcPr>
            <w:tcW w:w="1291" w:type="dxa"/>
            <w:shd w:val="clear" w:color="auto" w:fill="FFFFFF"/>
            <w:noWrap/>
            <w:vAlign w:val="bottom"/>
          </w:tcPr>
          <w:p w14:paraId="7A909217"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2.8</w:t>
            </w:r>
          </w:p>
        </w:tc>
        <w:tc>
          <w:tcPr>
            <w:tcW w:w="1262" w:type="dxa"/>
            <w:shd w:val="clear" w:color="auto" w:fill="FFFFFF"/>
            <w:noWrap/>
            <w:vAlign w:val="bottom"/>
          </w:tcPr>
          <w:p w14:paraId="174170CC"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6.6</w:t>
            </w:r>
          </w:p>
        </w:tc>
        <w:tc>
          <w:tcPr>
            <w:tcW w:w="1263" w:type="dxa"/>
            <w:shd w:val="clear" w:color="auto" w:fill="FFFFFF"/>
            <w:noWrap/>
            <w:vAlign w:val="bottom"/>
          </w:tcPr>
          <w:p w14:paraId="44910013"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19.2</w:t>
            </w:r>
          </w:p>
        </w:tc>
        <w:tc>
          <w:tcPr>
            <w:tcW w:w="1262" w:type="dxa"/>
            <w:shd w:val="clear" w:color="auto" w:fill="FFFFFF"/>
            <w:noWrap/>
            <w:vAlign w:val="bottom"/>
          </w:tcPr>
          <w:p w14:paraId="09BCBB10"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b/>
                <w:color w:val="000000"/>
                <w:kern w:val="28"/>
                <w:sz w:val="16"/>
                <w:szCs w:val="16"/>
                <w:lang w:eastAsia="en-GB"/>
              </w:rPr>
            </w:pPr>
            <w:r w:rsidRPr="005F7253">
              <w:rPr>
                <w:rFonts w:ascii="Avenir Next LT Pro Demi" w:hAnsi="Avenir Next LT Pro Demi" w:cs="Calibri"/>
                <w:b/>
                <w:color w:val="000000"/>
                <w:kern w:val="28"/>
                <w:sz w:val="16"/>
                <w:szCs w:val="16"/>
                <w:lang w:eastAsia="en-GB"/>
              </w:rPr>
              <w:t>1.5</w:t>
            </w:r>
          </w:p>
        </w:tc>
      </w:tr>
      <w:tr w:rsidR="006C41B5" w:rsidRPr="005F7253" w14:paraId="3A5F7375" w14:textId="77777777" w:rsidTr="006C41B5">
        <w:trPr>
          <w:trHeight w:val="510"/>
          <w:jc w:val="center"/>
        </w:trPr>
        <w:tc>
          <w:tcPr>
            <w:tcW w:w="3938" w:type="dxa"/>
            <w:shd w:val="clear" w:color="auto" w:fill="FFFFFF"/>
            <w:vAlign w:val="center"/>
            <w:hideMark/>
          </w:tcPr>
          <w:p w14:paraId="2D3D13EB"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venir Next LT Pro Demi" w:hAnsi="Avenir Next LT Pro Demi" w:cs="Calibri"/>
                <w:color w:val="000000"/>
                <w:kern w:val="28"/>
                <w:sz w:val="16"/>
                <w:szCs w:val="16"/>
                <w:lang w:eastAsia="en-GB"/>
              </w:rPr>
            </w:pPr>
            <w:r w:rsidRPr="005F7253">
              <w:rPr>
                <w:rFonts w:ascii="Avenir Next LT Pro Demi" w:hAnsi="Avenir Next LT Pro Demi" w:cs="Calibri"/>
                <w:color w:val="000000"/>
                <w:kern w:val="28"/>
                <w:sz w:val="16"/>
                <w:szCs w:val="16"/>
                <w:lang w:eastAsia="en-GB"/>
              </w:rPr>
              <w:t>Fixed broadband prices</w:t>
            </w:r>
            <w:r w:rsidRPr="005F7253">
              <w:rPr>
                <w:rFonts w:ascii="Avenir Next LT Pro Demi" w:hAnsi="Avenir Next LT Pro Demi" w:cs="Calibri"/>
                <w:color w:val="000000"/>
                <w:kern w:val="28"/>
                <w:sz w:val="16"/>
                <w:szCs w:val="16"/>
                <w:lang w:eastAsia="en-GB"/>
              </w:rPr>
              <w:br/>
            </w:r>
            <w:r w:rsidRPr="005F7253">
              <w:rPr>
                <w:rFonts w:ascii="Avenir Next LT Pro Demi" w:hAnsi="Avenir Next LT Pro Demi" w:cs="Calibri"/>
                <w:color w:val="A6A6A6"/>
                <w:kern w:val="28"/>
                <w:sz w:val="16"/>
                <w:szCs w:val="16"/>
                <w:lang w:eastAsia="en-GB"/>
              </w:rPr>
              <w:t>(as a % of GNI per capita)</w:t>
            </w:r>
          </w:p>
        </w:tc>
        <w:tc>
          <w:tcPr>
            <w:tcW w:w="1291" w:type="dxa"/>
            <w:shd w:val="clear" w:color="auto" w:fill="FFFFFF"/>
            <w:noWrap/>
            <w:vAlign w:val="bottom"/>
          </w:tcPr>
          <w:p w14:paraId="1B31EFD2"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0.8</w:t>
            </w:r>
          </w:p>
        </w:tc>
        <w:tc>
          <w:tcPr>
            <w:tcW w:w="1262" w:type="dxa"/>
            <w:shd w:val="clear" w:color="auto" w:fill="FFFFFF"/>
            <w:noWrap/>
            <w:vAlign w:val="bottom"/>
          </w:tcPr>
          <w:p w14:paraId="65CA0FC6"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2.8</w:t>
            </w:r>
          </w:p>
        </w:tc>
        <w:tc>
          <w:tcPr>
            <w:tcW w:w="1263" w:type="dxa"/>
            <w:shd w:val="clear" w:color="auto" w:fill="FFFFFF"/>
            <w:noWrap/>
            <w:vAlign w:val="bottom"/>
          </w:tcPr>
          <w:p w14:paraId="13CBF985"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5.3</w:t>
            </w:r>
          </w:p>
        </w:tc>
        <w:tc>
          <w:tcPr>
            <w:tcW w:w="1262" w:type="dxa"/>
            <w:shd w:val="clear" w:color="auto" w:fill="FFFFFF"/>
            <w:noWrap/>
            <w:vAlign w:val="bottom"/>
          </w:tcPr>
          <w:p w14:paraId="13302DF3"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b/>
                <w:color w:val="000000"/>
                <w:kern w:val="28"/>
                <w:sz w:val="16"/>
                <w:szCs w:val="16"/>
                <w:lang w:eastAsia="en-GB"/>
              </w:rPr>
            </w:pPr>
            <w:r w:rsidRPr="005F7253">
              <w:rPr>
                <w:rFonts w:ascii="Avenir Next LT Pro Demi" w:hAnsi="Avenir Next LT Pro Demi" w:cs="Calibri"/>
                <w:b/>
                <w:color w:val="000000"/>
                <w:kern w:val="28"/>
                <w:sz w:val="16"/>
                <w:szCs w:val="16"/>
                <w:lang w:eastAsia="en-GB"/>
              </w:rPr>
              <w:t>3.2</w:t>
            </w:r>
          </w:p>
        </w:tc>
      </w:tr>
    </w:tbl>
    <w:p w14:paraId="7ADD2179"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Note: Group averages include unpublished estimates. Group medians shown for data-only mobile broadband and fixed broadband prices as a % of GNI per capita.</w:t>
      </w:r>
    </w:p>
    <w:p w14:paraId="105A1439"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highlight w:val="cyan"/>
          <w14:ligatures w14:val="standardContextual"/>
        </w:rPr>
      </w:pPr>
      <w:r w:rsidRPr="005F7253">
        <w:rPr>
          <w:rFonts w:ascii="Aptos" w:eastAsia="Aptos" w:hAnsi="Aptos" w:cs="Arial"/>
          <w:kern w:val="2"/>
          <w:sz w:val="16"/>
          <w:szCs w:val="28"/>
          <w14:ligatures w14:val="standardContextual"/>
        </w:rPr>
        <w:t>Source: ITU</w:t>
      </w:r>
    </w:p>
    <w:p w14:paraId="6AC68C85" w14:textId="5B5CB17D"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Display" w:eastAsia="Yu Gothic Light" w:hAnsi="Aptos Display"/>
          <w:color w:val="0F4761"/>
          <w:kern w:val="2"/>
          <w:sz w:val="32"/>
          <w:szCs w:val="32"/>
          <w:highlight w:val="cyan"/>
          <w14:ligatures w14:val="standardContextual"/>
        </w:rPr>
      </w:pPr>
    </w:p>
    <w:p w14:paraId="5E66AB54" w14:textId="77777777" w:rsidR="00C775FD" w:rsidRPr="005F7253" w:rsidRDefault="00C775FD">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bookmarkStart w:id="22" w:name="_Toc184940643"/>
      <w:r w:rsidRPr="005F7253">
        <w:rPr>
          <w:rFonts w:ascii="Aptos Display" w:eastAsia="Yu Gothic Light" w:hAnsi="Aptos Display"/>
          <w:color w:val="0F4761"/>
          <w:kern w:val="2"/>
          <w:sz w:val="32"/>
          <w:szCs w:val="32"/>
          <w14:ligatures w14:val="standardContextual"/>
        </w:rPr>
        <w:br w:type="page"/>
      </w:r>
    </w:p>
    <w:p w14:paraId="5E09C4E6" w14:textId="0E11DD62"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r w:rsidRPr="005F7253">
        <w:rPr>
          <w:rFonts w:ascii="Aptos Display" w:eastAsia="Yu Gothic Light" w:hAnsi="Aptos Display"/>
          <w:color w:val="0F4761"/>
          <w:kern w:val="2"/>
          <w:sz w:val="32"/>
          <w:szCs w:val="32"/>
          <w14:ligatures w14:val="standardContextual"/>
        </w:rPr>
        <w:lastRenderedPageBreak/>
        <w:t>Overview of data availability in the Arab States</w:t>
      </w:r>
      <w:bookmarkEnd w:id="22"/>
    </w:p>
    <w:p w14:paraId="37D38BB0"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Data plays a key role in achieving universal and meaningful connectivity. Reliable and timely data equips policymakers to identify needs, set priorities, design effective interventions, track progress, and measure impact. Investing in data yields substantial returns by enabling better decision-making and more efficient interventions.</w:t>
      </w:r>
    </w:p>
    <w:p w14:paraId="49A2BA80" w14:textId="23F45F9A" w:rsidR="006C41B5" w:rsidRPr="005F7253" w:rsidRDefault="006C41B5" w:rsidP="006C41B5">
      <w:pPr>
        <w:tabs>
          <w:tab w:val="clear" w:pos="794"/>
          <w:tab w:val="clear" w:pos="1191"/>
          <w:tab w:val="clear" w:pos="1588"/>
          <w:tab w:val="clear" w:pos="1985"/>
        </w:tabs>
        <w:overflowPunct/>
        <w:autoSpaceDE/>
        <w:autoSpaceDN/>
        <w:adjustRightInd/>
        <w:spacing w:before="0" w:after="120"/>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importance of data for the delivery of the Kigali Action Plan was acknowledged by </w:t>
      </w:r>
      <w:bookmarkStart w:id="23" w:name="here"/>
      <w:r w:rsidR="00D970B7">
        <w:rPr>
          <w:rFonts w:ascii="Aptos" w:eastAsia="Aptos" w:hAnsi="Aptos" w:cs="Arial"/>
          <w:kern w:val="2"/>
          <w:sz w:val="22"/>
          <w:szCs w:val="22"/>
          <w14:ligatures w14:val="standardContextual"/>
        </w:rPr>
        <w:t xml:space="preserve">ITU’s </w:t>
      </w:r>
      <w:r w:rsidRPr="005F7253">
        <w:rPr>
          <w:rFonts w:ascii="Aptos" w:eastAsia="Aptos" w:hAnsi="Aptos" w:cs="Arial"/>
          <w:kern w:val="2"/>
          <w:sz w:val="22"/>
          <w:szCs w:val="22"/>
          <w14:ligatures w14:val="standardContextual"/>
        </w:rPr>
        <w:t>T</w:t>
      </w:r>
      <w:bookmarkEnd w:id="23"/>
      <w:r w:rsidRPr="005F7253">
        <w:rPr>
          <w:rFonts w:ascii="Aptos" w:eastAsia="Aptos" w:hAnsi="Aptos" w:cs="Arial"/>
          <w:kern w:val="2"/>
          <w:sz w:val="22"/>
          <w:szCs w:val="22"/>
          <w14:ligatures w14:val="standardContextual"/>
        </w:rPr>
        <w:t xml:space="preserve">elecommunication Development Advisory Group, which adopted five key performance indicators (KPIs) tracking the extent to which Member States submit timely ICT data to ITU, including KPIs related to the submission of data on </w:t>
      </w:r>
      <w:r w:rsidR="00D970B7">
        <w:rPr>
          <w:rFonts w:ascii="Aptos" w:eastAsia="Aptos" w:hAnsi="Aptos" w:cs="Arial"/>
          <w:kern w:val="2"/>
          <w:sz w:val="22"/>
          <w:szCs w:val="22"/>
          <w14:ligatures w14:val="standardContextual"/>
        </w:rPr>
        <w:t xml:space="preserve">skills and on </w:t>
      </w:r>
      <w:r w:rsidRPr="005F7253">
        <w:rPr>
          <w:rFonts w:ascii="Aptos" w:eastAsia="Aptos" w:hAnsi="Aptos" w:cs="Arial"/>
          <w:kern w:val="2"/>
          <w:sz w:val="22"/>
          <w:szCs w:val="22"/>
          <w14:ligatures w14:val="standardContextual"/>
        </w:rPr>
        <w:t>Internet use</w:t>
      </w:r>
      <w:r w:rsidR="00D970B7">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disaggregated by location and gender.</w:t>
      </w:r>
    </w:p>
    <w:p w14:paraId="02D998FF" w14:textId="786C23A3"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availability and quality of ICT statistics vary widely among the Arab States. Administrative data, typically collected by national regulatory authorities or relevant ministries, is generally accessible. </w:t>
      </w:r>
      <w:r w:rsidR="00EC3D07">
        <w:rPr>
          <w:rFonts w:ascii="Aptos" w:eastAsia="Aptos" w:hAnsi="Aptos" w:cs="Arial"/>
          <w:kern w:val="2"/>
          <w:sz w:val="22"/>
          <w:szCs w:val="22"/>
          <w14:ligatures w14:val="standardContextual"/>
        </w:rPr>
        <w:t>Fifteen</w:t>
      </w:r>
      <w:r w:rsidR="00EC3D07" w:rsidRPr="005F7253">
        <w:rPr>
          <w:rFonts w:ascii="Aptos" w:eastAsia="Aptos" w:hAnsi="Aptos" w:cs="Arial"/>
          <w:kern w:val="2"/>
          <w:sz w:val="22"/>
          <w:szCs w:val="22"/>
          <w14:ligatures w14:val="standardContextual"/>
        </w:rPr>
        <w:t xml:space="preserve"> of the 22 Arab States</w:t>
      </w:r>
      <w:r w:rsidR="00EC3D07">
        <w:rPr>
          <w:rFonts w:ascii="Aptos" w:eastAsia="Aptos" w:hAnsi="Aptos" w:cs="Arial"/>
          <w:kern w:val="2"/>
          <w:sz w:val="22"/>
          <w:szCs w:val="22"/>
          <w14:ligatures w14:val="standardContextual"/>
        </w:rPr>
        <w:t xml:space="preserve"> have at least 75 per cent of the data available </w:t>
      </w:r>
      <w:r w:rsidRPr="005F7253">
        <w:rPr>
          <w:rFonts w:ascii="Aptos" w:eastAsia="Aptos" w:hAnsi="Aptos" w:cs="Arial"/>
          <w:kern w:val="2"/>
          <w:sz w:val="22"/>
          <w:szCs w:val="22"/>
          <w14:ligatures w14:val="standardContextual"/>
        </w:rPr>
        <w:t xml:space="preserve">for a core set of 14 administrative ICT indicators </w:t>
      </w:r>
      <w:r w:rsidR="00EC3D07">
        <w:rPr>
          <w:rFonts w:ascii="Aptos" w:eastAsia="Aptos" w:hAnsi="Aptos" w:cs="Arial"/>
          <w:kern w:val="2"/>
          <w:sz w:val="22"/>
          <w:szCs w:val="22"/>
          <w14:ligatures w14:val="standardContextual"/>
        </w:rPr>
        <w:t xml:space="preserve">covering the </w:t>
      </w:r>
      <w:r w:rsidR="00EC3D07" w:rsidRPr="005F7253">
        <w:rPr>
          <w:rFonts w:ascii="Aptos" w:eastAsia="Aptos" w:hAnsi="Aptos" w:cs="Arial"/>
          <w:kern w:val="2"/>
          <w:sz w:val="22"/>
          <w:szCs w:val="22"/>
          <w14:ligatures w14:val="standardContextual"/>
        </w:rPr>
        <w:t>2022-2023</w:t>
      </w:r>
      <w:r w:rsidR="00EC3D07" w:rsidRPr="00EC3D07">
        <w:rPr>
          <w:rFonts w:ascii="Aptos" w:eastAsia="Aptos" w:hAnsi="Aptos" w:cs="Arial"/>
          <w:kern w:val="2"/>
          <w:sz w:val="22"/>
          <w:szCs w:val="22"/>
          <w14:ligatures w14:val="standardContextual"/>
        </w:rPr>
        <w:t xml:space="preserve"> </w:t>
      </w:r>
      <w:r w:rsidR="00EC3D07" w:rsidRPr="005F7253">
        <w:rPr>
          <w:rFonts w:ascii="Aptos" w:eastAsia="Aptos" w:hAnsi="Aptos" w:cs="Arial"/>
          <w:kern w:val="2"/>
          <w:sz w:val="22"/>
          <w:szCs w:val="22"/>
          <w14:ligatures w14:val="standardContextual"/>
        </w:rPr>
        <w:t>period</w:t>
      </w:r>
      <w:r w:rsidR="00EC3D07">
        <w:rPr>
          <w:rFonts w:ascii="Aptos" w:eastAsia="Aptos" w:hAnsi="Aptos" w:cs="Arial"/>
          <w:kern w:val="2"/>
          <w:sz w:val="22"/>
          <w:szCs w:val="22"/>
          <w14:ligatures w14:val="standardContextual"/>
        </w:rPr>
        <w:t>, and</w:t>
      </w:r>
      <w:r w:rsidRPr="005F7253">
        <w:rPr>
          <w:rFonts w:ascii="Aptos" w:eastAsia="Aptos" w:hAnsi="Aptos" w:cs="Arial"/>
          <w:kern w:val="2"/>
          <w:sz w:val="22"/>
          <w:szCs w:val="22"/>
          <w14:ligatures w14:val="standardContextual"/>
        </w:rPr>
        <w:t xml:space="preserve"> 12 countries</w:t>
      </w:r>
      <w:r w:rsidR="00EC3D07">
        <w:rPr>
          <w:rFonts w:ascii="Aptos" w:eastAsia="Aptos" w:hAnsi="Aptos" w:cs="Arial"/>
          <w:kern w:val="2"/>
          <w:sz w:val="22"/>
          <w:szCs w:val="22"/>
          <w14:ligatures w14:val="standardContextual"/>
        </w:rPr>
        <w:t xml:space="preserve"> have the complete set </w:t>
      </w:r>
      <w:r w:rsidRPr="005F7253">
        <w:rPr>
          <w:rFonts w:ascii="Aptos" w:eastAsia="Aptos" w:hAnsi="Aptos" w:cs="Arial"/>
          <w:kern w:val="2"/>
          <w:sz w:val="22"/>
          <w:szCs w:val="22"/>
          <w14:ligatures w14:val="standardContextual"/>
        </w:rPr>
        <w:t>availabl</w:t>
      </w:r>
      <w:r w:rsidR="00EC3D07">
        <w:rPr>
          <w:rFonts w:ascii="Aptos" w:eastAsia="Aptos" w:hAnsi="Aptos" w:cs="Arial"/>
          <w:kern w:val="2"/>
          <w:sz w:val="22"/>
          <w:szCs w:val="22"/>
          <w14:ligatures w14:val="standardContextual"/>
        </w:rPr>
        <w:t>e</w:t>
      </w:r>
      <w:r w:rsidRPr="005F7253">
        <w:rPr>
          <w:rFonts w:ascii="Aptos" w:eastAsia="Aptos" w:hAnsi="Aptos" w:cs="Arial"/>
          <w:kern w:val="2"/>
          <w:sz w:val="22"/>
          <w:szCs w:val="22"/>
          <w14:ligatures w14:val="standardContextual"/>
        </w:rPr>
        <w:t xml:space="preserve">. </w:t>
      </w:r>
    </w:p>
    <w:p w14:paraId="70CF0F9A"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bCs/>
          <w:color w:val="0070C0"/>
          <w:spacing w:val="-10"/>
          <w:kern w:val="28"/>
          <w:szCs w:val="24"/>
        </w:rPr>
      </w:pPr>
      <w:r w:rsidRPr="005F7253">
        <w:rPr>
          <w:rFonts w:ascii="AvenirNext LT Pro Light" w:eastAsia="Yu Gothic Light" w:hAnsi="AvenirNext LT Pro Light" w:cs="Calibri"/>
          <w:bCs/>
          <w:color w:val="0070C0"/>
          <w:spacing w:val="-10"/>
          <w:kern w:val="28"/>
          <w:szCs w:val="24"/>
        </w:rPr>
        <w:t>Percentage availability of selected administrative ICT indicators, 2022-2023</w:t>
      </w:r>
    </w:p>
    <w:p w14:paraId="7358AAA6" w14:textId="6BACA619" w:rsidR="006C41B5" w:rsidRPr="005F7253" w:rsidRDefault="002C526D"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Pr>
          <w:noProof/>
        </w:rPr>
        <w:drawing>
          <wp:inline distT="0" distB="0" distL="0" distR="0" wp14:anchorId="6E0DCA72" wp14:editId="26C29DCC">
            <wp:extent cx="6120765" cy="2681605"/>
            <wp:effectExtent l="0" t="0" r="0" b="4445"/>
            <wp:docPr id="89235909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59095" name=""/>
                    <pic:cNvPicPr/>
                  </pic:nvPicPr>
                  <pic:blipFill>
                    <a:blip r:embed="rId128">
                      <a:extLst>
                        <a:ext uri="{96DAC541-7B7A-43D3-8B79-37D633B846F1}">
                          <asvg:svgBlip xmlns:asvg="http://schemas.microsoft.com/office/drawing/2016/SVG/main" r:embed="rId129"/>
                        </a:ext>
                      </a:extLst>
                    </a:blip>
                    <a:stretch>
                      <a:fillRect/>
                    </a:stretch>
                  </pic:blipFill>
                  <pic:spPr>
                    <a:xfrm>
                      <a:off x="0" y="0"/>
                      <a:ext cx="6120765" cy="2681605"/>
                    </a:xfrm>
                    <a:prstGeom prst="rect">
                      <a:avLst/>
                    </a:prstGeom>
                  </pic:spPr>
                </pic:pic>
              </a:graphicData>
            </a:graphic>
          </wp:inline>
        </w:drawing>
      </w:r>
      <w:r w:rsidR="006C41B5"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006C41B5" w:rsidRPr="005F7253">
        <w:rPr>
          <w:rFonts w:ascii="Aptos" w:eastAsia="Aptos" w:hAnsi="Aptos" w:cs="Arial"/>
          <w:kern w:val="2"/>
          <w:sz w:val="16"/>
          <w:szCs w:val="28"/>
          <w14:ligatures w14:val="standardContextual"/>
        </w:rPr>
        <w:t>) of the ITU Plenipotentiary Conference.</w:t>
      </w:r>
    </w:p>
    <w:p w14:paraId="2B97A462" w14:textId="6F2B6D0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Note: An indicator is considered available if at least one value is available for the period </w:t>
      </w:r>
      <w:r w:rsidR="00D970B7">
        <w:rPr>
          <w:rFonts w:ascii="Aptos" w:eastAsia="Aptos" w:hAnsi="Aptos" w:cs="Arial"/>
          <w:kern w:val="2"/>
          <w:sz w:val="16"/>
          <w:szCs w:val="28"/>
          <w14:ligatures w14:val="standardContextual"/>
        </w:rPr>
        <w:t>in question</w:t>
      </w:r>
      <w:r w:rsidRPr="005F7253">
        <w:rPr>
          <w:rFonts w:ascii="Aptos" w:eastAsia="Aptos" w:hAnsi="Aptos" w:cs="Arial"/>
          <w:kern w:val="2"/>
          <w:sz w:val="16"/>
          <w:szCs w:val="28"/>
          <w14:ligatures w14:val="standardContextual"/>
        </w:rPr>
        <w:t xml:space="preserve">. Assessment based on the following set: </w:t>
      </w:r>
      <w:r w:rsidR="00D970B7">
        <w:rPr>
          <w:rFonts w:ascii="Aptos" w:eastAsia="Aptos" w:hAnsi="Aptos" w:cs="Arial"/>
          <w:kern w:val="2"/>
          <w:sz w:val="16"/>
          <w:szCs w:val="28"/>
          <w14:ligatures w14:val="standardContextual"/>
        </w:rPr>
        <w:t>a</w:t>
      </w:r>
      <w:r w:rsidRPr="005F7253">
        <w:rPr>
          <w:rFonts w:ascii="Aptos" w:eastAsia="Aptos" w:hAnsi="Aptos" w:cs="Arial"/>
          <w:kern w:val="2"/>
          <w:sz w:val="16"/>
          <w:szCs w:val="28"/>
          <w14:ligatures w14:val="standardContextual"/>
        </w:rPr>
        <w:t>ctive mobile broadband subscriptions, fixed broadband subscriptions (total, as well as by speed-tiers: 256 Kbit/s to 2 Mbit/s, 2 Mbit/s to 10 Mbit/s</w:t>
      </w:r>
      <w:r w:rsidR="00D970B7">
        <w:rPr>
          <w:rFonts w:ascii="Aptos" w:eastAsia="Aptos" w:hAnsi="Aptos" w:cs="Arial"/>
          <w:kern w:val="2"/>
          <w:sz w:val="16"/>
          <w:szCs w:val="28"/>
          <w14:ligatures w14:val="standardContextual"/>
        </w:rPr>
        <w:t>,</w:t>
      </w:r>
      <w:r w:rsidRPr="005F7253">
        <w:rPr>
          <w:rFonts w:ascii="Aptos" w:eastAsia="Aptos" w:hAnsi="Aptos" w:cs="Arial"/>
          <w:kern w:val="2"/>
          <w:sz w:val="16"/>
          <w:szCs w:val="28"/>
          <w14:ligatures w14:val="standardContextual"/>
        </w:rPr>
        <w:t xml:space="preserve"> and above 10 Mbit/s), mobile network coverage indicators by technology </w:t>
      </w:r>
      <w:r w:rsidR="00447C97">
        <w:rPr>
          <w:rFonts w:ascii="Aptos" w:eastAsia="Aptos" w:hAnsi="Aptos" w:cs="Arial"/>
          <w:kern w:val="2"/>
          <w:sz w:val="16"/>
          <w:szCs w:val="28"/>
          <w14:ligatures w14:val="standardContextual"/>
        </w:rPr>
        <w:t>(</w:t>
      </w:r>
      <w:r w:rsidRPr="005F7253">
        <w:rPr>
          <w:rFonts w:ascii="Aptos" w:eastAsia="Aptos" w:hAnsi="Aptos" w:cs="Arial"/>
          <w:kern w:val="2"/>
          <w:sz w:val="16"/>
          <w:szCs w:val="28"/>
          <w14:ligatures w14:val="standardContextual"/>
        </w:rPr>
        <w:t xml:space="preserve">at least 2G, 3G, LTE/WiMAX, 5G), total fixed broadband Internet traffic, mobile broadband Internet traffic within the country, international bandwidth usage, total telecommunication revenues and investment in telecommunication services. </w:t>
      </w:r>
    </w:p>
    <w:p w14:paraId="738A03AA"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highlight w:val="cyan"/>
          <w14:ligatures w14:val="standardContextual"/>
        </w:rPr>
      </w:pPr>
      <w:r w:rsidRPr="005F7253">
        <w:rPr>
          <w:rFonts w:ascii="Aptos" w:eastAsia="Aptos" w:hAnsi="Aptos" w:cs="Arial"/>
          <w:kern w:val="2"/>
          <w:sz w:val="16"/>
          <w:szCs w:val="28"/>
          <w14:ligatures w14:val="standardContextual"/>
        </w:rPr>
        <w:t>Source: ITU</w:t>
      </w:r>
    </w:p>
    <w:p w14:paraId="10BB7637" w14:textId="003135AB"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In contrast, data on ICT access and usage by households and individuals, usually derived from household surveys, remains scarce. Only 11 Arab States have provided </w:t>
      </w:r>
      <w:r w:rsidR="00922CD9">
        <w:rPr>
          <w:rFonts w:ascii="Aptos" w:eastAsia="Aptos" w:hAnsi="Aptos" w:cs="Arial"/>
          <w:kern w:val="2"/>
          <w:sz w:val="22"/>
          <w:szCs w:val="22"/>
          <w14:ligatures w14:val="standardContextual"/>
        </w:rPr>
        <w:t xml:space="preserve">at least partial </w:t>
      </w:r>
      <w:r w:rsidRPr="005F7253">
        <w:rPr>
          <w:rFonts w:ascii="Aptos" w:eastAsia="Aptos" w:hAnsi="Aptos" w:cs="Arial"/>
          <w:kern w:val="2"/>
          <w:sz w:val="22"/>
          <w:szCs w:val="22"/>
          <w14:ligatures w14:val="standardContextual"/>
        </w:rPr>
        <w:t xml:space="preserve">data on ICT household indicators for the period 2022-2023. Six Arab States have never submitted any </w:t>
      </w:r>
      <w:r w:rsidR="00EC3D07">
        <w:rPr>
          <w:rFonts w:ascii="Aptos" w:eastAsia="Aptos" w:hAnsi="Aptos" w:cs="Arial"/>
          <w:kern w:val="2"/>
          <w:sz w:val="22"/>
          <w:szCs w:val="22"/>
          <w14:ligatures w14:val="standardContextual"/>
        </w:rPr>
        <w:t xml:space="preserve">such </w:t>
      </w:r>
      <w:r w:rsidRPr="005F7253">
        <w:rPr>
          <w:rFonts w:ascii="Aptos" w:eastAsia="Aptos" w:hAnsi="Aptos" w:cs="Arial"/>
          <w:kern w:val="2"/>
          <w:sz w:val="22"/>
          <w:szCs w:val="22"/>
          <w14:ligatures w14:val="standardContextual"/>
        </w:rPr>
        <w:t xml:space="preserve">data. </w:t>
      </w:r>
    </w:p>
    <w:p w14:paraId="02B2CD5D"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p>
    <w:p w14:paraId="207D10CD"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78FA3BCC"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lastRenderedPageBreak/>
        <w:t>Latest year of submission of ICT household survey data, by socio-economic attribute</w:t>
      </w:r>
    </w:p>
    <w:p w14:paraId="41BE8EEC" w14:textId="7DFC2777" w:rsidR="006E3E1B" w:rsidRDefault="00FE2203"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FE2203">
        <w:rPr>
          <w:noProof/>
        </w:rPr>
        <w:drawing>
          <wp:inline distT="0" distB="0" distL="0" distR="0" wp14:anchorId="4D82F917" wp14:editId="5D19236B">
            <wp:extent cx="5708814" cy="3620498"/>
            <wp:effectExtent l="0" t="0" r="6350" b="0"/>
            <wp:docPr id="2101206000" name="Picture 1" descr="A screen 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06000" name="Picture 1" descr="A screen shot of a table&#10;&#10;Description automatically generated"/>
                    <pic:cNvPicPr/>
                  </pic:nvPicPr>
                  <pic:blipFill>
                    <a:blip r:embed="rId130"/>
                    <a:stretch>
                      <a:fillRect/>
                    </a:stretch>
                  </pic:blipFill>
                  <pic:spPr>
                    <a:xfrm>
                      <a:off x="0" y="0"/>
                      <a:ext cx="5726960" cy="3632006"/>
                    </a:xfrm>
                    <a:prstGeom prst="rect">
                      <a:avLst/>
                    </a:prstGeom>
                  </pic:spPr>
                </pic:pic>
              </a:graphicData>
            </a:graphic>
          </wp:inline>
        </w:drawing>
      </w:r>
    </w:p>
    <w:p w14:paraId="6153BB93" w14:textId="63835E1E"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644FD988"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highlight w:val="cyan"/>
          <w14:ligatures w14:val="standardContextual"/>
        </w:rPr>
      </w:pPr>
      <w:r w:rsidRPr="005F7253">
        <w:rPr>
          <w:rFonts w:ascii="Aptos" w:eastAsia="Aptos" w:hAnsi="Aptos" w:cs="Arial"/>
          <w:kern w:val="2"/>
          <w:sz w:val="16"/>
          <w:szCs w:val="28"/>
          <w14:ligatures w14:val="standardContextual"/>
        </w:rPr>
        <w:t>Source: ITU</w:t>
      </w:r>
    </w:p>
    <w:p w14:paraId="66591C28" w14:textId="70953206"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issue is even more acute </w:t>
      </w:r>
      <w:r w:rsidR="00922CD9">
        <w:rPr>
          <w:rFonts w:ascii="Aptos" w:eastAsia="Aptos" w:hAnsi="Aptos" w:cs="Arial"/>
          <w:kern w:val="2"/>
          <w:sz w:val="22"/>
          <w:szCs w:val="22"/>
          <w14:ligatures w14:val="standardContextual"/>
        </w:rPr>
        <w:t xml:space="preserve">for </w:t>
      </w:r>
      <w:r w:rsidRPr="005F7253">
        <w:rPr>
          <w:rFonts w:ascii="Aptos" w:eastAsia="Aptos" w:hAnsi="Aptos" w:cs="Arial"/>
          <w:kern w:val="2"/>
          <w:sz w:val="22"/>
          <w:szCs w:val="22"/>
          <w14:ligatures w14:val="standardContextual"/>
        </w:rPr>
        <w:t>data disaggregated by socio-economic attributes</w:t>
      </w:r>
      <w:r w:rsidR="00922CD9">
        <w:rPr>
          <w:rFonts w:ascii="Aptos" w:eastAsia="Aptos" w:hAnsi="Aptos" w:cs="Arial"/>
          <w:kern w:val="2"/>
          <w:sz w:val="22"/>
          <w:szCs w:val="22"/>
          <w14:ligatures w14:val="standardContextual"/>
        </w:rPr>
        <w:t>, which</w:t>
      </w:r>
      <w:r w:rsidRPr="005F7253">
        <w:rPr>
          <w:rFonts w:ascii="Aptos" w:eastAsia="Aptos" w:hAnsi="Aptos" w:cs="Arial"/>
          <w:kern w:val="2"/>
          <w:sz w:val="22"/>
          <w:szCs w:val="22"/>
          <w14:ligatures w14:val="standardContextual"/>
        </w:rPr>
        <w:t xml:space="preserve"> is often not available. Egypt is the only country in the Arab States region that </w:t>
      </w:r>
      <w:r w:rsidR="00922CD9">
        <w:rPr>
          <w:rFonts w:ascii="Aptos" w:eastAsia="Aptos" w:hAnsi="Aptos" w:cs="Arial"/>
          <w:kern w:val="2"/>
          <w:sz w:val="22"/>
          <w:szCs w:val="22"/>
          <w14:ligatures w14:val="standardContextual"/>
        </w:rPr>
        <w:t xml:space="preserve">has </w:t>
      </w:r>
      <w:r w:rsidRPr="005F7253">
        <w:rPr>
          <w:rFonts w:ascii="Aptos" w:eastAsia="Aptos" w:hAnsi="Aptos" w:cs="Arial"/>
          <w:kern w:val="2"/>
          <w:sz w:val="22"/>
          <w:szCs w:val="22"/>
          <w14:ligatures w14:val="standardContextual"/>
        </w:rPr>
        <w:t xml:space="preserve">submitted recent data (2022 or more recent) for all six attributes of interest. Seven </w:t>
      </w:r>
      <w:r w:rsidR="00922CD9">
        <w:rPr>
          <w:rFonts w:ascii="Aptos" w:eastAsia="Aptos" w:hAnsi="Aptos" w:cs="Arial"/>
          <w:kern w:val="2"/>
          <w:sz w:val="22"/>
          <w:szCs w:val="22"/>
          <w14:ligatures w14:val="standardContextual"/>
        </w:rPr>
        <w:t xml:space="preserve">other </w:t>
      </w:r>
      <w:r w:rsidRPr="005F7253">
        <w:rPr>
          <w:rFonts w:ascii="Aptos" w:eastAsia="Aptos" w:hAnsi="Aptos" w:cs="Arial"/>
          <w:kern w:val="2"/>
          <w:sz w:val="22"/>
          <w:szCs w:val="22"/>
          <w14:ligatures w14:val="standardContextual"/>
        </w:rPr>
        <w:t xml:space="preserve">countries </w:t>
      </w:r>
      <w:r w:rsidR="00922CD9">
        <w:rPr>
          <w:rFonts w:ascii="Aptos" w:eastAsia="Aptos" w:hAnsi="Aptos" w:cs="Arial"/>
          <w:kern w:val="2"/>
          <w:sz w:val="22"/>
          <w:szCs w:val="22"/>
          <w14:ligatures w14:val="standardContextual"/>
        </w:rPr>
        <w:t xml:space="preserve">have </w:t>
      </w:r>
      <w:r w:rsidRPr="005F7253">
        <w:rPr>
          <w:rFonts w:ascii="Aptos" w:eastAsia="Aptos" w:hAnsi="Aptos" w:cs="Arial"/>
          <w:kern w:val="2"/>
          <w:sz w:val="22"/>
          <w:szCs w:val="22"/>
          <w14:ligatures w14:val="standardContextual"/>
        </w:rPr>
        <w:t xml:space="preserve">submitted recent data for at least one attribute. </w:t>
      </w:r>
    </w:p>
    <w:p w14:paraId="039A1E00" w14:textId="554994BA"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Even when data is available, it may suffer from poor sample design, inadequate collection methods, or low response rates. Such shortcomings are likely to yield misleading results </w:t>
      </w:r>
      <w:r w:rsidR="00922CD9">
        <w:rPr>
          <w:rFonts w:ascii="Aptos" w:eastAsia="Aptos" w:hAnsi="Aptos" w:cs="Arial"/>
          <w:kern w:val="2"/>
          <w:sz w:val="22"/>
          <w:szCs w:val="22"/>
          <w14:ligatures w14:val="standardContextual"/>
        </w:rPr>
        <w:t xml:space="preserve">and </w:t>
      </w:r>
      <w:r w:rsidRPr="005F7253">
        <w:rPr>
          <w:rFonts w:ascii="Aptos" w:eastAsia="Aptos" w:hAnsi="Aptos" w:cs="Arial"/>
          <w:kern w:val="2"/>
          <w:sz w:val="22"/>
          <w:szCs w:val="22"/>
          <w14:ligatures w14:val="standardContextual"/>
        </w:rPr>
        <w:t xml:space="preserve">may result in misguided policies. </w:t>
      </w:r>
      <w:r w:rsidR="008A15C2">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For example, overestimation of ICT skills could lead policymakers to shift focus away from supporting populations that need training in this area.</w:t>
      </w:r>
      <w:r w:rsidR="008A15C2">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Addressing these challenges requires a dual approach targeting both the producers and users of data. Through continuous efforts in capacity building, technical assistance, and advocacy, ITU aims to enhance the availability and quality of ICT data globally.</w:t>
      </w:r>
    </w:p>
    <w:p w14:paraId="4A7D95F4"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4EEE9512"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br w:type="page"/>
      </w:r>
    </w:p>
    <w:p w14:paraId="31D9AECE" w14:textId="4F08B909" w:rsidR="006C41B5" w:rsidRPr="005F7253" w:rsidRDefault="006C41B5" w:rsidP="006C41B5">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bookmarkStart w:id="24" w:name="_Toc184940644"/>
      <w:r w:rsidRPr="005F7253">
        <w:rPr>
          <w:rFonts w:ascii="Aptos Display" w:eastAsia="Yu Gothic Light" w:hAnsi="Aptos Display"/>
          <w:color w:val="0F4761"/>
          <w:kern w:val="2"/>
          <w:sz w:val="40"/>
          <w:szCs w:val="40"/>
          <w14:ligatures w14:val="standardContextual"/>
        </w:rPr>
        <w:lastRenderedPageBreak/>
        <w:t xml:space="preserve">Part 2. BDT4Impact: </w:t>
      </w:r>
      <w:r w:rsidR="00C04181" w:rsidRPr="005F7253">
        <w:rPr>
          <w:rFonts w:ascii="Aptos Display" w:eastAsia="Yu Gothic Light" w:hAnsi="Aptos Display"/>
          <w:color w:val="0F4761"/>
          <w:kern w:val="2"/>
          <w:sz w:val="40"/>
          <w:szCs w:val="40"/>
          <w14:ligatures w14:val="standardContextual"/>
        </w:rPr>
        <w:t>C</w:t>
      </w:r>
      <w:r w:rsidRPr="005F7253">
        <w:rPr>
          <w:rFonts w:ascii="Aptos Display" w:eastAsia="Yu Gothic Light" w:hAnsi="Aptos Display"/>
          <w:color w:val="0F4761"/>
          <w:kern w:val="2"/>
          <w:sz w:val="40"/>
          <w:szCs w:val="40"/>
          <w14:ligatures w14:val="standardContextual"/>
        </w:rPr>
        <w:t>ase studies from the Arab States</w:t>
      </w:r>
      <w:bookmarkEnd w:id="24"/>
    </w:p>
    <w:p w14:paraId="0713D175" w14:textId="69C3C567"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25" w:name="_Toc184940645"/>
      <w:r w:rsidRPr="005F7253">
        <w:rPr>
          <w:rFonts w:ascii="Aptos Display" w:eastAsia="Yu Gothic Light" w:hAnsi="Aptos Display"/>
          <w:color w:val="0F4761"/>
          <w:kern w:val="2"/>
          <w:sz w:val="32"/>
          <w:szCs w:val="32"/>
          <w14:ligatures w14:val="standardContextual"/>
        </w:rPr>
        <w:t>Record-breaking cyber response trainings</w:t>
      </w:r>
      <w:r w:rsidR="25ECFB91" w:rsidRPr="005F7253">
        <w:rPr>
          <w:rFonts w:ascii="Aptos Display" w:eastAsia="Yu Gothic Light" w:hAnsi="Aptos Display"/>
          <w:color w:val="0F4761"/>
          <w:kern w:val="2"/>
          <w:sz w:val="32"/>
          <w:szCs w:val="32"/>
          <w14:ligatures w14:val="standardContextual"/>
        </w:rPr>
        <w:t>, UAE</w:t>
      </w:r>
      <w:bookmarkEnd w:id="25"/>
    </w:p>
    <w:p w14:paraId="1E5726F5" w14:textId="58E6111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ITU and the United Arab Emirates Cyber Security Council (CSC) were recognized for record-breaking achievements during cyber response trainings.</w:t>
      </w:r>
    </w:p>
    <w:p w14:paraId="107E5A5A" w14:textId="072A1F8D"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hyperlink r:id="rId131" w:history="1">
        <w:proofErr w:type="spellStart"/>
        <w:r w:rsidRPr="006C41B5">
          <w:rPr>
            <w:rFonts w:ascii="Aptos" w:eastAsia="Aptos" w:hAnsi="Aptos" w:cs="Arial"/>
            <w:color w:val="467886"/>
            <w:kern w:val="2"/>
            <w:sz w:val="22"/>
            <w:szCs w:val="22"/>
            <w:u w:val="single"/>
            <w14:ligatures w14:val="standardContextual"/>
          </w:rPr>
          <w:t>CyberDrills</w:t>
        </w:r>
        <w:proofErr w:type="spellEnd"/>
      </w:hyperlink>
      <w:r w:rsidRPr="005F7253">
        <w:rPr>
          <w:rFonts w:ascii="Aptos" w:eastAsia="Aptos" w:hAnsi="Aptos" w:cs="Arial"/>
          <w:kern w:val="2"/>
          <w:sz w:val="22"/>
          <w:szCs w:val="22"/>
          <w14:ligatures w14:val="standardContextual"/>
        </w:rPr>
        <w:t xml:space="preserve"> simulate cyber-attacks and incidents to test organizations’ cyber capabilities and response, enhancing their cyber resilience. They showcase pioneering strategies and innovations in cybersecurity and highlight the need to improve coordinated responses to address cybersecurity challenges.</w:t>
      </w:r>
    </w:p>
    <w:p w14:paraId="5A5CDDE6" w14:textId="30AA8CC4"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Five </w:t>
      </w:r>
      <w:r w:rsidR="00D804D7" w:rsidRPr="005F7253">
        <w:rPr>
          <w:rFonts w:ascii="Aptos" w:eastAsia="Aptos" w:hAnsi="Aptos" w:cs="Arial"/>
          <w:kern w:val="2"/>
          <w:sz w:val="22"/>
          <w:szCs w:val="22"/>
          <w14:ligatures w14:val="standardContextual"/>
        </w:rPr>
        <w:t xml:space="preserve">Guinness </w:t>
      </w:r>
      <w:r w:rsidR="00D804D7">
        <w:rPr>
          <w:rFonts w:ascii="Aptos" w:eastAsia="Aptos" w:hAnsi="Aptos" w:cs="Arial"/>
          <w:kern w:val="2"/>
          <w:sz w:val="22"/>
          <w:szCs w:val="22"/>
          <w14:ligatures w14:val="standardContextual"/>
        </w:rPr>
        <w:t>World Records</w:t>
      </w:r>
      <w:r w:rsidRPr="005F7253">
        <w:rPr>
          <w:rFonts w:ascii="Aptos" w:eastAsia="Aptos" w:hAnsi="Aptos" w:cs="Arial"/>
          <w:kern w:val="2"/>
          <w:sz w:val="22"/>
          <w:szCs w:val="22"/>
          <w14:ligatures w14:val="standardContextual"/>
        </w:rPr>
        <w:t xml:space="preserve"> were awarded during the 11th Regional Cybersecurity Week, held in October 2023 in Abu Dhabi, United Arab Emirates.</w:t>
      </w:r>
    </w:p>
    <w:p w14:paraId="37B9AB07" w14:textId="59622BEB"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w:t>
      </w:r>
      <w:r w:rsidR="008A15C2">
        <w:rPr>
          <w:rFonts w:ascii="Aptos" w:eastAsia="Aptos" w:hAnsi="Aptos" w:cs="Arial"/>
          <w:kern w:val="2"/>
          <w:sz w:val="22"/>
          <w:szCs w:val="22"/>
          <w14:ligatures w14:val="standardContextual"/>
        </w:rPr>
        <w:t>r</w:t>
      </w:r>
      <w:r w:rsidRPr="005F7253">
        <w:rPr>
          <w:rFonts w:ascii="Aptos" w:eastAsia="Aptos" w:hAnsi="Aptos" w:cs="Arial"/>
          <w:kern w:val="2"/>
          <w:sz w:val="22"/>
          <w:szCs w:val="22"/>
          <w14:ligatures w14:val="standardContextual"/>
        </w:rPr>
        <w:t>ecords were awarded in the following areas:</w:t>
      </w:r>
    </w:p>
    <w:p w14:paraId="68E309A7" w14:textId="0B75F1D0" w:rsidR="006C41B5" w:rsidRPr="005F7253" w:rsidRDefault="006C41B5" w:rsidP="006C41B5">
      <w:pPr>
        <w:numPr>
          <w:ilvl w:val="0"/>
          <w:numId w:val="4"/>
        </w:num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Largest </w:t>
      </w:r>
      <w:proofErr w:type="spellStart"/>
      <w:r w:rsidRPr="006C41B5">
        <w:rPr>
          <w:rFonts w:ascii="Aptos" w:eastAsia="Aptos" w:hAnsi="Aptos" w:cs="Arial"/>
          <w:kern w:val="2"/>
          <w:sz w:val="22"/>
          <w:szCs w:val="22"/>
          <w14:ligatures w14:val="standardContextual"/>
        </w:rPr>
        <w:t>CyberDrill</w:t>
      </w:r>
      <w:proofErr w:type="spellEnd"/>
      <w:r w:rsidRPr="005F7253">
        <w:rPr>
          <w:rFonts w:ascii="Aptos" w:eastAsia="Aptos" w:hAnsi="Aptos" w:cs="Arial"/>
          <w:kern w:val="2"/>
          <w:sz w:val="22"/>
          <w:szCs w:val="22"/>
          <w14:ligatures w14:val="standardContextual"/>
        </w:rPr>
        <w:t xml:space="preserve"> </w:t>
      </w:r>
      <w:proofErr w:type="gramStart"/>
      <w:r w:rsidRPr="005F7253">
        <w:rPr>
          <w:rFonts w:ascii="Aptos" w:eastAsia="Aptos" w:hAnsi="Aptos" w:cs="Arial"/>
          <w:kern w:val="2"/>
          <w:sz w:val="22"/>
          <w:szCs w:val="22"/>
          <w14:ligatures w14:val="standardContextual"/>
        </w:rPr>
        <w:t>competition;</w:t>
      </w:r>
      <w:proofErr w:type="gramEnd"/>
    </w:p>
    <w:p w14:paraId="68F62AE6" w14:textId="77777777" w:rsidR="006C41B5" w:rsidRPr="005F7253" w:rsidRDefault="006C41B5" w:rsidP="006C41B5">
      <w:pPr>
        <w:numPr>
          <w:ilvl w:val="0"/>
          <w:numId w:val="4"/>
        </w:num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Most nationalities in a cybersecurity awareness </w:t>
      </w:r>
      <w:proofErr w:type="gramStart"/>
      <w:r w:rsidRPr="005F7253">
        <w:rPr>
          <w:rFonts w:ascii="Aptos" w:eastAsia="Aptos" w:hAnsi="Aptos" w:cs="Arial"/>
          <w:kern w:val="2"/>
          <w:sz w:val="22"/>
          <w:szCs w:val="22"/>
          <w14:ligatures w14:val="standardContextual"/>
        </w:rPr>
        <w:t>lesson;</w:t>
      </w:r>
      <w:proofErr w:type="gramEnd"/>
    </w:p>
    <w:p w14:paraId="46D8B496" w14:textId="77777777" w:rsidR="006C41B5" w:rsidRPr="005F7253" w:rsidRDefault="006C41B5" w:rsidP="006C41B5">
      <w:pPr>
        <w:numPr>
          <w:ilvl w:val="0"/>
          <w:numId w:val="4"/>
        </w:num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Largest cyber-city threat simulation </w:t>
      </w:r>
      <w:proofErr w:type="gramStart"/>
      <w:r w:rsidRPr="005F7253">
        <w:rPr>
          <w:rFonts w:ascii="Aptos" w:eastAsia="Aptos" w:hAnsi="Aptos" w:cs="Arial"/>
          <w:kern w:val="2"/>
          <w:sz w:val="22"/>
          <w:szCs w:val="22"/>
          <w14:ligatures w14:val="standardContextual"/>
        </w:rPr>
        <w:t>model;</w:t>
      </w:r>
      <w:proofErr w:type="gramEnd"/>
    </w:p>
    <w:p w14:paraId="0294C213" w14:textId="1A0BB7CF" w:rsidR="006C41B5" w:rsidRPr="005F7253" w:rsidRDefault="006C41B5" w:rsidP="006C41B5">
      <w:pPr>
        <w:numPr>
          <w:ilvl w:val="0"/>
          <w:numId w:val="4"/>
        </w:num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Most nationalities in a </w:t>
      </w:r>
      <w:proofErr w:type="spellStart"/>
      <w:r w:rsidRPr="006C41B5">
        <w:rPr>
          <w:rFonts w:ascii="Aptos" w:eastAsia="Aptos" w:hAnsi="Aptos" w:cs="Arial"/>
          <w:kern w:val="2"/>
          <w:sz w:val="22"/>
          <w:szCs w:val="22"/>
          <w14:ligatures w14:val="standardContextual"/>
        </w:rPr>
        <w:t>CyberDrill</w:t>
      </w:r>
      <w:proofErr w:type="spellEnd"/>
      <w:r w:rsidRPr="005F7253">
        <w:rPr>
          <w:rFonts w:ascii="Aptos" w:eastAsia="Aptos" w:hAnsi="Aptos" w:cs="Arial"/>
          <w:kern w:val="2"/>
          <w:sz w:val="22"/>
          <w:szCs w:val="22"/>
          <w14:ligatures w14:val="standardContextual"/>
        </w:rPr>
        <w:t xml:space="preserve"> </w:t>
      </w:r>
      <w:proofErr w:type="gramStart"/>
      <w:r w:rsidRPr="005F7253">
        <w:rPr>
          <w:rFonts w:ascii="Aptos" w:eastAsia="Aptos" w:hAnsi="Aptos" w:cs="Arial"/>
          <w:kern w:val="2"/>
          <w:sz w:val="22"/>
          <w:szCs w:val="22"/>
          <w14:ligatures w14:val="standardContextual"/>
        </w:rPr>
        <w:t>competition;</w:t>
      </w:r>
      <w:proofErr w:type="gramEnd"/>
    </w:p>
    <w:p w14:paraId="1FE615BE" w14:textId="77777777" w:rsidR="006C41B5" w:rsidRPr="005F7253" w:rsidRDefault="006C41B5" w:rsidP="006C41B5">
      <w:pPr>
        <w:numPr>
          <w:ilvl w:val="0"/>
          <w:numId w:val="4"/>
        </w:num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Largest cyber-city threat simulation model (devices).</w:t>
      </w:r>
    </w:p>
    <w:p w14:paraId="58DCCE66" w14:textId="41AFD266"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two organizations continued to break records at the Global </w:t>
      </w:r>
      <w:proofErr w:type="spellStart"/>
      <w:r w:rsidRPr="005F7253">
        <w:rPr>
          <w:rFonts w:ascii="Aptos" w:eastAsia="Aptos" w:hAnsi="Aptos" w:cs="Arial"/>
          <w:kern w:val="2"/>
          <w:sz w:val="22"/>
          <w:szCs w:val="22"/>
          <w14:ligatures w14:val="standardContextual"/>
        </w:rPr>
        <w:t>CyberDrill</w:t>
      </w:r>
      <w:proofErr w:type="spellEnd"/>
      <w:r w:rsidRPr="005F7253">
        <w:rPr>
          <w:rFonts w:ascii="Aptos" w:eastAsia="Aptos" w:hAnsi="Aptos" w:cs="Arial"/>
          <w:kern w:val="2"/>
          <w:sz w:val="22"/>
          <w:szCs w:val="22"/>
          <w14:ligatures w14:val="standardContextual"/>
        </w:rPr>
        <w:t xml:space="preserve"> 2024, held during Gulf Information Security Expo and Conference (GISEC) Global 2024 in April 2024 in Dubai, United Arab Emirates, achieving an additional three </w:t>
      </w:r>
      <w:r w:rsidR="00D804D7" w:rsidRPr="005F7253">
        <w:rPr>
          <w:rFonts w:ascii="Aptos" w:eastAsia="Aptos" w:hAnsi="Aptos" w:cs="Arial"/>
          <w:kern w:val="2"/>
          <w:sz w:val="22"/>
          <w:szCs w:val="22"/>
          <w14:ligatures w14:val="standardContextual"/>
        </w:rPr>
        <w:t xml:space="preserve">Guinness </w:t>
      </w:r>
      <w:r w:rsidR="00D804D7">
        <w:rPr>
          <w:rFonts w:ascii="Aptos" w:eastAsia="Aptos" w:hAnsi="Aptos" w:cs="Arial"/>
          <w:kern w:val="2"/>
          <w:sz w:val="22"/>
          <w:szCs w:val="22"/>
          <w14:ligatures w14:val="standardContextual"/>
        </w:rPr>
        <w:t>World Records</w:t>
      </w:r>
      <w:r w:rsidRPr="005F7253">
        <w:rPr>
          <w:rFonts w:ascii="Aptos" w:eastAsia="Aptos" w:hAnsi="Aptos" w:cs="Arial"/>
          <w:kern w:val="2"/>
          <w:sz w:val="22"/>
          <w:szCs w:val="22"/>
          <w14:ligatures w14:val="standardContextual"/>
        </w:rPr>
        <w:t xml:space="preserve"> for:</w:t>
      </w:r>
    </w:p>
    <w:p w14:paraId="29E70EA0" w14:textId="77777777" w:rsidR="006C41B5" w:rsidRPr="005F7253" w:rsidRDefault="006C41B5" w:rsidP="006C41B5">
      <w:pPr>
        <w:numPr>
          <w:ilvl w:val="0"/>
          <w:numId w:val="5"/>
        </w:num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most nationalities in a gamified cybersecurity </w:t>
      </w:r>
      <w:proofErr w:type="gramStart"/>
      <w:r w:rsidRPr="005F7253">
        <w:rPr>
          <w:rFonts w:ascii="Aptos" w:eastAsia="Aptos" w:hAnsi="Aptos" w:cs="Arial"/>
          <w:kern w:val="2"/>
          <w:sz w:val="22"/>
          <w:szCs w:val="22"/>
          <w14:ligatures w14:val="standardContextual"/>
        </w:rPr>
        <w:t>training;</w:t>
      </w:r>
      <w:proofErr w:type="gramEnd"/>
    </w:p>
    <w:p w14:paraId="2028D55C" w14:textId="77777777" w:rsidR="006C41B5" w:rsidRPr="005F7253" w:rsidRDefault="006C41B5" w:rsidP="006C41B5">
      <w:pPr>
        <w:numPr>
          <w:ilvl w:val="0"/>
          <w:numId w:val="5"/>
        </w:num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most nationalities in an Internet of Things (IoT) awareness </w:t>
      </w:r>
      <w:proofErr w:type="gramStart"/>
      <w:r w:rsidRPr="005F7253">
        <w:rPr>
          <w:rFonts w:ascii="Aptos" w:eastAsia="Aptos" w:hAnsi="Aptos" w:cs="Arial"/>
          <w:kern w:val="2"/>
          <w:sz w:val="22"/>
          <w:szCs w:val="22"/>
          <w14:ligatures w14:val="standardContextual"/>
        </w:rPr>
        <w:t>lesson;</w:t>
      </w:r>
      <w:proofErr w:type="gramEnd"/>
    </w:p>
    <w:p w14:paraId="598DFDF7" w14:textId="77777777" w:rsidR="006C41B5" w:rsidRPr="005F7253" w:rsidRDefault="006C41B5" w:rsidP="006C41B5">
      <w:pPr>
        <w:numPr>
          <w:ilvl w:val="0"/>
          <w:numId w:val="5"/>
        </w:num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The largest Internet of Things (IoT) awareness lesson.</w:t>
      </w:r>
    </w:p>
    <w:p w14:paraId="2B6806A3" w14:textId="77777777" w:rsidR="00644785" w:rsidRPr="005F7253" w:rsidRDefault="00644785" w:rsidP="00644785">
      <w:p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p>
    <w:p w14:paraId="3754DAE0" w14:textId="1CAF724D"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26" w:name="_Toc184940646"/>
      <w:r w:rsidRPr="005F7253">
        <w:rPr>
          <w:rFonts w:ascii="Aptos Display" w:eastAsia="Yu Gothic Light" w:hAnsi="Aptos Display"/>
          <w:color w:val="0F4761"/>
          <w:kern w:val="2"/>
          <w:sz w:val="32"/>
          <w:szCs w:val="32"/>
          <w14:ligatures w14:val="standardContextual"/>
        </w:rPr>
        <w:t>Transforming government services</w:t>
      </w:r>
      <w:r w:rsidR="06407747" w:rsidRPr="005F7253">
        <w:rPr>
          <w:rFonts w:ascii="Aptos Display" w:eastAsia="Yu Gothic Light" w:hAnsi="Aptos Display"/>
          <w:color w:val="0F4761"/>
          <w:kern w:val="2"/>
          <w:sz w:val="32"/>
          <w:szCs w:val="32"/>
          <w14:ligatures w14:val="standardContextual"/>
        </w:rPr>
        <w:t xml:space="preserve">, </w:t>
      </w:r>
      <w:r w:rsidRPr="005F7253">
        <w:rPr>
          <w:rFonts w:ascii="Aptos Display" w:eastAsia="Yu Gothic Light" w:hAnsi="Aptos Display"/>
          <w:color w:val="0F4761"/>
          <w:kern w:val="2"/>
          <w:sz w:val="32"/>
          <w:szCs w:val="32"/>
          <w14:ligatures w14:val="standardContextual"/>
        </w:rPr>
        <w:t>Djibouti</w:t>
      </w:r>
      <w:bookmarkEnd w:id="26"/>
    </w:p>
    <w:p w14:paraId="4D5D9DAA"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As part of ongoing efforts to build a digitally empowered future, key stakeholders in Djibouti met in 2024 to chart implementation roadmaps and showcase prototypes of digital solutions for e-Cabinet and e-Construction Permit services.</w:t>
      </w:r>
    </w:p>
    <w:p w14:paraId="1B7657E1"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The e-Cabinet initiative is expected to improve decision-making, transparency and efficiency in government operations. The digitization of construction permits, through e-Construction Permit services, will streamline the permit issuance process, making it more transparent and encouraging investment in infrastructure.</w:t>
      </w:r>
    </w:p>
    <w:p w14:paraId="26161367" w14:textId="2DC1ED41"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In Djibouti, </w:t>
      </w:r>
      <w:hyperlink r:id="rId132" w:history="1">
        <w:proofErr w:type="spellStart"/>
        <w:r w:rsidRPr="005F7253">
          <w:rPr>
            <w:rFonts w:ascii="Aptos" w:eastAsia="Aptos" w:hAnsi="Aptos" w:cs="Arial"/>
            <w:color w:val="467886"/>
            <w:kern w:val="2"/>
            <w:sz w:val="22"/>
            <w:szCs w:val="22"/>
            <w:u w:val="single"/>
            <w14:ligatures w14:val="standardContextual"/>
          </w:rPr>
          <w:t>GovStack</w:t>
        </w:r>
        <w:proofErr w:type="spellEnd"/>
      </w:hyperlink>
      <w:r w:rsidRPr="005F7253">
        <w:rPr>
          <w:rFonts w:ascii="Aptos" w:eastAsia="Aptos" w:hAnsi="Aptos" w:cs="Arial"/>
          <w:kern w:val="2"/>
          <w:sz w:val="22"/>
          <w:szCs w:val="22"/>
          <w14:ligatures w14:val="standardContextual"/>
        </w:rPr>
        <w:t xml:space="preserve"> – an initiative founded by ITU, the Ministry of Foreign Affairs of the Republic of Estonia, the </w:t>
      </w:r>
      <w:r w:rsidR="00BC75E6">
        <w:rPr>
          <w:rFonts w:ascii="Aptos" w:eastAsia="Aptos" w:hAnsi="Aptos" w:cs="Arial"/>
          <w:kern w:val="2"/>
          <w:sz w:val="22"/>
          <w:szCs w:val="22"/>
          <w14:ligatures w14:val="standardContextual"/>
        </w:rPr>
        <w:t xml:space="preserve">German agency for international cooperation GIZ </w:t>
      </w:r>
      <w:r w:rsidRPr="005F7253">
        <w:rPr>
          <w:rFonts w:ascii="Aptos" w:eastAsia="Aptos" w:hAnsi="Aptos" w:cs="Arial"/>
          <w:kern w:val="2"/>
          <w:sz w:val="22"/>
          <w:szCs w:val="22"/>
          <w14:ligatures w14:val="standardContextual"/>
        </w:rPr>
        <w:t xml:space="preserve">and the Digital Impact Alliance (DIAL) – focuses on three main themes: </w:t>
      </w:r>
      <w:r w:rsidR="00802C99">
        <w:rPr>
          <w:rFonts w:ascii="Aptos" w:eastAsia="Aptos" w:hAnsi="Aptos" w:cs="Arial"/>
          <w:kern w:val="2"/>
          <w:sz w:val="22"/>
          <w:szCs w:val="22"/>
          <w14:ligatures w14:val="standardContextual"/>
        </w:rPr>
        <w:t xml:space="preserve">developing </w:t>
      </w:r>
      <w:r w:rsidRPr="005F7253">
        <w:rPr>
          <w:rFonts w:ascii="Aptos" w:eastAsia="Aptos" w:hAnsi="Aptos" w:cs="Arial"/>
          <w:kern w:val="2"/>
          <w:sz w:val="22"/>
          <w:szCs w:val="22"/>
          <w14:ligatures w14:val="standardContextual"/>
        </w:rPr>
        <w:t>digital government strateg</w:t>
      </w:r>
      <w:r w:rsidR="00802C99">
        <w:rPr>
          <w:rFonts w:ascii="Aptos" w:eastAsia="Aptos" w:hAnsi="Aptos" w:cs="Arial"/>
          <w:kern w:val="2"/>
          <w:sz w:val="22"/>
          <w:szCs w:val="22"/>
          <w14:ligatures w14:val="standardContextual"/>
        </w:rPr>
        <w:t>ies</w:t>
      </w:r>
      <w:r w:rsidRPr="005F7253">
        <w:rPr>
          <w:rFonts w:ascii="Aptos" w:eastAsia="Aptos" w:hAnsi="Aptos" w:cs="Arial"/>
          <w:kern w:val="2"/>
          <w:sz w:val="22"/>
          <w:szCs w:val="22"/>
          <w14:ligatures w14:val="standardContextual"/>
        </w:rPr>
        <w:t xml:space="preserve"> and roadmap</w:t>
      </w:r>
      <w:r w:rsidR="00802C99">
        <w:rPr>
          <w:rFonts w:ascii="Aptos" w:eastAsia="Aptos" w:hAnsi="Aptos" w:cs="Arial"/>
          <w:kern w:val="2"/>
          <w:sz w:val="22"/>
          <w:szCs w:val="22"/>
          <w14:ligatures w14:val="standardContextual"/>
        </w:rPr>
        <w:t>s for their implementation</w:t>
      </w:r>
      <w:r w:rsidRPr="005F7253">
        <w:rPr>
          <w:rFonts w:ascii="Aptos" w:eastAsia="Aptos" w:hAnsi="Aptos" w:cs="Arial"/>
          <w:kern w:val="2"/>
          <w:sz w:val="22"/>
          <w:szCs w:val="22"/>
          <w14:ligatures w14:val="standardContextual"/>
        </w:rPr>
        <w:t xml:space="preserve">; </w:t>
      </w:r>
      <w:r w:rsidR="00802C99">
        <w:rPr>
          <w:rFonts w:ascii="Aptos" w:eastAsia="Aptos" w:hAnsi="Aptos" w:cs="Arial"/>
          <w:kern w:val="2"/>
          <w:sz w:val="22"/>
          <w:szCs w:val="22"/>
          <w14:ligatures w14:val="standardContextual"/>
        </w:rPr>
        <w:t xml:space="preserve">designing use cases for </w:t>
      </w:r>
      <w:r w:rsidRPr="005F7253">
        <w:rPr>
          <w:rFonts w:ascii="Aptos" w:eastAsia="Aptos" w:hAnsi="Aptos" w:cs="Arial"/>
          <w:kern w:val="2"/>
          <w:sz w:val="22"/>
          <w:szCs w:val="22"/>
          <w14:ligatures w14:val="standardContextual"/>
        </w:rPr>
        <w:t xml:space="preserve">e-government </w:t>
      </w:r>
      <w:r w:rsidR="00802C99" w:rsidRPr="005F7253">
        <w:rPr>
          <w:rFonts w:ascii="Aptos" w:eastAsia="Aptos" w:hAnsi="Aptos" w:cs="Arial"/>
          <w:kern w:val="2"/>
          <w:sz w:val="22"/>
          <w:szCs w:val="22"/>
          <w14:ligatures w14:val="standardContextual"/>
        </w:rPr>
        <w:t>service</w:t>
      </w:r>
      <w:r w:rsidR="00802C99">
        <w:rPr>
          <w:rFonts w:ascii="Aptos" w:eastAsia="Aptos" w:hAnsi="Aptos" w:cs="Arial"/>
          <w:kern w:val="2"/>
          <w:sz w:val="22"/>
          <w:szCs w:val="22"/>
          <w14:ligatures w14:val="standardContextual"/>
        </w:rPr>
        <w:t>s</w:t>
      </w:r>
      <w:r w:rsidRPr="005F7253">
        <w:rPr>
          <w:rFonts w:ascii="Aptos" w:eastAsia="Aptos" w:hAnsi="Aptos" w:cs="Arial"/>
          <w:kern w:val="2"/>
          <w:sz w:val="22"/>
          <w:szCs w:val="22"/>
          <w14:ligatures w14:val="standardContextual"/>
        </w:rPr>
        <w:t xml:space="preserve">; and </w:t>
      </w:r>
      <w:r w:rsidR="00802C99">
        <w:rPr>
          <w:rFonts w:ascii="Aptos" w:eastAsia="Aptos" w:hAnsi="Aptos" w:cs="Arial"/>
          <w:kern w:val="2"/>
          <w:sz w:val="22"/>
          <w:szCs w:val="22"/>
          <w14:ligatures w14:val="standardContextual"/>
        </w:rPr>
        <w:t xml:space="preserve">building </w:t>
      </w:r>
      <w:r w:rsidRPr="005F7253">
        <w:rPr>
          <w:rFonts w:ascii="Aptos" w:eastAsia="Aptos" w:hAnsi="Aptos" w:cs="Arial"/>
          <w:kern w:val="2"/>
          <w:sz w:val="22"/>
          <w:szCs w:val="22"/>
          <w14:ligatures w14:val="standardContextual"/>
        </w:rPr>
        <w:t xml:space="preserve">capacity. </w:t>
      </w:r>
    </w:p>
    <w:p w14:paraId="37F326E4" w14:textId="01AB6969" w:rsidR="006C41B5" w:rsidRPr="005F7253" w:rsidRDefault="00802C99"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T</w:t>
      </w:r>
      <w:r w:rsidR="006C41B5" w:rsidRPr="005F7253">
        <w:rPr>
          <w:rFonts w:ascii="Aptos" w:eastAsia="Aptos" w:hAnsi="Aptos" w:cs="Arial"/>
          <w:kern w:val="2"/>
          <w:sz w:val="22"/>
          <w:szCs w:val="22"/>
          <w14:ligatures w14:val="standardContextual"/>
        </w:rPr>
        <w:t xml:space="preserve">he government of Djibouti </w:t>
      </w:r>
      <w:r>
        <w:rPr>
          <w:rFonts w:ascii="Aptos" w:eastAsia="Aptos" w:hAnsi="Aptos" w:cs="Arial"/>
          <w:kern w:val="2"/>
          <w:sz w:val="22"/>
          <w:szCs w:val="22"/>
          <w14:ligatures w14:val="standardContextual"/>
        </w:rPr>
        <w:t xml:space="preserve">is using </w:t>
      </w:r>
      <w:r w:rsidRPr="005F7253">
        <w:rPr>
          <w:rFonts w:ascii="Aptos" w:eastAsia="Aptos" w:hAnsi="Aptos" w:cs="Arial"/>
          <w:kern w:val="2"/>
          <w:sz w:val="22"/>
          <w:szCs w:val="22"/>
          <w14:ligatures w14:val="standardContextual"/>
        </w:rPr>
        <w:t xml:space="preserve">the </w:t>
      </w:r>
      <w:proofErr w:type="spellStart"/>
      <w:r w:rsidRPr="005F7253">
        <w:rPr>
          <w:rFonts w:ascii="Aptos" w:eastAsia="Aptos" w:hAnsi="Aptos" w:cs="Arial"/>
          <w:kern w:val="2"/>
          <w:sz w:val="22"/>
          <w:szCs w:val="22"/>
          <w14:ligatures w14:val="standardContextual"/>
        </w:rPr>
        <w:t>GovStack</w:t>
      </w:r>
      <w:proofErr w:type="spellEnd"/>
      <w:r w:rsidRPr="005F7253">
        <w:rPr>
          <w:rFonts w:ascii="Aptos" w:eastAsia="Aptos" w:hAnsi="Aptos" w:cs="Arial"/>
          <w:kern w:val="2"/>
          <w:sz w:val="22"/>
          <w:szCs w:val="22"/>
          <w14:ligatures w14:val="standardContextual"/>
        </w:rPr>
        <w:t xml:space="preserve"> building blocks approach </w:t>
      </w:r>
      <w:r w:rsidR="006C41B5" w:rsidRPr="005F7253">
        <w:rPr>
          <w:rFonts w:ascii="Aptos" w:eastAsia="Aptos" w:hAnsi="Aptos" w:cs="Arial"/>
          <w:kern w:val="2"/>
          <w:sz w:val="22"/>
          <w:szCs w:val="22"/>
          <w14:ligatures w14:val="standardContextual"/>
        </w:rPr>
        <w:t>to advance its digital transformation efforts and revolutionize its governance and service delivery systems.</w:t>
      </w:r>
    </w:p>
    <w:p w14:paraId="0627D5D1"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27" w:name="_Toc184940647"/>
      <w:r w:rsidRPr="005F7253">
        <w:rPr>
          <w:rFonts w:ascii="Aptos Display" w:eastAsia="Yu Gothic Light" w:hAnsi="Aptos Display"/>
          <w:color w:val="0F4761"/>
          <w:kern w:val="2"/>
          <w:sz w:val="32"/>
          <w:szCs w:val="32"/>
          <w14:ligatures w14:val="standardContextual"/>
        </w:rPr>
        <w:lastRenderedPageBreak/>
        <w:t>Enhancing the growth and reach of start-ups in the Arab States</w:t>
      </w:r>
      <w:bookmarkEnd w:id="27"/>
    </w:p>
    <w:p w14:paraId="4142765D" w14:textId="309546AA"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Entrepreneurs in the Arab </w:t>
      </w:r>
      <w:r w:rsidR="00C361C1">
        <w:rPr>
          <w:rFonts w:ascii="Aptos" w:eastAsia="Aptos" w:hAnsi="Aptos" w:cs="Arial"/>
          <w:kern w:val="2"/>
          <w:sz w:val="22"/>
          <w:szCs w:val="22"/>
          <w14:ligatures w14:val="standardContextual"/>
        </w:rPr>
        <w:t>States r</w:t>
      </w:r>
      <w:r w:rsidRPr="005F7253">
        <w:rPr>
          <w:rFonts w:ascii="Aptos" w:eastAsia="Aptos" w:hAnsi="Aptos" w:cs="Arial"/>
          <w:kern w:val="2"/>
          <w:sz w:val="22"/>
          <w:szCs w:val="22"/>
          <w14:ligatures w14:val="standardContextual"/>
        </w:rPr>
        <w:t>egion are benefiting from new opportunities to establish connections and expand into other countries in the region.</w:t>
      </w:r>
    </w:p>
    <w:p w14:paraId="2DC3938B" w14:textId="6CB828ED" w:rsidR="006C41B5" w:rsidRPr="005F7253" w:rsidRDefault="00802C99"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 xml:space="preserve">An important tool for this </w:t>
      </w:r>
      <w:r w:rsidR="00FC58DE">
        <w:rPr>
          <w:rFonts w:ascii="Aptos" w:eastAsia="Aptos" w:hAnsi="Aptos" w:cs="Arial"/>
          <w:kern w:val="2"/>
          <w:sz w:val="22"/>
          <w:szCs w:val="22"/>
          <w14:ligatures w14:val="standardContextual"/>
        </w:rPr>
        <w:t>wa</w:t>
      </w:r>
      <w:r>
        <w:rPr>
          <w:rFonts w:ascii="Aptos" w:eastAsia="Aptos" w:hAnsi="Aptos" w:cs="Arial"/>
          <w:kern w:val="2"/>
          <w:sz w:val="22"/>
          <w:szCs w:val="22"/>
          <w14:ligatures w14:val="standardContextual"/>
        </w:rPr>
        <w:t xml:space="preserve">s </w:t>
      </w:r>
      <w:r w:rsidR="006C41B5" w:rsidRPr="005F7253">
        <w:rPr>
          <w:rFonts w:ascii="Aptos" w:eastAsia="Aptos" w:hAnsi="Aptos" w:cs="Arial"/>
          <w:kern w:val="2"/>
          <w:sz w:val="22"/>
          <w:szCs w:val="22"/>
          <w14:ligatures w14:val="standardContextual"/>
        </w:rPr>
        <w:t xml:space="preserve">a soft-landing programme </w:t>
      </w:r>
      <w:r w:rsidR="00FC58DE">
        <w:rPr>
          <w:rFonts w:ascii="Aptos" w:eastAsia="Aptos" w:hAnsi="Aptos" w:cs="Arial"/>
          <w:kern w:val="2"/>
          <w:sz w:val="22"/>
          <w:szCs w:val="22"/>
          <w14:ligatures w14:val="standardContextual"/>
        </w:rPr>
        <w:t>that came out of a project called “</w:t>
      </w:r>
      <w:r w:rsidR="00FC58DE" w:rsidRPr="00FC58DE">
        <w:rPr>
          <w:rFonts w:ascii="Aptos" w:eastAsia="Aptos" w:hAnsi="Aptos" w:cs="Arial"/>
          <w:kern w:val="2"/>
          <w:sz w:val="22"/>
          <w:szCs w:val="22"/>
          <w14:ligatures w14:val="standardContextual"/>
        </w:rPr>
        <w:t xml:space="preserve">Assistance to Arab </w:t>
      </w:r>
      <w:proofErr w:type="spellStart"/>
      <w:r w:rsidR="00FC58DE" w:rsidRPr="00FC58DE">
        <w:rPr>
          <w:rFonts w:ascii="Aptos" w:eastAsia="Aptos" w:hAnsi="Aptos" w:cs="Arial"/>
          <w:kern w:val="2"/>
          <w:sz w:val="22"/>
          <w:szCs w:val="22"/>
          <w14:ligatures w14:val="standardContextual"/>
        </w:rPr>
        <w:t>Technoparks</w:t>
      </w:r>
      <w:proofErr w:type="spellEnd"/>
      <w:r w:rsidR="00FC58DE" w:rsidRPr="00FC58DE">
        <w:rPr>
          <w:rFonts w:ascii="Aptos" w:eastAsia="Aptos" w:hAnsi="Aptos" w:cs="Arial"/>
          <w:kern w:val="2"/>
          <w:sz w:val="22"/>
          <w:szCs w:val="22"/>
          <w14:ligatures w14:val="standardContextual"/>
        </w:rPr>
        <w:t xml:space="preserve"> and Incubators Network</w:t>
      </w:r>
      <w:r w:rsidR="00FC58DE">
        <w:rPr>
          <w:rFonts w:ascii="Aptos" w:eastAsia="Aptos" w:hAnsi="Aptos" w:cs="Arial"/>
          <w:kern w:val="2"/>
          <w:sz w:val="22"/>
          <w:szCs w:val="22"/>
          <w14:ligatures w14:val="standardContextual"/>
        </w:rPr>
        <w:t xml:space="preserve">”, an initiative of the </w:t>
      </w:r>
      <w:hyperlink r:id="rId133" w:history="1">
        <w:r w:rsidR="006C41B5" w:rsidRPr="005F7253">
          <w:rPr>
            <w:rFonts w:ascii="Aptos" w:eastAsia="Aptos" w:hAnsi="Aptos" w:cs="Arial"/>
            <w:kern w:val="2"/>
            <w:sz w:val="22"/>
            <w:szCs w:val="22"/>
            <w14:ligatures w14:val="standardContextual"/>
          </w:rPr>
          <w:t>Arab Innovation and Entrepreneurship Network (AIEN)</w:t>
        </w:r>
      </w:hyperlink>
      <w:r w:rsidR="006C41B5" w:rsidRPr="005F7253">
        <w:rPr>
          <w:rFonts w:ascii="Aptos" w:eastAsia="Aptos" w:hAnsi="Aptos" w:cs="Arial"/>
          <w:kern w:val="2"/>
          <w:sz w:val="22"/>
          <w:szCs w:val="22"/>
          <w14:ligatures w14:val="standardContextual"/>
        </w:rPr>
        <w:t xml:space="preserve">. </w:t>
      </w:r>
    </w:p>
    <w:p w14:paraId="43001975" w14:textId="6EFC58C1"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programme supported the international growth and expansion of </w:t>
      </w:r>
      <w:r w:rsidR="00FC58DE">
        <w:rPr>
          <w:rFonts w:ascii="Aptos" w:eastAsia="Aptos" w:hAnsi="Aptos" w:cs="Arial"/>
          <w:kern w:val="2"/>
          <w:sz w:val="22"/>
          <w:szCs w:val="22"/>
          <w14:ligatures w14:val="standardContextual"/>
        </w:rPr>
        <w:t xml:space="preserve">both </w:t>
      </w:r>
      <w:r w:rsidRPr="005F7253">
        <w:rPr>
          <w:rFonts w:ascii="Aptos" w:eastAsia="Aptos" w:hAnsi="Aptos" w:cs="Arial"/>
          <w:kern w:val="2"/>
          <w:sz w:val="22"/>
          <w:szCs w:val="22"/>
          <w14:ligatures w14:val="standardContextual"/>
        </w:rPr>
        <w:t xml:space="preserve">early-stage start-ups and established small and medium enterprises (SMEs). It gave them a platform to explore business ecosystems and networks in various Arab countries, helping them compare business models across borders and create opportunities for partnerships. It supported start-ups with legal and business advice from partnering incubators, which played a crucial role in structuring and guiding the entrepreneurs through their expansion phase. </w:t>
      </w:r>
    </w:p>
    <w:p w14:paraId="75DD6ECC"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The soft-landing programme stands as a pioneering initiative in pan-Arab cooperation, setting the stage for delivering these essential services to start-ups across the region.</w:t>
      </w:r>
    </w:p>
    <w:p w14:paraId="4AF08B62" w14:textId="519276F3"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28" w:name="_Toc184940648"/>
      <w:r w:rsidRPr="005F7253">
        <w:rPr>
          <w:rFonts w:ascii="Aptos Display" w:eastAsia="Yu Gothic Light" w:hAnsi="Aptos Display"/>
          <w:color w:val="0F4761"/>
          <w:kern w:val="2"/>
          <w:sz w:val="32"/>
          <w:szCs w:val="32"/>
          <w14:ligatures w14:val="standardContextual"/>
        </w:rPr>
        <w:t>Building capacity and developing specialized trainer skills</w:t>
      </w:r>
      <w:r w:rsidR="51FBE33D" w:rsidRPr="005F7253">
        <w:rPr>
          <w:rFonts w:ascii="Aptos Display" w:eastAsia="Yu Gothic Light" w:hAnsi="Aptos Display"/>
          <w:color w:val="0F4761"/>
          <w:kern w:val="2"/>
          <w:sz w:val="32"/>
          <w:szCs w:val="32"/>
          <w14:ligatures w14:val="standardContextual"/>
        </w:rPr>
        <w:t xml:space="preserve">, </w:t>
      </w:r>
      <w:r w:rsidRPr="005F7253">
        <w:rPr>
          <w:rFonts w:ascii="Aptos Display" w:eastAsia="Yu Gothic Light" w:hAnsi="Aptos Display"/>
          <w:color w:val="0F4761"/>
          <w:kern w:val="2"/>
          <w:sz w:val="32"/>
          <w:szCs w:val="32"/>
          <w14:ligatures w14:val="standardContextual"/>
        </w:rPr>
        <w:t>Jordan</w:t>
      </w:r>
      <w:bookmarkEnd w:id="28"/>
    </w:p>
    <w:p w14:paraId="09201170" w14:textId="7251FA42" w:rsidR="006C41B5" w:rsidRPr="005F7253" w:rsidRDefault="00F63ACE"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color w:val="242424"/>
          <w:kern w:val="2"/>
          <w:sz w:val="22"/>
          <w:szCs w:val="22"/>
          <w14:ligatures w14:val="standardContextual"/>
        </w:rPr>
      </w:pPr>
      <w:r>
        <w:rPr>
          <w:rFonts w:ascii="Aptos" w:eastAsia="Aptos" w:hAnsi="Aptos" w:cs="Arial"/>
          <w:color w:val="242424"/>
          <w:kern w:val="2"/>
          <w:sz w:val="22"/>
          <w:szCs w:val="22"/>
          <w14:ligatures w14:val="standardContextual"/>
        </w:rPr>
        <w:t>T</w:t>
      </w:r>
      <w:r w:rsidR="006C41B5" w:rsidRPr="005F7253">
        <w:rPr>
          <w:rFonts w:ascii="Aptos" w:eastAsia="Aptos" w:hAnsi="Aptos" w:cs="Arial"/>
          <w:color w:val="242424"/>
          <w:kern w:val="2"/>
          <w:sz w:val="22"/>
          <w:szCs w:val="22"/>
          <w14:ligatures w14:val="standardContextual"/>
        </w:rPr>
        <w:t>he Telecommunications Regulatory Commission of Jordan</w:t>
      </w:r>
      <w:r>
        <w:rPr>
          <w:rFonts w:ascii="Aptos" w:eastAsia="Aptos" w:hAnsi="Aptos" w:cs="Arial"/>
          <w:color w:val="242424"/>
          <w:kern w:val="2"/>
          <w:sz w:val="22"/>
          <w:szCs w:val="22"/>
          <w14:ligatures w14:val="standardContextual"/>
        </w:rPr>
        <w:t xml:space="preserve"> conducted a </w:t>
      </w:r>
      <w:hyperlink r:id="rId134" w:history="1">
        <w:r w:rsidRPr="00F63ACE">
          <w:rPr>
            <w:rStyle w:val="Hyperlink"/>
            <w:rFonts w:ascii="Aptos" w:eastAsia="Aptos" w:hAnsi="Aptos" w:cs="Arial"/>
            <w:kern w:val="2"/>
            <w:sz w:val="22"/>
            <w:szCs w:val="22"/>
            <w14:ligatures w14:val="standardContextual"/>
          </w:rPr>
          <w:t>train-the-trainer event</w:t>
        </w:r>
      </w:hyperlink>
      <w:r>
        <w:rPr>
          <w:rFonts w:ascii="Aptos" w:eastAsia="Aptos" w:hAnsi="Aptos" w:cs="Arial"/>
          <w:color w:val="242424"/>
          <w:kern w:val="2"/>
          <w:sz w:val="22"/>
          <w:szCs w:val="22"/>
          <w14:ligatures w14:val="standardContextual"/>
        </w:rPr>
        <w:t xml:space="preserve"> </w:t>
      </w:r>
      <w:r w:rsidRPr="005F7253">
        <w:rPr>
          <w:rFonts w:ascii="Aptos" w:eastAsia="Aptos" w:hAnsi="Aptos" w:cs="Arial"/>
          <w:color w:val="242424"/>
          <w:kern w:val="2"/>
          <w:sz w:val="22"/>
          <w:szCs w:val="22"/>
          <w14:ligatures w14:val="standardContextual"/>
        </w:rPr>
        <w:t>in Amman</w:t>
      </w:r>
      <w:r>
        <w:rPr>
          <w:rFonts w:ascii="Aptos" w:eastAsia="Aptos" w:hAnsi="Aptos" w:cs="Arial"/>
          <w:color w:val="242424"/>
          <w:kern w:val="2"/>
          <w:sz w:val="22"/>
          <w:szCs w:val="22"/>
          <w14:ligatures w14:val="standardContextual"/>
        </w:rPr>
        <w:t xml:space="preserve"> for telecom engineers, managers and other personnel engaged in spectrum management and quality of service </w:t>
      </w:r>
      <w:r w:rsidR="00C361C1">
        <w:rPr>
          <w:rFonts w:ascii="Aptos" w:eastAsia="Aptos" w:hAnsi="Aptos" w:cs="Arial"/>
          <w:color w:val="242424"/>
          <w:kern w:val="2"/>
          <w:sz w:val="22"/>
          <w:szCs w:val="22"/>
          <w14:ligatures w14:val="standardContextual"/>
        </w:rPr>
        <w:t xml:space="preserve">(QoS) </w:t>
      </w:r>
      <w:r>
        <w:rPr>
          <w:rFonts w:ascii="Aptos" w:eastAsia="Aptos" w:hAnsi="Aptos" w:cs="Arial"/>
          <w:color w:val="242424"/>
          <w:kern w:val="2"/>
          <w:sz w:val="22"/>
          <w:szCs w:val="22"/>
          <w14:ligatures w14:val="standardContextual"/>
        </w:rPr>
        <w:t>work</w:t>
      </w:r>
      <w:r w:rsidR="006C41B5" w:rsidRPr="005F7253">
        <w:rPr>
          <w:rFonts w:ascii="Aptos" w:eastAsia="Aptos" w:hAnsi="Aptos" w:cs="Arial"/>
          <w:color w:val="242424"/>
          <w:kern w:val="2"/>
          <w:sz w:val="22"/>
          <w:szCs w:val="22"/>
          <w14:ligatures w14:val="standardContextual"/>
        </w:rPr>
        <w:t xml:space="preserve">. It equipped participants with the knowledge and skills needed to effectively bridge </w:t>
      </w:r>
      <w:r>
        <w:rPr>
          <w:rFonts w:ascii="Aptos" w:eastAsia="Aptos" w:hAnsi="Aptos" w:cs="Arial"/>
          <w:color w:val="242424"/>
          <w:kern w:val="2"/>
          <w:sz w:val="22"/>
          <w:szCs w:val="22"/>
          <w14:ligatures w14:val="standardContextual"/>
        </w:rPr>
        <w:t xml:space="preserve">knowledge gaps in </w:t>
      </w:r>
      <w:r w:rsidR="006C41B5" w:rsidRPr="005F7253">
        <w:rPr>
          <w:rFonts w:ascii="Aptos" w:eastAsia="Aptos" w:hAnsi="Aptos" w:cs="Arial"/>
          <w:color w:val="242424"/>
          <w:kern w:val="2"/>
          <w:sz w:val="22"/>
          <w:szCs w:val="22"/>
          <w14:ligatures w14:val="standardContextual"/>
        </w:rPr>
        <w:t>QoS and spectrum management and advance and deliver effective training in their national contexts.</w:t>
      </w:r>
    </w:p>
    <w:p w14:paraId="2E499934" w14:textId="7BDA2579" w:rsidR="006C41B5" w:rsidRPr="005F7253" w:rsidRDefault="00F63ACE"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color w:val="242424"/>
          <w:kern w:val="2"/>
          <w:sz w:val="22"/>
          <w:szCs w:val="22"/>
          <w14:ligatures w14:val="standardContextual"/>
        </w:rPr>
      </w:pPr>
      <w:r>
        <w:rPr>
          <w:rFonts w:ascii="Aptos" w:eastAsia="Aptos" w:hAnsi="Aptos" w:cs="Arial"/>
          <w:color w:val="242424"/>
          <w:kern w:val="2"/>
          <w:sz w:val="22"/>
          <w:szCs w:val="22"/>
          <w14:ligatures w14:val="standardContextual"/>
        </w:rPr>
        <w:t xml:space="preserve">Quality of service </w:t>
      </w:r>
      <w:r w:rsidR="006C41B5" w:rsidRPr="005F7253">
        <w:rPr>
          <w:rFonts w:ascii="Aptos" w:eastAsia="Aptos" w:hAnsi="Aptos" w:cs="Arial"/>
          <w:color w:val="242424"/>
          <w:kern w:val="2"/>
          <w:sz w:val="22"/>
          <w:szCs w:val="22"/>
          <w14:ligatures w14:val="standardContextual"/>
        </w:rPr>
        <w:t>is increasingly becoming an important regulatory issue, closely linked to consumer rights and consumer protection</w:t>
      </w:r>
      <w:r>
        <w:rPr>
          <w:rFonts w:ascii="Aptos" w:eastAsia="Aptos" w:hAnsi="Aptos" w:cs="Arial"/>
          <w:color w:val="242424"/>
          <w:kern w:val="2"/>
          <w:sz w:val="22"/>
          <w:szCs w:val="22"/>
          <w14:ligatures w14:val="standardContextual"/>
        </w:rPr>
        <w:t xml:space="preserve">. </w:t>
      </w:r>
      <w:r w:rsidR="00851F20">
        <w:rPr>
          <w:rFonts w:ascii="Aptos" w:eastAsia="Aptos" w:hAnsi="Aptos" w:cs="Arial"/>
          <w:color w:val="242424"/>
          <w:kern w:val="2"/>
          <w:sz w:val="22"/>
          <w:szCs w:val="22"/>
          <w14:ligatures w14:val="standardContextual"/>
        </w:rPr>
        <w:t xml:space="preserve">As for </w:t>
      </w:r>
      <w:r w:rsidR="006C41B5" w:rsidRPr="005F7253">
        <w:rPr>
          <w:rFonts w:ascii="Aptos" w:eastAsia="Aptos" w:hAnsi="Aptos" w:cs="Arial"/>
          <w:color w:val="242424"/>
          <w:kern w:val="2"/>
          <w:sz w:val="22"/>
          <w:szCs w:val="22"/>
          <w14:ligatures w14:val="standardContextual"/>
        </w:rPr>
        <w:t>spectrum management</w:t>
      </w:r>
      <w:r w:rsidR="00851F20">
        <w:rPr>
          <w:rFonts w:ascii="Aptos" w:eastAsia="Aptos" w:hAnsi="Aptos" w:cs="Arial"/>
          <w:color w:val="242424"/>
          <w:kern w:val="2"/>
          <w:sz w:val="22"/>
          <w:szCs w:val="22"/>
          <w14:ligatures w14:val="standardContextual"/>
        </w:rPr>
        <w:t xml:space="preserve">, for it to be </w:t>
      </w:r>
      <w:r w:rsidR="00851F20" w:rsidRPr="005F7253">
        <w:rPr>
          <w:rFonts w:ascii="Aptos" w:eastAsia="Aptos" w:hAnsi="Aptos" w:cs="Arial"/>
          <w:color w:val="242424"/>
          <w:kern w:val="2"/>
          <w:sz w:val="22"/>
          <w:szCs w:val="22"/>
          <w14:ligatures w14:val="standardContextual"/>
        </w:rPr>
        <w:t>effective and efficient</w:t>
      </w:r>
      <w:r w:rsidR="006C41B5" w:rsidRPr="005F7253">
        <w:rPr>
          <w:rFonts w:ascii="Aptos" w:eastAsia="Aptos" w:hAnsi="Aptos" w:cs="Arial"/>
          <w:color w:val="242424"/>
          <w:kern w:val="2"/>
          <w:sz w:val="22"/>
          <w:szCs w:val="22"/>
          <w14:ligatures w14:val="standardContextual"/>
        </w:rPr>
        <w:t xml:space="preserve"> several variables </w:t>
      </w:r>
      <w:r w:rsidR="00851F20">
        <w:rPr>
          <w:rFonts w:ascii="Aptos" w:eastAsia="Aptos" w:hAnsi="Aptos" w:cs="Arial"/>
          <w:color w:val="242424"/>
          <w:kern w:val="2"/>
          <w:sz w:val="22"/>
          <w:szCs w:val="22"/>
          <w14:ligatures w14:val="standardContextual"/>
        </w:rPr>
        <w:t xml:space="preserve">of a </w:t>
      </w:r>
      <w:r w:rsidR="006C41B5" w:rsidRPr="005F7253">
        <w:rPr>
          <w:rFonts w:ascii="Aptos" w:eastAsia="Aptos" w:hAnsi="Aptos" w:cs="Arial"/>
          <w:color w:val="242424"/>
          <w:kern w:val="2"/>
          <w:sz w:val="22"/>
          <w:szCs w:val="22"/>
          <w14:ligatures w14:val="standardContextual"/>
        </w:rPr>
        <w:t xml:space="preserve">political, economic and technical </w:t>
      </w:r>
      <w:r w:rsidR="00851F20">
        <w:rPr>
          <w:rFonts w:ascii="Aptos" w:eastAsia="Aptos" w:hAnsi="Aptos" w:cs="Arial"/>
          <w:color w:val="242424"/>
          <w:kern w:val="2"/>
          <w:sz w:val="22"/>
          <w:szCs w:val="22"/>
          <w14:ligatures w14:val="standardContextual"/>
        </w:rPr>
        <w:t>nature</w:t>
      </w:r>
      <w:r w:rsidR="00851F20" w:rsidRPr="00851F20">
        <w:rPr>
          <w:rFonts w:ascii="Aptos" w:eastAsia="Aptos" w:hAnsi="Aptos" w:cs="Arial"/>
          <w:color w:val="242424"/>
          <w:kern w:val="2"/>
          <w:sz w:val="22"/>
          <w:szCs w:val="22"/>
          <w14:ligatures w14:val="standardContextual"/>
        </w:rPr>
        <w:t xml:space="preserve"> </w:t>
      </w:r>
      <w:r w:rsidR="00851F20">
        <w:rPr>
          <w:rFonts w:ascii="Aptos" w:eastAsia="Aptos" w:hAnsi="Aptos" w:cs="Arial"/>
          <w:color w:val="242424"/>
          <w:kern w:val="2"/>
          <w:sz w:val="22"/>
          <w:szCs w:val="22"/>
          <w14:ligatures w14:val="standardContextual"/>
        </w:rPr>
        <w:t>need to be taken into consideration.</w:t>
      </w:r>
      <w:r w:rsidR="006C41B5" w:rsidRPr="005F7253">
        <w:rPr>
          <w:rFonts w:ascii="Aptos" w:eastAsia="Aptos" w:hAnsi="Aptos" w:cs="Arial"/>
          <w:color w:val="242424"/>
          <w:kern w:val="2"/>
          <w:sz w:val="22"/>
          <w:szCs w:val="22"/>
          <w14:ligatures w14:val="standardContextual"/>
        </w:rPr>
        <w:t xml:space="preserve"> </w:t>
      </w:r>
      <w:r w:rsidR="00851F20">
        <w:rPr>
          <w:rFonts w:ascii="Aptos" w:eastAsia="Aptos" w:hAnsi="Aptos" w:cs="Arial"/>
          <w:color w:val="242424"/>
          <w:kern w:val="2"/>
          <w:sz w:val="22"/>
          <w:szCs w:val="22"/>
          <w14:ligatures w14:val="standardContextual"/>
        </w:rPr>
        <w:t>S</w:t>
      </w:r>
      <w:r w:rsidR="006C41B5" w:rsidRPr="005F7253">
        <w:rPr>
          <w:rFonts w:ascii="Aptos" w:eastAsia="Aptos" w:hAnsi="Aptos" w:cs="Arial"/>
          <w:color w:val="242424"/>
          <w:kern w:val="2"/>
          <w:sz w:val="22"/>
          <w:szCs w:val="22"/>
          <w14:ligatures w14:val="standardContextual"/>
        </w:rPr>
        <w:t xml:space="preserve">pecialized training professionals </w:t>
      </w:r>
      <w:r w:rsidR="00851F20">
        <w:rPr>
          <w:rFonts w:ascii="Aptos" w:eastAsia="Aptos" w:hAnsi="Aptos" w:cs="Arial"/>
          <w:color w:val="242424"/>
          <w:kern w:val="2"/>
          <w:sz w:val="22"/>
          <w:szCs w:val="22"/>
          <w14:ligatures w14:val="standardContextual"/>
        </w:rPr>
        <w:t xml:space="preserve">need </w:t>
      </w:r>
      <w:r w:rsidR="006C41B5" w:rsidRPr="005F7253">
        <w:rPr>
          <w:rFonts w:ascii="Aptos" w:eastAsia="Aptos" w:hAnsi="Aptos" w:cs="Arial"/>
          <w:color w:val="242424"/>
          <w:kern w:val="2"/>
          <w:sz w:val="22"/>
          <w:szCs w:val="22"/>
          <w14:ligatures w14:val="standardContextual"/>
        </w:rPr>
        <w:t xml:space="preserve">access to high-quality training materials </w:t>
      </w:r>
      <w:r w:rsidR="00851F20">
        <w:rPr>
          <w:rFonts w:ascii="Aptos" w:eastAsia="Aptos" w:hAnsi="Aptos" w:cs="Arial"/>
          <w:color w:val="242424"/>
          <w:kern w:val="2"/>
          <w:sz w:val="22"/>
          <w:szCs w:val="22"/>
          <w14:ligatures w14:val="standardContextual"/>
        </w:rPr>
        <w:t xml:space="preserve">to </w:t>
      </w:r>
      <w:r w:rsidR="006C41B5" w:rsidRPr="005F7253">
        <w:rPr>
          <w:rFonts w:ascii="Aptos" w:eastAsia="Aptos" w:hAnsi="Aptos" w:cs="Arial"/>
          <w:color w:val="242424"/>
          <w:kern w:val="2"/>
          <w:sz w:val="22"/>
          <w:szCs w:val="22"/>
          <w14:ligatures w14:val="standardContextual"/>
        </w:rPr>
        <w:t xml:space="preserve">help </w:t>
      </w:r>
      <w:r w:rsidR="00851F20">
        <w:rPr>
          <w:rFonts w:ascii="Aptos" w:eastAsia="Aptos" w:hAnsi="Aptos" w:cs="Arial"/>
          <w:color w:val="242424"/>
          <w:kern w:val="2"/>
          <w:sz w:val="22"/>
          <w:szCs w:val="22"/>
          <w14:ligatures w14:val="standardContextual"/>
        </w:rPr>
        <w:t xml:space="preserve">them </w:t>
      </w:r>
      <w:r w:rsidR="006C41B5" w:rsidRPr="005F7253">
        <w:rPr>
          <w:rFonts w:ascii="Aptos" w:eastAsia="Aptos" w:hAnsi="Aptos" w:cs="Arial"/>
          <w:color w:val="242424"/>
          <w:kern w:val="2"/>
          <w:sz w:val="22"/>
          <w:szCs w:val="22"/>
          <w14:ligatures w14:val="standardContextual"/>
        </w:rPr>
        <w:t>build necessary human and institutional capacity in these two key areas.</w:t>
      </w:r>
    </w:p>
    <w:p w14:paraId="58873D7A" w14:textId="2CD867EE"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color w:val="242424"/>
          <w:kern w:val="2"/>
          <w:sz w:val="22"/>
          <w:szCs w:val="22"/>
          <w14:ligatures w14:val="standardContextual"/>
        </w:rPr>
      </w:pPr>
      <w:r w:rsidRPr="005F7253">
        <w:rPr>
          <w:rFonts w:ascii="Aptos" w:eastAsia="Aptos" w:hAnsi="Aptos" w:cs="Arial"/>
          <w:color w:val="242424"/>
          <w:kern w:val="2"/>
          <w:sz w:val="22"/>
          <w:szCs w:val="22"/>
          <w14:ligatures w14:val="standardContextual"/>
        </w:rPr>
        <w:t xml:space="preserve">The training </w:t>
      </w:r>
      <w:r w:rsidR="00851F20">
        <w:rPr>
          <w:rFonts w:ascii="Aptos" w:eastAsia="Aptos" w:hAnsi="Aptos" w:cs="Arial"/>
          <w:color w:val="242424"/>
          <w:kern w:val="2"/>
          <w:sz w:val="22"/>
          <w:szCs w:val="22"/>
          <w14:ligatures w14:val="standardContextual"/>
        </w:rPr>
        <w:t xml:space="preserve">event dealt with </w:t>
      </w:r>
      <w:r w:rsidRPr="005F7253">
        <w:rPr>
          <w:rFonts w:ascii="Aptos" w:eastAsia="Aptos" w:hAnsi="Aptos" w:cs="Arial"/>
          <w:color w:val="242424"/>
          <w:kern w:val="2"/>
          <w:sz w:val="22"/>
          <w:szCs w:val="22"/>
          <w14:ligatures w14:val="standardContextual"/>
        </w:rPr>
        <w:t xml:space="preserve">key topics </w:t>
      </w:r>
      <w:r w:rsidR="00851F20">
        <w:rPr>
          <w:rFonts w:ascii="Aptos" w:eastAsia="Aptos" w:hAnsi="Aptos" w:cs="Arial"/>
          <w:color w:val="242424"/>
          <w:kern w:val="2"/>
          <w:sz w:val="22"/>
          <w:szCs w:val="22"/>
          <w14:ligatures w14:val="standardContextual"/>
        </w:rPr>
        <w:t xml:space="preserve">on </w:t>
      </w:r>
      <w:r w:rsidRPr="005F7253">
        <w:rPr>
          <w:rFonts w:ascii="Aptos" w:eastAsia="Aptos" w:hAnsi="Aptos" w:cs="Arial"/>
          <w:color w:val="242424"/>
          <w:kern w:val="2"/>
          <w:sz w:val="22"/>
          <w:szCs w:val="22"/>
          <w14:ligatures w14:val="standardContextual"/>
        </w:rPr>
        <w:t>measuring and monitoring advanced networks</w:t>
      </w:r>
      <w:r w:rsidR="00851F20">
        <w:rPr>
          <w:rFonts w:ascii="Aptos" w:eastAsia="Aptos" w:hAnsi="Aptos" w:cs="Arial"/>
          <w:color w:val="242424"/>
          <w:kern w:val="2"/>
          <w:sz w:val="22"/>
          <w:szCs w:val="22"/>
          <w14:ligatures w14:val="standardContextual"/>
        </w:rPr>
        <w:t xml:space="preserve"> and</w:t>
      </w:r>
      <w:r w:rsidRPr="005F7253">
        <w:rPr>
          <w:rFonts w:ascii="Aptos" w:eastAsia="Aptos" w:hAnsi="Aptos" w:cs="Arial"/>
          <w:color w:val="242424"/>
          <w:kern w:val="2"/>
          <w:sz w:val="22"/>
          <w:szCs w:val="22"/>
          <w14:ligatures w14:val="standardContextual"/>
        </w:rPr>
        <w:t xml:space="preserve"> understanding QoS measurements and policies. It also </w:t>
      </w:r>
      <w:r w:rsidR="00851F20">
        <w:rPr>
          <w:rFonts w:ascii="Aptos" w:eastAsia="Aptos" w:hAnsi="Aptos" w:cs="Arial"/>
          <w:color w:val="242424"/>
          <w:kern w:val="2"/>
          <w:sz w:val="22"/>
          <w:szCs w:val="22"/>
          <w14:ligatures w14:val="standardContextual"/>
        </w:rPr>
        <w:t xml:space="preserve">covered </w:t>
      </w:r>
      <w:r w:rsidRPr="005F7253">
        <w:rPr>
          <w:rFonts w:ascii="Aptos" w:eastAsia="Aptos" w:hAnsi="Aptos" w:cs="Arial"/>
          <w:color w:val="242424"/>
          <w:kern w:val="2"/>
          <w:sz w:val="22"/>
          <w:szCs w:val="22"/>
          <w14:ligatures w14:val="standardContextual"/>
        </w:rPr>
        <w:t xml:space="preserve">spectrum management and spectrum monitoring, including legal and regulatory aspects, and </w:t>
      </w:r>
      <w:r w:rsidR="00851F20">
        <w:rPr>
          <w:rFonts w:ascii="Aptos" w:eastAsia="Aptos" w:hAnsi="Aptos" w:cs="Arial"/>
          <w:color w:val="242424"/>
          <w:kern w:val="2"/>
          <w:sz w:val="22"/>
          <w:szCs w:val="22"/>
          <w14:ligatures w14:val="standardContextual"/>
        </w:rPr>
        <w:t xml:space="preserve">the relevance of </w:t>
      </w:r>
      <w:r w:rsidRPr="005F7253">
        <w:rPr>
          <w:rFonts w:ascii="Aptos" w:eastAsia="Aptos" w:hAnsi="Aptos" w:cs="Arial"/>
          <w:color w:val="242424"/>
          <w:kern w:val="2"/>
          <w:sz w:val="22"/>
          <w:szCs w:val="22"/>
          <w14:ligatures w14:val="standardContextual"/>
        </w:rPr>
        <w:t>economic and market tools for spectrum management.</w:t>
      </w:r>
    </w:p>
    <w:p w14:paraId="574E4623" w14:textId="11AA1FDF"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29" w:name="_Toc184940649"/>
      <w:r w:rsidRPr="005F7253">
        <w:rPr>
          <w:rFonts w:ascii="Aptos Display" w:eastAsia="Yu Gothic Light" w:hAnsi="Aptos Display"/>
          <w:color w:val="0F4761"/>
          <w:kern w:val="2"/>
          <w:sz w:val="32"/>
          <w:szCs w:val="32"/>
          <w14:ligatures w14:val="standardContextual"/>
        </w:rPr>
        <w:t xml:space="preserve">Preparing </w:t>
      </w:r>
      <w:r w:rsidR="00851F20">
        <w:rPr>
          <w:rFonts w:ascii="Aptos Display" w:eastAsia="Yu Gothic Light" w:hAnsi="Aptos Display"/>
          <w:color w:val="0F4761"/>
          <w:kern w:val="2"/>
          <w:sz w:val="32"/>
          <w:szCs w:val="32"/>
          <w14:ligatures w14:val="standardContextual"/>
        </w:rPr>
        <w:t>n</w:t>
      </w:r>
      <w:r w:rsidRPr="005F7253">
        <w:rPr>
          <w:rFonts w:ascii="Aptos Display" w:eastAsia="Yu Gothic Light" w:hAnsi="Aptos Display"/>
          <w:color w:val="0F4761"/>
          <w:kern w:val="2"/>
          <w:sz w:val="32"/>
          <w:szCs w:val="32"/>
          <w14:ligatures w14:val="standardContextual"/>
        </w:rPr>
        <w:t xml:space="preserve">ational </w:t>
      </w:r>
      <w:r w:rsidR="00851F20">
        <w:rPr>
          <w:rFonts w:ascii="Aptos Display" w:eastAsia="Yu Gothic Light" w:hAnsi="Aptos Display"/>
          <w:color w:val="0F4761"/>
          <w:kern w:val="2"/>
          <w:sz w:val="32"/>
          <w:szCs w:val="32"/>
          <w14:ligatures w14:val="standardContextual"/>
        </w:rPr>
        <w:t>e</w:t>
      </w:r>
      <w:r w:rsidRPr="005F7253">
        <w:rPr>
          <w:rFonts w:ascii="Aptos Display" w:eastAsia="Yu Gothic Light" w:hAnsi="Aptos Display"/>
          <w:color w:val="0F4761"/>
          <w:kern w:val="2"/>
          <w:sz w:val="32"/>
          <w:szCs w:val="32"/>
          <w14:ligatures w14:val="standardContextual"/>
        </w:rPr>
        <w:t xml:space="preserve">mergency </w:t>
      </w:r>
      <w:r w:rsidR="00851F20">
        <w:rPr>
          <w:rFonts w:ascii="Aptos Display" w:eastAsia="Yu Gothic Light" w:hAnsi="Aptos Display"/>
          <w:color w:val="0F4761"/>
          <w:kern w:val="2"/>
          <w:sz w:val="32"/>
          <w:szCs w:val="32"/>
          <w14:ligatures w14:val="standardContextual"/>
        </w:rPr>
        <w:t>t</w:t>
      </w:r>
      <w:r w:rsidRPr="005F7253">
        <w:rPr>
          <w:rFonts w:ascii="Aptos Display" w:eastAsia="Yu Gothic Light" w:hAnsi="Aptos Display"/>
          <w:color w:val="0F4761"/>
          <w:kern w:val="2"/>
          <w:sz w:val="32"/>
          <w:szCs w:val="32"/>
          <w14:ligatures w14:val="standardContextual"/>
        </w:rPr>
        <w:t xml:space="preserve">elecommunication </w:t>
      </w:r>
      <w:r w:rsidR="00851F20">
        <w:rPr>
          <w:rFonts w:ascii="Aptos Display" w:eastAsia="Yu Gothic Light" w:hAnsi="Aptos Display"/>
          <w:color w:val="0F4761"/>
          <w:kern w:val="2"/>
          <w:sz w:val="32"/>
          <w:szCs w:val="32"/>
          <w14:ligatures w14:val="standardContextual"/>
        </w:rPr>
        <w:t>p</w:t>
      </w:r>
      <w:r w:rsidRPr="005F7253">
        <w:rPr>
          <w:rFonts w:ascii="Aptos Display" w:eastAsia="Yu Gothic Light" w:hAnsi="Aptos Display"/>
          <w:color w:val="0F4761"/>
          <w:kern w:val="2"/>
          <w:sz w:val="32"/>
          <w:szCs w:val="32"/>
          <w14:ligatures w14:val="standardContextual"/>
        </w:rPr>
        <w:t>lans in the Arab States</w:t>
      </w:r>
      <w:bookmarkEnd w:id="29"/>
      <w:r w:rsidRPr="005F7253">
        <w:rPr>
          <w:rFonts w:ascii="Aptos Display" w:eastAsia="Yu Gothic Light" w:hAnsi="Aptos Display"/>
          <w:color w:val="0F4761"/>
          <w:kern w:val="2"/>
          <w:sz w:val="32"/>
          <w:szCs w:val="32"/>
          <w14:ligatures w14:val="standardContextual"/>
        </w:rPr>
        <w:t xml:space="preserve"> </w:t>
      </w:r>
    </w:p>
    <w:p w14:paraId="70E59E3B"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Cs/>
          <w:kern w:val="2"/>
          <w:sz w:val="22"/>
          <w:szCs w:val="22"/>
          <w14:ligatures w14:val="standardContextual"/>
        </w:rPr>
      </w:pPr>
      <w:r w:rsidRPr="005F7253">
        <w:rPr>
          <w:rFonts w:ascii="Aptos" w:eastAsia="Aptos" w:hAnsi="Aptos" w:cs="Arial"/>
          <w:bCs/>
          <w:kern w:val="2"/>
          <w:sz w:val="22"/>
          <w:szCs w:val="22"/>
          <w14:ligatures w14:val="standardContextual"/>
        </w:rPr>
        <w:t>Ensuring the flow of timely information before, during and after a disaster is critical for effective decision-making, as well as for rapid response during emergencies.</w:t>
      </w:r>
    </w:p>
    <w:p w14:paraId="33F41E64" w14:textId="65A620BD"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Cs/>
          <w:kern w:val="2"/>
          <w:sz w:val="22"/>
          <w:szCs w:val="22"/>
          <w14:ligatures w14:val="standardContextual"/>
        </w:rPr>
      </w:pPr>
      <w:r w:rsidRPr="005F7253">
        <w:rPr>
          <w:rFonts w:ascii="Aptos" w:eastAsia="Aptos" w:hAnsi="Aptos" w:cs="Arial"/>
          <w:bCs/>
          <w:kern w:val="2"/>
          <w:sz w:val="22"/>
          <w:szCs w:val="22"/>
          <w14:ligatures w14:val="standardContextual"/>
        </w:rPr>
        <w:t xml:space="preserve">The ITU Regional Office for the Arab States provided assistance to Djibouti, Comoros, Iraq and Somalia to develop and implement </w:t>
      </w:r>
      <w:hyperlink r:id="rId135" w:history="1">
        <w:r w:rsidR="00851F20">
          <w:rPr>
            <w:rFonts w:ascii="Aptos" w:eastAsia="Aptos" w:hAnsi="Aptos" w:cs="Arial"/>
            <w:color w:val="467886"/>
            <w:kern w:val="2"/>
            <w:sz w:val="22"/>
            <w:szCs w:val="22"/>
            <w:u w:val="single"/>
            <w14:ligatures w14:val="standardContextual"/>
          </w:rPr>
          <w:t>n</w:t>
        </w:r>
        <w:r w:rsidRPr="005F7253">
          <w:rPr>
            <w:rFonts w:ascii="Aptos" w:eastAsia="Aptos" w:hAnsi="Aptos" w:cs="Arial"/>
            <w:color w:val="467886"/>
            <w:kern w:val="2"/>
            <w:sz w:val="22"/>
            <w:szCs w:val="22"/>
            <w:u w:val="single"/>
            <w14:ligatures w14:val="standardContextual"/>
          </w:rPr>
          <w:t xml:space="preserve">ational </w:t>
        </w:r>
        <w:r w:rsidR="00851F20">
          <w:rPr>
            <w:rFonts w:ascii="Aptos" w:eastAsia="Aptos" w:hAnsi="Aptos" w:cs="Arial"/>
            <w:color w:val="467886"/>
            <w:kern w:val="2"/>
            <w:sz w:val="22"/>
            <w:szCs w:val="22"/>
            <w:u w:val="single"/>
            <w14:ligatures w14:val="standardContextual"/>
          </w:rPr>
          <w:t>e</w:t>
        </w:r>
        <w:r w:rsidRPr="005F7253">
          <w:rPr>
            <w:rFonts w:ascii="Aptos" w:eastAsia="Aptos" w:hAnsi="Aptos" w:cs="Arial"/>
            <w:color w:val="467886"/>
            <w:kern w:val="2"/>
            <w:sz w:val="22"/>
            <w:szCs w:val="22"/>
            <w:u w:val="single"/>
            <w14:ligatures w14:val="standardContextual"/>
          </w:rPr>
          <w:t xml:space="preserve">mergency </w:t>
        </w:r>
        <w:r w:rsidR="00851F20">
          <w:rPr>
            <w:rFonts w:ascii="Aptos" w:eastAsia="Aptos" w:hAnsi="Aptos" w:cs="Arial"/>
            <w:color w:val="467886"/>
            <w:kern w:val="2"/>
            <w:sz w:val="22"/>
            <w:szCs w:val="22"/>
            <w:u w:val="single"/>
            <w14:ligatures w14:val="standardContextual"/>
          </w:rPr>
          <w:t>t</w:t>
        </w:r>
        <w:r w:rsidRPr="005F7253">
          <w:rPr>
            <w:rFonts w:ascii="Aptos" w:eastAsia="Aptos" w:hAnsi="Aptos" w:cs="Arial"/>
            <w:color w:val="467886"/>
            <w:kern w:val="2"/>
            <w:sz w:val="22"/>
            <w:szCs w:val="22"/>
            <w:u w:val="single"/>
            <w14:ligatures w14:val="standardContextual"/>
          </w:rPr>
          <w:t xml:space="preserve">elecommunications </w:t>
        </w:r>
        <w:r w:rsidR="00851F20">
          <w:rPr>
            <w:rFonts w:ascii="Aptos" w:eastAsia="Aptos" w:hAnsi="Aptos" w:cs="Arial"/>
            <w:color w:val="467886"/>
            <w:kern w:val="2"/>
            <w:sz w:val="22"/>
            <w:szCs w:val="22"/>
            <w:u w:val="single"/>
            <w14:ligatures w14:val="standardContextual"/>
          </w:rPr>
          <w:t>p</w:t>
        </w:r>
        <w:r w:rsidRPr="005F7253">
          <w:rPr>
            <w:rFonts w:ascii="Aptos" w:eastAsia="Aptos" w:hAnsi="Aptos" w:cs="Arial"/>
            <w:color w:val="467886"/>
            <w:kern w:val="2"/>
            <w:sz w:val="22"/>
            <w:szCs w:val="22"/>
            <w:u w:val="single"/>
            <w14:ligatures w14:val="standardContextual"/>
          </w:rPr>
          <w:t>lans</w:t>
        </w:r>
      </w:hyperlink>
      <w:r w:rsidRPr="005F7253">
        <w:rPr>
          <w:rFonts w:ascii="Aptos" w:eastAsia="Aptos" w:hAnsi="Aptos" w:cs="Arial"/>
          <w:bCs/>
          <w:kern w:val="2"/>
          <w:sz w:val="22"/>
          <w:szCs w:val="22"/>
          <w14:ligatures w14:val="standardContextual"/>
        </w:rPr>
        <w:t xml:space="preserve"> </w:t>
      </w:r>
      <w:r w:rsidR="00851F20">
        <w:rPr>
          <w:rFonts w:ascii="Aptos" w:eastAsia="Aptos" w:hAnsi="Aptos" w:cs="Arial"/>
          <w:bCs/>
          <w:kern w:val="2"/>
          <w:sz w:val="22"/>
          <w:szCs w:val="22"/>
          <w14:ligatures w14:val="standardContextual"/>
        </w:rPr>
        <w:t>(</w:t>
      </w:r>
      <w:r w:rsidRPr="005F7253">
        <w:rPr>
          <w:rFonts w:ascii="Aptos" w:eastAsia="Aptos" w:hAnsi="Aptos" w:cs="Arial"/>
          <w:bCs/>
          <w:kern w:val="2"/>
          <w:sz w:val="22"/>
          <w:szCs w:val="22"/>
          <w14:ligatures w14:val="standardContextual"/>
        </w:rPr>
        <w:t>NE</w:t>
      </w:r>
      <w:r w:rsidR="00851F20">
        <w:rPr>
          <w:rFonts w:ascii="Aptos" w:eastAsia="Aptos" w:hAnsi="Aptos" w:cs="Arial"/>
          <w:bCs/>
          <w:kern w:val="2"/>
          <w:sz w:val="22"/>
          <w:szCs w:val="22"/>
          <w14:ligatures w14:val="standardContextual"/>
        </w:rPr>
        <w:t>T</w:t>
      </w:r>
      <w:r w:rsidRPr="005F7253">
        <w:rPr>
          <w:rFonts w:ascii="Aptos" w:eastAsia="Aptos" w:hAnsi="Aptos" w:cs="Arial"/>
          <w:bCs/>
          <w:kern w:val="2"/>
          <w:sz w:val="22"/>
          <w:szCs w:val="22"/>
          <w14:ligatures w14:val="standardContextual"/>
        </w:rPr>
        <w:t>Ps</w:t>
      </w:r>
      <w:r w:rsidR="00851F20">
        <w:rPr>
          <w:rFonts w:ascii="Aptos" w:eastAsia="Aptos" w:hAnsi="Aptos" w:cs="Arial"/>
          <w:bCs/>
          <w:kern w:val="2"/>
          <w:sz w:val="22"/>
          <w:szCs w:val="22"/>
          <w14:ligatures w14:val="standardContextual"/>
        </w:rPr>
        <w:t>)</w:t>
      </w:r>
      <w:r w:rsidRPr="005F7253">
        <w:rPr>
          <w:rFonts w:ascii="Aptos" w:eastAsia="Aptos" w:hAnsi="Aptos" w:cs="Arial"/>
          <w:bCs/>
          <w:kern w:val="2"/>
          <w:sz w:val="22"/>
          <w:szCs w:val="22"/>
          <w14:ligatures w14:val="standardContextual"/>
        </w:rPr>
        <w:t xml:space="preserve">. The plans were finalized and presented to the countries during national </w:t>
      </w:r>
      <w:r w:rsidR="00851F20" w:rsidRPr="005F7253">
        <w:rPr>
          <w:rFonts w:ascii="Aptos" w:eastAsia="Aptos" w:hAnsi="Aptos" w:cs="Arial"/>
          <w:bCs/>
          <w:kern w:val="2"/>
          <w:sz w:val="22"/>
          <w:szCs w:val="22"/>
          <w14:ligatures w14:val="standardContextual"/>
        </w:rPr>
        <w:t xml:space="preserve">NETP </w:t>
      </w:r>
      <w:r w:rsidRPr="005F7253">
        <w:rPr>
          <w:rFonts w:ascii="Aptos" w:eastAsia="Aptos" w:hAnsi="Aptos" w:cs="Arial"/>
          <w:bCs/>
          <w:kern w:val="2"/>
          <w:sz w:val="22"/>
          <w:szCs w:val="22"/>
          <w14:ligatures w14:val="standardContextual"/>
        </w:rPr>
        <w:t>workshops.</w:t>
      </w:r>
    </w:p>
    <w:p w14:paraId="373EBDF7" w14:textId="3142DC3C"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Cs/>
          <w:kern w:val="2"/>
          <w:sz w:val="22"/>
          <w:szCs w:val="22"/>
          <w14:ligatures w14:val="standardContextual"/>
        </w:rPr>
      </w:pPr>
      <w:r w:rsidRPr="005F7253">
        <w:rPr>
          <w:rFonts w:ascii="Aptos" w:eastAsia="Aptos" w:hAnsi="Aptos" w:cs="Arial"/>
          <w:bCs/>
          <w:kern w:val="2"/>
          <w:sz w:val="22"/>
          <w:szCs w:val="22"/>
          <w14:ligatures w14:val="standardContextual"/>
        </w:rPr>
        <w:t>Throughout the NETP development process, a series of action items to create, enhance and update national emergency plans were shared,</w:t>
      </w:r>
      <w:r w:rsidRPr="005F7253">
        <w:rPr>
          <w:rFonts w:ascii="Aptos" w:eastAsia="Aptos" w:hAnsi="Aptos" w:cs="Arial"/>
          <w:b/>
          <w:kern w:val="2"/>
          <w:sz w:val="22"/>
          <w:szCs w:val="22"/>
          <w14:ligatures w14:val="standardContextual"/>
        </w:rPr>
        <w:t xml:space="preserve"> </w:t>
      </w:r>
      <w:r w:rsidRPr="005F7253">
        <w:rPr>
          <w:rFonts w:ascii="Aptos" w:eastAsia="Aptos" w:hAnsi="Aptos" w:cs="Arial"/>
          <w:bCs/>
          <w:kern w:val="2"/>
          <w:sz w:val="22"/>
          <w:szCs w:val="22"/>
          <w14:ligatures w14:val="standardContextual"/>
        </w:rPr>
        <w:t>as well as recommendations to improve international cooperation and actions to create resilient telecommunication services. The need to develop early warning systems was also emphasi</w:t>
      </w:r>
      <w:r w:rsidR="003B0FB9">
        <w:rPr>
          <w:rFonts w:ascii="Aptos" w:eastAsia="Aptos" w:hAnsi="Aptos" w:cs="Arial"/>
          <w:bCs/>
          <w:kern w:val="2"/>
          <w:sz w:val="22"/>
          <w:szCs w:val="22"/>
          <w14:ligatures w14:val="standardContextual"/>
        </w:rPr>
        <w:t>z</w:t>
      </w:r>
      <w:r w:rsidRPr="005F7253">
        <w:rPr>
          <w:rFonts w:ascii="Aptos" w:eastAsia="Aptos" w:hAnsi="Aptos" w:cs="Arial"/>
          <w:bCs/>
          <w:kern w:val="2"/>
          <w:sz w:val="22"/>
          <w:szCs w:val="22"/>
          <w14:ligatures w14:val="standardContextual"/>
        </w:rPr>
        <w:t>ed.</w:t>
      </w:r>
    </w:p>
    <w:p w14:paraId="7D0A8C30" w14:textId="665714E0"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Cs/>
          <w:kern w:val="2"/>
          <w:sz w:val="22"/>
          <w:szCs w:val="22"/>
          <w14:ligatures w14:val="standardContextual"/>
        </w:rPr>
      </w:pPr>
      <w:r w:rsidRPr="005F7253">
        <w:rPr>
          <w:rFonts w:ascii="Aptos" w:eastAsia="Aptos" w:hAnsi="Aptos" w:cs="Arial"/>
          <w:bCs/>
          <w:kern w:val="2"/>
          <w:sz w:val="22"/>
          <w:szCs w:val="22"/>
          <w14:ligatures w14:val="standardContextual"/>
        </w:rPr>
        <w:lastRenderedPageBreak/>
        <w:t xml:space="preserve">In Comoros, the workshop focused on emergency response, knowledge sharing, and collaboration to strengthen emergency telecommunication capabilities. </w:t>
      </w:r>
    </w:p>
    <w:p w14:paraId="18B0F704" w14:textId="72848CFC" w:rsidR="006C41B5" w:rsidRPr="005F7253" w:rsidRDefault="006C41B5" w:rsidP="6E1D994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NE</w:t>
      </w:r>
      <w:r w:rsidR="1A06EC4C" w:rsidRPr="005F7253">
        <w:rPr>
          <w:rFonts w:ascii="Aptos" w:eastAsia="Aptos" w:hAnsi="Aptos" w:cs="Arial"/>
          <w:kern w:val="2"/>
          <w:sz w:val="22"/>
          <w:szCs w:val="22"/>
          <w14:ligatures w14:val="standardContextual"/>
        </w:rPr>
        <w:t>T</w:t>
      </w:r>
      <w:r w:rsidRPr="005F7253">
        <w:rPr>
          <w:rFonts w:ascii="Aptos" w:eastAsia="Aptos" w:hAnsi="Aptos" w:cs="Arial"/>
          <w:kern w:val="2"/>
          <w:sz w:val="22"/>
          <w:szCs w:val="22"/>
          <w14:ligatures w14:val="standardContextual"/>
        </w:rPr>
        <w:t>Ps set out a strategy to enable and ensure communications availability during the disaster mitigation, preparedness, response and recovery phases, by promoting coordination across all levels of government, between public and private organizations, and within communities at risk.</w:t>
      </w:r>
    </w:p>
    <w:p w14:paraId="58010561" w14:textId="35C8B8A8"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Cs/>
          <w:kern w:val="2"/>
          <w:sz w:val="22"/>
          <w:szCs w:val="22"/>
          <w14:ligatures w14:val="standardContextual"/>
        </w:rPr>
      </w:pPr>
      <w:r w:rsidRPr="005F7253">
        <w:rPr>
          <w:rFonts w:ascii="Aptos" w:eastAsia="Aptos" w:hAnsi="Aptos" w:cs="Arial"/>
          <w:bCs/>
          <w:kern w:val="2"/>
          <w:sz w:val="22"/>
          <w:szCs w:val="22"/>
          <w14:ligatures w14:val="standardContextual"/>
        </w:rPr>
        <w:t xml:space="preserve">The development of NETPs </w:t>
      </w:r>
      <w:r w:rsidR="003B0FB9">
        <w:rPr>
          <w:rFonts w:ascii="Aptos" w:eastAsia="Aptos" w:hAnsi="Aptos" w:cs="Arial"/>
          <w:bCs/>
          <w:kern w:val="2"/>
          <w:sz w:val="22"/>
          <w:szCs w:val="22"/>
          <w14:ligatures w14:val="standardContextual"/>
        </w:rPr>
        <w:t xml:space="preserve">allows </w:t>
      </w:r>
      <w:r w:rsidRPr="005F7253">
        <w:rPr>
          <w:rFonts w:ascii="Aptos" w:eastAsia="Aptos" w:hAnsi="Aptos" w:cs="Arial"/>
          <w:bCs/>
          <w:kern w:val="2"/>
          <w:sz w:val="22"/>
          <w:szCs w:val="22"/>
          <w14:ligatures w14:val="standardContextual"/>
        </w:rPr>
        <w:t>countries to prepare an effective and efficient framework for deploying emergency communications under each phase of disaster risk management</w:t>
      </w:r>
      <w:r w:rsidRPr="005F7253">
        <w:rPr>
          <w:rFonts w:ascii="Aptos" w:eastAsia="Aptos" w:hAnsi="Aptos" w:cs="Arial"/>
          <w:b/>
          <w:kern w:val="2"/>
          <w:sz w:val="22"/>
          <w:szCs w:val="22"/>
          <w14:ligatures w14:val="standardContextual"/>
        </w:rPr>
        <w:t xml:space="preserve"> </w:t>
      </w:r>
      <w:r w:rsidRPr="005F7253">
        <w:rPr>
          <w:rFonts w:ascii="Aptos" w:eastAsia="Aptos" w:hAnsi="Aptos" w:cs="Arial"/>
          <w:bCs/>
          <w:kern w:val="2"/>
          <w:sz w:val="22"/>
          <w:szCs w:val="22"/>
          <w14:ligatures w14:val="standardContextual"/>
        </w:rPr>
        <w:t>– and put it in place.</w:t>
      </w:r>
    </w:p>
    <w:p w14:paraId="3A384B88" w14:textId="7060D25B"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bookmarkStart w:id="30" w:name="_Toc184940650"/>
      <w:r w:rsidRPr="005F7253">
        <w:rPr>
          <w:rFonts w:ascii="Aptos Display" w:eastAsia="Yu Gothic Light" w:hAnsi="Aptos Display"/>
          <w:color w:val="0F4761"/>
          <w:kern w:val="2"/>
          <w:sz w:val="32"/>
          <w:szCs w:val="32"/>
          <w14:ligatures w14:val="standardContextual"/>
        </w:rPr>
        <w:t>Partner2Connect implementation for impact</w:t>
      </w:r>
      <w:r w:rsidR="787F33DD" w:rsidRPr="005F7253">
        <w:rPr>
          <w:rFonts w:ascii="Aptos Display" w:eastAsia="Yu Gothic Light" w:hAnsi="Aptos Display"/>
          <w:color w:val="0F4761"/>
          <w:kern w:val="2"/>
          <w:sz w:val="32"/>
          <w:szCs w:val="32"/>
          <w14:ligatures w14:val="standardContextual"/>
        </w:rPr>
        <w:t>,</w:t>
      </w:r>
      <w:r w:rsidR="004D0861" w:rsidRPr="005F7253">
        <w:rPr>
          <w:rFonts w:ascii="Aptos Display" w:eastAsia="Yu Gothic Light" w:hAnsi="Aptos Display"/>
          <w:color w:val="0F4761"/>
          <w:kern w:val="2"/>
          <w:sz w:val="32"/>
          <w:szCs w:val="32"/>
          <w14:ligatures w14:val="standardContextual"/>
        </w:rPr>
        <w:t xml:space="preserve"> </w:t>
      </w:r>
      <w:r w:rsidRPr="005F7253">
        <w:rPr>
          <w:rFonts w:ascii="Aptos Display" w:eastAsia="Yu Gothic Light" w:hAnsi="Aptos Display"/>
          <w:color w:val="0F4761"/>
          <w:kern w:val="2"/>
          <w:sz w:val="32"/>
          <w:szCs w:val="32"/>
          <w14:ligatures w14:val="standardContextual"/>
        </w:rPr>
        <w:t>Egypt</w:t>
      </w:r>
      <w:bookmarkEnd w:id="30"/>
      <w:r w:rsidRPr="005F7253">
        <w:rPr>
          <w:rFonts w:ascii="Aptos Display" w:eastAsia="Yu Gothic Light" w:hAnsi="Aptos Display"/>
          <w:color w:val="0F4761"/>
          <w:kern w:val="2"/>
          <w:sz w:val="32"/>
          <w:szCs w:val="32"/>
          <w14:ligatures w14:val="standardContextual"/>
        </w:rPr>
        <w:t xml:space="preserve"> </w:t>
      </w:r>
      <w:r w:rsidRPr="005F7253">
        <w:rPr>
          <w:rFonts w:ascii="Aptos" w:eastAsia="Aptos" w:hAnsi="Aptos" w:cs="Arial"/>
          <w:kern w:val="2"/>
          <w:sz w:val="22"/>
          <w:szCs w:val="22"/>
          <w14:ligatures w14:val="standardContextual"/>
        </w:rPr>
        <w:br/>
        <w:t xml:space="preserve">Egypt’s Decent Life initiative is delivering long-lasting </w:t>
      </w:r>
      <w:r w:rsidR="003B0FB9">
        <w:rPr>
          <w:rFonts w:ascii="Aptos" w:eastAsia="Aptos" w:hAnsi="Aptos" w:cs="Arial"/>
          <w:kern w:val="2"/>
          <w:sz w:val="22"/>
          <w:szCs w:val="22"/>
          <w14:ligatures w14:val="standardContextual"/>
        </w:rPr>
        <w:t xml:space="preserve">benefits to </w:t>
      </w:r>
      <w:r w:rsidRPr="005F7253">
        <w:rPr>
          <w:rFonts w:ascii="Aptos" w:eastAsia="Aptos" w:hAnsi="Aptos" w:cs="Arial"/>
          <w:kern w:val="2"/>
          <w:sz w:val="22"/>
          <w:szCs w:val="22"/>
          <w14:ligatures w14:val="standardContextual"/>
        </w:rPr>
        <w:t xml:space="preserve">rural communities and transforming lives through digital transformation. </w:t>
      </w:r>
    </w:p>
    <w:p w14:paraId="1CB66C76" w14:textId="3C7CC304"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Through a coordinated approach, integrating key public services such as housing, infrastructure and education, it accelerates rural development </w:t>
      </w:r>
      <w:r w:rsidR="003B0FB9">
        <w:rPr>
          <w:rFonts w:ascii="Aptos" w:eastAsia="Aptos" w:hAnsi="Aptos" w:cs="Arial"/>
          <w:kern w:val="2"/>
          <w:sz w:val="22"/>
          <w:szCs w:val="22"/>
          <w14:ligatures w14:val="standardContextual"/>
        </w:rPr>
        <w:t xml:space="preserve">and </w:t>
      </w:r>
      <w:r w:rsidRPr="005F7253">
        <w:rPr>
          <w:rFonts w:ascii="Aptos" w:eastAsia="Aptos" w:hAnsi="Aptos" w:cs="Arial"/>
          <w:kern w:val="2"/>
          <w:sz w:val="22"/>
          <w:szCs w:val="22"/>
          <w14:ligatures w14:val="standardContextual"/>
        </w:rPr>
        <w:t>strengthen</w:t>
      </w:r>
      <w:r w:rsidR="003B0FB9">
        <w:rPr>
          <w:rFonts w:ascii="Aptos" w:eastAsia="Aptos" w:hAnsi="Aptos" w:cs="Arial"/>
          <w:kern w:val="2"/>
          <w:sz w:val="22"/>
          <w:szCs w:val="22"/>
          <w14:ligatures w14:val="standardContextual"/>
        </w:rPr>
        <w:t>s</w:t>
      </w:r>
      <w:r w:rsidRPr="005F7253">
        <w:rPr>
          <w:rFonts w:ascii="Aptos" w:eastAsia="Aptos" w:hAnsi="Aptos" w:cs="Arial"/>
          <w:kern w:val="2"/>
          <w:sz w:val="22"/>
          <w:szCs w:val="22"/>
          <w14:ligatures w14:val="standardContextual"/>
        </w:rPr>
        <w:t xml:space="preserve"> overall resilience and sustainability in rural communities. </w:t>
      </w:r>
    </w:p>
    <w:p w14:paraId="1D6BAC5B"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Teachers’ educational programmes have improved thanks to speedy Internet connections and digital capacity building opportunities. Local women have new employment opportunities, allowing them to financially support their families while simultaneously empowering them within their community.</w:t>
      </w:r>
    </w:p>
    <w:p w14:paraId="46BFEF75" w14:textId="19525742" w:rsidR="006C41B5" w:rsidRPr="005F7253" w:rsidRDefault="006C41B5" w:rsidP="006C41B5">
      <w:pPr>
        <w:tabs>
          <w:tab w:val="clear" w:pos="794"/>
          <w:tab w:val="clear" w:pos="1191"/>
          <w:tab w:val="clear" w:pos="1588"/>
          <w:tab w:val="clear" w:pos="1985"/>
        </w:tabs>
        <w:overflowPunct/>
        <w:autoSpaceDE/>
        <w:autoSpaceDN/>
        <w:adjustRightInd/>
        <w:spacing w:before="0" w:after="160" w:line="278"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w:t>
      </w:r>
      <w:r w:rsidR="003B0FB9">
        <w:rPr>
          <w:rFonts w:ascii="Aptos" w:eastAsia="Aptos" w:hAnsi="Aptos" w:cs="Arial"/>
          <w:kern w:val="2"/>
          <w:sz w:val="22"/>
          <w:szCs w:val="22"/>
          <w14:ligatures w14:val="standardContextual"/>
        </w:rPr>
        <w:t>i</w:t>
      </w:r>
      <w:r w:rsidRPr="005F7253">
        <w:rPr>
          <w:rFonts w:ascii="Aptos" w:eastAsia="Aptos" w:hAnsi="Aptos" w:cs="Arial"/>
          <w:kern w:val="2"/>
          <w:sz w:val="22"/>
          <w:szCs w:val="22"/>
          <w14:ligatures w14:val="standardContextual"/>
        </w:rPr>
        <w:t>nitiative is implemented through four pillars:</w:t>
      </w:r>
    </w:p>
    <w:p w14:paraId="4C523185" w14:textId="59F8ADC3" w:rsidR="006C41B5" w:rsidRPr="005F7253" w:rsidRDefault="006C41B5" w:rsidP="006C41B5">
      <w:pPr>
        <w:numPr>
          <w:ilvl w:val="0"/>
          <w:numId w:val="3"/>
        </w:numPr>
        <w:tabs>
          <w:tab w:val="clear" w:pos="794"/>
          <w:tab w:val="clear" w:pos="1191"/>
          <w:tab w:val="clear" w:pos="1588"/>
          <w:tab w:val="clear" w:pos="1985"/>
        </w:tabs>
        <w:overflowPunct/>
        <w:autoSpaceDE/>
        <w:autoSpaceDN/>
        <w:adjustRightInd/>
        <w:spacing w:before="0" w:after="160" w:line="278"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Building </w:t>
      </w:r>
      <w:r w:rsidR="280E14B2" w:rsidRPr="005F7253">
        <w:rPr>
          <w:rFonts w:ascii="Aptos" w:eastAsia="Aptos" w:hAnsi="Aptos" w:cs="Arial"/>
          <w:kern w:val="2"/>
          <w:sz w:val="22"/>
          <w:szCs w:val="22"/>
          <w14:ligatures w14:val="standardContextual"/>
        </w:rPr>
        <w:t xml:space="preserve">a </w:t>
      </w:r>
      <w:r w:rsidR="003B0FB9">
        <w:rPr>
          <w:rFonts w:ascii="Aptos" w:eastAsia="Aptos" w:hAnsi="Aptos" w:cs="Arial"/>
          <w:kern w:val="2"/>
          <w:sz w:val="22"/>
          <w:szCs w:val="22"/>
          <w14:ligatures w14:val="standardContextual"/>
        </w:rPr>
        <w:t>f</w:t>
      </w:r>
      <w:r w:rsidRPr="005F7253">
        <w:rPr>
          <w:rFonts w:ascii="Aptos" w:eastAsia="Aptos" w:hAnsi="Aptos" w:cs="Arial"/>
          <w:kern w:val="2"/>
          <w:sz w:val="22"/>
          <w:szCs w:val="22"/>
          <w14:ligatures w14:val="standardContextual"/>
        </w:rPr>
        <w:t>ibr</w:t>
      </w:r>
      <w:r w:rsidR="003B0FB9">
        <w:rPr>
          <w:rFonts w:ascii="Aptos" w:eastAsia="Aptos" w:hAnsi="Aptos" w:cs="Arial"/>
          <w:kern w:val="2"/>
          <w:sz w:val="22"/>
          <w:szCs w:val="22"/>
          <w14:ligatures w14:val="standardContextual"/>
        </w:rPr>
        <w:t>e</w:t>
      </w:r>
      <w:r w:rsidRPr="005F7253">
        <w:rPr>
          <w:rFonts w:ascii="Aptos" w:eastAsia="Aptos" w:hAnsi="Aptos" w:cs="Arial"/>
          <w:kern w:val="2"/>
          <w:sz w:val="22"/>
          <w:szCs w:val="22"/>
          <w14:ligatures w14:val="standardContextual"/>
        </w:rPr>
        <w:t xml:space="preserve"> </w:t>
      </w:r>
      <w:r w:rsidR="003B0FB9">
        <w:rPr>
          <w:rFonts w:ascii="Aptos" w:eastAsia="Aptos" w:hAnsi="Aptos" w:cs="Arial"/>
          <w:kern w:val="2"/>
          <w:sz w:val="22"/>
          <w:szCs w:val="22"/>
          <w14:ligatures w14:val="standardContextual"/>
        </w:rPr>
        <w:t>i</w:t>
      </w:r>
      <w:r w:rsidRPr="005F7253">
        <w:rPr>
          <w:rFonts w:ascii="Aptos" w:eastAsia="Aptos" w:hAnsi="Aptos" w:cs="Arial"/>
          <w:kern w:val="2"/>
          <w:sz w:val="22"/>
          <w:szCs w:val="22"/>
          <w14:ligatures w14:val="standardContextual"/>
        </w:rPr>
        <w:t xml:space="preserve">nfrastructure </w:t>
      </w:r>
      <w:r w:rsidR="003B0FB9">
        <w:rPr>
          <w:rFonts w:ascii="Aptos" w:eastAsia="Aptos" w:hAnsi="Aptos" w:cs="Arial"/>
          <w:kern w:val="2"/>
          <w:sz w:val="22"/>
          <w:szCs w:val="22"/>
          <w14:ligatures w14:val="standardContextual"/>
        </w:rPr>
        <w:t>n</w:t>
      </w:r>
      <w:r w:rsidRPr="005F7253">
        <w:rPr>
          <w:rFonts w:ascii="Aptos" w:eastAsia="Aptos" w:hAnsi="Aptos" w:cs="Arial"/>
          <w:kern w:val="2"/>
          <w:sz w:val="22"/>
          <w:szCs w:val="22"/>
          <w14:ligatures w14:val="standardContextual"/>
        </w:rPr>
        <w:t xml:space="preserve">etwork to connect the unconnected and enable a digitally transformed </w:t>
      </w:r>
      <w:proofErr w:type="gramStart"/>
      <w:r w:rsidRPr="005F7253">
        <w:rPr>
          <w:rFonts w:ascii="Aptos" w:eastAsia="Aptos" w:hAnsi="Aptos" w:cs="Arial"/>
          <w:kern w:val="2"/>
          <w:sz w:val="22"/>
          <w:szCs w:val="22"/>
          <w14:ligatures w14:val="standardContextual"/>
        </w:rPr>
        <w:t>society;</w:t>
      </w:r>
      <w:proofErr w:type="gramEnd"/>
    </w:p>
    <w:p w14:paraId="0842A93D" w14:textId="2955109E" w:rsidR="006C41B5" w:rsidRPr="005F7253" w:rsidRDefault="006C41B5" w:rsidP="006C41B5">
      <w:pPr>
        <w:numPr>
          <w:ilvl w:val="0"/>
          <w:numId w:val="3"/>
        </w:numPr>
        <w:tabs>
          <w:tab w:val="clear" w:pos="794"/>
          <w:tab w:val="clear" w:pos="1191"/>
          <w:tab w:val="clear" w:pos="1588"/>
          <w:tab w:val="clear" w:pos="1985"/>
        </w:tabs>
        <w:overflowPunct/>
        <w:autoSpaceDE/>
        <w:autoSpaceDN/>
        <w:adjustRightInd/>
        <w:spacing w:before="0" w:after="160" w:line="278"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Developing </w:t>
      </w:r>
      <w:r w:rsidR="003B0FB9">
        <w:rPr>
          <w:rFonts w:ascii="Aptos" w:eastAsia="Aptos" w:hAnsi="Aptos" w:cs="Arial"/>
          <w:kern w:val="2"/>
          <w:sz w:val="22"/>
          <w:szCs w:val="22"/>
          <w14:ligatures w14:val="standardContextual"/>
        </w:rPr>
        <w:t>m</w:t>
      </w:r>
      <w:r w:rsidRPr="005F7253">
        <w:rPr>
          <w:rFonts w:ascii="Aptos" w:eastAsia="Aptos" w:hAnsi="Aptos" w:cs="Arial"/>
          <w:kern w:val="2"/>
          <w:sz w:val="22"/>
          <w:szCs w:val="22"/>
          <w14:ligatures w14:val="standardContextual"/>
        </w:rPr>
        <w:t xml:space="preserve">obile </w:t>
      </w:r>
      <w:r w:rsidR="003B0FB9">
        <w:rPr>
          <w:rFonts w:ascii="Aptos" w:eastAsia="Aptos" w:hAnsi="Aptos" w:cs="Arial"/>
          <w:kern w:val="2"/>
          <w:sz w:val="22"/>
          <w:szCs w:val="22"/>
          <w14:ligatures w14:val="standardContextual"/>
        </w:rPr>
        <w:t>n</w:t>
      </w:r>
      <w:r w:rsidRPr="005F7253">
        <w:rPr>
          <w:rFonts w:ascii="Aptos" w:eastAsia="Aptos" w:hAnsi="Aptos" w:cs="Arial"/>
          <w:kern w:val="2"/>
          <w:sz w:val="22"/>
          <w:szCs w:val="22"/>
          <w14:ligatures w14:val="standardContextual"/>
        </w:rPr>
        <w:t xml:space="preserve">etwork </w:t>
      </w:r>
      <w:r w:rsidR="003B0FB9">
        <w:rPr>
          <w:rFonts w:ascii="Aptos" w:eastAsia="Aptos" w:hAnsi="Aptos" w:cs="Arial"/>
          <w:kern w:val="2"/>
          <w:sz w:val="22"/>
          <w:szCs w:val="22"/>
          <w14:ligatures w14:val="standardContextual"/>
        </w:rPr>
        <w:t>t</w:t>
      </w:r>
      <w:r w:rsidRPr="005F7253">
        <w:rPr>
          <w:rFonts w:ascii="Aptos" w:eastAsia="Aptos" w:hAnsi="Aptos" w:cs="Arial"/>
          <w:kern w:val="2"/>
          <w:sz w:val="22"/>
          <w:szCs w:val="22"/>
          <w14:ligatures w14:val="standardContextual"/>
        </w:rPr>
        <w:t xml:space="preserve">owers </w:t>
      </w:r>
      <w:r w:rsidR="003B0FB9">
        <w:rPr>
          <w:rFonts w:ascii="Aptos" w:eastAsia="Aptos" w:hAnsi="Aptos" w:cs="Arial"/>
          <w:kern w:val="2"/>
          <w:sz w:val="22"/>
          <w:szCs w:val="22"/>
          <w14:ligatures w14:val="standardContextual"/>
        </w:rPr>
        <w:t>i</w:t>
      </w:r>
      <w:r w:rsidRPr="005F7253">
        <w:rPr>
          <w:rFonts w:ascii="Aptos" w:eastAsia="Aptos" w:hAnsi="Aptos" w:cs="Arial"/>
          <w:kern w:val="2"/>
          <w:sz w:val="22"/>
          <w:szCs w:val="22"/>
          <w14:ligatures w14:val="standardContextual"/>
        </w:rPr>
        <w:t xml:space="preserve">nfrastructure for resilient mobile broadband coverage to enable access to Internet data and voice </w:t>
      </w:r>
      <w:proofErr w:type="gramStart"/>
      <w:r w:rsidRPr="005F7253">
        <w:rPr>
          <w:rFonts w:ascii="Aptos" w:eastAsia="Aptos" w:hAnsi="Aptos" w:cs="Arial"/>
          <w:kern w:val="2"/>
          <w:sz w:val="22"/>
          <w:szCs w:val="22"/>
          <w14:ligatures w14:val="standardContextual"/>
        </w:rPr>
        <w:t>services;</w:t>
      </w:r>
      <w:proofErr w:type="gramEnd"/>
    </w:p>
    <w:p w14:paraId="00634E8C" w14:textId="3F6B518B" w:rsidR="006C41B5" w:rsidRPr="005F7253" w:rsidRDefault="006C41B5" w:rsidP="006C41B5">
      <w:pPr>
        <w:numPr>
          <w:ilvl w:val="0"/>
          <w:numId w:val="3"/>
        </w:numPr>
        <w:tabs>
          <w:tab w:val="clear" w:pos="794"/>
          <w:tab w:val="clear" w:pos="1191"/>
          <w:tab w:val="clear" w:pos="1588"/>
          <w:tab w:val="clear" w:pos="1985"/>
        </w:tabs>
        <w:overflowPunct/>
        <w:autoSpaceDE/>
        <w:autoSpaceDN/>
        <w:adjustRightInd/>
        <w:spacing w:before="0" w:after="160" w:line="278"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Strengthening post offices to enable digital and financial </w:t>
      </w:r>
      <w:proofErr w:type="gramStart"/>
      <w:r w:rsidRPr="005F7253">
        <w:rPr>
          <w:rFonts w:ascii="Aptos" w:eastAsia="Aptos" w:hAnsi="Aptos" w:cs="Arial"/>
          <w:kern w:val="2"/>
          <w:sz w:val="22"/>
          <w:szCs w:val="22"/>
          <w14:ligatures w14:val="standardContextual"/>
        </w:rPr>
        <w:t>inclusion;</w:t>
      </w:r>
      <w:proofErr w:type="gramEnd"/>
    </w:p>
    <w:p w14:paraId="7CC90BF9" w14:textId="13241AAA" w:rsidR="006C41B5" w:rsidRPr="005F7253" w:rsidRDefault="006C41B5" w:rsidP="006C41B5">
      <w:pPr>
        <w:numPr>
          <w:ilvl w:val="0"/>
          <w:numId w:val="3"/>
        </w:numPr>
        <w:tabs>
          <w:tab w:val="clear" w:pos="794"/>
          <w:tab w:val="clear" w:pos="1191"/>
          <w:tab w:val="clear" w:pos="1588"/>
          <w:tab w:val="clear" w:pos="1985"/>
        </w:tabs>
        <w:overflowPunct/>
        <w:autoSpaceDE/>
        <w:autoSpaceDN/>
        <w:adjustRightInd/>
        <w:spacing w:before="0" w:after="160" w:line="278"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Promoting digital literacy to empower communities through ICT capacity</w:t>
      </w:r>
      <w:r w:rsidR="003B0FB9">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building program</w:t>
      </w:r>
      <w:r w:rsidR="003B0FB9">
        <w:rPr>
          <w:rFonts w:ascii="Aptos" w:eastAsia="Aptos" w:hAnsi="Aptos" w:cs="Arial"/>
          <w:kern w:val="2"/>
          <w:sz w:val="22"/>
          <w:szCs w:val="22"/>
          <w14:ligatures w14:val="standardContextual"/>
        </w:rPr>
        <w:t>me</w:t>
      </w:r>
      <w:r w:rsidRPr="005F7253">
        <w:rPr>
          <w:rFonts w:ascii="Aptos" w:eastAsia="Aptos" w:hAnsi="Aptos" w:cs="Arial"/>
          <w:kern w:val="2"/>
          <w:sz w:val="22"/>
          <w:szCs w:val="22"/>
          <w14:ligatures w14:val="standardContextual"/>
        </w:rPr>
        <w:t>s and raising awareness of the benefits of today’s digital economy.</w:t>
      </w:r>
    </w:p>
    <w:p w14:paraId="47DD5BB9" w14:textId="380CC862"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initiative </w:t>
      </w:r>
      <w:r w:rsidR="003B0FB9">
        <w:rPr>
          <w:rFonts w:ascii="Aptos" w:eastAsia="Aptos" w:hAnsi="Aptos" w:cs="Arial"/>
          <w:kern w:val="2"/>
          <w:sz w:val="22"/>
          <w:szCs w:val="22"/>
          <w14:ligatures w14:val="standardContextual"/>
        </w:rPr>
        <w:t xml:space="preserve">springs from </w:t>
      </w:r>
      <w:r w:rsidRPr="005F7253">
        <w:rPr>
          <w:rFonts w:ascii="Aptos" w:eastAsia="Aptos" w:hAnsi="Aptos" w:cs="Arial"/>
          <w:kern w:val="2"/>
          <w:sz w:val="22"/>
          <w:szCs w:val="22"/>
          <w14:ligatures w14:val="standardContextual"/>
        </w:rPr>
        <w:t>a Partner2Connect pledge by the Ministry of Communications and Information Technology of Egypt to develop the telecom infrastructure of over 4</w:t>
      </w:r>
      <w:r w:rsidR="003B0FB9">
        <w:rPr>
          <w:rFonts w:ascii="Aptos" w:eastAsia="Aptos" w:hAnsi="Aptos" w:cs="Arial"/>
          <w:kern w:val="2"/>
          <w:sz w:val="22"/>
          <w:szCs w:val="22"/>
          <w14:ligatures w14:val="standardContextual"/>
        </w:rPr>
        <w:t> </w:t>
      </w:r>
      <w:r w:rsidRPr="005F7253">
        <w:rPr>
          <w:rFonts w:ascii="Aptos" w:eastAsia="Aptos" w:hAnsi="Aptos" w:cs="Arial"/>
          <w:kern w:val="2"/>
          <w:sz w:val="22"/>
          <w:szCs w:val="22"/>
          <w14:ligatures w14:val="standardContextual"/>
        </w:rPr>
        <w:t>500 rural villages.</w:t>
      </w:r>
    </w:p>
    <w:p w14:paraId="1214B1A2"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Display" w:eastAsia="Yu Gothic Light" w:hAnsi="Aptos Display"/>
          <w:color w:val="0F4761"/>
          <w:kern w:val="2"/>
          <w:sz w:val="40"/>
          <w:szCs w:val="40"/>
          <w14:ligatures w14:val="standardContextual"/>
        </w:rPr>
      </w:pPr>
      <w:r w:rsidRPr="005F7253">
        <w:rPr>
          <w:rFonts w:ascii="Aptos" w:eastAsia="Aptos" w:hAnsi="Aptos" w:cs="Arial"/>
          <w:kern w:val="2"/>
          <w:sz w:val="22"/>
          <w:szCs w:val="22"/>
          <w14:ligatures w14:val="standardContextual"/>
        </w:rPr>
        <w:br w:type="page"/>
      </w:r>
    </w:p>
    <w:p w14:paraId="3EEF5D22"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bookmarkStart w:id="31" w:name="_Toc184940651"/>
      <w:r w:rsidRPr="005F7253">
        <w:rPr>
          <w:rFonts w:ascii="Aptos Display" w:eastAsia="Yu Gothic Light" w:hAnsi="Aptos Display"/>
          <w:color w:val="0F4761"/>
          <w:kern w:val="2"/>
          <w:sz w:val="40"/>
          <w:szCs w:val="40"/>
          <w14:ligatures w14:val="standardContextual"/>
        </w:rPr>
        <w:lastRenderedPageBreak/>
        <w:t>Annex: Data resources</w:t>
      </w:r>
      <w:bookmarkEnd w:id="31"/>
      <w:r w:rsidRPr="005F7253">
        <w:rPr>
          <w:rFonts w:ascii="Aptos Display" w:eastAsia="Yu Gothic Light" w:hAnsi="Aptos Display"/>
          <w:color w:val="0F4761"/>
          <w:kern w:val="2"/>
          <w:sz w:val="40"/>
          <w:szCs w:val="40"/>
          <w14:ligatures w14:val="standardContextual"/>
        </w:rPr>
        <w:t xml:space="preserve"> </w:t>
      </w:r>
    </w:p>
    <w:p w14:paraId="7FD4AD8D" w14:textId="1E97AA64"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To ensure up-to-date information, </w:t>
      </w:r>
      <w:r w:rsidR="00C361C1">
        <w:rPr>
          <w:rFonts w:ascii="Aptos" w:eastAsia="Aptos" w:hAnsi="Aptos" w:cs="Arial"/>
          <w:kern w:val="2"/>
          <w:sz w:val="22"/>
          <w:szCs w:val="22"/>
          <w14:ligatures w14:val="standardContextual"/>
        </w:rPr>
        <w:t xml:space="preserve">optimize space, </w:t>
      </w:r>
      <w:r w:rsidRPr="005F7253">
        <w:rPr>
          <w:rFonts w:ascii="Aptos" w:eastAsia="Aptos" w:hAnsi="Aptos" w:cs="Arial"/>
          <w:kern w:val="2"/>
          <w:sz w:val="22"/>
          <w:szCs w:val="22"/>
          <w14:ligatures w14:val="standardContextual"/>
        </w:rPr>
        <w:t>and enhance readability, all data presented in this document are available for download as Excel files</w:t>
      </w:r>
      <w:r w:rsidR="008136A8">
        <w:rPr>
          <w:rFonts w:ascii="Aptos" w:eastAsia="Aptos" w:hAnsi="Aptos" w:cs="Arial"/>
          <w:kern w:val="2"/>
          <w:sz w:val="22"/>
          <w:szCs w:val="22"/>
          <w14:ligatures w14:val="standardContextual"/>
        </w:rPr>
        <w:t>:</w:t>
      </w:r>
    </w:p>
    <w:p w14:paraId="1D12F003" w14:textId="2B298DF2" w:rsidR="006C41B5" w:rsidRPr="005F7253" w:rsidRDefault="006C41B5" w:rsidP="006C41B5">
      <w:pPr>
        <w:numPr>
          <w:ilvl w:val="0"/>
          <w:numId w:val="24"/>
        </w:numPr>
        <w:tabs>
          <w:tab w:val="clear" w:pos="794"/>
          <w:tab w:val="clear" w:pos="1191"/>
          <w:tab w:val="clear" w:pos="1588"/>
          <w:tab w:val="clear" w:pos="1985"/>
          <w:tab w:val="num" w:pos="720"/>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hyperlink r:id="rId136" w:history="1">
        <w:r w:rsidRPr="005F7253">
          <w:rPr>
            <w:rFonts w:ascii="Aptos" w:eastAsia="Aptos" w:hAnsi="Aptos" w:cs="Arial"/>
            <w:color w:val="467886"/>
            <w:kern w:val="2"/>
            <w:sz w:val="22"/>
            <w:szCs w:val="22"/>
            <w:u w:val="single"/>
            <w14:ligatures w14:val="standardContextual"/>
          </w:rPr>
          <w:t>Country-level data</w:t>
        </w:r>
      </w:hyperlink>
      <w:r w:rsidRPr="005F7253">
        <w:rPr>
          <w:rFonts w:ascii="Aptos" w:eastAsia="Aptos" w:hAnsi="Aptos" w:cs="Arial"/>
          <w:kern w:val="2"/>
          <w:sz w:val="22"/>
          <w:szCs w:val="22"/>
          <w14:ligatures w14:val="standardContextual"/>
        </w:rPr>
        <w:t xml:space="preserve"> organi</w:t>
      </w:r>
      <w:r w:rsidR="002312FA">
        <w:rPr>
          <w:rFonts w:ascii="Aptos" w:eastAsia="Aptos" w:hAnsi="Aptos" w:cs="Arial"/>
          <w:kern w:val="2"/>
          <w:sz w:val="22"/>
          <w:szCs w:val="22"/>
          <w14:ligatures w14:val="standardContextual"/>
        </w:rPr>
        <w:t>z</w:t>
      </w:r>
      <w:r w:rsidRPr="005F7253">
        <w:rPr>
          <w:rFonts w:ascii="Aptos" w:eastAsia="Aptos" w:hAnsi="Aptos" w:cs="Arial"/>
          <w:kern w:val="2"/>
          <w:sz w:val="22"/>
          <w:szCs w:val="22"/>
          <w14:ligatures w14:val="standardContextual"/>
        </w:rPr>
        <w:t>ed by tabs corresponding to the sections of this document (URL: https://www.itu.int/en/ITU-D/Statistics/Documents/facts/rpm_arb_pub_2025_data.xlsx)</w:t>
      </w:r>
      <w:r w:rsidR="005375BD">
        <w:rPr>
          <w:rFonts w:ascii="Aptos" w:eastAsia="Aptos" w:hAnsi="Aptos" w:cs="Arial"/>
          <w:kern w:val="2"/>
          <w:sz w:val="22"/>
          <w:szCs w:val="22"/>
          <w14:ligatures w14:val="standardContextual"/>
        </w:rPr>
        <w:t>.</w:t>
      </w:r>
      <w:r w:rsidR="005375BD" w:rsidRPr="005375BD">
        <w:rPr>
          <w:rFonts w:ascii="Aptos" w:eastAsia="Aptos" w:hAnsi="Aptos" w:cs="Arial"/>
          <w:kern w:val="2"/>
          <w:sz w:val="22"/>
          <w:szCs w:val="22"/>
          <w14:ligatures w14:val="standardContextual"/>
        </w:rPr>
        <w:t xml:space="preserve"> </w:t>
      </w:r>
      <w:r w:rsidR="005375BD" w:rsidRPr="005F7253">
        <w:rPr>
          <w:rFonts w:ascii="Aptos" w:eastAsia="Aptos" w:hAnsi="Aptos" w:cs="Arial"/>
          <w:kern w:val="2"/>
          <w:sz w:val="22"/>
          <w:szCs w:val="22"/>
          <w14:ligatures w14:val="standardContextual"/>
        </w:rPr>
        <w:t xml:space="preserve">Country level data were extracted from the </w:t>
      </w:r>
      <w:hyperlink r:id="rId137" w:history="1">
        <w:r w:rsidR="005375BD" w:rsidRPr="005F7253">
          <w:rPr>
            <w:rFonts w:ascii="Aptos" w:eastAsia="Aptos" w:hAnsi="Aptos" w:cs="Arial"/>
            <w:color w:val="467886"/>
            <w:kern w:val="2"/>
            <w:sz w:val="22"/>
            <w:szCs w:val="22"/>
            <w:u w:val="single"/>
            <w14:ligatures w14:val="standardContextual"/>
          </w:rPr>
          <w:t xml:space="preserve">ITU </w:t>
        </w:r>
        <w:proofErr w:type="spellStart"/>
        <w:r w:rsidR="005375BD" w:rsidRPr="005F7253">
          <w:rPr>
            <w:rFonts w:ascii="Aptos" w:eastAsia="Aptos" w:hAnsi="Aptos" w:cs="Arial"/>
            <w:color w:val="467886"/>
            <w:kern w:val="2"/>
            <w:sz w:val="22"/>
            <w:szCs w:val="22"/>
            <w:u w:val="single"/>
            <w14:ligatures w14:val="standardContextual"/>
          </w:rPr>
          <w:t>DataHub</w:t>
        </w:r>
        <w:proofErr w:type="spellEnd"/>
      </w:hyperlink>
      <w:r w:rsidR="005375BD" w:rsidRPr="005F7253">
        <w:rPr>
          <w:rFonts w:ascii="Aptos" w:eastAsia="Aptos" w:hAnsi="Aptos" w:cs="Arial"/>
          <w:kern w:val="2"/>
          <w:sz w:val="22"/>
          <w:szCs w:val="22"/>
          <w14:ligatures w14:val="standardContextual"/>
        </w:rPr>
        <w:t xml:space="preserve"> on 30 November 2024, reflecting the July 2024 data release.</w:t>
      </w:r>
    </w:p>
    <w:p w14:paraId="7A8E6B3E" w14:textId="06BA426B" w:rsidR="006C41B5" w:rsidRPr="005F7253" w:rsidRDefault="006C41B5" w:rsidP="006C41B5">
      <w:pPr>
        <w:numPr>
          <w:ilvl w:val="0"/>
          <w:numId w:val="24"/>
        </w:numPr>
        <w:tabs>
          <w:tab w:val="clear" w:pos="794"/>
          <w:tab w:val="clear" w:pos="1191"/>
          <w:tab w:val="clear" w:pos="1588"/>
          <w:tab w:val="clear" w:pos="1985"/>
          <w:tab w:val="num" w:pos="720"/>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hyperlink r:id="rId138" w:history="1">
        <w:r w:rsidRPr="005F7253">
          <w:rPr>
            <w:rFonts w:ascii="Aptos" w:eastAsia="Aptos" w:hAnsi="Aptos" w:cs="Arial"/>
            <w:color w:val="467886"/>
            <w:kern w:val="2"/>
            <w:sz w:val="22"/>
            <w:szCs w:val="22"/>
            <w:u w:val="single"/>
            <w14:ligatures w14:val="standardContextual"/>
          </w:rPr>
          <w:t>Regional and global estimates</w:t>
        </w:r>
      </w:hyperlink>
      <w:r w:rsidR="005375BD">
        <w:t xml:space="preserve">, </w:t>
      </w:r>
      <w:r w:rsidR="005375BD">
        <w:rPr>
          <w:rFonts w:ascii="Aptos" w:eastAsia="Aptos" w:hAnsi="Aptos" w:cs="Arial"/>
          <w:kern w:val="2"/>
          <w:sz w:val="22"/>
          <w:szCs w:val="22"/>
          <w14:ligatures w14:val="standardContextual"/>
        </w:rPr>
        <w:t xml:space="preserve">as </w:t>
      </w:r>
      <w:r w:rsidR="005375BD" w:rsidRPr="005F7253">
        <w:rPr>
          <w:rFonts w:ascii="Aptos" w:eastAsia="Aptos" w:hAnsi="Aptos" w:cs="Arial"/>
          <w:kern w:val="2"/>
          <w:sz w:val="22"/>
          <w:szCs w:val="22"/>
          <w14:ligatures w14:val="standardContextual"/>
        </w:rPr>
        <w:t xml:space="preserve">compiled for </w:t>
      </w:r>
      <w:hyperlink r:id="rId139" w:history="1">
        <w:r w:rsidR="005375BD" w:rsidRPr="005375BD">
          <w:rPr>
            <w:rFonts w:ascii="Aptos" w:eastAsia="Aptos" w:hAnsi="Aptos" w:cs="Arial"/>
            <w:i/>
            <w:iCs/>
            <w:color w:val="467886"/>
            <w:kern w:val="2"/>
            <w:sz w:val="22"/>
            <w:szCs w:val="22"/>
            <w:u w:val="single"/>
            <w14:ligatures w14:val="standardContextual"/>
          </w:rPr>
          <w:t>Facts and Figures 2024</w:t>
        </w:r>
      </w:hyperlink>
      <w:r w:rsidRPr="005F7253">
        <w:rPr>
          <w:rFonts w:ascii="Aptos" w:eastAsia="Aptos" w:hAnsi="Aptos" w:cs="Arial"/>
          <w:kern w:val="2"/>
          <w:sz w:val="22"/>
          <w:szCs w:val="22"/>
          <w14:ligatures w14:val="standardContextual"/>
        </w:rPr>
        <w:br/>
        <w:t>(URL: https://www.itu.int/en/ITU-D/Statistics/Documents/facts/</w:t>
      </w:r>
      <w:r w:rsidRPr="005F7253">
        <w:rPr>
          <w:rFonts w:ascii="Aptos" w:eastAsia="Aptos" w:hAnsi="Aptos" w:cs="Arial"/>
          <w:kern w:val="2"/>
          <w:sz w:val="22"/>
          <w:szCs w:val="22"/>
          <w14:ligatures w14:val="standardContextual"/>
        </w:rPr>
        <w:br/>
        <w:t>ITU_regional_global_Key_ICT_indicator_aggregates_Nov_2024.xlsx)</w:t>
      </w:r>
      <w:r w:rsidR="005375BD">
        <w:rPr>
          <w:rFonts w:ascii="Aptos" w:eastAsia="Aptos" w:hAnsi="Aptos" w:cs="Arial"/>
          <w:kern w:val="2"/>
          <w:sz w:val="22"/>
          <w:szCs w:val="22"/>
          <w14:ligatures w14:val="standardContextual"/>
        </w:rPr>
        <w:t>.</w:t>
      </w:r>
    </w:p>
    <w:p w14:paraId="5B29B2A3" w14:textId="430879C4" w:rsidR="00923CF1" w:rsidRPr="005F7253" w:rsidRDefault="00B22F90" w:rsidP="00B22F90">
      <w:pPr>
        <w:tabs>
          <w:tab w:val="clear" w:pos="794"/>
          <w:tab w:val="clear" w:pos="1191"/>
          <w:tab w:val="clear" w:pos="1588"/>
          <w:tab w:val="clear" w:pos="1985"/>
        </w:tabs>
        <w:overflowPunct/>
        <w:autoSpaceDE/>
        <w:autoSpaceDN/>
        <w:adjustRightInd/>
        <w:spacing w:before="0"/>
        <w:jc w:val="center"/>
        <w:textAlignment w:val="auto"/>
      </w:pPr>
      <w:r w:rsidRPr="005F7253">
        <w:t>________________</w:t>
      </w:r>
    </w:p>
    <w:sectPr w:rsidR="00923CF1" w:rsidRPr="005F7253" w:rsidSect="008C7A35">
      <w:headerReference w:type="even" r:id="rId140"/>
      <w:headerReference w:type="default" r:id="rId141"/>
      <w:footerReference w:type="even" r:id="rId142"/>
      <w:footerReference w:type="default" r:id="rId143"/>
      <w:headerReference w:type="first" r:id="rId144"/>
      <w:footerReference w:type="first" r:id="rId145"/>
      <w:pgSz w:w="11907" w:h="16834" w:code="9"/>
      <w:pgMar w:top="1418" w:right="1134" w:bottom="1418" w:left="1134" w:header="720" w:footer="720" w:gutter="0"/>
      <w:paperSrc w:first="7" w:other="7"/>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 w:author="Friesen, Eduard" w:date="2025-01-06T10:20:00Z" w:initials="EF">
    <w:p w14:paraId="0DFF8575" w14:textId="26A9A182" w:rsidR="00093B37" w:rsidRDefault="00093B37">
      <w:pPr>
        <w:pStyle w:val="CommentText"/>
      </w:pPr>
      <w:r>
        <w:rPr>
          <w:rStyle w:val="CommentReference"/>
        </w:rPr>
        <w:annotationRef/>
      </w:r>
      <w:r>
        <w:rPr>
          <w:lang w:val="en-US"/>
        </w:rPr>
        <w:t xml:space="preserve">Cf. </w:t>
      </w:r>
      <w:hyperlink r:id="rId1" w:history="1">
        <w:r w:rsidRPr="00FC71A3">
          <w:rPr>
            <w:rStyle w:val="Hyperlink"/>
            <w:lang w:val="en-US"/>
          </w:rPr>
          <w:t>https://databank.worldbank.org/metadataglossary/world-development-indicators/series/IT.NET.BNDW</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FF857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AB43A04" w16cex:dateUtc="2025-01-06T09:20:00Z">
    <w16cex:extLst>
      <w16:ext w16:uri="{CE6994B0-6A32-4C9F-8C6B-6E91EDA988CE}">
        <cr:reactions xmlns:cr="http://schemas.microsoft.com/office/comments/2020/reactions">
          <cr:reaction reactionType="1">
            <cr:reactionInfo dateUtc="2025-01-08T13:10:50Z">
              <cr:user userId="S::daniel.vertesy@itu.int::634bd59e-4ae3-4b71-975c-3ad9bc1ffd5e" userProvider="AD" userName="Vertesy, Daniel"/>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FF8575" w16cid:durableId="3AB43A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7B562" w14:textId="77777777" w:rsidR="00BF339A" w:rsidRDefault="00BF339A">
      <w:r>
        <w:separator/>
      </w:r>
    </w:p>
  </w:endnote>
  <w:endnote w:type="continuationSeparator" w:id="0">
    <w:p w14:paraId="06DD1F0C" w14:textId="77777777" w:rsidR="00BF339A" w:rsidRDefault="00BF339A">
      <w:r>
        <w:continuationSeparator/>
      </w:r>
    </w:p>
  </w:endnote>
  <w:endnote w:type="continuationNotice" w:id="1">
    <w:p w14:paraId="5DBF5B66" w14:textId="77777777" w:rsidR="00BF339A" w:rsidRDefault="00BF339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AvenirNext LT Pro Light">
    <w:altName w:val="Calibri"/>
    <w:panose1 w:val="00000000000000000000"/>
    <w:charset w:val="4D"/>
    <w:family w:val="swiss"/>
    <w:notTrueType/>
    <w:pitch w:val="variable"/>
    <w:sig w:usb0="A00000AF" w:usb1="5000204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AvenirNext LT Pro Medium">
    <w:altName w:val="Calibri"/>
    <w:charset w:val="4D"/>
    <w:family w:val="swiss"/>
    <w:pitch w:val="variable"/>
    <w:sig w:usb0="800000AF" w:usb1="5000204A" w:usb2="00000000" w:usb3="00000000" w:csb0="00000093" w:csb1="00000000"/>
  </w:font>
  <w:font w:name="Verdana">
    <w:panose1 w:val="020B0604030504040204"/>
    <w:charset w:val="CC"/>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venir Next LT Pro Demi">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2647D" w14:textId="77777777" w:rsidR="001862A9" w:rsidRDefault="001862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CEFEB" w14:textId="77777777" w:rsidR="001862A9" w:rsidRDefault="001862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3" w:type="dxa"/>
      <w:tblLayout w:type="fixed"/>
      <w:tblLook w:val="04A0" w:firstRow="1" w:lastRow="0" w:firstColumn="1" w:lastColumn="0" w:noHBand="0" w:noVBand="1"/>
    </w:tblPr>
    <w:tblGrid>
      <w:gridCol w:w="1526"/>
      <w:gridCol w:w="2410"/>
      <w:gridCol w:w="5987"/>
    </w:tblGrid>
    <w:tr w:rsidR="0059420B" w:rsidRPr="00CE7BC6" w14:paraId="695D1810" w14:textId="77777777" w:rsidTr="00F44F26">
      <w:tc>
        <w:tcPr>
          <w:tcW w:w="1526" w:type="dxa"/>
          <w:tcBorders>
            <w:top w:val="single" w:sz="4" w:space="0" w:color="000000"/>
          </w:tcBorders>
          <w:shd w:val="clear" w:color="auto" w:fill="auto"/>
        </w:tcPr>
        <w:p w14:paraId="746E5A61" w14:textId="77777777" w:rsidR="0059420B" w:rsidRPr="00CE7BC6" w:rsidRDefault="0059420B" w:rsidP="0059420B">
          <w:pPr>
            <w:pStyle w:val="FirstFooter"/>
            <w:tabs>
              <w:tab w:val="left" w:pos="1559"/>
              <w:tab w:val="left" w:pos="3828"/>
            </w:tabs>
            <w:rPr>
              <w:sz w:val="18"/>
              <w:szCs w:val="18"/>
            </w:rPr>
          </w:pPr>
          <w:r w:rsidRPr="00CE7BC6">
            <w:rPr>
              <w:sz w:val="18"/>
              <w:szCs w:val="18"/>
              <w:lang w:val="en-US"/>
            </w:rPr>
            <w:t>Contact:</w:t>
          </w:r>
        </w:p>
      </w:tc>
      <w:tc>
        <w:tcPr>
          <w:tcW w:w="2410" w:type="dxa"/>
          <w:tcBorders>
            <w:top w:val="single" w:sz="4" w:space="0" w:color="000000"/>
          </w:tcBorders>
          <w:shd w:val="clear" w:color="auto" w:fill="auto"/>
        </w:tcPr>
        <w:p w14:paraId="488E41E2" w14:textId="77777777" w:rsidR="0059420B" w:rsidRPr="00CE7BC6" w:rsidRDefault="0059420B" w:rsidP="0059420B">
          <w:pPr>
            <w:pStyle w:val="FirstFooter"/>
            <w:tabs>
              <w:tab w:val="left" w:pos="2302"/>
            </w:tabs>
            <w:ind w:left="2302" w:hanging="2302"/>
            <w:rPr>
              <w:sz w:val="18"/>
              <w:szCs w:val="18"/>
              <w:lang w:val="en-US"/>
            </w:rPr>
          </w:pPr>
          <w:r w:rsidRPr="00CE7BC6">
            <w:rPr>
              <w:sz w:val="18"/>
              <w:szCs w:val="18"/>
              <w:lang w:val="en-US"/>
            </w:rPr>
            <w:t>Name/Organization/Entity:</w:t>
          </w:r>
        </w:p>
      </w:tc>
      <w:tc>
        <w:tcPr>
          <w:tcW w:w="5987" w:type="dxa"/>
          <w:tcBorders>
            <w:top w:val="single" w:sz="4" w:space="0" w:color="000000"/>
          </w:tcBorders>
        </w:tcPr>
        <w:p w14:paraId="148264AE" w14:textId="20CE8F6D" w:rsidR="0059420B" w:rsidRPr="00CE7BC6" w:rsidRDefault="00E65B99" w:rsidP="0059420B">
          <w:pPr>
            <w:pStyle w:val="FirstFooter"/>
            <w:tabs>
              <w:tab w:val="left" w:pos="2302"/>
            </w:tabs>
            <w:rPr>
              <w:sz w:val="18"/>
              <w:szCs w:val="18"/>
              <w:lang w:val="en-US"/>
            </w:rPr>
          </w:pPr>
          <w:proofErr w:type="spellStart"/>
          <w:r w:rsidRPr="00CE7BC6">
            <w:rPr>
              <w:sz w:val="18"/>
              <w:szCs w:val="18"/>
              <w:lang w:val="en-US"/>
            </w:rPr>
            <w:t>Mr</w:t>
          </w:r>
          <w:proofErr w:type="spellEnd"/>
          <w:r w:rsidRPr="00CE7BC6">
            <w:rPr>
              <w:sz w:val="18"/>
              <w:szCs w:val="18"/>
              <w:lang w:val="en-US"/>
            </w:rPr>
            <w:t xml:space="preserve"> Thierry Geiger, ITU/BDT/DKS/IDA</w:t>
          </w:r>
        </w:p>
      </w:tc>
      <w:bookmarkStart w:id="34" w:name="OrgName"/>
      <w:bookmarkEnd w:id="34"/>
    </w:tr>
    <w:tr w:rsidR="0059420B" w:rsidRPr="00CE7BC6" w14:paraId="61167678" w14:textId="77777777" w:rsidTr="00F44F26">
      <w:tc>
        <w:tcPr>
          <w:tcW w:w="1526" w:type="dxa"/>
          <w:shd w:val="clear" w:color="auto" w:fill="auto"/>
        </w:tcPr>
        <w:p w14:paraId="33710823" w14:textId="77777777" w:rsidR="0059420B" w:rsidRPr="00CE7BC6" w:rsidRDefault="0059420B" w:rsidP="0059420B">
          <w:pPr>
            <w:pStyle w:val="FirstFooter"/>
            <w:tabs>
              <w:tab w:val="left" w:pos="1559"/>
              <w:tab w:val="left" w:pos="3828"/>
            </w:tabs>
            <w:rPr>
              <w:sz w:val="18"/>
              <w:szCs w:val="18"/>
              <w:lang w:val="en-US"/>
            </w:rPr>
          </w:pPr>
        </w:p>
      </w:tc>
      <w:tc>
        <w:tcPr>
          <w:tcW w:w="2410" w:type="dxa"/>
          <w:shd w:val="clear" w:color="auto" w:fill="auto"/>
        </w:tcPr>
        <w:p w14:paraId="1251F6E4" w14:textId="77777777" w:rsidR="0059420B" w:rsidRPr="00CE7BC6" w:rsidRDefault="0059420B" w:rsidP="0059420B">
          <w:pPr>
            <w:pStyle w:val="FirstFooter"/>
            <w:tabs>
              <w:tab w:val="left" w:pos="2302"/>
            </w:tabs>
            <w:rPr>
              <w:sz w:val="18"/>
              <w:szCs w:val="18"/>
              <w:lang w:val="en-US"/>
            </w:rPr>
          </w:pPr>
          <w:r w:rsidRPr="00CE7BC6">
            <w:rPr>
              <w:sz w:val="18"/>
              <w:szCs w:val="18"/>
              <w:lang w:val="en-US"/>
            </w:rPr>
            <w:t>Phone number:</w:t>
          </w:r>
        </w:p>
      </w:tc>
      <w:tc>
        <w:tcPr>
          <w:tcW w:w="5987" w:type="dxa"/>
        </w:tcPr>
        <w:p w14:paraId="6D7949F0" w14:textId="586B54F5" w:rsidR="0059420B" w:rsidRPr="00CE7BC6" w:rsidRDefault="00803D44" w:rsidP="0059420B">
          <w:pPr>
            <w:pStyle w:val="FirstFooter"/>
            <w:tabs>
              <w:tab w:val="left" w:pos="2302"/>
            </w:tabs>
            <w:rPr>
              <w:sz w:val="18"/>
              <w:szCs w:val="18"/>
              <w:lang w:val="en-US"/>
            </w:rPr>
          </w:pPr>
          <w:r w:rsidRPr="00CE7BC6">
            <w:rPr>
              <w:sz w:val="18"/>
              <w:szCs w:val="18"/>
              <w:lang w:val="en-US"/>
            </w:rPr>
            <w:t>+41 22 730 5094</w:t>
          </w:r>
        </w:p>
      </w:tc>
      <w:bookmarkStart w:id="35" w:name="PhoneNo"/>
      <w:bookmarkEnd w:id="35"/>
    </w:tr>
    <w:tr w:rsidR="0059420B" w:rsidRPr="00CE7BC6" w14:paraId="0299A231" w14:textId="77777777" w:rsidTr="00F44F26">
      <w:tc>
        <w:tcPr>
          <w:tcW w:w="1526" w:type="dxa"/>
          <w:shd w:val="clear" w:color="auto" w:fill="auto"/>
        </w:tcPr>
        <w:p w14:paraId="35CBC438" w14:textId="77777777" w:rsidR="0059420B" w:rsidRPr="00CE7BC6" w:rsidRDefault="0059420B" w:rsidP="0059420B">
          <w:pPr>
            <w:pStyle w:val="FirstFooter"/>
            <w:tabs>
              <w:tab w:val="left" w:pos="1559"/>
              <w:tab w:val="left" w:pos="3828"/>
            </w:tabs>
            <w:rPr>
              <w:sz w:val="18"/>
              <w:szCs w:val="18"/>
              <w:lang w:val="en-US"/>
            </w:rPr>
          </w:pPr>
        </w:p>
      </w:tc>
      <w:tc>
        <w:tcPr>
          <w:tcW w:w="2410" w:type="dxa"/>
          <w:shd w:val="clear" w:color="auto" w:fill="auto"/>
        </w:tcPr>
        <w:p w14:paraId="65335E06" w14:textId="77777777" w:rsidR="0059420B" w:rsidRPr="00CE7BC6" w:rsidRDefault="0059420B" w:rsidP="0059420B">
          <w:pPr>
            <w:pStyle w:val="FirstFooter"/>
            <w:tabs>
              <w:tab w:val="left" w:pos="2302"/>
            </w:tabs>
            <w:rPr>
              <w:sz w:val="18"/>
              <w:szCs w:val="18"/>
              <w:lang w:val="en-US"/>
            </w:rPr>
          </w:pPr>
          <w:r w:rsidRPr="00CE7BC6">
            <w:rPr>
              <w:sz w:val="18"/>
              <w:szCs w:val="18"/>
              <w:lang w:val="en-US"/>
            </w:rPr>
            <w:t>E-mail:</w:t>
          </w:r>
        </w:p>
      </w:tc>
      <w:tc>
        <w:tcPr>
          <w:tcW w:w="5987" w:type="dxa"/>
        </w:tcPr>
        <w:p w14:paraId="7EAB0988" w14:textId="3B3F2E02" w:rsidR="0059420B" w:rsidRPr="00CE7BC6" w:rsidRDefault="00803D44" w:rsidP="0059420B">
          <w:pPr>
            <w:pStyle w:val="FirstFooter"/>
            <w:tabs>
              <w:tab w:val="left" w:pos="2302"/>
            </w:tabs>
            <w:rPr>
              <w:sz w:val="18"/>
              <w:szCs w:val="18"/>
              <w:lang w:val="en-US"/>
            </w:rPr>
          </w:pPr>
          <w:hyperlink r:id="rId1" w:history="1">
            <w:r w:rsidRPr="00CE7BC6">
              <w:rPr>
                <w:rStyle w:val="Hyperlink"/>
                <w:sz w:val="18"/>
                <w:szCs w:val="18"/>
                <w:lang w:val="en-US"/>
              </w:rPr>
              <w:t>thierry.geiger@itu.int</w:t>
            </w:r>
          </w:hyperlink>
          <w:r w:rsidRPr="00CE7BC6">
            <w:rPr>
              <w:sz w:val="18"/>
              <w:szCs w:val="18"/>
              <w:lang w:val="en-US"/>
            </w:rPr>
            <w:t xml:space="preserve"> </w:t>
          </w:r>
        </w:p>
      </w:tc>
      <w:bookmarkStart w:id="36" w:name="Email"/>
      <w:bookmarkEnd w:id="36"/>
    </w:tr>
  </w:tbl>
  <w:p w14:paraId="40A321D0" w14:textId="1C276101" w:rsidR="00721657" w:rsidRPr="00CE7BC6" w:rsidRDefault="00721657" w:rsidP="00030397">
    <w:pPr>
      <w:pStyle w:val="Footer"/>
      <w:jc w:val="center"/>
      <w:rPr>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7CE17" w14:textId="77777777" w:rsidR="00BF339A" w:rsidRDefault="00BF339A">
      <w:r>
        <w:t>____________________</w:t>
      </w:r>
    </w:p>
  </w:footnote>
  <w:footnote w:type="continuationSeparator" w:id="0">
    <w:p w14:paraId="1B7FCE1B" w14:textId="77777777" w:rsidR="00BF339A" w:rsidRDefault="00BF339A">
      <w:r>
        <w:continuationSeparator/>
      </w:r>
    </w:p>
  </w:footnote>
  <w:footnote w:type="continuationNotice" w:id="1">
    <w:p w14:paraId="14069FE3" w14:textId="77777777" w:rsidR="00BF339A" w:rsidRDefault="00BF339A">
      <w:pPr>
        <w:spacing w:before="0"/>
      </w:pPr>
    </w:p>
  </w:footnote>
  <w:footnote w:id="2">
    <w:p w14:paraId="67833FAC" w14:textId="05698514" w:rsidR="006C41B5" w:rsidRPr="008648EC" w:rsidRDefault="006C41B5" w:rsidP="00EF36CD">
      <w:pPr>
        <w:pStyle w:val="FootnoteText"/>
      </w:pPr>
      <w:r w:rsidRPr="008648EC">
        <w:rPr>
          <w:rStyle w:val="FootnoteReference"/>
        </w:rPr>
        <w:footnoteRef/>
      </w:r>
      <w:r w:rsidRPr="008648EC">
        <w:t xml:space="preserve"> </w:t>
      </w:r>
      <w:r w:rsidR="006458CD">
        <w:t>T</w:t>
      </w:r>
      <w:r w:rsidR="00622D93">
        <w:t>he ITU Arab States region (hereinafter Arab States)</w:t>
      </w:r>
      <w:r w:rsidR="006458CD">
        <w:t xml:space="preserve"> covers the </w:t>
      </w:r>
      <w:r w:rsidRPr="008648EC">
        <w:t xml:space="preserve">following 22 economies: Algeria, Bahrain, Comoros, Djibouti, Egypt, Iraq, Jordan, Kuwait, Lebanon, Libya, Mauritania, Morocco, Oman, Qatar, Saudi Arabia, Somalia, State of Palestine, Sudan, Syrian Arab Republic, Tunisia, United Arab Emirates, and Yemen. </w:t>
      </w:r>
    </w:p>
  </w:footnote>
  <w:footnote w:id="3">
    <w:p w14:paraId="312E91A3" w14:textId="6AA95CFC" w:rsidR="006C41B5" w:rsidRPr="007C1145" w:rsidRDefault="006C41B5" w:rsidP="006C41B5">
      <w:pPr>
        <w:pStyle w:val="FootnoteText"/>
      </w:pPr>
      <w:r w:rsidRPr="008648EC">
        <w:rPr>
          <w:rStyle w:val="FootnoteReference"/>
        </w:rPr>
        <w:footnoteRef/>
      </w:r>
      <w:r w:rsidRPr="008648EC">
        <w:t xml:space="preserve"> </w:t>
      </w:r>
      <w:r w:rsidRPr="007C1145">
        <w:t xml:space="preserve">ITU, ICT Regulatory Tracker, </w:t>
      </w:r>
      <w:hyperlink r:id="rId1" w:history="1">
        <w:r w:rsidRPr="007C1145">
          <w:rPr>
            <w:rStyle w:val="Hyperlink"/>
          </w:rPr>
          <w:t>gen5.digital</w:t>
        </w:r>
      </w:hyperlink>
      <w:r w:rsidR="007814AC" w:rsidRPr="007C1145">
        <w:t>.</w:t>
      </w:r>
    </w:p>
  </w:footnote>
  <w:footnote w:id="4">
    <w:p w14:paraId="6295E01F" w14:textId="3B1FC8C4" w:rsidR="006C41B5" w:rsidRPr="007C1145" w:rsidRDefault="006C41B5" w:rsidP="006C41B5">
      <w:pPr>
        <w:pStyle w:val="FootnoteText"/>
        <w:rPr>
          <w:lang w:val="de-DE"/>
        </w:rPr>
      </w:pPr>
      <w:r w:rsidRPr="008648EC">
        <w:rPr>
          <w:rStyle w:val="FootnoteReference"/>
        </w:rPr>
        <w:footnoteRef/>
      </w:r>
      <w:r w:rsidRPr="007C1145">
        <w:rPr>
          <w:lang w:val="de-DE"/>
        </w:rPr>
        <w:t xml:space="preserve"> ITU, G5 Benchmark 2023, </w:t>
      </w:r>
      <w:hyperlink r:id="rId2" w:history="1">
        <w:r w:rsidRPr="007C1145">
          <w:rPr>
            <w:rStyle w:val="Hyperlink"/>
            <w:lang w:val="de-DE"/>
          </w:rPr>
          <w:t>gen5.digital</w:t>
        </w:r>
      </w:hyperlink>
      <w:r w:rsidR="000D361E" w:rsidRPr="005F7253">
        <w:rPr>
          <w:lang w:val="de-DE"/>
        </w:rPr>
        <w:t>.</w:t>
      </w:r>
      <w:r w:rsidRPr="007C1145">
        <w:rPr>
          <w:lang w:val="de-DE"/>
        </w:rPr>
        <w:t xml:space="preserve"> </w:t>
      </w:r>
    </w:p>
  </w:footnote>
  <w:footnote w:id="5">
    <w:p w14:paraId="2AC3F129" w14:textId="3EEABBCE" w:rsidR="006C41B5" w:rsidRPr="000C120C" w:rsidRDefault="006C41B5" w:rsidP="006C41B5">
      <w:pPr>
        <w:pStyle w:val="FootnoteText"/>
        <w:rPr>
          <w:lang w:val="nl-NL"/>
        </w:rPr>
      </w:pPr>
      <w:r w:rsidRPr="008648EC">
        <w:rPr>
          <w:rStyle w:val="FootnoteReference"/>
        </w:rPr>
        <w:footnoteRef/>
      </w:r>
      <w:r w:rsidRPr="000C120C">
        <w:rPr>
          <w:lang w:val="nl-NL"/>
        </w:rPr>
        <w:t xml:space="preserve"> Idem</w:t>
      </w:r>
    </w:p>
  </w:footnote>
  <w:footnote w:id="6">
    <w:p w14:paraId="3A077AF3" w14:textId="51C8069B" w:rsidR="006C41B5" w:rsidRPr="007C1145" w:rsidRDefault="006C41B5" w:rsidP="006C41B5">
      <w:pPr>
        <w:pStyle w:val="FootnoteText"/>
      </w:pPr>
      <w:r w:rsidRPr="008648EC">
        <w:rPr>
          <w:rStyle w:val="FootnoteReference"/>
        </w:rPr>
        <w:footnoteRef/>
      </w:r>
      <w:r w:rsidRPr="008648EC">
        <w:t xml:space="preserve"> </w:t>
      </w:r>
      <w:r w:rsidRPr="007C1145">
        <w:t>Idem</w:t>
      </w:r>
    </w:p>
  </w:footnote>
  <w:footnote w:id="7">
    <w:p w14:paraId="4C0499F0" w14:textId="77777777" w:rsidR="006C41B5" w:rsidRPr="007C1145" w:rsidRDefault="006C41B5" w:rsidP="006C41B5">
      <w:pPr>
        <w:pStyle w:val="FootnoteText"/>
      </w:pPr>
      <w:r w:rsidRPr="008648EC">
        <w:rPr>
          <w:rStyle w:val="FootnoteReference"/>
        </w:rPr>
        <w:footnoteRef/>
      </w:r>
      <w:r w:rsidRPr="008648EC">
        <w:t xml:space="preserve"> </w:t>
      </w:r>
      <w:r w:rsidRPr="007C1145">
        <w:t>ITU, Global Digital Regulatory Outlook, 2023.</w:t>
      </w:r>
    </w:p>
  </w:footnote>
  <w:footnote w:id="8">
    <w:p w14:paraId="679267F9" w14:textId="77777777" w:rsidR="006C41B5" w:rsidRPr="007C1145" w:rsidRDefault="006C41B5" w:rsidP="006C41B5">
      <w:pPr>
        <w:pStyle w:val="FootnoteText"/>
      </w:pPr>
      <w:r w:rsidRPr="008648EC">
        <w:rPr>
          <w:rStyle w:val="FootnoteReference"/>
        </w:rPr>
        <w:footnoteRef/>
      </w:r>
      <w:r w:rsidRPr="008648EC">
        <w:t xml:space="preserve"> ITU, Benchmark of fifth-generation collaborative digital regulation 2023: Global and regional trends. </w:t>
      </w:r>
    </w:p>
  </w:footnote>
  <w:footnote w:id="9">
    <w:p w14:paraId="76ABA8D9" w14:textId="60A32286" w:rsidR="006C41B5" w:rsidRPr="008648EC" w:rsidRDefault="006C41B5" w:rsidP="006C41B5">
      <w:pPr>
        <w:pStyle w:val="FootnoteText"/>
      </w:pPr>
      <w:r w:rsidRPr="008648EC">
        <w:rPr>
          <w:rStyle w:val="FootnoteReference"/>
        </w:rPr>
        <w:footnoteRef/>
      </w:r>
      <w:r w:rsidRPr="008648EC">
        <w:t xml:space="preserve"> In this document, for </w:t>
      </w:r>
      <w:r w:rsidR="000D361E" w:rsidRPr="008648EC">
        <w:t>f</w:t>
      </w:r>
      <w:r w:rsidRPr="008648EC">
        <w:t xml:space="preserve">igures reporting economy-level data, all economies are shown, in alphabetical order. </w:t>
      </w:r>
      <w:r w:rsidR="000D361E" w:rsidRPr="008648EC">
        <w:t>D</w:t>
      </w:r>
      <w:r w:rsidRPr="008648EC">
        <w:t>ata point</w:t>
      </w:r>
      <w:r w:rsidR="000D361E" w:rsidRPr="008648EC">
        <w:t>s</w:t>
      </w:r>
      <w:r w:rsidRPr="008648EC">
        <w:t xml:space="preserve"> </w:t>
      </w:r>
      <w:r w:rsidR="000D361E" w:rsidRPr="008648EC">
        <w:t xml:space="preserve">are </w:t>
      </w:r>
      <w:r w:rsidRPr="008648EC">
        <w:t>shown for the year 2020 or later</w:t>
      </w:r>
      <w:r w:rsidR="000D361E" w:rsidRPr="008648EC">
        <w:t xml:space="preserve">. Where none is available, it is so </w:t>
      </w:r>
      <w:r w:rsidRPr="008648EC">
        <w:t>marked (</w:t>
      </w:r>
      <w:r w:rsidR="000D361E" w:rsidRPr="008648EC">
        <w:t>“</w:t>
      </w:r>
      <w:r w:rsidRPr="008648EC">
        <w:t>N/A</w:t>
      </w:r>
      <w:r w:rsidR="000D361E" w:rsidRPr="008648EC">
        <w:t>”</w:t>
      </w:r>
      <w:r w:rsidRPr="008648EC">
        <w:t xml:space="preserve">). In addition, a marker shows the data point for the year 2018, if available. Data are extracted from the </w:t>
      </w:r>
      <w:hyperlink r:id="rId3" w:history="1">
        <w:r w:rsidRPr="008648EC">
          <w:rPr>
            <w:rStyle w:val="Hyperlink"/>
          </w:rPr>
          <w:t>ITU DataHub</w:t>
        </w:r>
      </w:hyperlink>
      <w:r w:rsidRPr="008648EC">
        <w:t xml:space="preserve"> on 30 November 2024, based on the data release of end July 2024. Since country-level data are available for the year 2023 at best, for comparison purposes, the regional average for the year 2023 is reported as well, as published in </w:t>
      </w:r>
      <w:hyperlink r:id="rId4" w:history="1">
        <w:r w:rsidRPr="008648EC">
          <w:rPr>
            <w:rStyle w:val="Hyperlink"/>
          </w:rPr>
          <w:t>Facts and Figures 2024</w:t>
        </w:r>
      </w:hyperlink>
      <w:r w:rsidRPr="008648EC">
        <w:t xml:space="preserve">. To save space in these </w:t>
      </w:r>
      <w:r w:rsidR="000D361E" w:rsidRPr="008648EC">
        <w:t>f</w:t>
      </w:r>
      <w:r w:rsidRPr="008648EC">
        <w:t>igures, short names are used for the State of Palestine (Palestine), the Syrian Arab Republic (Syria) and the United Arab Emirates (UAE).</w:t>
      </w:r>
    </w:p>
  </w:footnote>
  <w:footnote w:id="10">
    <w:p w14:paraId="32799487" w14:textId="77777777" w:rsidR="006C41B5" w:rsidRPr="005B254D" w:rsidRDefault="006C41B5" w:rsidP="006C41B5">
      <w:pPr>
        <w:pStyle w:val="FootnoteText"/>
      </w:pPr>
      <w:r w:rsidRPr="008648EC">
        <w:rPr>
          <w:rStyle w:val="FootnoteReference"/>
        </w:rPr>
        <w:footnoteRef/>
      </w:r>
      <w:r w:rsidRPr="008648EC">
        <w:t xml:space="preserve"> The gender parity score is calculated as the proportion of women who use the Internet divided by the proportion of men who use the Internet. A value less than one indicates that men are more likely to use the Internet than women, while a value greater than one indicates the opposite. Gender parity is considered achieved if the value lies between 0.98 and 1.02.</w:t>
      </w:r>
    </w:p>
  </w:footnote>
  <w:footnote w:id="11">
    <w:p w14:paraId="7D43D715" w14:textId="18906EAD" w:rsidR="006C41B5" w:rsidRPr="008648EC" w:rsidRDefault="006C41B5" w:rsidP="006C41B5">
      <w:pPr>
        <w:pStyle w:val="FootnoteText"/>
      </w:pPr>
      <w:r w:rsidRPr="008648EC">
        <w:rPr>
          <w:rStyle w:val="FootnoteReference"/>
        </w:rPr>
        <w:footnoteRef/>
      </w:r>
      <w:r w:rsidRPr="008648EC">
        <w:t xml:space="preserve"> Due to </w:t>
      </w:r>
      <w:r w:rsidR="00E85994">
        <w:t xml:space="preserve">the </w:t>
      </w:r>
      <w:r w:rsidRPr="008648EC">
        <w:t xml:space="preserve">lack of data, it is not possible to compute estimates for Internet use by gender by country. Estimates are available only at the regional level. </w:t>
      </w:r>
    </w:p>
  </w:footnote>
  <w:footnote w:id="12">
    <w:p w14:paraId="5365F68B" w14:textId="15B7185B" w:rsidR="003E2A74" w:rsidRPr="008648EC" w:rsidRDefault="003E2A74" w:rsidP="003E2A74">
      <w:pPr>
        <w:pStyle w:val="FootnoteText"/>
      </w:pPr>
      <w:r w:rsidRPr="008648EC">
        <w:rPr>
          <w:rStyle w:val="FootnoteReference"/>
        </w:rPr>
        <w:footnoteRef/>
      </w:r>
      <w:r w:rsidRPr="008648EC">
        <w:t xml:space="preserve"> The State of Palestine is not an ITU Member State; the status of the State of Palestine in ITU is the subject of Resolution 99 (</w:t>
      </w:r>
      <w:r w:rsidR="002312FA">
        <w:t>Rev. Dubai, 2018</w:t>
      </w:r>
      <w:r w:rsidRPr="008648EC">
        <w:t>) of the ITU Plenipotentiary Conference.</w:t>
      </w:r>
    </w:p>
  </w:footnote>
  <w:footnote w:id="13">
    <w:p w14:paraId="391EFFD0" w14:textId="77777777" w:rsidR="006C41B5" w:rsidRPr="005E14BE" w:rsidRDefault="006C41B5" w:rsidP="006C41B5">
      <w:pPr>
        <w:pStyle w:val="FootnoteText"/>
      </w:pPr>
      <w:r>
        <w:rPr>
          <w:rStyle w:val="FootnoteReference"/>
        </w:rPr>
        <w:footnoteRef/>
      </w:r>
      <w:r>
        <w:t xml:space="preserve"> For a complete definition, see ISIC Rev. 4 class 61.</w:t>
      </w:r>
    </w:p>
  </w:footnote>
  <w:footnote w:id="14">
    <w:p w14:paraId="551542E3" w14:textId="0474A4B0" w:rsidR="006C41B5" w:rsidRPr="008648EC" w:rsidRDefault="006C41B5" w:rsidP="006C41B5">
      <w:pPr>
        <w:pStyle w:val="FootnoteText"/>
      </w:pPr>
      <w:r w:rsidRPr="008648EC">
        <w:rPr>
          <w:rStyle w:val="FootnoteReference"/>
        </w:rPr>
        <w:footnoteRef/>
      </w:r>
      <w:r w:rsidRPr="008648EC">
        <w:t xml:space="preserve"> Investment statistics collected by ITU refer to acquiring or upgrading property (including tangible assets such as plants and non-tangible assets such as computer software) and networks. Expenditure on research and development, annual fees for operating licences and the use of radio spectrum, and investment in telecommunication software or equipment for internal use are excluded.</w:t>
      </w:r>
    </w:p>
  </w:footnote>
  <w:footnote w:id="15">
    <w:p w14:paraId="2BB3F022" w14:textId="77777777" w:rsidR="006C41B5" w:rsidRPr="007F6AD2" w:rsidRDefault="006C41B5" w:rsidP="006C41B5">
      <w:pPr>
        <w:pStyle w:val="FootnoteText"/>
      </w:pPr>
      <w:r w:rsidRPr="008648EC">
        <w:rPr>
          <w:rStyle w:val="FootnoteReference"/>
        </w:rPr>
        <w:footnoteRef/>
      </w:r>
      <w:r w:rsidRPr="008648EC">
        <w:rPr>
          <w:sz w:val="16"/>
          <w:szCs w:val="16"/>
        </w:rPr>
        <w:t xml:space="preserve"> </w:t>
      </w:r>
      <w:r w:rsidRPr="00853BEA">
        <w:t>Somalia is not included in the three groups due to substantial differences in connectivity with others in the region.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96405" w14:textId="77777777" w:rsidR="001862A9" w:rsidRDefault="001862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4FE77" w14:textId="6D56FEE3" w:rsidR="00721657" w:rsidRPr="001D31BA" w:rsidRDefault="001D31BA" w:rsidP="001D31BA">
    <w:pPr>
      <w:tabs>
        <w:tab w:val="clear" w:pos="794"/>
        <w:tab w:val="clear" w:pos="1191"/>
        <w:tab w:val="clear" w:pos="1588"/>
        <w:tab w:val="clear" w:pos="1985"/>
        <w:tab w:val="center" w:pos="4820"/>
        <w:tab w:val="right" w:pos="10206"/>
      </w:tabs>
      <w:ind w:right="1"/>
      <w:rPr>
        <w:rStyle w:val="PageNumber"/>
        <w:smallCaps/>
        <w:spacing w:val="24"/>
        <w:sz w:val="22"/>
        <w:szCs w:val="22"/>
        <w:lang w:val="es-ES_tradnl"/>
      </w:rPr>
    </w:pPr>
    <w:r w:rsidRPr="004D495C">
      <w:rPr>
        <w:sz w:val="22"/>
        <w:szCs w:val="22"/>
      </w:rPr>
      <w:tab/>
    </w:r>
    <w:r w:rsidRPr="00FF089C">
      <w:rPr>
        <w:sz w:val="22"/>
        <w:szCs w:val="22"/>
        <w:lang w:val="es-ES_tradnl"/>
      </w:rPr>
      <w:t>ITU-D/</w:t>
    </w:r>
    <w:bookmarkStart w:id="32" w:name="DocRef2"/>
    <w:bookmarkEnd w:id="32"/>
    <w:r w:rsidRPr="00FF089C">
      <w:rPr>
        <w:sz w:val="22"/>
        <w:szCs w:val="22"/>
        <w:lang w:val="es-ES_tradnl"/>
      </w:rPr>
      <w:t>RPM-</w:t>
    </w:r>
    <w:r w:rsidR="004D3A06">
      <w:rPr>
        <w:sz w:val="22"/>
        <w:szCs w:val="22"/>
        <w:lang w:val="es-ES_tradnl"/>
      </w:rPr>
      <w:t>ARB</w:t>
    </w:r>
    <w:r>
      <w:rPr>
        <w:sz w:val="22"/>
        <w:szCs w:val="22"/>
        <w:lang w:val="es-ES_tradnl"/>
      </w:rPr>
      <w:t>25</w:t>
    </w:r>
    <w:r w:rsidRPr="00FF089C">
      <w:rPr>
        <w:sz w:val="22"/>
        <w:szCs w:val="22"/>
        <w:lang w:val="es-ES_tradnl"/>
      </w:rPr>
      <w:t>/</w:t>
    </w:r>
    <w:bookmarkStart w:id="33" w:name="DocNo2"/>
    <w:bookmarkEnd w:id="33"/>
    <w:r w:rsidR="001862A9">
      <w:rPr>
        <w:sz w:val="22"/>
        <w:szCs w:val="22"/>
        <w:lang w:val="es-ES_tradnl"/>
      </w:rPr>
      <w:t>3</w:t>
    </w:r>
    <w:r w:rsidR="00CE7BC6">
      <w:rPr>
        <w:sz w:val="22"/>
        <w:szCs w:val="22"/>
        <w:lang w:val="es-ES_tradnl"/>
      </w:rPr>
      <w:t>(Rev.2)</w:t>
    </w:r>
    <w:r w:rsidRPr="00FF089C">
      <w:rPr>
        <w:sz w:val="22"/>
        <w:szCs w:val="22"/>
        <w:lang w:val="es-ES_tradnl"/>
      </w:rPr>
      <w:t>-E</w:t>
    </w:r>
    <w:r w:rsidRPr="00FF089C">
      <w:rPr>
        <w:sz w:val="22"/>
        <w:szCs w:val="22"/>
        <w:lang w:val="es-ES_tradnl"/>
      </w:rPr>
      <w:tab/>
      <w:t xml:space="preserve">Page </w:t>
    </w:r>
    <w:r w:rsidRPr="004D495C">
      <w:rPr>
        <w:sz w:val="22"/>
        <w:szCs w:val="22"/>
      </w:rPr>
      <w:fldChar w:fldCharType="begin"/>
    </w:r>
    <w:r w:rsidRPr="00FF089C">
      <w:rPr>
        <w:sz w:val="22"/>
        <w:szCs w:val="22"/>
        <w:lang w:val="es-ES_tradnl"/>
      </w:rPr>
      <w:instrText xml:space="preserve"> PAGE </w:instrText>
    </w:r>
    <w:r w:rsidRPr="004D495C">
      <w:rPr>
        <w:sz w:val="22"/>
        <w:szCs w:val="22"/>
      </w:rPr>
      <w:fldChar w:fldCharType="separate"/>
    </w:r>
    <w:r w:rsidRPr="005346F7">
      <w:rPr>
        <w:sz w:val="22"/>
        <w:szCs w:val="22"/>
        <w:lang w:val="pt-BR"/>
      </w:rPr>
      <w:t>2</w:t>
    </w:r>
    <w:r w:rsidRPr="004D495C">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338A2" w14:textId="77777777" w:rsidR="001862A9" w:rsidRDefault="001862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5907"/>
    <w:multiLevelType w:val="multilevel"/>
    <w:tmpl w:val="7A2ED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96D4E"/>
    <w:multiLevelType w:val="hybridMultilevel"/>
    <w:tmpl w:val="3374359A"/>
    <w:lvl w:ilvl="0" w:tplc="C610FBF4">
      <w:start w:val="1"/>
      <w:numFmt w:val="bullet"/>
      <w:lvlText w:val=""/>
      <w:lvlJc w:val="left"/>
      <w:pPr>
        <w:ind w:left="1020" w:hanging="360"/>
      </w:pPr>
      <w:rPr>
        <w:rFonts w:ascii="Symbol" w:hAnsi="Symbol"/>
      </w:rPr>
    </w:lvl>
    <w:lvl w:ilvl="1" w:tplc="691CAD06">
      <w:start w:val="1"/>
      <w:numFmt w:val="bullet"/>
      <w:lvlText w:val=""/>
      <w:lvlJc w:val="left"/>
      <w:pPr>
        <w:ind w:left="1020" w:hanging="360"/>
      </w:pPr>
      <w:rPr>
        <w:rFonts w:ascii="Symbol" w:hAnsi="Symbol"/>
      </w:rPr>
    </w:lvl>
    <w:lvl w:ilvl="2" w:tplc="6868E694">
      <w:start w:val="1"/>
      <w:numFmt w:val="bullet"/>
      <w:lvlText w:val=""/>
      <w:lvlJc w:val="left"/>
      <w:pPr>
        <w:ind w:left="1020" w:hanging="360"/>
      </w:pPr>
      <w:rPr>
        <w:rFonts w:ascii="Symbol" w:hAnsi="Symbol"/>
      </w:rPr>
    </w:lvl>
    <w:lvl w:ilvl="3" w:tplc="6D6A1ECA">
      <w:start w:val="1"/>
      <w:numFmt w:val="bullet"/>
      <w:lvlText w:val=""/>
      <w:lvlJc w:val="left"/>
      <w:pPr>
        <w:ind w:left="1020" w:hanging="360"/>
      </w:pPr>
      <w:rPr>
        <w:rFonts w:ascii="Symbol" w:hAnsi="Symbol"/>
      </w:rPr>
    </w:lvl>
    <w:lvl w:ilvl="4" w:tplc="6C5EB502">
      <w:start w:val="1"/>
      <w:numFmt w:val="bullet"/>
      <w:lvlText w:val=""/>
      <w:lvlJc w:val="left"/>
      <w:pPr>
        <w:ind w:left="1020" w:hanging="360"/>
      </w:pPr>
      <w:rPr>
        <w:rFonts w:ascii="Symbol" w:hAnsi="Symbol"/>
      </w:rPr>
    </w:lvl>
    <w:lvl w:ilvl="5" w:tplc="8A5E985A">
      <w:start w:val="1"/>
      <w:numFmt w:val="bullet"/>
      <w:lvlText w:val=""/>
      <w:lvlJc w:val="left"/>
      <w:pPr>
        <w:ind w:left="1020" w:hanging="360"/>
      </w:pPr>
      <w:rPr>
        <w:rFonts w:ascii="Symbol" w:hAnsi="Symbol"/>
      </w:rPr>
    </w:lvl>
    <w:lvl w:ilvl="6" w:tplc="39BC6026">
      <w:start w:val="1"/>
      <w:numFmt w:val="bullet"/>
      <w:lvlText w:val=""/>
      <w:lvlJc w:val="left"/>
      <w:pPr>
        <w:ind w:left="1020" w:hanging="360"/>
      </w:pPr>
      <w:rPr>
        <w:rFonts w:ascii="Symbol" w:hAnsi="Symbol"/>
      </w:rPr>
    </w:lvl>
    <w:lvl w:ilvl="7" w:tplc="F95A8A26">
      <w:start w:val="1"/>
      <w:numFmt w:val="bullet"/>
      <w:lvlText w:val=""/>
      <w:lvlJc w:val="left"/>
      <w:pPr>
        <w:ind w:left="1020" w:hanging="360"/>
      </w:pPr>
      <w:rPr>
        <w:rFonts w:ascii="Symbol" w:hAnsi="Symbol"/>
      </w:rPr>
    </w:lvl>
    <w:lvl w:ilvl="8" w:tplc="7938B9F2">
      <w:start w:val="1"/>
      <w:numFmt w:val="bullet"/>
      <w:lvlText w:val=""/>
      <w:lvlJc w:val="left"/>
      <w:pPr>
        <w:ind w:left="1020" w:hanging="360"/>
      </w:pPr>
      <w:rPr>
        <w:rFonts w:ascii="Symbol" w:hAnsi="Symbol"/>
      </w:rPr>
    </w:lvl>
  </w:abstractNum>
  <w:abstractNum w:abstractNumId="2" w15:restartNumberingAfterBreak="0">
    <w:nsid w:val="0AEC2226"/>
    <w:multiLevelType w:val="hybridMultilevel"/>
    <w:tmpl w:val="8104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33113"/>
    <w:multiLevelType w:val="hybridMultilevel"/>
    <w:tmpl w:val="ABA8D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B4EEA"/>
    <w:multiLevelType w:val="hybridMultilevel"/>
    <w:tmpl w:val="F5EE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55DF2"/>
    <w:multiLevelType w:val="hybridMultilevel"/>
    <w:tmpl w:val="CC0C8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73CB2"/>
    <w:multiLevelType w:val="multilevel"/>
    <w:tmpl w:val="8490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0D3087"/>
    <w:multiLevelType w:val="hybridMultilevel"/>
    <w:tmpl w:val="C6705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2E204F"/>
    <w:multiLevelType w:val="multilevel"/>
    <w:tmpl w:val="82661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3D1A11"/>
    <w:multiLevelType w:val="hybridMultilevel"/>
    <w:tmpl w:val="812C1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F90A0A"/>
    <w:multiLevelType w:val="hybridMultilevel"/>
    <w:tmpl w:val="A3044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002390"/>
    <w:multiLevelType w:val="hybridMultilevel"/>
    <w:tmpl w:val="FEA83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184A05"/>
    <w:multiLevelType w:val="multilevel"/>
    <w:tmpl w:val="A74C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0C44FD"/>
    <w:multiLevelType w:val="hybridMultilevel"/>
    <w:tmpl w:val="9C667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BD6800"/>
    <w:multiLevelType w:val="hybridMultilevel"/>
    <w:tmpl w:val="31D8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383A04"/>
    <w:multiLevelType w:val="multilevel"/>
    <w:tmpl w:val="B8B23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93366C0"/>
    <w:multiLevelType w:val="hybridMultilevel"/>
    <w:tmpl w:val="58FE7E0C"/>
    <w:lvl w:ilvl="0" w:tplc="3694506A">
      <w:start w:val="1"/>
      <w:numFmt w:val="bullet"/>
      <w:lvlText w:val=""/>
      <w:lvlJc w:val="left"/>
      <w:pPr>
        <w:ind w:left="1020" w:hanging="360"/>
      </w:pPr>
      <w:rPr>
        <w:rFonts w:ascii="Symbol" w:hAnsi="Symbol"/>
      </w:rPr>
    </w:lvl>
    <w:lvl w:ilvl="1" w:tplc="40ECF334">
      <w:start w:val="1"/>
      <w:numFmt w:val="bullet"/>
      <w:lvlText w:val=""/>
      <w:lvlJc w:val="left"/>
      <w:pPr>
        <w:ind w:left="1020" w:hanging="360"/>
      </w:pPr>
      <w:rPr>
        <w:rFonts w:ascii="Symbol" w:hAnsi="Symbol"/>
      </w:rPr>
    </w:lvl>
    <w:lvl w:ilvl="2" w:tplc="CD12AE32">
      <w:start w:val="1"/>
      <w:numFmt w:val="bullet"/>
      <w:lvlText w:val=""/>
      <w:lvlJc w:val="left"/>
      <w:pPr>
        <w:ind w:left="1020" w:hanging="360"/>
      </w:pPr>
      <w:rPr>
        <w:rFonts w:ascii="Symbol" w:hAnsi="Symbol"/>
      </w:rPr>
    </w:lvl>
    <w:lvl w:ilvl="3" w:tplc="435ECFC4">
      <w:start w:val="1"/>
      <w:numFmt w:val="bullet"/>
      <w:lvlText w:val=""/>
      <w:lvlJc w:val="left"/>
      <w:pPr>
        <w:ind w:left="1020" w:hanging="360"/>
      </w:pPr>
      <w:rPr>
        <w:rFonts w:ascii="Symbol" w:hAnsi="Symbol"/>
      </w:rPr>
    </w:lvl>
    <w:lvl w:ilvl="4" w:tplc="28F47298">
      <w:start w:val="1"/>
      <w:numFmt w:val="bullet"/>
      <w:lvlText w:val=""/>
      <w:lvlJc w:val="left"/>
      <w:pPr>
        <w:ind w:left="1020" w:hanging="360"/>
      </w:pPr>
      <w:rPr>
        <w:rFonts w:ascii="Symbol" w:hAnsi="Symbol"/>
      </w:rPr>
    </w:lvl>
    <w:lvl w:ilvl="5" w:tplc="ABD8FEA8">
      <w:start w:val="1"/>
      <w:numFmt w:val="bullet"/>
      <w:lvlText w:val=""/>
      <w:lvlJc w:val="left"/>
      <w:pPr>
        <w:ind w:left="1020" w:hanging="360"/>
      </w:pPr>
      <w:rPr>
        <w:rFonts w:ascii="Symbol" w:hAnsi="Symbol"/>
      </w:rPr>
    </w:lvl>
    <w:lvl w:ilvl="6" w:tplc="1038B760">
      <w:start w:val="1"/>
      <w:numFmt w:val="bullet"/>
      <w:lvlText w:val=""/>
      <w:lvlJc w:val="left"/>
      <w:pPr>
        <w:ind w:left="1020" w:hanging="360"/>
      </w:pPr>
      <w:rPr>
        <w:rFonts w:ascii="Symbol" w:hAnsi="Symbol"/>
      </w:rPr>
    </w:lvl>
    <w:lvl w:ilvl="7" w:tplc="73CCBBD0">
      <w:start w:val="1"/>
      <w:numFmt w:val="bullet"/>
      <w:lvlText w:val=""/>
      <w:lvlJc w:val="left"/>
      <w:pPr>
        <w:ind w:left="1020" w:hanging="360"/>
      </w:pPr>
      <w:rPr>
        <w:rFonts w:ascii="Symbol" w:hAnsi="Symbol"/>
      </w:rPr>
    </w:lvl>
    <w:lvl w:ilvl="8" w:tplc="95DA569E">
      <w:start w:val="1"/>
      <w:numFmt w:val="bullet"/>
      <w:lvlText w:val=""/>
      <w:lvlJc w:val="left"/>
      <w:pPr>
        <w:ind w:left="1020" w:hanging="360"/>
      </w:pPr>
      <w:rPr>
        <w:rFonts w:ascii="Symbol" w:hAnsi="Symbol"/>
      </w:rPr>
    </w:lvl>
  </w:abstractNum>
  <w:abstractNum w:abstractNumId="17" w15:restartNumberingAfterBreak="0">
    <w:nsid w:val="4E3B68E1"/>
    <w:multiLevelType w:val="hybridMultilevel"/>
    <w:tmpl w:val="C2BC2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4F2E6BE8"/>
    <w:multiLevelType w:val="multilevel"/>
    <w:tmpl w:val="E83A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0" w15:restartNumberingAfterBreak="0">
    <w:nsid w:val="5C382357"/>
    <w:multiLevelType w:val="hybridMultilevel"/>
    <w:tmpl w:val="4538FC12"/>
    <w:lvl w:ilvl="0" w:tplc="F766AB0A">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5B5972"/>
    <w:multiLevelType w:val="hybridMultilevel"/>
    <w:tmpl w:val="44504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BC1D1B"/>
    <w:multiLevelType w:val="hybridMultilevel"/>
    <w:tmpl w:val="8F6EE0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0167203"/>
    <w:multiLevelType w:val="multilevel"/>
    <w:tmpl w:val="6A640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BFD6E94"/>
    <w:multiLevelType w:val="hybridMultilevel"/>
    <w:tmpl w:val="EB80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3808767">
    <w:abstractNumId w:val="19"/>
  </w:num>
  <w:num w:numId="2" w16cid:durableId="1011488485">
    <w:abstractNumId w:val="3"/>
  </w:num>
  <w:num w:numId="3" w16cid:durableId="379672316">
    <w:abstractNumId w:val="23"/>
  </w:num>
  <w:num w:numId="4" w16cid:durableId="916474732">
    <w:abstractNumId w:val="13"/>
  </w:num>
  <w:num w:numId="5" w16cid:durableId="2130976733">
    <w:abstractNumId w:val="5"/>
  </w:num>
  <w:num w:numId="6" w16cid:durableId="2086758874">
    <w:abstractNumId w:val="6"/>
  </w:num>
  <w:num w:numId="7" w16cid:durableId="77137904">
    <w:abstractNumId w:val="1"/>
  </w:num>
  <w:num w:numId="8" w16cid:durableId="716323517">
    <w:abstractNumId w:val="16"/>
  </w:num>
  <w:num w:numId="9" w16cid:durableId="1225752095">
    <w:abstractNumId w:val="11"/>
  </w:num>
  <w:num w:numId="10" w16cid:durableId="883297556">
    <w:abstractNumId w:val="15"/>
  </w:num>
  <w:num w:numId="11" w16cid:durableId="442192808">
    <w:abstractNumId w:val="0"/>
  </w:num>
  <w:num w:numId="12" w16cid:durableId="1424957440">
    <w:abstractNumId w:val="22"/>
  </w:num>
  <w:num w:numId="13" w16cid:durableId="701516163">
    <w:abstractNumId w:val="8"/>
  </w:num>
  <w:num w:numId="14" w16cid:durableId="2094156602">
    <w:abstractNumId w:val="10"/>
  </w:num>
  <w:num w:numId="15" w16cid:durableId="1488085533">
    <w:abstractNumId w:val="17"/>
  </w:num>
  <w:num w:numId="16" w16cid:durableId="279066685">
    <w:abstractNumId w:val="14"/>
  </w:num>
  <w:num w:numId="17" w16cid:durableId="1044404833">
    <w:abstractNumId w:val="20"/>
  </w:num>
  <w:num w:numId="18" w16cid:durableId="742020862">
    <w:abstractNumId w:val="4"/>
  </w:num>
  <w:num w:numId="19" w16cid:durableId="1496990626">
    <w:abstractNumId w:val="18"/>
  </w:num>
  <w:num w:numId="20" w16cid:durableId="1870334765">
    <w:abstractNumId w:val="24"/>
  </w:num>
  <w:num w:numId="21" w16cid:durableId="623275208">
    <w:abstractNumId w:val="2"/>
  </w:num>
  <w:num w:numId="22" w16cid:durableId="1001547698">
    <w:abstractNumId w:val="21"/>
  </w:num>
  <w:num w:numId="23" w16cid:durableId="626356522">
    <w:abstractNumId w:val="7"/>
  </w:num>
  <w:num w:numId="24" w16cid:durableId="1719889230">
    <w:abstractNumId w:val="9"/>
  </w:num>
  <w:num w:numId="25" w16cid:durableId="136803954">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iesen, Eduard">
    <w15:presenceInfo w15:providerId="AD" w15:userId="S::eduard.friesen@itu.int::d405ca32-ad47-4df4-be20-5e47a2012f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C43"/>
    <w:rsid w:val="00000DBC"/>
    <w:rsid w:val="000018FC"/>
    <w:rsid w:val="00002716"/>
    <w:rsid w:val="00003C43"/>
    <w:rsid w:val="00004130"/>
    <w:rsid w:val="00004CCE"/>
    <w:rsid w:val="00005791"/>
    <w:rsid w:val="00010827"/>
    <w:rsid w:val="00010CD7"/>
    <w:rsid w:val="00011174"/>
    <w:rsid w:val="00011247"/>
    <w:rsid w:val="00012242"/>
    <w:rsid w:val="0001449F"/>
    <w:rsid w:val="00015089"/>
    <w:rsid w:val="00021196"/>
    <w:rsid w:val="00023B1F"/>
    <w:rsid w:val="00023E87"/>
    <w:rsid w:val="0002520B"/>
    <w:rsid w:val="000262D6"/>
    <w:rsid w:val="000269DE"/>
    <w:rsid w:val="000278FE"/>
    <w:rsid w:val="00030397"/>
    <w:rsid w:val="00034E35"/>
    <w:rsid w:val="00036B28"/>
    <w:rsid w:val="00037A9E"/>
    <w:rsid w:val="00037BAD"/>
    <w:rsid w:val="00037F91"/>
    <w:rsid w:val="00041352"/>
    <w:rsid w:val="0004287F"/>
    <w:rsid w:val="000438B0"/>
    <w:rsid w:val="00044970"/>
    <w:rsid w:val="00046AFE"/>
    <w:rsid w:val="00046F89"/>
    <w:rsid w:val="000539F1"/>
    <w:rsid w:val="00053DB2"/>
    <w:rsid w:val="0005416C"/>
    <w:rsid w:val="00054747"/>
    <w:rsid w:val="00055A2A"/>
    <w:rsid w:val="000578CF"/>
    <w:rsid w:val="000615C1"/>
    <w:rsid w:val="00061675"/>
    <w:rsid w:val="00061B3C"/>
    <w:rsid w:val="00062A82"/>
    <w:rsid w:val="0006609E"/>
    <w:rsid w:val="000743AA"/>
    <w:rsid w:val="00076893"/>
    <w:rsid w:val="000808E9"/>
    <w:rsid w:val="00080D1B"/>
    <w:rsid w:val="00084F9C"/>
    <w:rsid w:val="000875A5"/>
    <w:rsid w:val="0009076F"/>
    <w:rsid w:val="0009225C"/>
    <w:rsid w:val="00093B37"/>
    <w:rsid w:val="00094033"/>
    <w:rsid w:val="00095184"/>
    <w:rsid w:val="00096051"/>
    <w:rsid w:val="00096C9A"/>
    <w:rsid w:val="000A17C4"/>
    <w:rsid w:val="000A36A4"/>
    <w:rsid w:val="000A5B3B"/>
    <w:rsid w:val="000A6654"/>
    <w:rsid w:val="000A6B18"/>
    <w:rsid w:val="000B0EED"/>
    <w:rsid w:val="000B2352"/>
    <w:rsid w:val="000C0244"/>
    <w:rsid w:val="000C0F64"/>
    <w:rsid w:val="000C120C"/>
    <w:rsid w:val="000C3AC5"/>
    <w:rsid w:val="000C3C27"/>
    <w:rsid w:val="000C6BEE"/>
    <w:rsid w:val="000C7B84"/>
    <w:rsid w:val="000D060A"/>
    <w:rsid w:val="000D0C83"/>
    <w:rsid w:val="000D261B"/>
    <w:rsid w:val="000D361E"/>
    <w:rsid w:val="000D58A3"/>
    <w:rsid w:val="000E0476"/>
    <w:rsid w:val="000E174E"/>
    <w:rsid w:val="000E2A09"/>
    <w:rsid w:val="000E396E"/>
    <w:rsid w:val="000E3ED4"/>
    <w:rsid w:val="000E3F9C"/>
    <w:rsid w:val="000E67EC"/>
    <w:rsid w:val="000E6ECB"/>
    <w:rsid w:val="000F1550"/>
    <w:rsid w:val="000F251B"/>
    <w:rsid w:val="000F4C58"/>
    <w:rsid w:val="000F5FE8"/>
    <w:rsid w:val="000F6644"/>
    <w:rsid w:val="00100833"/>
    <w:rsid w:val="0010124E"/>
    <w:rsid w:val="001013C4"/>
    <w:rsid w:val="00102F72"/>
    <w:rsid w:val="001042B1"/>
    <w:rsid w:val="001071A0"/>
    <w:rsid w:val="00107E85"/>
    <w:rsid w:val="00110B67"/>
    <w:rsid w:val="00113EE8"/>
    <w:rsid w:val="0011455A"/>
    <w:rsid w:val="001148EF"/>
    <w:rsid w:val="00114A65"/>
    <w:rsid w:val="0011614D"/>
    <w:rsid w:val="001161EA"/>
    <w:rsid w:val="00120B05"/>
    <w:rsid w:val="00121637"/>
    <w:rsid w:val="00121846"/>
    <w:rsid w:val="00122C86"/>
    <w:rsid w:val="00126E2D"/>
    <w:rsid w:val="001270E5"/>
    <w:rsid w:val="0013247F"/>
    <w:rsid w:val="00133061"/>
    <w:rsid w:val="00133B02"/>
    <w:rsid w:val="0013591E"/>
    <w:rsid w:val="00141699"/>
    <w:rsid w:val="0014215D"/>
    <w:rsid w:val="00143978"/>
    <w:rsid w:val="00144724"/>
    <w:rsid w:val="00147000"/>
    <w:rsid w:val="00160631"/>
    <w:rsid w:val="00160AA5"/>
    <w:rsid w:val="00160DB2"/>
    <w:rsid w:val="00162A26"/>
    <w:rsid w:val="00163091"/>
    <w:rsid w:val="001645CB"/>
    <w:rsid w:val="00165B3D"/>
    <w:rsid w:val="00166305"/>
    <w:rsid w:val="00167545"/>
    <w:rsid w:val="001678D2"/>
    <w:rsid w:val="001703C6"/>
    <w:rsid w:val="00173781"/>
    <w:rsid w:val="00173AD6"/>
    <w:rsid w:val="00175ADF"/>
    <w:rsid w:val="00175CAE"/>
    <w:rsid w:val="00177236"/>
    <w:rsid w:val="00181E19"/>
    <w:rsid w:val="001828DB"/>
    <w:rsid w:val="00184382"/>
    <w:rsid w:val="001850FE"/>
    <w:rsid w:val="00185135"/>
    <w:rsid w:val="0018591C"/>
    <w:rsid w:val="00185ADC"/>
    <w:rsid w:val="001862A9"/>
    <w:rsid w:val="0019037C"/>
    <w:rsid w:val="001905A9"/>
    <w:rsid w:val="00191273"/>
    <w:rsid w:val="0019303F"/>
    <w:rsid w:val="001942A7"/>
    <w:rsid w:val="0019587B"/>
    <w:rsid w:val="0019595E"/>
    <w:rsid w:val="001962A1"/>
    <w:rsid w:val="001A01ED"/>
    <w:rsid w:val="001A163D"/>
    <w:rsid w:val="001A21CE"/>
    <w:rsid w:val="001A441E"/>
    <w:rsid w:val="001A4D23"/>
    <w:rsid w:val="001A4D29"/>
    <w:rsid w:val="001A6733"/>
    <w:rsid w:val="001B0E5F"/>
    <w:rsid w:val="001B206C"/>
    <w:rsid w:val="001B357F"/>
    <w:rsid w:val="001B75D9"/>
    <w:rsid w:val="001B7621"/>
    <w:rsid w:val="001C3444"/>
    <w:rsid w:val="001C3702"/>
    <w:rsid w:val="001C4656"/>
    <w:rsid w:val="001C46BC"/>
    <w:rsid w:val="001C5B08"/>
    <w:rsid w:val="001C5B4D"/>
    <w:rsid w:val="001C71A4"/>
    <w:rsid w:val="001D17A2"/>
    <w:rsid w:val="001D1E06"/>
    <w:rsid w:val="001D31BA"/>
    <w:rsid w:val="001D4A7A"/>
    <w:rsid w:val="001D556B"/>
    <w:rsid w:val="001D597A"/>
    <w:rsid w:val="001D78F1"/>
    <w:rsid w:val="001E490A"/>
    <w:rsid w:val="001E5D41"/>
    <w:rsid w:val="001F23E6"/>
    <w:rsid w:val="001F41C2"/>
    <w:rsid w:val="001F4238"/>
    <w:rsid w:val="001F7121"/>
    <w:rsid w:val="00200A38"/>
    <w:rsid w:val="00200A46"/>
    <w:rsid w:val="002026CF"/>
    <w:rsid w:val="00202B2D"/>
    <w:rsid w:val="00204EDD"/>
    <w:rsid w:val="00207F0B"/>
    <w:rsid w:val="00210B58"/>
    <w:rsid w:val="00211AA5"/>
    <w:rsid w:val="00211B6F"/>
    <w:rsid w:val="00212572"/>
    <w:rsid w:val="00213821"/>
    <w:rsid w:val="00215DF9"/>
    <w:rsid w:val="002171B3"/>
    <w:rsid w:val="00217CC3"/>
    <w:rsid w:val="0022019A"/>
    <w:rsid w:val="00220AB6"/>
    <w:rsid w:val="0022120F"/>
    <w:rsid w:val="00223385"/>
    <w:rsid w:val="002252FE"/>
    <w:rsid w:val="0022754A"/>
    <w:rsid w:val="00227D2C"/>
    <w:rsid w:val="00231014"/>
    <w:rsid w:val="002312FA"/>
    <w:rsid w:val="00232A60"/>
    <w:rsid w:val="002358E5"/>
    <w:rsid w:val="002361CE"/>
    <w:rsid w:val="00236560"/>
    <w:rsid w:val="0023662E"/>
    <w:rsid w:val="002429EA"/>
    <w:rsid w:val="00245D0F"/>
    <w:rsid w:val="002548C3"/>
    <w:rsid w:val="00256D42"/>
    <w:rsid w:val="00257ACD"/>
    <w:rsid w:val="00262908"/>
    <w:rsid w:val="00262E7A"/>
    <w:rsid w:val="002650F4"/>
    <w:rsid w:val="00270D6D"/>
    <w:rsid w:val="002715FD"/>
    <w:rsid w:val="00275C4B"/>
    <w:rsid w:val="002770B1"/>
    <w:rsid w:val="00285B33"/>
    <w:rsid w:val="00287A3C"/>
    <w:rsid w:val="0029117A"/>
    <w:rsid w:val="00293506"/>
    <w:rsid w:val="0029646A"/>
    <w:rsid w:val="002A15CD"/>
    <w:rsid w:val="002A2FC6"/>
    <w:rsid w:val="002A6316"/>
    <w:rsid w:val="002B1BF4"/>
    <w:rsid w:val="002B417A"/>
    <w:rsid w:val="002B63DC"/>
    <w:rsid w:val="002C07E2"/>
    <w:rsid w:val="002C1EC7"/>
    <w:rsid w:val="002C3015"/>
    <w:rsid w:val="002C4342"/>
    <w:rsid w:val="002C4E00"/>
    <w:rsid w:val="002C526D"/>
    <w:rsid w:val="002C7EA3"/>
    <w:rsid w:val="002D0346"/>
    <w:rsid w:val="002D20AE"/>
    <w:rsid w:val="002D223D"/>
    <w:rsid w:val="002D37EB"/>
    <w:rsid w:val="002D6C61"/>
    <w:rsid w:val="002E2104"/>
    <w:rsid w:val="002E2DAC"/>
    <w:rsid w:val="002E6963"/>
    <w:rsid w:val="002E6F8F"/>
    <w:rsid w:val="002F05D8"/>
    <w:rsid w:val="002F0FEA"/>
    <w:rsid w:val="002F2DE0"/>
    <w:rsid w:val="002F3162"/>
    <w:rsid w:val="002F5B42"/>
    <w:rsid w:val="002F5E25"/>
    <w:rsid w:val="0030353C"/>
    <w:rsid w:val="0030676A"/>
    <w:rsid w:val="00307769"/>
    <w:rsid w:val="003107C4"/>
    <w:rsid w:val="003125C3"/>
    <w:rsid w:val="00312AE6"/>
    <w:rsid w:val="003137B6"/>
    <w:rsid w:val="00317D1A"/>
    <w:rsid w:val="003211FF"/>
    <w:rsid w:val="00322E82"/>
    <w:rsid w:val="003242AB"/>
    <w:rsid w:val="00327247"/>
    <w:rsid w:val="00327A9D"/>
    <w:rsid w:val="0033130E"/>
    <w:rsid w:val="003322FA"/>
    <w:rsid w:val="0033269C"/>
    <w:rsid w:val="003443C1"/>
    <w:rsid w:val="003454D2"/>
    <w:rsid w:val="003455B6"/>
    <w:rsid w:val="00347489"/>
    <w:rsid w:val="00351BD8"/>
    <w:rsid w:val="00351C79"/>
    <w:rsid w:val="003539FE"/>
    <w:rsid w:val="0035516C"/>
    <w:rsid w:val="00355742"/>
    <w:rsid w:val="00355A4C"/>
    <w:rsid w:val="003604FB"/>
    <w:rsid w:val="00360B73"/>
    <w:rsid w:val="00363172"/>
    <w:rsid w:val="0036494A"/>
    <w:rsid w:val="003673F2"/>
    <w:rsid w:val="0037681D"/>
    <w:rsid w:val="00380B71"/>
    <w:rsid w:val="003825D9"/>
    <w:rsid w:val="0038365A"/>
    <w:rsid w:val="00386A89"/>
    <w:rsid w:val="003876D2"/>
    <w:rsid w:val="0039110F"/>
    <w:rsid w:val="00391B26"/>
    <w:rsid w:val="00394891"/>
    <w:rsid w:val="0039648E"/>
    <w:rsid w:val="003A50D0"/>
    <w:rsid w:val="003A5AFE"/>
    <w:rsid w:val="003A5D5F"/>
    <w:rsid w:val="003A7FFE"/>
    <w:rsid w:val="003B0A51"/>
    <w:rsid w:val="003B0A63"/>
    <w:rsid w:val="003B0FB9"/>
    <w:rsid w:val="003B1163"/>
    <w:rsid w:val="003B2E43"/>
    <w:rsid w:val="003B3E19"/>
    <w:rsid w:val="003B50E1"/>
    <w:rsid w:val="003B7653"/>
    <w:rsid w:val="003C1746"/>
    <w:rsid w:val="003C1DDF"/>
    <w:rsid w:val="003C2AA9"/>
    <w:rsid w:val="003C3CEB"/>
    <w:rsid w:val="003C58BF"/>
    <w:rsid w:val="003D3634"/>
    <w:rsid w:val="003D451D"/>
    <w:rsid w:val="003D7FA5"/>
    <w:rsid w:val="003E2A74"/>
    <w:rsid w:val="003E3A76"/>
    <w:rsid w:val="003E717C"/>
    <w:rsid w:val="003F0C65"/>
    <w:rsid w:val="003F2DD8"/>
    <w:rsid w:val="003F3F2D"/>
    <w:rsid w:val="003F50B2"/>
    <w:rsid w:val="003F770D"/>
    <w:rsid w:val="00400CCF"/>
    <w:rsid w:val="00401BFF"/>
    <w:rsid w:val="00402013"/>
    <w:rsid w:val="004032B8"/>
    <w:rsid w:val="004039F4"/>
    <w:rsid w:val="004042F9"/>
    <w:rsid w:val="00404424"/>
    <w:rsid w:val="0041156B"/>
    <w:rsid w:val="004122C5"/>
    <w:rsid w:val="00413B78"/>
    <w:rsid w:val="004146FD"/>
    <w:rsid w:val="00416DDE"/>
    <w:rsid w:val="00417BBD"/>
    <w:rsid w:val="004213E1"/>
    <w:rsid w:val="00422F75"/>
    <w:rsid w:val="0042326C"/>
    <w:rsid w:val="00423E08"/>
    <w:rsid w:val="00437E92"/>
    <w:rsid w:val="0044411E"/>
    <w:rsid w:val="004476C2"/>
    <w:rsid w:val="00447C97"/>
    <w:rsid w:val="00447E6E"/>
    <w:rsid w:val="00451435"/>
    <w:rsid w:val="00453435"/>
    <w:rsid w:val="004554CC"/>
    <w:rsid w:val="00455E25"/>
    <w:rsid w:val="00456D9D"/>
    <w:rsid w:val="00460089"/>
    <w:rsid w:val="00460B1C"/>
    <w:rsid w:val="00466398"/>
    <w:rsid w:val="0046679D"/>
    <w:rsid w:val="004712A4"/>
    <w:rsid w:val="00471D31"/>
    <w:rsid w:val="0047306D"/>
    <w:rsid w:val="00473791"/>
    <w:rsid w:val="00476E48"/>
    <w:rsid w:val="00481DE9"/>
    <w:rsid w:val="00482C12"/>
    <w:rsid w:val="0049128B"/>
    <w:rsid w:val="00493B49"/>
    <w:rsid w:val="00495501"/>
    <w:rsid w:val="004A070A"/>
    <w:rsid w:val="004A2336"/>
    <w:rsid w:val="004A2A97"/>
    <w:rsid w:val="004A320E"/>
    <w:rsid w:val="004A4E9C"/>
    <w:rsid w:val="004B1A3C"/>
    <w:rsid w:val="004B1C60"/>
    <w:rsid w:val="004B286B"/>
    <w:rsid w:val="004C5D0B"/>
    <w:rsid w:val="004D00CF"/>
    <w:rsid w:val="004D0861"/>
    <w:rsid w:val="004D2CC3"/>
    <w:rsid w:val="004D35CB"/>
    <w:rsid w:val="004D3A06"/>
    <w:rsid w:val="004D5070"/>
    <w:rsid w:val="004D7DAB"/>
    <w:rsid w:val="004E20E5"/>
    <w:rsid w:val="004E64EA"/>
    <w:rsid w:val="004E7828"/>
    <w:rsid w:val="004F212B"/>
    <w:rsid w:val="004F46AA"/>
    <w:rsid w:val="004F6A70"/>
    <w:rsid w:val="005003D0"/>
    <w:rsid w:val="00500AD7"/>
    <w:rsid w:val="00502ABF"/>
    <w:rsid w:val="00504DB0"/>
    <w:rsid w:val="005061E6"/>
    <w:rsid w:val="005064EC"/>
    <w:rsid w:val="005078A4"/>
    <w:rsid w:val="00507C35"/>
    <w:rsid w:val="00507DB0"/>
    <w:rsid w:val="00510735"/>
    <w:rsid w:val="00511FF3"/>
    <w:rsid w:val="005132BB"/>
    <w:rsid w:val="00513435"/>
    <w:rsid w:val="00513E86"/>
    <w:rsid w:val="00514D2F"/>
    <w:rsid w:val="005163E6"/>
    <w:rsid w:val="005169F9"/>
    <w:rsid w:val="00516A23"/>
    <w:rsid w:val="005223CA"/>
    <w:rsid w:val="00524620"/>
    <w:rsid w:val="00525A99"/>
    <w:rsid w:val="005315BF"/>
    <w:rsid w:val="00532AFE"/>
    <w:rsid w:val="0053331B"/>
    <w:rsid w:val="005346F7"/>
    <w:rsid w:val="005375BD"/>
    <w:rsid w:val="00541831"/>
    <w:rsid w:val="0054420E"/>
    <w:rsid w:val="00544212"/>
    <w:rsid w:val="0054499A"/>
    <w:rsid w:val="00544D1B"/>
    <w:rsid w:val="00545DC0"/>
    <w:rsid w:val="00545F6C"/>
    <w:rsid w:val="005477D9"/>
    <w:rsid w:val="00550EB2"/>
    <w:rsid w:val="00554436"/>
    <w:rsid w:val="00557194"/>
    <w:rsid w:val="0055720C"/>
    <w:rsid w:val="00561796"/>
    <w:rsid w:val="0056262D"/>
    <w:rsid w:val="00563230"/>
    <w:rsid w:val="005632DD"/>
    <w:rsid w:val="00563F4A"/>
    <w:rsid w:val="0056423B"/>
    <w:rsid w:val="00566BDC"/>
    <w:rsid w:val="00567009"/>
    <w:rsid w:val="005676EA"/>
    <w:rsid w:val="005725CB"/>
    <w:rsid w:val="00573424"/>
    <w:rsid w:val="0057402F"/>
    <w:rsid w:val="0057583C"/>
    <w:rsid w:val="00577801"/>
    <w:rsid w:val="00580EB4"/>
    <w:rsid w:val="00581653"/>
    <w:rsid w:val="00581DDE"/>
    <w:rsid w:val="005849D6"/>
    <w:rsid w:val="00585367"/>
    <w:rsid w:val="0058628F"/>
    <w:rsid w:val="00586BBA"/>
    <w:rsid w:val="005871A1"/>
    <w:rsid w:val="0058737E"/>
    <w:rsid w:val="00592518"/>
    <w:rsid w:val="00592E87"/>
    <w:rsid w:val="0059420B"/>
    <w:rsid w:val="00594C4D"/>
    <w:rsid w:val="005A0518"/>
    <w:rsid w:val="005A33B0"/>
    <w:rsid w:val="005A406D"/>
    <w:rsid w:val="005A4AB8"/>
    <w:rsid w:val="005A6DE3"/>
    <w:rsid w:val="005B107C"/>
    <w:rsid w:val="005B2295"/>
    <w:rsid w:val="005B254D"/>
    <w:rsid w:val="005B55A9"/>
    <w:rsid w:val="005B7930"/>
    <w:rsid w:val="005C2DC2"/>
    <w:rsid w:val="005C304A"/>
    <w:rsid w:val="005C3D69"/>
    <w:rsid w:val="005C44FE"/>
    <w:rsid w:val="005C5BFB"/>
    <w:rsid w:val="005C7C98"/>
    <w:rsid w:val="005D2C3A"/>
    <w:rsid w:val="005D55A4"/>
    <w:rsid w:val="005D57C8"/>
    <w:rsid w:val="005D7761"/>
    <w:rsid w:val="005E0278"/>
    <w:rsid w:val="005E090D"/>
    <w:rsid w:val="005E23A4"/>
    <w:rsid w:val="005E36DF"/>
    <w:rsid w:val="005E3CA0"/>
    <w:rsid w:val="005E44B1"/>
    <w:rsid w:val="005E67B0"/>
    <w:rsid w:val="005E7047"/>
    <w:rsid w:val="005E777F"/>
    <w:rsid w:val="005F1CA7"/>
    <w:rsid w:val="005F416A"/>
    <w:rsid w:val="005F43DD"/>
    <w:rsid w:val="005F51A9"/>
    <w:rsid w:val="005F6BE1"/>
    <w:rsid w:val="005F7253"/>
    <w:rsid w:val="005F7416"/>
    <w:rsid w:val="00600C11"/>
    <w:rsid w:val="006022D1"/>
    <w:rsid w:val="00603AF2"/>
    <w:rsid w:val="00606B89"/>
    <w:rsid w:val="00611EAF"/>
    <w:rsid w:val="00615FBB"/>
    <w:rsid w:val="00616E88"/>
    <w:rsid w:val="00616F29"/>
    <w:rsid w:val="00617735"/>
    <w:rsid w:val="00622D93"/>
    <w:rsid w:val="00623F30"/>
    <w:rsid w:val="00624B44"/>
    <w:rsid w:val="006253E4"/>
    <w:rsid w:val="00625FB8"/>
    <w:rsid w:val="006261BD"/>
    <w:rsid w:val="0062707B"/>
    <w:rsid w:val="006308CB"/>
    <w:rsid w:val="00633DEA"/>
    <w:rsid w:val="00635EDB"/>
    <w:rsid w:val="0063757B"/>
    <w:rsid w:val="006378A1"/>
    <w:rsid w:val="00637900"/>
    <w:rsid w:val="00642C3C"/>
    <w:rsid w:val="00644785"/>
    <w:rsid w:val="006458CD"/>
    <w:rsid w:val="0064734E"/>
    <w:rsid w:val="00650137"/>
    <w:rsid w:val="0065093A"/>
    <w:rsid w:val="006509D7"/>
    <w:rsid w:val="00651927"/>
    <w:rsid w:val="00651CE8"/>
    <w:rsid w:val="0065322F"/>
    <w:rsid w:val="0065401A"/>
    <w:rsid w:val="00654941"/>
    <w:rsid w:val="0065521B"/>
    <w:rsid w:val="006602B3"/>
    <w:rsid w:val="00664612"/>
    <w:rsid w:val="00664F8C"/>
    <w:rsid w:val="0067047D"/>
    <w:rsid w:val="00670A89"/>
    <w:rsid w:val="00671AF7"/>
    <w:rsid w:val="00671EF6"/>
    <w:rsid w:val="0067205B"/>
    <w:rsid w:val="006748F8"/>
    <w:rsid w:val="0067501C"/>
    <w:rsid w:val="00680489"/>
    <w:rsid w:val="00682D66"/>
    <w:rsid w:val="00683C32"/>
    <w:rsid w:val="00685EC4"/>
    <w:rsid w:val="006860C4"/>
    <w:rsid w:val="00690BB2"/>
    <w:rsid w:val="00693D09"/>
    <w:rsid w:val="0069537D"/>
    <w:rsid w:val="006962B3"/>
    <w:rsid w:val="006A0C66"/>
    <w:rsid w:val="006A4882"/>
    <w:rsid w:val="006A6549"/>
    <w:rsid w:val="006A7710"/>
    <w:rsid w:val="006A7A61"/>
    <w:rsid w:val="006B1E59"/>
    <w:rsid w:val="006B2FFB"/>
    <w:rsid w:val="006B503E"/>
    <w:rsid w:val="006B6FBF"/>
    <w:rsid w:val="006B7320"/>
    <w:rsid w:val="006C075B"/>
    <w:rsid w:val="006C10A2"/>
    <w:rsid w:val="006C1F18"/>
    <w:rsid w:val="006C41B5"/>
    <w:rsid w:val="006C6179"/>
    <w:rsid w:val="006D2428"/>
    <w:rsid w:val="006D40D5"/>
    <w:rsid w:val="006D4EA0"/>
    <w:rsid w:val="006D601B"/>
    <w:rsid w:val="006D6945"/>
    <w:rsid w:val="006D6BF2"/>
    <w:rsid w:val="006D7F06"/>
    <w:rsid w:val="006E3E1B"/>
    <w:rsid w:val="006E7B99"/>
    <w:rsid w:val="006F009A"/>
    <w:rsid w:val="006F24AF"/>
    <w:rsid w:val="006F3D93"/>
    <w:rsid w:val="006F3DF5"/>
    <w:rsid w:val="006F3E1D"/>
    <w:rsid w:val="006F50B2"/>
    <w:rsid w:val="0070064C"/>
    <w:rsid w:val="00700BBD"/>
    <w:rsid w:val="00700E65"/>
    <w:rsid w:val="007019B1"/>
    <w:rsid w:val="007019CD"/>
    <w:rsid w:val="007036DC"/>
    <w:rsid w:val="00705BEA"/>
    <w:rsid w:val="00706440"/>
    <w:rsid w:val="0071703D"/>
    <w:rsid w:val="00717E13"/>
    <w:rsid w:val="0072017B"/>
    <w:rsid w:val="00721657"/>
    <w:rsid w:val="00724A7B"/>
    <w:rsid w:val="00726A5C"/>
    <w:rsid w:val="0072774E"/>
    <w:rsid w:val="007279A8"/>
    <w:rsid w:val="00727B1A"/>
    <w:rsid w:val="00741337"/>
    <w:rsid w:val="00742747"/>
    <w:rsid w:val="00744EF2"/>
    <w:rsid w:val="007453C9"/>
    <w:rsid w:val="0075152E"/>
    <w:rsid w:val="00752258"/>
    <w:rsid w:val="007529E1"/>
    <w:rsid w:val="007553D5"/>
    <w:rsid w:val="00761F14"/>
    <w:rsid w:val="0076272A"/>
    <w:rsid w:val="00762880"/>
    <w:rsid w:val="00762AD6"/>
    <w:rsid w:val="00762E02"/>
    <w:rsid w:val="00764DB2"/>
    <w:rsid w:val="00770108"/>
    <w:rsid w:val="00772290"/>
    <w:rsid w:val="00772FED"/>
    <w:rsid w:val="0077524C"/>
    <w:rsid w:val="00776DA4"/>
    <w:rsid w:val="00777013"/>
    <w:rsid w:val="00777265"/>
    <w:rsid w:val="00777AF4"/>
    <w:rsid w:val="007805E7"/>
    <w:rsid w:val="007814AC"/>
    <w:rsid w:val="0078222A"/>
    <w:rsid w:val="00782B39"/>
    <w:rsid w:val="00784700"/>
    <w:rsid w:val="00784AB3"/>
    <w:rsid w:val="00787D48"/>
    <w:rsid w:val="00790640"/>
    <w:rsid w:val="00795294"/>
    <w:rsid w:val="00796831"/>
    <w:rsid w:val="007A1985"/>
    <w:rsid w:val="007A43E0"/>
    <w:rsid w:val="007A4E50"/>
    <w:rsid w:val="007A657F"/>
    <w:rsid w:val="007B18A7"/>
    <w:rsid w:val="007B250E"/>
    <w:rsid w:val="007B5109"/>
    <w:rsid w:val="007B6C9F"/>
    <w:rsid w:val="007C1145"/>
    <w:rsid w:val="007C27FC"/>
    <w:rsid w:val="007C51FF"/>
    <w:rsid w:val="007D14A1"/>
    <w:rsid w:val="007D50E4"/>
    <w:rsid w:val="007D7438"/>
    <w:rsid w:val="007E2DC5"/>
    <w:rsid w:val="007E33F9"/>
    <w:rsid w:val="007E3AA5"/>
    <w:rsid w:val="007E5CB5"/>
    <w:rsid w:val="007F1691"/>
    <w:rsid w:val="007F1CC7"/>
    <w:rsid w:val="007F3595"/>
    <w:rsid w:val="007F6AD2"/>
    <w:rsid w:val="007F6C86"/>
    <w:rsid w:val="0080087B"/>
    <w:rsid w:val="00801847"/>
    <w:rsid w:val="008027AC"/>
    <w:rsid w:val="008028CE"/>
    <w:rsid w:val="00802C99"/>
    <w:rsid w:val="0080332E"/>
    <w:rsid w:val="00803D44"/>
    <w:rsid w:val="008047DC"/>
    <w:rsid w:val="008136A8"/>
    <w:rsid w:val="008136E9"/>
    <w:rsid w:val="008141E0"/>
    <w:rsid w:val="0081557B"/>
    <w:rsid w:val="008166A5"/>
    <w:rsid w:val="008166F1"/>
    <w:rsid w:val="00816EE1"/>
    <w:rsid w:val="00816F88"/>
    <w:rsid w:val="00821996"/>
    <w:rsid w:val="00822323"/>
    <w:rsid w:val="0082579A"/>
    <w:rsid w:val="0082604B"/>
    <w:rsid w:val="00826A3E"/>
    <w:rsid w:val="00827BC6"/>
    <w:rsid w:val="008300AD"/>
    <w:rsid w:val="00833024"/>
    <w:rsid w:val="0083647A"/>
    <w:rsid w:val="00837109"/>
    <w:rsid w:val="00837254"/>
    <w:rsid w:val="00841300"/>
    <w:rsid w:val="008419B1"/>
    <w:rsid w:val="008421CD"/>
    <w:rsid w:val="0084463D"/>
    <w:rsid w:val="00844A56"/>
    <w:rsid w:val="00845B11"/>
    <w:rsid w:val="00850745"/>
    <w:rsid w:val="00851F20"/>
    <w:rsid w:val="00852081"/>
    <w:rsid w:val="00853BEA"/>
    <w:rsid w:val="0085635B"/>
    <w:rsid w:val="0086423D"/>
    <w:rsid w:val="008648EC"/>
    <w:rsid w:val="00872B6E"/>
    <w:rsid w:val="00874568"/>
    <w:rsid w:val="00874DFD"/>
    <w:rsid w:val="008802F9"/>
    <w:rsid w:val="00881B9C"/>
    <w:rsid w:val="008826FE"/>
    <w:rsid w:val="00883086"/>
    <w:rsid w:val="008879FD"/>
    <w:rsid w:val="008917D8"/>
    <w:rsid w:val="00894C37"/>
    <w:rsid w:val="008A00EA"/>
    <w:rsid w:val="008A15C2"/>
    <w:rsid w:val="008A3F93"/>
    <w:rsid w:val="008A6236"/>
    <w:rsid w:val="008A6E1C"/>
    <w:rsid w:val="008A72FD"/>
    <w:rsid w:val="008B2EDF"/>
    <w:rsid w:val="008B47C7"/>
    <w:rsid w:val="008B54CB"/>
    <w:rsid w:val="008B5A3D"/>
    <w:rsid w:val="008C0160"/>
    <w:rsid w:val="008C073A"/>
    <w:rsid w:val="008C2B9D"/>
    <w:rsid w:val="008C3818"/>
    <w:rsid w:val="008C3973"/>
    <w:rsid w:val="008C4010"/>
    <w:rsid w:val="008C4FDF"/>
    <w:rsid w:val="008C6B1F"/>
    <w:rsid w:val="008C7A35"/>
    <w:rsid w:val="008D1CCB"/>
    <w:rsid w:val="008D4B77"/>
    <w:rsid w:val="008D4EB9"/>
    <w:rsid w:val="008D5E4F"/>
    <w:rsid w:val="008D620A"/>
    <w:rsid w:val="008D7530"/>
    <w:rsid w:val="008E1997"/>
    <w:rsid w:val="008E34F0"/>
    <w:rsid w:val="008F14F5"/>
    <w:rsid w:val="008F21AF"/>
    <w:rsid w:val="008F2FC9"/>
    <w:rsid w:val="008F37EC"/>
    <w:rsid w:val="008F71C1"/>
    <w:rsid w:val="008F7311"/>
    <w:rsid w:val="00902D41"/>
    <w:rsid w:val="00902F49"/>
    <w:rsid w:val="00904230"/>
    <w:rsid w:val="00906163"/>
    <w:rsid w:val="00911A86"/>
    <w:rsid w:val="009126DE"/>
    <w:rsid w:val="00914004"/>
    <w:rsid w:val="00922CD9"/>
    <w:rsid w:val="00922EC1"/>
    <w:rsid w:val="00923CF1"/>
    <w:rsid w:val="00924B4F"/>
    <w:rsid w:val="009301F1"/>
    <w:rsid w:val="009307DF"/>
    <w:rsid w:val="00932A40"/>
    <w:rsid w:val="009359B8"/>
    <w:rsid w:val="00935FF0"/>
    <w:rsid w:val="009404EA"/>
    <w:rsid w:val="009431F8"/>
    <w:rsid w:val="00947A35"/>
    <w:rsid w:val="00951D26"/>
    <w:rsid w:val="00952667"/>
    <w:rsid w:val="009533DC"/>
    <w:rsid w:val="00953AEF"/>
    <w:rsid w:val="0095780A"/>
    <w:rsid w:val="0096201B"/>
    <w:rsid w:val="00962081"/>
    <w:rsid w:val="009644D0"/>
    <w:rsid w:val="00964E18"/>
    <w:rsid w:val="0096588C"/>
    <w:rsid w:val="00966CB5"/>
    <w:rsid w:val="00966FD7"/>
    <w:rsid w:val="00971516"/>
    <w:rsid w:val="00975786"/>
    <w:rsid w:val="009766DF"/>
    <w:rsid w:val="00981CB7"/>
    <w:rsid w:val="00982DEE"/>
    <w:rsid w:val="00983E1F"/>
    <w:rsid w:val="009842AD"/>
    <w:rsid w:val="0099245B"/>
    <w:rsid w:val="00992C25"/>
    <w:rsid w:val="009936FC"/>
    <w:rsid w:val="00993F46"/>
    <w:rsid w:val="00997358"/>
    <w:rsid w:val="009A452B"/>
    <w:rsid w:val="009B050C"/>
    <w:rsid w:val="009B087F"/>
    <w:rsid w:val="009B2AF4"/>
    <w:rsid w:val="009B4AC8"/>
    <w:rsid w:val="009C110B"/>
    <w:rsid w:val="009C4637"/>
    <w:rsid w:val="009C5441"/>
    <w:rsid w:val="009C6F15"/>
    <w:rsid w:val="009D119F"/>
    <w:rsid w:val="009D49A2"/>
    <w:rsid w:val="009D6367"/>
    <w:rsid w:val="009D6902"/>
    <w:rsid w:val="009D6CE0"/>
    <w:rsid w:val="009F0EE8"/>
    <w:rsid w:val="009F3940"/>
    <w:rsid w:val="009F3EB2"/>
    <w:rsid w:val="009F419F"/>
    <w:rsid w:val="009F6AA8"/>
    <w:rsid w:val="009F6EB1"/>
    <w:rsid w:val="00A1087D"/>
    <w:rsid w:val="00A1156B"/>
    <w:rsid w:val="00A11D05"/>
    <w:rsid w:val="00A13162"/>
    <w:rsid w:val="00A16BC5"/>
    <w:rsid w:val="00A16EA7"/>
    <w:rsid w:val="00A176D9"/>
    <w:rsid w:val="00A17747"/>
    <w:rsid w:val="00A20267"/>
    <w:rsid w:val="00A20327"/>
    <w:rsid w:val="00A20858"/>
    <w:rsid w:val="00A27BE0"/>
    <w:rsid w:val="00A27D41"/>
    <w:rsid w:val="00A3158C"/>
    <w:rsid w:val="00A32DF3"/>
    <w:rsid w:val="00A33E32"/>
    <w:rsid w:val="00A358D5"/>
    <w:rsid w:val="00A35E20"/>
    <w:rsid w:val="00A36F6D"/>
    <w:rsid w:val="00A44552"/>
    <w:rsid w:val="00A50CA0"/>
    <w:rsid w:val="00A525CC"/>
    <w:rsid w:val="00A52635"/>
    <w:rsid w:val="00A53E7C"/>
    <w:rsid w:val="00A560F9"/>
    <w:rsid w:val="00A60087"/>
    <w:rsid w:val="00A6106E"/>
    <w:rsid w:val="00A61182"/>
    <w:rsid w:val="00A702B0"/>
    <w:rsid w:val="00A705E8"/>
    <w:rsid w:val="00A71DF5"/>
    <w:rsid w:val="00A721F4"/>
    <w:rsid w:val="00A84C0C"/>
    <w:rsid w:val="00A9392C"/>
    <w:rsid w:val="00A9462B"/>
    <w:rsid w:val="00A97D59"/>
    <w:rsid w:val="00AA3E09"/>
    <w:rsid w:val="00AA4BEF"/>
    <w:rsid w:val="00AA596F"/>
    <w:rsid w:val="00AA7413"/>
    <w:rsid w:val="00AA7CE6"/>
    <w:rsid w:val="00AB03B0"/>
    <w:rsid w:val="00AB1659"/>
    <w:rsid w:val="00AB4962"/>
    <w:rsid w:val="00AB5127"/>
    <w:rsid w:val="00AB64AC"/>
    <w:rsid w:val="00AB734E"/>
    <w:rsid w:val="00AB740F"/>
    <w:rsid w:val="00AC0585"/>
    <w:rsid w:val="00AC230D"/>
    <w:rsid w:val="00AC6F14"/>
    <w:rsid w:val="00AC7221"/>
    <w:rsid w:val="00AD37FE"/>
    <w:rsid w:val="00AD3FDD"/>
    <w:rsid w:val="00AD4677"/>
    <w:rsid w:val="00AD479D"/>
    <w:rsid w:val="00AD7992"/>
    <w:rsid w:val="00AE450A"/>
    <w:rsid w:val="00AE5961"/>
    <w:rsid w:val="00AF0745"/>
    <w:rsid w:val="00AF4971"/>
    <w:rsid w:val="00AF5178"/>
    <w:rsid w:val="00AF5276"/>
    <w:rsid w:val="00AF7286"/>
    <w:rsid w:val="00AF7C86"/>
    <w:rsid w:val="00B01046"/>
    <w:rsid w:val="00B01293"/>
    <w:rsid w:val="00B12913"/>
    <w:rsid w:val="00B143A4"/>
    <w:rsid w:val="00B22F90"/>
    <w:rsid w:val="00B27AE7"/>
    <w:rsid w:val="00B30400"/>
    <w:rsid w:val="00B310F9"/>
    <w:rsid w:val="00B36EBD"/>
    <w:rsid w:val="00B37866"/>
    <w:rsid w:val="00B412FB"/>
    <w:rsid w:val="00B421B5"/>
    <w:rsid w:val="00B43365"/>
    <w:rsid w:val="00B43B8B"/>
    <w:rsid w:val="00B44BBE"/>
    <w:rsid w:val="00B4576B"/>
    <w:rsid w:val="00B46350"/>
    <w:rsid w:val="00B46949"/>
    <w:rsid w:val="00B46DF3"/>
    <w:rsid w:val="00B4717D"/>
    <w:rsid w:val="00B55619"/>
    <w:rsid w:val="00B5794F"/>
    <w:rsid w:val="00B603FA"/>
    <w:rsid w:val="00B60D90"/>
    <w:rsid w:val="00B61AF3"/>
    <w:rsid w:val="00B64269"/>
    <w:rsid w:val="00B648C7"/>
    <w:rsid w:val="00B66E8F"/>
    <w:rsid w:val="00B736B7"/>
    <w:rsid w:val="00B75BB1"/>
    <w:rsid w:val="00B77265"/>
    <w:rsid w:val="00B80157"/>
    <w:rsid w:val="00B810E4"/>
    <w:rsid w:val="00B81DC7"/>
    <w:rsid w:val="00B83D5E"/>
    <w:rsid w:val="00B8460A"/>
    <w:rsid w:val="00B8650D"/>
    <w:rsid w:val="00B879B4"/>
    <w:rsid w:val="00B90F07"/>
    <w:rsid w:val="00B947AC"/>
    <w:rsid w:val="00B94937"/>
    <w:rsid w:val="00B97BB9"/>
    <w:rsid w:val="00BA0009"/>
    <w:rsid w:val="00BA4A64"/>
    <w:rsid w:val="00BA6E4B"/>
    <w:rsid w:val="00BA76AB"/>
    <w:rsid w:val="00BB02B5"/>
    <w:rsid w:val="00BB1863"/>
    <w:rsid w:val="00BB25EE"/>
    <w:rsid w:val="00BB363A"/>
    <w:rsid w:val="00BB5C9A"/>
    <w:rsid w:val="00BC10A0"/>
    <w:rsid w:val="00BC59C4"/>
    <w:rsid w:val="00BC75E6"/>
    <w:rsid w:val="00BC7BA2"/>
    <w:rsid w:val="00BD426B"/>
    <w:rsid w:val="00BD5633"/>
    <w:rsid w:val="00BD6987"/>
    <w:rsid w:val="00BD79F0"/>
    <w:rsid w:val="00BE0CEB"/>
    <w:rsid w:val="00BE114F"/>
    <w:rsid w:val="00BE2B4D"/>
    <w:rsid w:val="00BE33B2"/>
    <w:rsid w:val="00BE5C2F"/>
    <w:rsid w:val="00BE6451"/>
    <w:rsid w:val="00BF1164"/>
    <w:rsid w:val="00BF2347"/>
    <w:rsid w:val="00BF2AA9"/>
    <w:rsid w:val="00BF31F7"/>
    <w:rsid w:val="00BF339A"/>
    <w:rsid w:val="00C015F8"/>
    <w:rsid w:val="00C01ED7"/>
    <w:rsid w:val="00C02851"/>
    <w:rsid w:val="00C02C2A"/>
    <w:rsid w:val="00C02FA7"/>
    <w:rsid w:val="00C04181"/>
    <w:rsid w:val="00C07E26"/>
    <w:rsid w:val="00C1011C"/>
    <w:rsid w:val="00C103CF"/>
    <w:rsid w:val="00C12ED4"/>
    <w:rsid w:val="00C12F94"/>
    <w:rsid w:val="00C160EB"/>
    <w:rsid w:val="00C177C5"/>
    <w:rsid w:val="00C232B8"/>
    <w:rsid w:val="00C26CF4"/>
    <w:rsid w:val="00C27666"/>
    <w:rsid w:val="00C30CC0"/>
    <w:rsid w:val="00C3440C"/>
    <w:rsid w:val="00C34EC3"/>
    <w:rsid w:val="00C361C1"/>
    <w:rsid w:val="00C361D7"/>
    <w:rsid w:val="00C36C79"/>
    <w:rsid w:val="00C4038C"/>
    <w:rsid w:val="00C41017"/>
    <w:rsid w:val="00C42BA2"/>
    <w:rsid w:val="00C44066"/>
    <w:rsid w:val="00C44E13"/>
    <w:rsid w:val="00C50751"/>
    <w:rsid w:val="00C54D2F"/>
    <w:rsid w:val="00C568FA"/>
    <w:rsid w:val="00C60A41"/>
    <w:rsid w:val="00C6160C"/>
    <w:rsid w:val="00C61EC7"/>
    <w:rsid w:val="00C62DE8"/>
    <w:rsid w:val="00C62DFB"/>
    <w:rsid w:val="00C630E6"/>
    <w:rsid w:val="00C63812"/>
    <w:rsid w:val="00C64AF3"/>
    <w:rsid w:val="00C66F4D"/>
    <w:rsid w:val="00C6721D"/>
    <w:rsid w:val="00C678C9"/>
    <w:rsid w:val="00C67BB5"/>
    <w:rsid w:val="00C71032"/>
    <w:rsid w:val="00C72713"/>
    <w:rsid w:val="00C7313F"/>
    <w:rsid w:val="00C74255"/>
    <w:rsid w:val="00C76618"/>
    <w:rsid w:val="00C775FD"/>
    <w:rsid w:val="00C80AFD"/>
    <w:rsid w:val="00C848EF"/>
    <w:rsid w:val="00C86600"/>
    <w:rsid w:val="00C87BCA"/>
    <w:rsid w:val="00C87EED"/>
    <w:rsid w:val="00C94506"/>
    <w:rsid w:val="00C954BC"/>
    <w:rsid w:val="00CA0998"/>
    <w:rsid w:val="00CA1F0B"/>
    <w:rsid w:val="00CA5213"/>
    <w:rsid w:val="00CB110F"/>
    <w:rsid w:val="00CB2A2E"/>
    <w:rsid w:val="00CB338A"/>
    <w:rsid w:val="00CB5438"/>
    <w:rsid w:val="00CB75EF"/>
    <w:rsid w:val="00CB79C5"/>
    <w:rsid w:val="00CC17E9"/>
    <w:rsid w:val="00CC411F"/>
    <w:rsid w:val="00CC4B75"/>
    <w:rsid w:val="00CC732E"/>
    <w:rsid w:val="00CD1092"/>
    <w:rsid w:val="00CD2A98"/>
    <w:rsid w:val="00CD2FCD"/>
    <w:rsid w:val="00CD324E"/>
    <w:rsid w:val="00CD50C5"/>
    <w:rsid w:val="00CD7207"/>
    <w:rsid w:val="00CE0422"/>
    <w:rsid w:val="00CE0DBD"/>
    <w:rsid w:val="00CE0DBE"/>
    <w:rsid w:val="00CE5052"/>
    <w:rsid w:val="00CE5E4D"/>
    <w:rsid w:val="00CE6BDC"/>
    <w:rsid w:val="00CE7BC6"/>
    <w:rsid w:val="00CF02C4"/>
    <w:rsid w:val="00CF167F"/>
    <w:rsid w:val="00CF1C51"/>
    <w:rsid w:val="00CF3288"/>
    <w:rsid w:val="00CF374F"/>
    <w:rsid w:val="00CF6F1E"/>
    <w:rsid w:val="00CF72E5"/>
    <w:rsid w:val="00D013EE"/>
    <w:rsid w:val="00D01F54"/>
    <w:rsid w:val="00D022D2"/>
    <w:rsid w:val="00D040F7"/>
    <w:rsid w:val="00D04A76"/>
    <w:rsid w:val="00D07E2B"/>
    <w:rsid w:val="00D10FC7"/>
    <w:rsid w:val="00D1432D"/>
    <w:rsid w:val="00D14DC2"/>
    <w:rsid w:val="00D1519F"/>
    <w:rsid w:val="00D1703C"/>
    <w:rsid w:val="00D17420"/>
    <w:rsid w:val="00D20E99"/>
    <w:rsid w:val="00D21C83"/>
    <w:rsid w:val="00D22B07"/>
    <w:rsid w:val="00D23E3B"/>
    <w:rsid w:val="00D2612B"/>
    <w:rsid w:val="00D26A84"/>
    <w:rsid w:val="00D337CB"/>
    <w:rsid w:val="00D35B8A"/>
    <w:rsid w:val="00D35BDD"/>
    <w:rsid w:val="00D43184"/>
    <w:rsid w:val="00D46354"/>
    <w:rsid w:val="00D53B47"/>
    <w:rsid w:val="00D545A9"/>
    <w:rsid w:val="00D54CAD"/>
    <w:rsid w:val="00D54E6F"/>
    <w:rsid w:val="00D614C4"/>
    <w:rsid w:val="00D63006"/>
    <w:rsid w:val="00D65D49"/>
    <w:rsid w:val="00D67937"/>
    <w:rsid w:val="00D71E62"/>
    <w:rsid w:val="00D72301"/>
    <w:rsid w:val="00D727E4"/>
    <w:rsid w:val="00D76B4D"/>
    <w:rsid w:val="00D804D7"/>
    <w:rsid w:val="00D911DE"/>
    <w:rsid w:val="00D91B97"/>
    <w:rsid w:val="00D92850"/>
    <w:rsid w:val="00D93ACC"/>
    <w:rsid w:val="00D93C08"/>
    <w:rsid w:val="00D95DAC"/>
    <w:rsid w:val="00D970B7"/>
    <w:rsid w:val="00DA0B53"/>
    <w:rsid w:val="00DA1D89"/>
    <w:rsid w:val="00DB1171"/>
    <w:rsid w:val="00DB1519"/>
    <w:rsid w:val="00DB2840"/>
    <w:rsid w:val="00DB2FAA"/>
    <w:rsid w:val="00DB4C67"/>
    <w:rsid w:val="00DB5B42"/>
    <w:rsid w:val="00DB65F8"/>
    <w:rsid w:val="00DC09C4"/>
    <w:rsid w:val="00DC1BD3"/>
    <w:rsid w:val="00DC2C1A"/>
    <w:rsid w:val="00DC69F1"/>
    <w:rsid w:val="00DC77B8"/>
    <w:rsid w:val="00DD5C54"/>
    <w:rsid w:val="00DD66B4"/>
    <w:rsid w:val="00DD70FB"/>
    <w:rsid w:val="00DE1972"/>
    <w:rsid w:val="00DE27AB"/>
    <w:rsid w:val="00DE450C"/>
    <w:rsid w:val="00DF2AB3"/>
    <w:rsid w:val="00DF7250"/>
    <w:rsid w:val="00E003D2"/>
    <w:rsid w:val="00E00CAA"/>
    <w:rsid w:val="00E03EBF"/>
    <w:rsid w:val="00E05209"/>
    <w:rsid w:val="00E05AC1"/>
    <w:rsid w:val="00E112E8"/>
    <w:rsid w:val="00E11451"/>
    <w:rsid w:val="00E11BCF"/>
    <w:rsid w:val="00E12BD7"/>
    <w:rsid w:val="00E13F01"/>
    <w:rsid w:val="00E151EA"/>
    <w:rsid w:val="00E160AB"/>
    <w:rsid w:val="00E20227"/>
    <w:rsid w:val="00E2258E"/>
    <w:rsid w:val="00E25DA3"/>
    <w:rsid w:val="00E260C2"/>
    <w:rsid w:val="00E31044"/>
    <w:rsid w:val="00E32596"/>
    <w:rsid w:val="00E368F7"/>
    <w:rsid w:val="00E36EB8"/>
    <w:rsid w:val="00E37FB8"/>
    <w:rsid w:val="00E409E8"/>
    <w:rsid w:val="00E40B07"/>
    <w:rsid w:val="00E42326"/>
    <w:rsid w:val="00E43544"/>
    <w:rsid w:val="00E43F25"/>
    <w:rsid w:val="00E44D89"/>
    <w:rsid w:val="00E477EA"/>
    <w:rsid w:val="00E502E5"/>
    <w:rsid w:val="00E505B4"/>
    <w:rsid w:val="00E5329A"/>
    <w:rsid w:val="00E535CC"/>
    <w:rsid w:val="00E55807"/>
    <w:rsid w:val="00E60310"/>
    <w:rsid w:val="00E6324B"/>
    <w:rsid w:val="00E63B14"/>
    <w:rsid w:val="00E65B99"/>
    <w:rsid w:val="00E65CA0"/>
    <w:rsid w:val="00E702CC"/>
    <w:rsid w:val="00E70D9F"/>
    <w:rsid w:val="00E7492A"/>
    <w:rsid w:val="00E75F25"/>
    <w:rsid w:val="00E766C7"/>
    <w:rsid w:val="00E82693"/>
    <w:rsid w:val="00E83810"/>
    <w:rsid w:val="00E85994"/>
    <w:rsid w:val="00E85EA4"/>
    <w:rsid w:val="00E86933"/>
    <w:rsid w:val="00E922A6"/>
    <w:rsid w:val="00E9605B"/>
    <w:rsid w:val="00E97298"/>
    <w:rsid w:val="00E97753"/>
    <w:rsid w:val="00EA0165"/>
    <w:rsid w:val="00EA0C51"/>
    <w:rsid w:val="00EA2779"/>
    <w:rsid w:val="00EA47C8"/>
    <w:rsid w:val="00EA669D"/>
    <w:rsid w:val="00EA6AAC"/>
    <w:rsid w:val="00EA7DE7"/>
    <w:rsid w:val="00EB13F6"/>
    <w:rsid w:val="00EB2EE7"/>
    <w:rsid w:val="00EB4B04"/>
    <w:rsid w:val="00EB6306"/>
    <w:rsid w:val="00EB66A8"/>
    <w:rsid w:val="00EB7A8A"/>
    <w:rsid w:val="00EB7CF5"/>
    <w:rsid w:val="00EB7FAC"/>
    <w:rsid w:val="00EC3D07"/>
    <w:rsid w:val="00EC4C78"/>
    <w:rsid w:val="00EC5146"/>
    <w:rsid w:val="00EC67D9"/>
    <w:rsid w:val="00EC6FED"/>
    <w:rsid w:val="00EC7277"/>
    <w:rsid w:val="00EC7F3B"/>
    <w:rsid w:val="00ED5299"/>
    <w:rsid w:val="00ED5E08"/>
    <w:rsid w:val="00EE1232"/>
    <w:rsid w:val="00EE2B05"/>
    <w:rsid w:val="00EE37F3"/>
    <w:rsid w:val="00EE3A64"/>
    <w:rsid w:val="00EE3D4E"/>
    <w:rsid w:val="00EE50E5"/>
    <w:rsid w:val="00EE5B2E"/>
    <w:rsid w:val="00EE6B72"/>
    <w:rsid w:val="00EF01CF"/>
    <w:rsid w:val="00EF1EF8"/>
    <w:rsid w:val="00EF36CD"/>
    <w:rsid w:val="00EF399A"/>
    <w:rsid w:val="00F03590"/>
    <w:rsid w:val="00F03622"/>
    <w:rsid w:val="00F06872"/>
    <w:rsid w:val="00F077FD"/>
    <w:rsid w:val="00F152D0"/>
    <w:rsid w:val="00F17CE0"/>
    <w:rsid w:val="00F204F3"/>
    <w:rsid w:val="00F213D2"/>
    <w:rsid w:val="00F218AB"/>
    <w:rsid w:val="00F238B3"/>
    <w:rsid w:val="00F24FED"/>
    <w:rsid w:val="00F25032"/>
    <w:rsid w:val="00F25586"/>
    <w:rsid w:val="00F2651D"/>
    <w:rsid w:val="00F2667A"/>
    <w:rsid w:val="00F27362"/>
    <w:rsid w:val="00F31498"/>
    <w:rsid w:val="00F32FEF"/>
    <w:rsid w:val="00F41B1C"/>
    <w:rsid w:val="00F424AE"/>
    <w:rsid w:val="00F42E13"/>
    <w:rsid w:val="00F42F1C"/>
    <w:rsid w:val="00F43B44"/>
    <w:rsid w:val="00F440E5"/>
    <w:rsid w:val="00F448F6"/>
    <w:rsid w:val="00F44F26"/>
    <w:rsid w:val="00F47B06"/>
    <w:rsid w:val="00F52741"/>
    <w:rsid w:val="00F53D8A"/>
    <w:rsid w:val="00F5546E"/>
    <w:rsid w:val="00F618FA"/>
    <w:rsid w:val="00F626F7"/>
    <w:rsid w:val="00F63ACE"/>
    <w:rsid w:val="00F7094E"/>
    <w:rsid w:val="00F736F9"/>
    <w:rsid w:val="00F73833"/>
    <w:rsid w:val="00F83D67"/>
    <w:rsid w:val="00F8522C"/>
    <w:rsid w:val="00F8611E"/>
    <w:rsid w:val="00F8727E"/>
    <w:rsid w:val="00F9211C"/>
    <w:rsid w:val="00F9393A"/>
    <w:rsid w:val="00F95383"/>
    <w:rsid w:val="00F97DE5"/>
    <w:rsid w:val="00FA095D"/>
    <w:rsid w:val="00FA11A1"/>
    <w:rsid w:val="00FA67C6"/>
    <w:rsid w:val="00FA6C8B"/>
    <w:rsid w:val="00FA6CDA"/>
    <w:rsid w:val="00FA7C89"/>
    <w:rsid w:val="00FB0520"/>
    <w:rsid w:val="00FB1E5D"/>
    <w:rsid w:val="00FB2284"/>
    <w:rsid w:val="00FB29C8"/>
    <w:rsid w:val="00FB4139"/>
    <w:rsid w:val="00FB45A9"/>
    <w:rsid w:val="00FB476E"/>
    <w:rsid w:val="00FB5BEF"/>
    <w:rsid w:val="00FC0D90"/>
    <w:rsid w:val="00FC1816"/>
    <w:rsid w:val="00FC22F4"/>
    <w:rsid w:val="00FC45B2"/>
    <w:rsid w:val="00FC58DE"/>
    <w:rsid w:val="00FC7D8C"/>
    <w:rsid w:val="00FD2440"/>
    <w:rsid w:val="00FD3980"/>
    <w:rsid w:val="00FD431E"/>
    <w:rsid w:val="00FD53A1"/>
    <w:rsid w:val="00FD5A2C"/>
    <w:rsid w:val="00FD64D7"/>
    <w:rsid w:val="00FD730E"/>
    <w:rsid w:val="00FE0D47"/>
    <w:rsid w:val="00FE1D5C"/>
    <w:rsid w:val="00FE2203"/>
    <w:rsid w:val="00FE2F8B"/>
    <w:rsid w:val="00FE3669"/>
    <w:rsid w:val="00FE5204"/>
    <w:rsid w:val="00FE7F2A"/>
    <w:rsid w:val="00FF1B70"/>
    <w:rsid w:val="00FF287F"/>
    <w:rsid w:val="00FF3AF9"/>
    <w:rsid w:val="00FF542C"/>
    <w:rsid w:val="00FF6958"/>
    <w:rsid w:val="00FF74A8"/>
    <w:rsid w:val="06407747"/>
    <w:rsid w:val="1A06EC4C"/>
    <w:rsid w:val="25ECFB91"/>
    <w:rsid w:val="280E14B2"/>
    <w:rsid w:val="2D49ECC8"/>
    <w:rsid w:val="51FBE33D"/>
    <w:rsid w:val="5E9998E4"/>
    <w:rsid w:val="6A1FB556"/>
    <w:rsid w:val="6E1D994A"/>
    <w:rsid w:val="787F33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AF29E"/>
  <w15:docId w15:val="{83469832-06E6-4908-82AD-0C4F06880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rsid w:val="00B37866"/>
    <w:pPr>
      <w:keepNext/>
      <w:keepLines/>
      <w:spacing w:before="280"/>
      <w:ind w:left="794" w:hanging="794"/>
      <w:outlineLvl w:val="0"/>
    </w:pPr>
    <w:rPr>
      <w:b/>
      <w:sz w:val="28"/>
    </w:rPr>
  </w:style>
  <w:style w:type="paragraph" w:styleId="Heading2">
    <w:name w:val="heading 2"/>
    <w:basedOn w:val="Heading1"/>
    <w:next w:val="Normal"/>
    <w:link w:val="Heading2Char"/>
    <w:uiPriority w:val="9"/>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uiPriority w:val="9"/>
    <w:qFormat/>
    <w:rsid w:val="00B37866"/>
    <w:pPr>
      <w:tabs>
        <w:tab w:val="clear" w:pos="794"/>
        <w:tab w:val="left" w:pos="992"/>
      </w:tabs>
      <w:ind w:left="992" w:hanging="992"/>
      <w:outlineLvl w:val="3"/>
    </w:pPr>
  </w:style>
  <w:style w:type="paragraph" w:styleId="Heading5">
    <w:name w:val="heading 5"/>
    <w:basedOn w:val="Heading4"/>
    <w:next w:val="Normal"/>
    <w:link w:val="Heading5Char"/>
    <w:uiPriority w:val="9"/>
    <w:qFormat/>
    <w:rsid w:val="00B37866"/>
    <w:pPr>
      <w:outlineLvl w:val="4"/>
    </w:pPr>
  </w:style>
  <w:style w:type="paragraph" w:styleId="Heading6">
    <w:name w:val="heading 6"/>
    <w:basedOn w:val="Heading4"/>
    <w:next w:val="Normal"/>
    <w:link w:val="Heading6Char"/>
    <w:uiPriority w:val="9"/>
    <w:qFormat/>
    <w:rsid w:val="00B37866"/>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B37866"/>
    <w:pPr>
      <w:outlineLvl w:val="6"/>
    </w:pPr>
  </w:style>
  <w:style w:type="paragraph" w:styleId="Heading8">
    <w:name w:val="heading 8"/>
    <w:basedOn w:val="Heading6"/>
    <w:next w:val="Normal"/>
    <w:link w:val="Heading8Char"/>
    <w:uiPriority w:val="9"/>
    <w:qFormat/>
    <w:rsid w:val="00B37866"/>
    <w:pPr>
      <w:outlineLvl w:val="7"/>
    </w:pPr>
  </w:style>
  <w:style w:type="paragraph" w:styleId="Heading9">
    <w:name w:val="heading 9"/>
    <w:basedOn w:val="Heading6"/>
    <w:next w:val="Normal"/>
    <w:link w:val="Heading9Char"/>
    <w:uiPriority w:val="9"/>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37866"/>
  </w:style>
  <w:style w:type="paragraph" w:styleId="TOC4">
    <w:name w:val="toc 4"/>
    <w:basedOn w:val="TOC3"/>
    <w:semiHidden/>
    <w:rsid w:val="00B37866"/>
  </w:style>
  <w:style w:type="paragraph" w:styleId="TOC3">
    <w:name w:val="toc 3"/>
    <w:basedOn w:val="TOC2"/>
    <w:rsid w:val="00B37866"/>
  </w:style>
  <w:style w:type="paragraph" w:styleId="TOC2">
    <w:name w:val="toc 2"/>
    <w:basedOn w:val="TOC1"/>
    <w:uiPriority w:val="39"/>
    <w:rsid w:val="00B37866"/>
    <w:pPr>
      <w:spacing w:before="120"/>
    </w:pPr>
  </w:style>
  <w:style w:type="paragraph" w:styleId="TOC1">
    <w:name w:val="toc 1"/>
    <w:basedOn w:val="Normal"/>
    <w:uiPriority w:val="39"/>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semiHidden/>
    <w:rsid w:val="00B37866"/>
  </w:style>
  <w:style w:type="paragraph" w:styleId="TOC6">
    <w:name w:val="toc 6"/>
    <w:basedOn w:val="TOC4"/>
    <w:semiHidden/>
    <w:rsid w:val="00B37866"/>
  </w:style>
  <w:style w:type="paragraph" w:styleId="TOC5">
    <w:name w:val="toc 5"/>
    <w:basedOn w:val="TOC4"/>
    <w:semiHidden/>
    <w:rsid w:val="00B37866"/>
  </w:style>
  <w:style w:type="paragraph" w:styleId="Index7">
    <w:name w:val="index 7"/>
    <w:basedOn w:val="Normal"/>
    <w:next w:val="Normal"/>
    <w:semiHidden/>
    <w:rsid w:val="00B37866"/>
    <w:pPr>
      <w:ind w:left="1698"/>
    </w:pPr>
  </w:style>
  <w:style w:type="paragraph" w:styleId="Index6">
    <w:name w:val="index 6"/>
    <w:basedOn w:val="Normal"/>
    <w:next w:val="Normal"/>
    <w:semiHidden/>
    <w:rsid w:val="00B37866"/>
    <w:pPr>
      <w:ind w:left="1415"/>
    </w:pPr>
  </w:style>
  <w:style w:type="paragraph" w:styleId="Index5">
    <w:name w:val="index 5"/>
    <w:basedOn w:val="Normal"/>
    <w:next w:val="Normal"/>
    <w:semiHidden/>
    <w:rsid w:val="00B37866"/>
    <w:pPr>
      <w:ind w:left="1132"/>
    </w:pPr>
  </w:style>
  <w:style w:type="paragraph" w:styleId="Index4">
    <w:name w:val="index 4"/>
    <w:basedOn w:val="Normal"/>
    <w:next w:val="Normal"/>
    <w:semiHidden/>
    <w:rsid w:val="00B37866"/>
    <w:pPr>
      <w:ind w:left="849"/>
    </w:pPr>
  </w:style>
  <w:style w:type="paragraph" w:styleId="Index3">
    <w:name w:val="index 3"/>
    <w:basedOn w:val="Normal"/>
    <w:next w:val="Normal"/>
    <w:semiHidden/>
    <w:rsid w:val="00B37866"/>
    <w:pPr>
      <w:ind w:left="566"/>
    </w:pPr>
  </w:style>
  <w:style w:type="paragraph" w:styleId="Index2">
    <w:name w:val="index 2"/>
    <w:basedOn w:val="Normal"/>
    <w:next w:val="Normal"/>
    <w:semiHidden/>
    <w:rsid w:val="00B37866"/>
    <w:pPr>
      <w:ind w:left="283"/>
    </w:pPr>
  </w:style>
  <w:style w:type="paragraph" w:styleId="Index1">
    <w:name w:val="index 1"/>
    <w:basedOn w:val="Normal"/>
    <w:next w:val="Normal"/>
    <w:semiHidden/>
    <w:rsid w:val="00B37866"/>
  </w:style>
  <w:style w:type="character" w:styleId="LineNumber">
    <w:name w:val="line number"/>
    <w:basedOn w:val="DefaultParagraphFont"/>
    <w:rsid w:val="00B37866"/>
  </w:style>
  <w:style w:type="paragraph" w:styleId="IndexHeading">
    <w:name w:val="index heading"/>
    <w:basedOn w:val="Normal"/>
    <w:next w:val="Index1"/>
    <w:semiHidden/>
    <w:rsid w:val="00B37866"/>
  </w:style>
  <w:style w:type="paragraph" w:styleId="Footer">
    <w:name w:val="footer"/>
    <w:basedOn w:val="Normal"/>
    <w:link w:val="FooterChar"/>
    <w:uiPriority w:val="99"/>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uiPriority w:val="99"/>
    <w:rsid w:val="006A4882"/>
    <w:rPr>
      <w:rFonts w:ascii="Aptos" w:hAnsi="Aptos"/>
      <w:position w:val="6"/>
      <w:sz w:val="16"/>
    </w:rPr>
  </w:style>
  <w:style w:type="paragraph" w:styleId="FootnoteText">
    <w:name w:val="footnote text"/>
    <w:basedOn w:val="Normal"/>
    <w:link w:val="FootnoteTextChar"/>
    <w:uiPriority w:val="99"/>
    <w:rsid w:val="00391B26"/>
    <w:pPr>
      <w:keepLines/>
      <w:tabs>
        <w:tab w:val="left" w:pos="255"/>
      </w:tabs>
      <w:spacing w:before="0"/>
    </w:pPr>
    <w:rPr>
      <w:rFonts w:ascii="Aptos" w:hAnsi="Aptos"/>
      <w:sz w:val="20"/>
    </w:rPr>
  </w:style>
  <w:style w:type="paragraph" w:styleId="NormalIndent">
    <w:name w:val="Normal Indent"/>
    <w:basedOn w:val="Normal"/>
    <w:rsid w:val="00B37866"/>
    <w:pPr>
      <w:ind w:left="794"/>
    </w:pPr>
  </w:style>
  <w:style w:type="paragraph" w:customStyle="1" w:styleId="enumlev1">
    <w:name w:val="enumlev1"/>
    <w:basedOn w:val="Normal"/>
    <w:rsid w:val="00B37866"/>
    <w:pPr>
      <w:spacing w:before="80"/>
      <w:ind w:left="794" w:hanging="794"/>
    </w:pPr>
  </w:style>
  <w:style w:type="paragraph" w:customStyle="1" w:styleId="enumlev2">
    <w:name w:val="enumlev2"/>
    <w:basedOn w:val="enumlev1"/>
    <w:rsid w:val="00B37866"/>
    <w:pPr>
      <w:ind w:left="1191" w:hanging="397"/>
    </w:pPr>
  </w:style>
  <w:style w:type="paragraph" w:customStyle="1" w:styleId="enumlev3">
    <w:name w:val="enumlev3"/>
    <w:basedOn w:val="enumlev2"/>
    <w:rsid w:val="00B37866"/>
    <w:pPr>
      <w:ind w:left="1588"/>
    </w:pPr>
  </w:style>
  <w:style w:type="paragraph" w:customStyle="1" w:styleId="Normalaftertitle">
    <w:name w:val="Normal after title"/>
    <w:basedOn w:val="Normal"/>
    <w:next w:val="Normal"/>
    <w:rsid w:val="00B37866"/>
    <w:pPr>
      <w:spacing w:before="280"/>
    </w:pPr>
  </w:style>
  <w:style w:type="paragraph" w:customStyle="1" w:styleId="Equation">
    <w:name w:val="Equation"/>
    <w:basedOn w:val="Normal"/>
    <w:rsid w:val="00B37866"/>
    <w:pPr>
      <w:tabs>
        <w:tab w:val="clear" w:pos="1191"/>
        <w:tab w:val="clear" w:pos="1588"/>
        <w:tab w:val="clear" w:pos="1985"/>
        <w:tab w:val="center" w:pos="4820"/>
        <w:tab w:val="right" w:pos="9639"/>
      </w:tabs>
    </w:pPr>
  </w:style>
  <w:style w:type="paragraph" w:customStyle="1" w:styleId="toc0">
    <w:name w:val="toc 0"/>
    <w:basedOn w:val="Normal"/>
    <w:next w:val="TOC1"/>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rsid w:val="00B37866"/>
    <w:pPr>
      <w:keepNext/>
      <w:keepLines/>
      <w:spacing w:before="480" w:after="80"/>
      <w:jc w:val="center"/>
    </w:pPr>
    <w:rPr>
      <w:caps/>
      <w:sz w:val="28"/>
    </w:rPr>
  </w:style>
  <w:style w:type="paragraph" w:customStyle="1" w:styleId="ASN1">
    <w:name w:val="ASN.1"/>
    <w:basedOn w:val="Normal"/>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rsid w:val="00B37866"/>
    <w:pPr>
      <w:spacing w:before="80"/>
    </w:pPr>
  </w:style>
  <w:style w:type="paragraph" w:styleId="TOC9">
    <w:name w:val="toc 9"/>
    <w:basedOn w:val="TOC3"/>
    <w:next w:val="Normal"/>
    <w:semiHidden/>
    <w:rsid w:val="00B37866"/>
  </w:style>
  <w:style w:type="paragraph" w:customStyle="1" w:styleId="Source">
    <w:name w:val="Source"/>
    <w:basedOn w:val="Normal"/>
    <w:next w:val="Normalaftertitle"/>
    <w:rsid w:val="00EC6FED"/>
    <w:pPr>
      <w:spacing w:before="240" w:after="240"/>
      <w:jc w:val="center"/>
    </w:pPr>
    <w:rPr>
      <w:b/>
      <w:sz w:val="28"/>
    </w:rPr>
  </w:style>
  <w:style w:type="paragraph" w:customStyle="1" w:styleId="Title1">
    <w:name w:val="Title 1"/>
    <w:basedOn w:val="Source"/>
    <w:next w:val="Title2"/>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rsid w:val="00B37866"/>
  </w:style>
  <w:style w:type="paragraph" w:customStyle="1" w:styleId="Title3">
    <w:name w:val="Title 3"/>
    <w:basedOn w:val="Title2"/>
    <w:next w:val="Title4"/>
    <w:rsid w:val="00B37866"/>
  </w:style>
  <w:style w:type="paragraph" w:customStyle="1" w:styleId="Title4">
    <w:name w:val="Title 4"/>
    <w:basedOn w:val="Title3"/>
    <w:next w:val="Heading1"/>
    <w:rsid w:val="00B37866"/>
  </w:style>
  <w:style w:type="paragraph" w:customStyle="1" w:styleId="FirstFooter">
    <w:name w:val="FirstFooter"/>
    <w:basedOn w:val="Footer"/>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rsid w:val="00B37866"/>
    <w:pPr>
      <w:keepNext/>
      <w:keepLines/>
      <w:spacing w:after="280"/>
      <w:jc w:val="center"/>
    </w:pPr>
  </w:style>
  <w:style w:type="paragraph" w:customStyle="1" w:styleId="Annextitle">
    <w:name w:val="Annex_title"/>
    <w:basedOn w:val="Normal"/>
    <w:next w:val="Normalaftertitle"/>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rsid w:val="00F52741"/>
    <w:rPr>
      <w:rFonts w:asciiTheme="minorHAnsi" w:hAnsiTheme="minorHAnsi"/>
    </w:rPr>
  </w:style>
  <w:style w:type="paragraph" w:customStyle="1" w:styleId="AppendixNo">
    <w:name w:val="Appendix_No"/>
    <w:basedOn w:val="AnnexNo"/>
    <w:next w:val="Annexref"/>
    <w:rsid w:val="00B37866"/>
  </w:style>
  <w:style w:type="paragraph" w:customStyle="1" w:styleId="Appendixref">
    <w:name w:val="Appendix_ref"/>
    <w:basedOn w:val="Annexref"/>
    <w:next w:val="Annextitle"/>
    <w:rsid w:val="00B37866"/>
  </w:style>
  <w:style w:type="paragraph" w:customStyle="1" w:styleId="Appendixtitle">
    <w:name w:val="Appendix_title"/>
    <w:basedOn w:val="Annextitle"/>
    <w:next w:val="Normalaftertitle"/>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rsid w:val="00F52741"/>
    <w:pPr>
      <w:spacing w:before="480"/>
      <w:jc w:val="center"/>
    </w:pPr>
    <w:rPr>
      <w:b/>
      <w:sz w:val="28"/>
    </w:rPr>
  </w:style>
  <w:style w:type="paragraph" w:customStyle="1" w:styleId="ArtNo">
    <w:name w:val="Art_No"/>
    <w:basedOn w:val="Normal"/>
    <w:next w:val="Arttitle"/>
    <w:rsid w:val="00B37866"/>
    <w:pPr>
      <w:keepNext/>
      <w:keepLines/>
      <w:spacing w:before="480"/>
      <w:jc w:val="center"/>
    </w:pPr>
    <w:rPr>
      <w:caps/>
      <w:sz w:val="28"/>
    </w:rPr>
  </w:style>
  <w:style w:type="paragraph" w:customStyle="1" w:styleId="Arttitle">
    <w:name w:val="Art_title"/>
    <w:basedOn w:val="Normal"/>
    <w:next w:val="Normalaftertitle"/>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rsid w:val="00B37866"/>
    <w:pPr>
      <w:keepNext/>
      <w:keepLines/>
      <w:spacing w:before="160"/>
      <w:ind w:left="794"/>
    </w:pPr>
    <w:rPr>
      <w:i/>
    </w:rPr>
  </w:style>
  <w:style w:type="paragraph" w:customStyle="1" w:styleId="ChapNo">
    <w:name w:val="Chap_No"/>
    <w:basedOn w:val="ArtNo"/>
    <w:next w:val="Chaptitle"/>
    <w:rsid w:val="00F52741"/>
    <w:rPr>
      <w:b/>
    </w:rPr>
  </w:style>
  <w:style w:type="paragraph" w:customStyle="1" w:styleId="Chaptitle">
    <w:name w:val="Chap_title"/>
    <w:basedOn w:val="Arttitle"/>
    <w:next w:val="Normalaftertitle"/>
    <w:rsid w:val="00B37866"/>
  </w:style>
  <w:style w:type="paragraph" w:customStyle="1" w:styleId="ddate">
    <w:name w:val="ddate"/>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uiPriority w:val="99"/>
    <w:semiHidden/>
    <w:rsid w:val="00B37866"/>
    <w:rPr>
      <w:vertAlign w:val="superscript"/>
    </w:rPr>
  </w:style>
  <w:style w:type="paragraph" w:customStyle="1" w:styleId="Equationlegend">
    <w:name w:val="Equation_legend"/>
    <w:basedOn w:val="Normal"/>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866"/>
    <w:pPr>
      <w:keepNext/>
      <w:keepLines/>
      <w:spacing w:before="480" w:after="120"/>
      <w:jc w:val="center"/>
    </w:pPr>
    <w:rPr>
      <w:caps/>
    </w:rPr>
  </w:style>
  <w:style w:type="paragraph" w:customStyle="1" w:styleId="Figuretitle">
    <w:name w:val="Figure_title"/>
    <w:basedOn w:val="Tabletitle"/>
    <w:next w:val="Normal"/>
    <w:rsid w:val="00F52741"/>
    <w:pPr>
      <w:keepNext w:val="0"/>
      <w:spacing w:after="480"/>
    </w:pPr>
  </w:style>
  <w:style w:type="paragraph" w:customStyle="1" w:styleId="Tabletitle">
    <w:name w:val="Table_title"/>
    <w:basedOn w:val="Normal"/>
    <w:next w:val="Tabletext"/>
    <w:rsid w:val="00F52741"/>
    <w:pPr>
      <w:keepNext/>
      <w:keepLines/>
      <w:spacing w:before="0" w:after="120"/>
      <w:jc w:val="center"/>
    </w:pPr>
    <w:rPr>
      <w:b/>
    </w:rPr>
  </w:style>
  <w:style w:type="paragraph" w:customStyle="1" w:styleId="Tabletext">
    <w:name w:val="Table_text"/>
    <w:basedOn w:val="Normal"/>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B37866"/>
    <w:pPr>
      <w:keepNext w:val="0"/>
    </w:pPr>
  </w:style>
  <w:style w:type="paragraph" w:customStyle="1" w:styleId="Headingb">
    <w:name w:val="Heading_b"/>
    <w:basedOn w:val="Normal"/>
    <w:next w:val="Normal"/>
    <w:rsid w:val="00F52741"/>
    <w:pPr>
      <w:keepNext/>
      <w:spacing w:before="160"/>
    </w:pPr>
    <w:rPr>
      <w:b/>
    </w:rPr>
  </w:style>
  <w:style w:type="paragraph" w:customStyle="1" w:styleId="Headingi">
    <w:name w:val="Heading_i"/>
    <w:basedOn w:val="Normal"/>
    <w:next w:val="Normal"/>
    <w:rsid w:val="00F52741"/>
    <w:pPr>
      <w:keepNext/>
      <w:spacing w:before="160"/>
    </w:pPr>
    <w:rPr>
      <w:i/>
    </w:rPr>
  </w:style>
  <w:style w:type="paragraph" w:customStyle="1" w:styleId="PartNo">
    <w:name w:val="Part_No"/>
    <w:basedOn w:val="AnnexNo"/>
    <w:next w:val="Partref"/>
    <w:rsid w:val="00B37866"/>
  </w:style>
  <w:style w:type="paragraph" w:customStyle="1" w:styleId="Partref">
    <w:name w:val="Part_ref"/>
    <w:basedOn w:val="Annexref"/>
    <w:next w:val="Parttitle"/>
    <w:rsid w:val="00B37866"/>
  </w:style>
  <w:style w:type="paragraph" w:customStyle="1" w:styleId="Parttitle">
    <w:name w:val="Part_title"/>
    <w:basedOn w:val="Annextitle"/>
    <w:next w:val="Normalaftertitle"/>
    <w:rsid w:val="00B37866"/>
  </w:style>
  <w:style w:type="paragraph" w:customStyle="1" w:styleId="RecNo">
    <w:name w:val="Rec_No"/>
    <w:basedOn w:val="Normal"/>
    <w:next w:val="Rectitle"/>
    <w:rsid w:val="00B37866"/>
    <w:pPr>
      <w:keepNext/>
      <w:keepLines/>
      <w:spacing w:before="480"/>
      <w:jc w:val="center"/>
    </w:pPr>
    <w:rPr>
      <w:caps/>
      <w:sz w:val="28"/>
    </w:rPr>
  </w:style>
  <w:style w:type="paragraph" w:customStyle="1" w:styleId="Rectitle">
    <w:name w:val="Rec_title"/>
    <w:basedOn w:val="RecNo"/>
    <w:next w:val="Recref"/>
    <w:rsid w:val="00F52741"/>
    <w:pPr>
      <w:spacing w:before="240"/>
    </w:pPr>
    <w:rPr>
      <w:b/>
      <w:caps w:val="0"/>
    </w:rPr>
  </w:style>
  <w:style w:type="paragraph" w:customStyle="1" w:styleId="Recref">
    <w:name w:val="Rec_ref"/>
    <w:basedOn w:val="Rectitle"/>
    <w:next w:val="Recdate"/>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B37866"/>
    <w:pPr>
      <w:jc w:val="right"/>
    </w:pPr>
    <w:rPr>
      <w:sz w:val="22"/>
    </w:rPr>
  </w:style>
  <w:style w:type="paragraph" w:customStyle="1" w:styleId="Questiondate">
    <w:name w:val="Question_date"/>
    <w:basedOn w:val="Recdate"/>
    <w:next w:val="Normalaftertitle"/>
    <w:rsid w:val="00F52741"/>
  </w:style>
  <w:style w:type="paragraph" w:customStyle="1" w:styleId="QuestionNo">
    <w:name w:val="Question_No"/>
    <w:basedOn w:val="RecNo"/>
    <w:next w:val="Questiontitle"/>
    <w:rsid w:val="00B37866"/>
  </w:style>
  <w:style w:type="paragraph" w:customStyle="1" w:styleId="Questiontitle">
    <w:name w:val="Question_title"/>
    <w:basedOn w:val="Rectitle"/>
    <w:next w:val="Questionref"/>
    <w:rsid w:val="00F52741"/>
  </w:style>
  <w:style w:type="paragraph" w:customStyle="1" w:styleId="Questionref">
    <w:name w:val="Question_ref"/>
    <w:basedOn w:val="Recref"/>
    <w:next w:val="Questiondate"/>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rsid w:val="00B37866"/>
    <w:pPr>
      <w:ind w:left="794" w:hanging="794"/>
    </w:pPr>
  </w:style>
  <w:style w:type="paragraph" w:customStyle="1" w:styleId="Reftitle">
    <w:name w:val="Ref_title"/>
    <w:basedOn w:val="Normal"/>
    <w:next w:val="Reftext"/>
    <w:rsid w:val="00B37866"/>
    <w:pPr>
      <w:spacing w:before="480"/>
      <w:jc w:val="center"/>
    </w:pPr>
    <w:rPr>
      <w:caps/>
    </w:rPr>
  </w:style>
  <w:style w:type="paragraph" w:customStyle="1" w:styleId="Repdate">
    <w:name w:val="Rep_date"/>
    <w:basedOn w:val="Recdate"/>
    <w:next w:val="Normalaftertitle"/>
    <w:rsid w:val="00B37866"/>
  </w:style>
  <w:style w:type="paragraph" w:customStyle="1" w:styleId="RepNo">
    <w:name w:val="Rep_No"/>
    <w:basedOn w:val="RecNo"/>
    <w:next w:val="Reptitle"/>
    <w:rsid w:val="00B37866"/>
  </w:style>
  <w:style w:type="paragraph" w:customStyle="1" w:styleId="Reptitle">
    <w:name w:val="Rep_title"/>
    <w:basedOn w:val="Rectitle"/>
    <w:next w:val="Repref"/>
    <w:rsid w:val="00B37866"/>
  </w:style>
  <w:style w:type="paragraph" w:customStyle="1" w:styleId="Repref">
    <w:name w:val="Rep_ref"/>
    <w:basedOn w:val="Recref"/>
    <w:next w:val="Repdate"/>
    <w:rsid w:val="00B37866"/>
  </w:style>
  <w:style w:type="paragraph" w:customStyle="1" w:styleId="Resdate">
    <w:name w:val="Res_date"/>
    <w:basedOn w:val="Recdate"/>
    <w:next w:val="Normalaftertitle"/>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rsid w:val="00B37866"/>
  </w:style>
  <w:style w:type="paragraph" w:customStyle="1" w:styleId="Restitle">
    <w:name w:val="Res_title"/>
    <w:basedOn w:val="Rectitle"/>
    <w:next w:val="Resref"/>
    <w:rsid w:val="00B37866"/>
  </w:style>
  <w:style w:type="paragraph" w:customStyle="1" w:styleId="Resref">
    <w:name w:val="Res_ref"/>
    <w:basedOn w:val="Recref"/>
    <w:next w:val="Resdate"/>
    <w:rsid w:val="00B37866"/>
  </w:style>
  <w:style w:type="paragraph" w:customStyle="1" w:styleId="SectionNo">
    <w:name w:val="Section_No"/>
    <w:basedOn w:val="AnnexNo"/>
    <w:next w:val="Sectiontitle"/>
    <w:rsid w:val="00B37866"/>
  </w:style>
  <w:style w:type="paragraph" w:customStyle="1" w:styleId="Sectiontitle">
    <w:name w:val="Section_title"/>
    <w:basedOn w:val="Annextitle"/>
    <w:next w:val="Normalaftertitle"/>
    <w:rsid w:val="00B37866"/>
  </w:style>
  <w:style w:type="paragraph" w:customStyle="1" w:styleId="SpecialFooter">
    <w:name w:val="Special Footer"/>
    <w:basedOn w:val="Footer"/>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rsid w:val="00B37866"/>
    <w:pPr>
      <w:keepNext/>
      <w:spacing w:before="80" w:after="80"/>
      <w:jc w:val="center"/>
    </w:pPr>
    <w:rPr>
      <w:b/>
    </w:rPr>
  </w:style>
  <w:style w:type="paragraph" w:customStyle="1" w:styleId="Tablelegend">
    <w:name w:val="Table_legend"/>
    <w:basedOn w:val="Tabletext"/>
    <w:rsid w:val="00B37866"/>
    <w:pPr>
      <w:spacing w:before="120"/>
    </w:pPr>
  </w:style>
  <w:style w:type="paragraph" w:customStyle="1" w:styleId="TableNo">
    <w:name w:val="Table_No"/>
    <w:basedOn w:val="Normal"/>
    <w:next w:val="Tabletitle"/>
    <w:rsid w:val="00B37866"/>
    <w:pPr>
      <w:keepNext/>
      <w:spacing w:before="560" w:after="120"/>
      <w:jc w:val="center"/>
    </w:pPr>
    <w:rPr>
      <w:caps/>
    </w:rPr>
  </w:style>
  <w:style w:type="paragraph" w:customStyle="1" w:styleId="Tableref">
    <w:name w:val="Table_ref"/>
    <w:basedOn w:val="Normal"/>
    <w:next w:val="Tabletitle"/>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basedOn w:val="DefaultParagraphFont"/>
    <w:link w:val="Header"/>
    <w:uiPriority w:val="99"/>
    <w:rsid w:val="00005791"/>
    <w:rPr>
      <w:rFonts w:ascii="Times New Roman" w:hAnsi="Times New Roman"/>
      <w:sz w:val="18"/>
      <w:lang w:val="fr-FR" w:eastAsia="en-US"/>
    </w:rPr>
  </w:style>
  <w:style w:type="character" w:customStyle="1" w:styleId="FooterChar">
    <w:name w:val="Footer Char"/>
    <w:basedOn w:val="DefaultParagraphFont"/>
    <w:link w:val="Footer"/>
    <w:uiPriority w:val="99"/>
    <w:rsid w:val="0056423B"/>
    <w:rPr>
      <w:rFonts w:ascii="Times New Roman" w:hAnsi="Times New Roman"/>
      <w:caps/>
      <w:noProof/>
      <w:sz w:val="16"/>
      <w:lang w:val="fr-FR" w:eastAsia="en-US"/>
    </w:rPr>
  </w:style>
  <w:style w:type="table" w:styleId="TableGrid">
    <w:name w:val="Table Grid"/>
    <w:basedOn w:val="TableNormal"/>
    <w:uiPriority w:val="5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
    <w:basedOn w:val="DefaultParagraphFont"/>
    <w:uiPriority w:val="99"/>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basedOn w:val="Normal"/>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rsid w:val="005D2C3A"/>
    <w:pPr>
      <w:tabs>
        <w:tab w:val="clear" w:pos="794"/>
        <w:tab w:val="clear" w:pos="1191"/>
        <w:tab w:val="left" w:pos="1134"/>
        <w:tab w:val="left" w:pos="1871"/>
      </w:tabs>
    </w:pPr>
  </w:style>
  <w:style w:type="character" w:styleId="FollowedHyperlink">
    <w:name w:val="FollowedHyperlink"/>
    <w:basedOn w:val="DefaultParagraphFont"/>
    <w:uiPriority w:val="99"/>
    <w:semiHidden/>
    <w:unhideWhenUsed/>
    <w:rsid w:val="00AD4677"/>
    <w:rPr>
      <w:color w:val="800080" w:themeColor="followedHyperlink"/>
      <w:u w:val="single"/>
    </w:rPr>
  </w:style>
  <w:style w:type="character" w:customStyle="1" w:styleId="Heading2Char">
    <w:name w:val="Heading 2 Char"/>
    <w:basedOn w:val="DefaultParagraphFont"/>
    <w:link w:val="Heading2"/>
    <w:uiPriority w:val="9"/>
    <w:rsid w:val="00513E86"/>
    <w:rPr>
      <w:rFonts w:asciiTheme="minorHAnsi" w:hAnsiTheme="minorHAnsi"/>
      <w:b/>
      <w:sz w:val="24"/>
      <w:lang w:val="en-GB" w:eastAsia="en-US"/>
    </w:rPr>
  </w:style>
  <w:style w:type="character" w:styleId="CommentReference">
    <w:name w:val="annotation reference"/>
    <w:basedOn w:val="DefaultParagraphFont"/>
    <w:uiPriority w:val="99"/>
    <w:semiHidden/>
    <w:unhideWhenUsed/>
    <w:rsid w:val="00513E86"/>
    <w:rPr>
      <w:sz w:val="16"/>
      <w:szCs w:val="16"/>
    </w:rPr>
  </w:style>
  <w:style w:type="paragraph" w:styleId="CommentText">
    <w:name w:val="annotation text"/>
    <w:basedOn w:val="Normal"/>
    <w:link w:val="CommentTextChar"/>
    <w:uiPriority w:val="99"/>
    <w:unhideWhenUsed/>
    <w:rsid w:val="00513E86"/>
    <w:pPr>
      <w:tabs>
        <w:tab w:val="clear" w:pos="794"/>
        <w:tab w:val="clear" w:pos="1191"/>
        <w:tab w:val="clear" w:pos="1588"/>
        <w:tab w:val="clear" w:pos="1985"/>
      </w:tabs>
      <w:overflowPunct/>
      <w:autoSpaceDE/>
      <w:autoSpaceDN/>
      <w:adjustRightInd/>
      <w:spacing w:before="0" w:after="160"/>
      <w:textAlignment w:val="auto"/>
    </w:pPr>
    <w:rPr>
      <w:rFonts w:eastAsiaTheme="minorHAnsi" w:cstheme="minorBidi"/>
      <w:kern w:val="2"/>
      <w:sz w:val="20"/>
      <w14:ligatures w14:val="standardContextual"/>
    </w:rPr>
  </w:style>
  <w:style w:type="character" w:customStyle="1" w:styleId="CommentTextChar">
    <w:name w:val="Comment Text Char"/>
    <w:basedOn w:val="DefaultParagraphFont"/>
    <w:link w:val="CommentText"/>
    <w:uiPriority w:val="99"/>
    <w:rsid w:val="00513E86"/>
    <w:rPr>
      <w:rFonts w:asciiTheme="minorHAnsi" w:eastAsiaTheme="minorHAnsi" w:hAnsiTheme="minorHAnsi" w:cstheme="minorBidi"/>
      <w:kern w:val="2"/>
      <w:lang w:val="en-GB" w:eastAsia="en-US"/>
      <w14:ligatures w14:val="standardContextual"/>
    </w:rPr>
  </w:style>
  <w:style w:type="character" w:customStyle="1" w:styleId="Colored-Normal">
    <w:name w:val="Colored - Normal"/>
    <w:rsid w:val="00513E86"/>
    <w:rPr>
      <w:color w:val="0070C0"/>
    </w:rPr>
  </w:style>
  <w:style w:type="paragraph" w:customStyle="1" w:styleId="Figuretitle0">
    <w:name w:val="Figure title"/>
    <w:basedOn w:val="Normal"/>
    <w:link w:val="FiguretitleChar"/>
    <w:rsid w:val="00513E8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pPr>
    <w:rPr>
      <w:rFonts w:ascii="AvenirNext LT Pro Light" w:eastAsiaTheme="majorEastAsia" w:hAnsi="AvenirNext LT Pro Light" w:cs="Calibri"/>
      <w:color w:val="4F81BD" w:themeColor="accent1"/>
      <w:spacing w:val="-10"/>
      <w:kern w:val="28"/>
      <w:szCs w:val="24"/>
      <w:lang w:val="en-US"/>
    </w:rPr>
  </w:style>
  <w:style w:type="character" w:customStyle="1" w:styleId="FiguretitleChar">
    <w:name w:val="Figure title Char"/>
    <w:basedOn w:val="DefaultParagraphFont"/>
    <w:link w:val="Figuretitle0"/>
    <w:locked/>
    <w:rsid w:val="00513E86"/>
    <w:rPr>
      <w:rFonts w:ascii="AvenirNext LT Pro Light" w:eastAsiaTheme="majorEastAsia" w:hAnsi="AvenirNext LT Pro Light" w:cs="Calibri"/>
      <w:color w:val="4F81BD" w:themeColor="accent1"/>
      <w:spacing w:val="-10"/>
      <w:kern w:val="28"/>
      <w:sz w:val="24"/>
      <w:szCs w:val="24"/>
      <w:lang w:eastAsia="en-US"/>
    </w:rPr>
  </w:style>
  <w:style w:type="paragraph" w:customStyle="1" w:styleId="Sourcetext">
    <w:name w:val="Source text"/>
    <w:basedOn w:val="Normal"/>
    <w:autoRedefine/>
    <w:qFormat/>
    <w:rsid w:val="00513E8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pPr>
    <w:rPr>
      <w:rFonts w:eastAsiaTheme="minorHAnsi" w:cstheme="minorBidi"/>
      <w:kern w:val="2"/>
      <w:sz w:val="16"/>
      <w:szCs w:val="28"/>
      <w14:ligatures w14:val="standardContextual"/>
    </w:rPr>
  </w:style>
  <w:style w:type="character" w:customStyle="1" w:styleId="FootnoteTextChar">
    <w:name w:val="Footnote Text Char"/>
    <w:basedOn w:val="DefaultParagraphFont"/>
    <w:link w:val="FootnoteText"/>
    <w:uiPriority w:val="99"/>
    <w:rsid w:val="00391B26"/>
    <w:rPr>
      <w:rFonts w:ascii="Aptos" w:hAnsi="Aptos"/>
      <w:lang w:val="en-GB" w:eastAsia="en-US"/>
    </w:rPr>
  </w:style>
  <w:style w:type="character" w:styleId="Mention">
    <w:name w:val="Mention"/>
    <w:basedOn w:val="DefaultParagraphFont"/>
    <w:uiPriority w:val="99"/>
    <w:unhideWhenUsed/>
    <w:rsid w:val="00513E86"/>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8136E9"/>
    <w:pPr>
      <w:tabs>
        <w:tab w:val="left" w:pos="794"/>
        <w:tab w:val="left" w:pos="1191"/>
        <w:tab w:val="left" w:pos="1588"/>
        <w:tab w:val="left" w:pos="1985"/>
      </w:tabs>
      <w:overflowPunct w:val="0"/>
      <w:autoSpaceDE w:val="0"/>
      <w:autoSpaceDN w:val="0"/>
      <w:adjustRightInd w:val="0"/>
      <w:spacing w:before="120" w:after="0"/>
      <w:textAlignment w:val="baseline"/>
    </w:pPr>
    <w:rPr>
      <w:rFonts w:eastAsia="Times New Roman" w:cs="Times New Roman"/>
      <w:b/>
      <w:bCs/>
      <w:kern w:val="0"/>
      <w14:ligatures w14:val="none"/>
    </w:rPr>
  </w:style>
  <w:style w:type="character" w:customStyle="1" w:styleId="CommentSubjectChar">
    <w:name w:val="Comment Subject Char"/>
    <w:basedOn w:val="CommentTextChar"/>
    <w:link w:val="CommentSubject"/>
    <w:uiPriority w:val="99"/>
    <w:semiHidden/>
    <w:rsid w:val="008136E9"/>
    <w:rPr>
      <w:rFonts w:asciiTheme="minorHAnsi" w:eastAsiaTheme="minorHAnsi" w:hAnsiTheme="minorHAnsi" w:cstheme="minorBidi"/>
      <w:b/>
      <w:bCs/>
      <w:kern w:val="2"/>
      <w:lang w:val="en-GB" w:eastAsia="en-US"/>
      <w14:ligatures w14:val="standardContextual"/>
    </w:rPr>
  </w:style>
  <w:style w:type="paragraph" w:styleId="Title">
    <w:name w:val="Title"/>
    <w:basedOn w:val="Normal"/>
    <w:next w:val="Normal"/>
    <w:link w:val="TitleChar"/>
    <w:uiPriority w:val="10"/>
    <w:qFormat/>
    <w:rsid w:val="006C41B5"/>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1B5"/>
    <w:rPr>
      <w:rFonts w:asciiTheme="majorHAnsi" w:eastAsiaTheme="majorEastAsia" w:hAnsiTheme="majorHAnsi" w:cstheme="majorBidi"/>
      <w:spacing w:val="-10"/>
      <w:kern w:val="28"/>
      <w:sz w:val="56"/>
      <w:szCs w:val="56"/>
      <w:lang w:val="en-GB" w:eastAsia="en-US"/>
    </w:rPr>
  </w:style>
  <w:style w:type="numbering" w:customStyle="1" w:styleId="NoList1">
    <w:name w:val="No List1"/>
    <w:next w:val="NoList"/>
    <w:uiPriority w:val="99"/>
    <w:semiHidden/>
    <w:unhideWhenUsed/>
    <w:rsid w:val="006C41B5"/>
  </w:style>
  <w:style w:type="character" w:customStyle="1" w:styleId="Heading1Char">
    <w:name w:val="Heading 1 Char"/>
    <w:basedOn w:val="DefaultParagraphFont"/>
    <w:link w:val="Heading1"/>
    <w:uiPriority w:val="9"/>
    <w:rsid w:val="006C41B5"/>
    <w:rPr>
      <w:rFonts w:asciiTheme="minorHAnsi" w:hAnsiTheme="minorHAnsi"/>
      <w:b/>
      <w:sz w:val="28"/>
      <w:lang w:val="en-GB" w:eastAsia="en-US"/>
    </w:rPr>
  </w:style>
  <w:style w:type="character" w:customStyle="1" w:styleId="Heading3Char">
    <w:name w:val="Heading 3 Char"/>
    <w:basedOn w:val="DefaultParagraphFont"/>
    <w:link w:val="Heading3"/>
    <w:uiPriority w:val="9"/>
    <w:rsid w:val="006C41B5"/>
    <w:rPr>
      <w:rFonts w:asciiTheme="minorHAnsi" w:hAnsiTheme="minorHAnsi"/>
      <w:b/>
      <w:sz w:val="24"/>
      <w:lang w:val="en-GB" w:eastAsia="en-US"/>
    </w:rPr>
  </w:style>
  <w:style w:type="character" w:customStyle="1" w:styleId="Heading4Char">
    <w:name w:val="Heading 4 Char"/>
    <w:basedOn w:val="DefaultParagraphFont"/>
    <w:link w:val="Heading4"/>
    <w:uiPriority w:val="9"/>
    <w:rsid w:val="006C41B5"/>
    <w:rPr>
      <w:rFonts w:asciiTheme="minorHAnsi" w:hAnsiTheme="minorHAnsi"/>
      <w:b/>
      <w:sz w:val="24"/>
      <w:lang w:val="en-GB" w:eastAsia="en-US"/>
    </w:rPr>
  </w:style>
  <w:style w:type="character" w:customStyle="1" w:styleId="Heading5Char">
    <w:name w:val="Heading 5 Char"/>
    <w:basedOn w:val="DefaultParagraphFont"/>
    <w:link w:val="Heading5"/>
    <w:uiPriority w:val="9"/>
    <w:rsid w:val="006C41B5"/>
    <w:rPr>
      <w:rFonts w:asciiTheme="minorHAnsi" w:hAnsiTheme="minorHAnsi"/>
      <w:b/>
      <w:sz w:val="24"/>
      <w:lang w:val="en-GB" w:eastAsia="en-US"/>
    </w:rPr>
  </w:style>
  <w:style w:type="character" w:customStyle="1" w:styleId="Heading6Char">
    <w:name w:val="Heading 6 Char"/>
    <w:basedOn w:val="DefaultParagraphFont"/>
    <w:link w:val="Heading6"/>
    <w:uiPriority w:val="9"/>
    <w:rsid w:val="006C41B5"/>
    <w:rPr>
      <w:rFonts w:asciiTheme="minorHAnsi" w:hAnsiTheme="minorHAnsi"/>
      <w:b/>
      <w:sz w:val="24"/>
      <w:lang w:val="en-GB" w:eastAsia="en-US"/>
    </w:rPr>
  </w:style>
  <w:style w:type="character" w:customStyle="1" w:styleId="Heading7Char">
    <w:name w:val="Heading 7 Char"/>
    <w:basedOn w:val="DefaultParagraphFont"/>
    <w:link w:val="Heading7"/>
    <w:uiPriority w:val="9"/>
    <w:rsid w:val="006C41B5"/>
    <w:rPr>
      <w:rFonts w:asciiTheme="minorHAnsi" w:hAnsiTheme="minorHAnsi"/>
      <w:b/>
      <w:sz w:val="24"/>
      <w:lang w:val="en-GB" w:eastAsia="en-US"/>
    </w:rPr>
  </w:style>
  <w:style w:type="character" w:customStyle="1" w:styleId="Heading8Char">
    <w:name w:val="Heading 8 Char"/>
    <w:basedOn w:val="DefaultParagraphFont"/>
    <w:link w:val="Heading8"/>
    <w:uiPriority w:val="9"/>
    <w:rsid w:val="006C41B5"/>
    <w:rPr>
      <w:rFonts w:asciiTheme="minorHAnsi" w:hAnsiTheme="minorHAnsi"/>
      <w:b/>
      <w:sz w:val="24"/>
      <w:lang w:val="en-GB" w:eastAsia="en-US"/>
    </w:rPr>
  </w:style>
  <w:style w:type="character" w:customStyle="1" w:styleId="Heading9Char">
    <w:name w:val="Heading 9 Char"/>
    <w:basedOn w:val="DefaultParagraphFont"/>
    <w:link w:val="Heading9"/>
    <w:uiPriority w:val="9"/>
    <w:rsid w:val="006C41B5"/>
    <w:rPr>
      <w:rFonts w:asciiTheme="minorHAnsi" w:hAnsiTheme="minorHAnsi"/>
      <w:b/>
      <w:sz w:val="24"/>
      <w:lang w:val="en-GB" w:eastAsia="en-US"/>
    </w:rPr>
  </w:style>
  <w:style w:type="paragraph" w:customStyle="1" w:styleId="Subtitle1">
    <w:name w:val="Subtitle1"/>
    <w:basedOn w:val="Normal"/>
    <w:next w:val="Normal"/>
    <w:uiPriority w:val="11"/>
    <w:qFormat/>
    <w:rsid w:val="006C41B5"/>
    <w:pPr>
      <w:numPr>
        <w:ilvl w:val="1"/>
      </w:numPr>
      <w:tabs>
        <w:tab w:val="clear" w:pos="794"/>
        <w:tab w:val="clear" w:pos="1191"/>
        <w:tab w:val="clear" w:pos="1588"/>
        <w:tab w:val="clear" w:pos="1985"/>
      </w:tabs>
      <w:overflowPunct/>
      <w:autoSpaceDE/>
      <w:autoSpaceDN/>
      <w:adjustRightInd/>
      <w:spacing w:before="0" w:after="160" w:line="259" w:lineRule="auto"/>
      <w:textAlignment w:val="auto"/>
    </w:pPr>
    <w:rPr>
      <w:rFonts w:eastAsia="Yu Gothic Light"/>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6C41B5"/>
    <w:rPr>
      <w:rFonts w:eastAsia="Yu Gothic Light" w:cs="Times New Roman"/>
      <w:color w:val="595959"/>
      <w:spacing w:val="15"/>
      <w:sz w:val="28"/>
      <w:szCs w:val="28"/>
    </w:rPr>
  </w:style>
  <w:style w:type="paragraph" w:customStyle="1" w:styleId="Quote1">
    <w:name w:val="Quote1"/>
    <w:basedOn w:val="Normal"/>
    <w:next w:val="Normal"/>
    <w:uiPriority w:val="29"/>
    <w:qFormat/>
    <w:rsid w:val="006C41B5"/>
    <w:pPr>
      <w:tabs>
        <w:tab w:val="clear" w:pos="794"/>
        <w:tab w:val="clear" w:pos="1191"/>
        <w:tab w:val="clear" w:pos="1588"/>
        <w:tab w:val="clear" w:pos="1985"/>
      </w:tabs>
      <w:overflowPunct/>
      <w:autoSpaceDE/>
      <w:autoSpaceDN/>
      <w:adjustRightInd/>
      <w:spacing w:before="160" w:after="160" w:line="259" w:lineRule="auto"/>
      <w:jc w:val="center"/>
      <w:textAlignment w:val="auto"/>
    </w:pPr>
    <w:rPr>
      <w:rFonts w:eastAsia="Aptos" w:cs="Arial"/>
      <w:i/>
      <w:iCs/>
      <w:color w:val="404040"/>
      <w:kern w:val="2"/>
      <w:sz w:val="22"/>
      <w:szCs w:val="22"/>
      <w14:ligatures w14:val="standardContextual"/>
    </w:rPr>
  </w:style>
  <w:style w:type="character" w:customStyle="1" w:styleId="QuoteChar">
    <w:name w:val="Quote Char"/>
    <w:basedOn w:val="DefaultParagraphFont"/>
    <w:link w:val="Quote"/>
    <w:uiPriority w:val="29"/>
    <w:rsid w:val="006C41B5"/>
    <w:rPr>
      <w:i/>
      <w:iCs/>
      <w:color w:val="404040"/>
    </w:rPr>
  </w:style>
  <w:style w:type="character" w:customStyle="1" w:styleId="IntenseEmphasis1">
    <w:name w:val="Intense Emphasis1"/>
    <w:basedOn w:val="DefaultParagraphFont"/>
    <w:uiPriority w:val="21"/>
    <w:qFormat/>
    <w:rsid w:val="006C41B5"/>
    <w:rPr>
      <w:i/>
      <w:iCs/>
      <w:color w:val="0F4761"/>
    </w:rPr>
  </w:style>
  <w:style w:type="paragraph" w:customStyle="1" w:styleId="IntenseQuote1">
    <w:name w:val="Intense Quote1"/>
    <w:basedOn w:val="Normal"/>
    <w:next w:val="Normal"/>
    <w:uiPriority w:val="30"/>
    <w:qFormat/>
    <w:rsid w:val="006C41B5"/>
    <w:pPr>
      <w:pBdr>
        <w:top w:val="single" w:sz="4" w:space="10" w:color="0F4761"/>
        <w:bottom w:val="single" w:sz="4" w:space="10" w:color="0F4761"/>
      </w:pBdr>
      <w:tabs>
        <w:tab w:val="clear" w:pos="794"/>
        <w:tab w:val="clear" w:pos="1191"/>
        <w:tab w:val="clear" w:pos="1588"/>
        <w:tab w:val="clear" w:pos="1985"/>
      </w:tabs>
      <w:overflowPunct/>
      <w:autoSpaceDE/>
      <w:autoSpaceDN/>
      <w:adjustRightInd/>
      <w:spacing w:before="360" w:after="360" w:line="259" w:lineRule="auto"/>
      <w:ind w:left="864" w:right="864"/>
      <w:jc w:val="center"/>
      <w:textAlignment w:val="auto"/>
    </w:pPr>
    <w:rPr>
      <w:rFonts w:eastAsia="Aptos" w:cs="Arial"/>
      <w:i/>
      <w:iCs/>
      <w:color w:val="0F4761"/>
      <w:kern w:val="2"/>
      <w:sz w:val="22"/>
      <w:szCs w:val="22"/>
      <w14:ligatures w14:val="standardContextual"/>
    </w:rPr>
  </w:style>
  <w:style w:type="character" w:customStyle="1" w:styleId="IntenseQuoteChar">
    <w:name w:val="Intense Quote Char"/>
    <w:basedOn w:val="DefaultParagraphFont"/>
    <w:link w:val="IntenseQuote"/>
    <w:uiPriority w:val="30"/>
    <w:rsid w:val="006C41B5"/>
    <w:rPr>
      <w:i/>
      <w:iCs/>
      <w:color w:val="0F4761"/>
    </w:rPr>
  </w:style>
  <w:style w:type="character" w:customStyle="1" w:styleId="IntenseReference1">
    <w:name w:val="Intense Reference1"/>
    <w:basedOn w:val="DefaultParagraphFont"/>
    <w:uiPriority w:val="32"/>
    <w:qFormat/>
    <w:rsid w:val="006C41B5"/>
    <w:rPr>
      <w:b/>
      <w:bCs/>
      <w:smallCaps/>
      <w:color w:val="0F4761"/>
      <w:spacing w:val="5"/>
    </w:rPr>
  </w:style>
  <w:style w:type="table" w:customStyle="1" w:styleId="TableGrid1">
    <w:name w:val="Table Grid1"/>
    <w:basedOn w:val="TableNormal"/>
    <w:next w:val="TableGrid"/>
    <w:uiPriority w:val="39"/>
    <w:rsid w:val="006C41B5"/>
    <w:rPr>
      <w:rFonts w:ascii="Aptos" w:eastAsia="Aptos" w:hAnsi="Aptos" w:cs="Arial"/>
      <w:kern w:val="2"/>
      <w:sz w:val="22"/>
      <w:szCs w:val="22"/>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41B5"/>
    <w:rPr>
      <w:color w:val="605E5C"/>
      <w:shd w:val="clear" w:color="auto" w:fill="E1DFDD"/>
    </w:rPr>
  </w:style>
  <w:style w:type="paragraph" w:styleId="Revision">
    <w:name w:val="Revision"/>
    <w:hidden/>
    <w:uiPriority w:val="99"/>
    <w:semiHidden/>
    <w:rsid w:val="006C41B5"/>
    <w:rPr>
      <w:rFonts w:ascii="Aptos" w:eastAsia="Aptos" w:hAnsi="Aptos" w:cs="Arial"/>
      <w:kern w:val="2"/>
      <w:sz w:val="22"/>
      <w:szCs w:val="22"/>
      <w:lang w:val="en-GB" w:eastAsia="en-US"/>
      <w14:ligatures w14:val="standardContextual"/>
    </w:rPr>
  </w:style>
  <w:style w:type="table" w:customStyle="1" w:styleId="GridTable2-Accent11">
    <w:name w:val="Grid Table 2 - Accent 11"/>
    <w:basedOn w:val="TableNormal"/>
    <w:next w:val="GridTable2-Accent1"/>
    <w:uiPriority w:val="47"/>
    <w:rsid w:val="006C41B5"/>
    <w:rPr>
      <w:rFonts w:ascii="Aptos" w:eastAsia="Aptos" w:hAnsi="Aptos" w:cs="Arial"/>
      <w:sz w:val="22"/>
      <w:szCs w:val="22"/>
      <w:lang w:val="en-GB" w:eastAsia="en-US"/>
    </w:rPr>
    <w:tblPr>
      <w:tblStyleRowBandSize w:val="1"/>
      <w:tblStyleColBandSize w:val="1"/>
      <w:tblBorders>
        <w:top w:val="single" w:sz="2" w:space="0" w:color="45B0E1"/>
        <w:bottom w:val="single" w:sz="2" w:space="0" w:color="45B0E1"/>
        <w:insideH w:val="single" w:sz="2" w:space="0" w:color="45B0E1"/>
        <w:insideV w:val="single" w:sz="2" w:space="0" w:color="45B0E1"/>
      </w:tblBorders>
    </w:tblPr>
    <w:tblStylePr w:type="firstRow">
      <w:rPr>
        <w:b/>
        <w:bCs/>
      </w:rPr>
      <w:tblPr/>
      <w:tcPr>
        <w:tcBorders>
          <w:top w:val="nil"/>
          <w:bottom w:val="single" w:sz="12" w:space="0" w:color="45B0E1"/>
          <w:insideH w:val="nil"/>
          <w:insideV w:val="nil"/>
        </w:tcBorders>
        <w:shd w:val="clear" w:color="auto" w:fill="FFFFFF"/>
      </w:tcPr>
    </w:tblStylePr>
    <w:tblStylePr w:type="lastRow">
      <w:rPr>
        <w:b/>
        <w:bCs/>
      </w:rPr>
      <w:tblPr/>
      <w:tcPr>
        <w:tcBorders>
          <w:top w:val="double" w:sz="2" w:space="0" w:color="45B0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paragraph" w:customStyle="1" w:styleId="Tabletext0">
    <w:name w:val="Table text"/>
    <w:basedOn w:val="Normal"/>
    <w:link w:val="TabletextChar"/>
    <w:rsid w:val="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pPr>
    <w:rPr>
      <w:rFonts w:ascii="AvenirNext LT Pro Light" w:eastAsia="Yu Gothic Light" w:hAnsi="AvenirNext LT Pro Light" w:cs="Calibri"/>
      <w:color w:val="000000"/>
      <w:kern w:val="28"/>
      <w:sz w:val="19"/>
      <w:lang w:val="en-US"/>
    </w:rPr>
  </w:style>
  <w:style w:type="character" w:customStyle="1" w:styleId="TabletextChar">
    <w:name w:val="Table text Char"/>
    <w:basedOn w:val="DefaultParagraphFont"/>
    <w:link w:val="Tabletext0"/>
    <w:rsid w:val="006C41B5"/>
    <w:rPr>
      <w:rFonts w:ascii="AvenirNext LT Pro Light" w:eastAsia="Yu Gothic Light" w:hAnsi="AvenirNext LT Pro Light" w:cs="Calibri"/>
      <w:color w:val="000000"/>
      <w:kern w:val="28"/>
      <w:sz w:val="19"/>
      <w:lang w:eastAsia="en-US"/>
    </w:rPr>
  </w:style>
  <w:style w:type="paragraph" w:customStyle="1" w:styleId="Tableheadwhitecentred">
    <w:name w:val="Table head white centred"/>
    <w:basedOn w:val="Normal"/>
    <w:rsid w:val="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pPr>
    <w:rPr>
      <w:rFonts w:ascii="AvenirNext LT Pro Medium" w:eastAsia="Yu Gothic Light" w:hAnsi="AvenirNext LT Pro Medium" w:cs="Calibri"/>
      <w:color w:val="000000"/>
      <w:spacing w:val="-10"/>
      <w:kern w:val="28"/>
      <w:sz w:val="20"/>
      <w:szCs w:val="24"/>
      <w:lang w:val="en-US"/>
    </w:rPr>
  </w:style>
  <w:style w:type="paragraph" w:customStyle="1" w:styleId="Tabletextcentred">
    <w:name w:val="Table text centred"/>
    <w:basedOn w:val="Tabletext0"/>
    <w:rsid w:val="006C41B5"/>
    <w:pPr>
      <w:jc w:val="center"/>
    </w:pPr>
  </w:style>
  <w:style w:type="paragraph" w:styleId="NoSpacing">
    <w:name w:val="No Spacing"/>
    <w:uiPriority w:val="1"/>
    <w:qFormat/>
    <w:rsid w:val="006C41B5"/>
    <w:rPr>
      <w:rFonts w:ascii="Aptos" w:eastAsia="Aptos" w:hAnsi="Aptos" w:cs="Arial"/>
      <w:kern w:val="2"/>
      <w:sz w:val="22"/>
      <w:szCs w:val="22"/>
      <w:lang w:val="en-GB" w:eastAsia="en-US"/>
      <w14:ligatures w14:val="standardContextual"/>
    </w:rPr>
  </w:style>
  <w:style w:type="paragraph" w:customStyle="1" w:styleId="FigureTabletitle">
    <w:name w:val="Figure Table title"/>
    <w:basedOn w:val="Figuretitle0"/>
    <w:link w:val="FigureTabletitleChar"/>
    <w:qFormat/>
    <w:rsid w:val="006C41B5"/>
    <w:rPr>
      <w:color w:val="0070C0"/>
      <w:lang w:val="en-GB"/>
    </w:rPr>
  </w:style>
  <w:style w:type="character" w:customStyle="1" w:styleId="FigureTabletitleChar">
    <w:name w:val="Figure Table title Char"/>
    <w:basedOn w:val="FiguretitleChar"/>
    <w:link w:val="FigureTabletitle"/>
    <w:rsid w:val="006C41B5"/>
    <w:rPr>
      <w:rFonts w:ascii="AvenirNext LT Pro Light" w:eastAsiaTheme="majorEastAsia" w:hAnsi="AvenirNext LT Pro Light" w:cs="Calibri"/>
      <w:color w:val="0070C0"/>
      <w:spacing w:val="-10"/>
      <w:kern w:val="28"/>
      <w:sz w:val="24"/>
      <w:szCs w:val="24"/>
      <w:lang w:val="en-GB" w:eastAsia="en-US"/>
    </w:rPr>
  </w:style>
  <w:style w:type="paragraph" w:customStyle="1" w:styleId="notetext">
    <w:name w:val="note text"/>
    <w:basedOn w:val="Sourcetext"/>
    <w:qFormat/>
    <w:rsid w:val="006C41B5"/>
  </w:style>
  <w:style w:type="character" w:styleId="Strong">
    <w:name w:val="Strong"/>
    <w:basedOn w:val="DefaultParagraphFont"/>
    <w:uiPriority w:val="22"/>
    <w:qFormat/>
    <w:rsid w:val="006C41B5"/>
    <w:rPr>
      <w:b/>
      <w:bCs/>
    </w:rPr>
  </w:style>
  <w:style w:type="paragraph" w:customStyle="1" w:styleId="Caption1">
    <w:name w:val="Caption1"/>
    <w:basedOn w:val="Normal"/>
    <w:next w:val="Normal"/>
    <w:uiPriority w:val="35"/>
    <w:unhideWhenUsed/>
    <w:qFormat/>
    <w:rsid w:val="006C41B5"/>
    <w:pPr>
      <w:tabs>
        <w:tab w:val="clear" w:pos="794"/>
        <w:tab w:val="clear" w:pos="1191"/>
        <w:tab w:val="clear" w:pos="1588"/>
        <w:tab w:val="clear" w:pos="1985"/>
      </w:tabs>
      <w:overflowPunct/>
      <w:autoSpaceDE/>
      <w:autoSpaceDN/>
      <w:adjustRightInd/>
      <w:spacing w:before="0" w:after="200"/>
      <w:textAlignment w:val="auto"/>
    </w:pPr>
    <w:rPr>
      <w:rFonts w:eastAsia="Aptos" w:cs="Arial"/>
      <w:i/>
      <w:iCs/>
      <w:color w:val="0E2841"/>
      <w:kern w:val="2"/>
      <w:sz w:val="18"/>
      <w:szCs w:val="18"/>
      <w14:ligatures w14:val="standardContextual"/>
    </w:rPr>
  </w:style>
  <w:style w:type="paragraph" w:styleId="NormalWeb">
    <w:name w:val="Normal (Web)"/>
    <w:basedOn w:val="Normal"/>
    <w:uiPriority w:val="99"/>
    <w:semiHidden/>
    <w:unhideWhenUsed/>
    <w:rsid w:val="006C41B5"/>
    <w:pPr>
      <w:tabs>
        <w:tab w:val="clear" w:pos="794"/>
        <w:tab w:val="clear" w:pos="1191"/>
        <w:tab w:val="clear" w:pos="1588"/>
        <w:tab w:val="clear" w:pos="1985"/>
      </w:tabs>
      <w:overflowPunct/>
      <w:autoSpaceDE/>
      <w:autoSpaceDN/>
      <w:adjustRightInd/>
      <w:spacing w:before="0" w:after="160" w:line="259" w:lineRule="auto"/>
      <w:textAlignment w:val="auto"/>
    </w:pPr>
    <w:rPr>
      <w:rFonts w:ascii="Times New Roman" w:eastAsia="Aptos" w:hAnsi="Times New Roman"/>
      <w:kern w:val="2"/>
      <w:szCs w:val="24"/>
      <w14:ligatures w14:val="standardContextual"/>
    </w:rPr>
  </w:style>
  <w:style w:type="paragraph" w:styleId="EndnoteText">
    <w:name w:val="endnote text"/>
    <w:basedOn w:val="Normal"/>
    <w:link w:val="EndnoteTextChar"/>
    <w:uiPriority w:val="99"/>
    <w:semiHidden/>
    <w:unhideWhenUsed/>
    <w:rsid w:val="006C41B5"/>
    <w:pPr>
      <w:tabs>
        <w:tab w:val="clear" w:pos="794"/>
        <w:tab w:val="clear" w:pos="1191"/>
        <w:tab w:val="clear" w:pos="1588"/>
        <w:tab w:val="clear" w:pos="1985"/>
      </w:tabs>
      <w:overflowPunct/>
      <w:autoSpaceDE/>
      <w:autoSpaceDN/>
      <w:adjustRightInd/>
      <w:spacing w:before="0"/>
      <w:textAlignment w:val="auto"/>
    </w:pPr>
    <w:rPr>
      <w:rFonts w:ascii="Aptos" w:eastAsia="Aptos" w:hAnsi="Aptos" w:cs="Aptos"/>
      <w:sz w:val="20"/>
      <w14:ligatures w14:val="standardContextual"/>
    </w:rPr>
  </w:style>
  <w:style w:type="character" w:customStyle="1" w:styleId="EndnoteTextChar">
    <w:name w:val="Endnote Text Char"/>
    <w:basedOn w:val="DefaultParagraphFont"/>
    <w:link w:val="EndnoteText"/>
    <w:uiPriority w:val="99"/>
    <w:semiHidden/>
    <w:rsid w:val="006C41B5"/>
    <w:rPr>
      <w:rFonts w:ascii="Aptos" w:eastAsia="Aptos" w:hAnsi="Aptos" w:cs="Aptos"/>
      <w:lang w:val="en-GB" w:eastAsia="en-US"/>
      <w14:ligatures w14:val="standardContextual"/>
    </w:rPr>
  </w:style>
  <w:style w:type="paragraph" w:styleId="Subtitle">
    <w:name w:val="Subtitle"/>
    <w:basedOn w:val="Normal"/>
    <w:next w:val="Normal"/>
    <w:link w:val="SubtitleChar"/>
    <w:uiPriority w:val="11"/>
    <w:qFormat/>
    <w:rsid w:val="006C41B5"/>
    <w:pPr>
      <w:numPr>
        <w:ilvl w:val="1"/>
      </w:numPr>
      <w:spacing w:after="160"/>
    </w:pPr>
    <w:rPr>
      <w:rFonts w:ascii="CG Times" w:eastAsia="Yu Gothic Light" w:hAnsi="CG Times"/>
      <w:color w:val="595959"/>
      <w:spacing w:val="15"/>
      <w:sz w:val="28"/>
      <w:szCs w:val="28"/>
      <w:lang w:val="en-US" w:eastAsia="zh-CN"/>
    </w:rPr>
  </w:style>
  <w:style w:type="character" w:customStyle="1" w:styleId="SubtitleChar1">
    <w:name w:val="Subtitle Char1"/>
    <w:basedOn w:val="DefaultParagraphFont"/>
    <w:rsid w:val="006C41B5"/>
    <w:rPr>
      <w:rFonts w:asciiTheme="minorHAnsi" w:eastAsiaTheme="minorEastAsia" w:hAnsiTheme="minorHAnsi" w:cstheme="minorBidi"/>
      <w:color w:val="5A5A5A" w:themeColor="text1" w:themeTint="A5"/>
      <w:spacing w:val="15"/>
      <w:sz w:val="22"/>
      <w:szCs w:val="22"/>
      <w:lang w:val="en-GB" w:eastAsia="en-US"/>
    </w:rPr>
  </w:style>
  <w:style w:type="paragraph" w:styleId="Quote">
    <w:name w:val="Quote"/>
    <w:basedOn w:val="Normal"/>
    <w:next w:val="Normal"/>
    <w:link w:val="QuoteChar"/>
    <w:uiPriority w:val="29"/>
    <w:qFormat/>
    <w:rsid w:val="006C41B5"/>
    <w:pPr>
      <w:spacing w:before="200" w:after="160"/>
      <w:ind w:left="864" w:right="864"/>
      <w:jc w:val="center"/>
    </w:pPr>
    <w:rPr>
      <w:rFonts w:ascii="CG Times" w:hAnsi="CG Times"/>
      <w:i/>
      <w:iCs/>
      <w:color w:val="404040"/>
      <w:sz w:val="20"/>
      <w:lang w:val="en-US" w:eastAsia="zh-CN"/>
    </w:rPr>
  </w:style>
  <w:style w:type="character" w:customStyle="1" w:styleId="QuoteChar1">
    <w:name w:val="Quote Char1"/>
    <w:basedOn w:val="DefaultParagraphFont"/>
    <w:uiPriority w:val="29"/>
    <w:rsid w:val="006C41B5"/>
    <w:rPr>
      <w:rFonts w:asciiTheme="minorHAnsi" w:hAnsiTheme="minorHAnsi"/>
      <w:i/>
      <w:iCs/>
      <w:color w:val="404040" w:themeColor="text1" w:themeTint="BF"/>
      <w:sz w:val="24"/>
      <w:lang w:val="en-GB" w:eastAsia="en-US"/>
    </w:rPr>
  </w:style>
  <w:style w:type="character" w:styleId="IntenseEmphasis">
    <w:name w:val="Intense Emphasis"/>
    <w:basedOn w:val="DefaultParagraphFont"/>
    <w:uiPriority w:val="21"/>
    <w:qFormat/>
    <w:rsid w:val="006C41B5"/>
    <w:rPr>
      <w:i/>
      <w:iCs/>
      <w:color w:val="4F81BD" w:themeColor="accent1"/>
    </w:rPr>
  </w:style>
  <w:style w:type="paragraph" w:styleId="IntenseQuote">
    <w:name w:val="Intense Quote"/>
    <w:basedOn w:val="Normal"/>
    <w:next w:val="Normal"/>
    <w:link w:val="IntenseQuoteChar"/>
    <w:uiPriority w:val="30"/>
    <w:qFormat/>
    <w:rsid w:val="006C41B5"/>
    <w:pPr>
      <w:pBdr>
        <w:top w:val="single" w:sz="4" w:space="10" w:color="4F81BD" w:themeColor="accent1"/>
        <w:bottom w:val="single" w:sz="4" w:space="10" w:color="4F81BD" w:themeColor="accent1"/>
      </w:pBdr>
      <w:spacing w:before="360" w:after="360"/>
      <w:ind w:left="864" w:right="864"/>
      <w:jc w:val="center"/>
    </w:pPr>
    <w:rPr>
      <w:rFonts w:ascii="CG Times" w:hAnsi="CG Times"/>
      <w:i/>
      <w:iCs/>
      <w:color w:val="0F4761"/>
      <w:sz w:val="20"/>
      <w:lang w:val="en-US" w:eastAsia="zh-CN"/>
    </w:rPr>
  </w:style>
  <w:style w:type="character" w:customStyle="1" w:styleId="IntenseQuoteChar1">
    <w:name w:val="Intense Quote Char1"/>
    <w:basedOn w:val="DefaultParagraphFont"/>
    <w:uiPriority w:val="30"/>
    <w:rsid w:val="006C41B5"/>
    <w:rPr>
      <w:rFonts w:asciiTheme="minorHAnsi" w:hAnsiTheme="minorHAnsi"/>
      <w:i/>
      <w:iCs/>
      <w:color w:val="4F81BD" w:themeColor="accent1"/>
      <w:sz w:val="24"/>
      <w:lang w:val="en-GB" w:eastAsia="en-US"/>
    </w:rPr>
  </w:style>
  <w:style w:type="character" w:styleId="IntenseReference">
    <w:name w:val="Intense Reference"/>
    <w:basedOn w:val="DefaultParagraphFont"/>
    <w:uiPriority w:val="32"/>
    <w:qFormat/>
    <w:rsid w:val="006C41B5"/>
    <w:rPr>
      <w:b/>
      <w:bCs/>
      <w:smallCaps/>
      <w:color w:val="4F81BD" w:themeColor="accent1"/>
      <w:spacing w:val="5"/>
    </w:rPr>
  </w:style>
  <w:style w:type="table" w:styleId="GridTable2-Accent1">
    <w:name w:val="Grid Table 2 Accent 1"/>
    <w:basedOn w:val="TableNormal"/>
    <w:uiPriority w:val="47"/>
    <w:rsid w:val="006C41B5"/>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761F14"/>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22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databank.worldbank.org/metadataglossary/world-development-indicators/series/IT.NET.BNDW" TargetMode="External"/></Relationships>
</file>

<file path=word/_rels/document.xml.rels><?xml version="1.0" encoding="UTF-8" standalone="yes"?>
<Relationships xmlns="http://schemas.openxmlformats.org/package/2006/relationships"><Relationship Id="rId117" Type="http://schemas.openxmlformats.org/officeDocument/2006/relationships/image" Target="media/image92.svg"/><Relationship Id="rId21" Type="http://schemas.openxmlformats.org/officeDocument/2006/relationships/image" Target="media/image9.svg"/><Relationship Id="rId42" Type="http://schemas.openxmlformats.org/officeDocument/2006/relationships/image" Target="media/image30.png"/><Relationship Id="rId63" Type="http://schemas.openxmlformats.org/officeDocument/2006/relationships/image" Target="media/image49.png"/><Relationship Id="rId84" Type="http://schemas.openxmlformats.org/officeDocument/2006/relationships/image" Target="media/image65.png"/><Relationship Id="rId138" Type="http://schemas.openxmlformats.org/officeDocument/2006/relationships/hyperlink" Target="https://www.itu.int/en/ITU-D/Statistics/Documents/facts/ITU_regional_global_Key_ICT_indicator_aggregates_Nov_2024.xlsx" TargetMode="External"/><Relationship Id="rId107" Type="http://schemas.openxmlformats.org/officeDocument/2006/relationships/image" Target="media/image84.svg"/><Relationship Id="rId11" Type="http://schemas.openxmlformats.org/officeDocument/2006/relationships/image" Target="media/image1.jpeg"/><Relationship Id="rId32" Type="http://schemas.openxmlformats.org/officeDocument/2006/relationships/image" Target="media/image20.png"/><Relationship Id="rId53" Type="http://schemas.openxmlformats.org/officeDocument/2006/relationships/hyperlink" Target="https://bbmaps.itu.int/app" TargetMode="External"/><Relationship Id="rId74" Type="http://schemas.openxmlformats.org/officeDocument/2006/relationships/image" Target="media/image56.svg"/><Relationship Id="rId128" Type="http://schemas.openxmlformats.org/officeDocument/2006/relationships/image" Target="media/image99.png"/><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6.svg"/><Relationship Id="rId22" Type="http://schemas.openxmlformats.org/officeDocument/2006/relationships/image" Target="media/image10.png"/><Relationship Id="rId27" Type="http://schemas.openxmlformats.org/officeDocument/2006/relationships/image" Target="media/image15.svg"/><Relationship Id="rId43" Type="http://schemas.openxmlformats.org/officeDocument/2006/relationships/image" Target="media/image31.svg"/><Relationship Id="rId48" Type="http://schemas.openxmlformats.org/officeDocument/2006/relationships/image" Target="media/image36.png"/><Relationship Id="rId64" Type="http://schemas.openxmlformats.org/officeDocument/2006/relationships/image" Target="media/image50.svg"/><Relationship Id="rId69" Type="http://schemas.openxmlformats.org/officeDocument/2006/relationships/image" Target="media/image51.png"/><Relationship Id="rId113" Type="http://schemas.openxmlformats.org/officeDocument/2006/relationships/image" Target="media/image88.svg"/><Relationship Id="rId118" Type="http://schemas.openxmlformats.org/officeDocument/2006/relationships/image" Target="media/image93.png"/><Relationship Id="rId134" Type="http://schemas.openxmlformats.org/officeDocument/2006/relationships/hyperlink" Target="https://academy.itu.int/training-courses/full-catalogue/training-trainers-quality-services-training-programme-qostp-and-spectrum-management-training-program" TargetMode="External"/><Relationship Id="rId139" Type="http://schemas.openxmlformats.org/officeDocument/2006/relationships/hyperlink" Target="https://www.itu.int/itu-d/reports/statistics/facts-figures-2024/" TargetMode="External"/><Relationship Id="rId80" Type="http://schemas.openxmlformats.org/officeDocument/2006/relationships/image" Target="media/image61.png"/><Relationship Id="rId85" Type="http://schemas.openxmlformats.org/officeDocument/2006/relationships/image" Target="media/image66.svg"/><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21.svg"/><Relationship Id="rId38" Type="http://schemas.openxmlformats.org/officeDocument/2006/relationships/image" Target="media/image26.png"/><Relationship Id="rId59" Type="http://schemas.openxmlformats.org/officeDocument/2006/relationships/image" Target="media/image45.png"/><Relationship Id="rId103" Type="http://schemas.openxmlformats.org/officeDocument/2006/relationships/image" Target="media/image81.png"/><Relationship Id="rId108" Type="http://schemas.openxmlformats.org/officeDocument/2006/relationships/hyperlink" Target="https://www.itu.int/en/ITU-D/Statistics/Documents/facts/rpm_arb_pub_2025_data.xlsx" TargetMode="External"/><Relationship Id="rId124" Type="http://schemas.openxmlformats.org/officeDocument/2006/relationships/image" Target="media/image97.png"/><Relationship Id="rId129" Type="http://schemas.openxmlformats.org/officeDocument/2006/relationships/image" Target="media/image100.svg"/><Relationship Id="rId54" Type="http://schemas.openxmlformats.org/officeDocument/2006/relationships/image" Target="media/image41.png"/><Relationship Id="rId70" Type="http://schemas.openxmlformats.org/officeDocument/2006/relationships/image" Target="media/image52.svg"/><Relationship Id="rId75" Type="http://schemas.openxmlformats.org/officeDocument/2006/relationships/image" Target="media/image57.png"/><Relationship Id="rId91" Type="http://schemas.openxmlformats.org/officeDocument/2006/relationships/image" Target="media/image72.svg"/><Relationship Id="rId96" Type="http://schemas.openxmlformats.org/officeDocument/2006/relationships/hyperlink" Target="https://www.itu.int/itu-d/meetings/statistics/wp-content/uploads/sites/8/2023/09/Report-of-the-EGH-subgroup-on-ICT-Skills.pdf" TargetMode="External"/><Relationship Id="rId140" Type="http://schemas.openxmlformats.org/officeDocument/2006/relationships/header" Target="header1.xml"/><Relationship Id="rId14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svg"/><Relationship Id="rId28" Type="http://schemas.openxmlformats.org/officeDocument/2006/relationships/image" Target="media/image16.png"/><Relationship Id="rId49" Type="http://schemas.openxmlformats.org/officeDocument/2006/relationships/image" Target="media/image37.svg"/><Relationship Id="rId114" Type="http://schemas.openxmlformats.org/officeDocument/2006/relationships/image" Target="media/image89.png"/><Relationship Id="rId119" Type="http://schemas.openxmlformats.org/officeDocument/2006/relationships/image" Target="media/image94.svg"/><Relationship Id="rId44" Type="http://schemas.openxmlformats.org/officeDocument/2006/relationships/image" Target="media/image32.png"/><Relationship Id="rId60" Type="http://schemas.openxmlformats.org/officeDocument/2006/relationships/image" Target="media/image46.svg"/><Relationship Id="rId65" Type="http://schemas.openxmlformats.org/officeDocument/2006/relationships/comments" Target="comments.xml"/><Relationship Id="rId81" Type="http://schemas.openxmlformats.org/officeDocument/2006/relationships/image" Target="media/image62.svg"/><Relationship Id="rId86" Type="http://schemas.openxmlformats.org/officeDocument/2006/relationships/image" Target="media/image67.png"/><Relationship Id="rId130" Type="http://schemas.openxmlformats.org/officeDocument/2006/relationships/image" Target="media/image101.png"/><Relationship Id="rId135" Type="http://schemas.openxmlformats.org/officeDocument/2006/relationships/hyperlink" Target="https://www.itu.int/en/ITU-D/Emergency-Telecommunications/Pages/NETPs.aspx" TargetMode="External"/><Relationship Id="rId13" Type="http://schemas.openxmlformats.org/officeDocument/2006/relationships/image" Target="media/image3.svg"/><Relationship Id="rId18" Type="http://schemas.openxmlformats.org/officeDocument/2006/relationships/image" Target="media/image7.svg"/><Relationship Id="rId39" Type="http://schemas.openxmlformats.org/officeDocument/2006/relationships/image" Target="media/image27.svg"/><Relationship Id="rId109" Type="http://schemas.openxmlformats.org/officeDocument/2006/relationships/image" Target="media/image85.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2.svg"/><Relationship Id="rId76" Type="http://schemas.openxmlformats.org/officeDocument/2006/relationships/image" Target="media/image58.svg"/><Relationship Id="rId97" Type="http://schemas.openxmlformats.org/officeDocument/2006/relationships/image" Target="media/image77.png"/><Relationship Id="rId104" Type="http://schemas.openxmlformats.org/officeDocument/2006/relationships/image" Target="media/image82.svg"/><Relationship Id="rId120" Type="http://schemas.openxmlformats.org/officeDocument/2006/relationships/image" Target="media/image95.png"/><Relationship Id="rId125" Type="http://schemas.openxmlformats.org/officeDocument/2006/relationships/image" Target="media/image98.svg"/><Relationship Id="rId141" Type="http://schemas.openxmlformats.org/officeDocument/2006/relationships/header" Target="header2.xml"/><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7.sv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svg"/><Relationship Id="rId66" Type="http://schemas.microsoft.com/office/2011/relationships/commentsExtended" Target="commentsExtended.xml"/><Relationship Id="rId87" Type="http://schemas.openxmlformats.org/officeDocument/2006/relationships/image" Target="media/image68.svg"/><Relationship Id="rId110" Type="http://schemas.openxmlformats.org/officeDocument/2006/relationships/image" Target="media/image86.svg"/><Relationship Id="rId115" Type="http://schemas.openxmlformats.org/officeDocument/2006/relationships/image" Target="media/image90.svg"/><Relationship Id="rId131" Type="http://schemas.openxmlformats.org/officeDocument/2006/relationships/hyperlink" Target="https://www.itu.int/en/itu-d/cybersecurity/pages/cyberdrills.aspx" TargetMode="External"/><Relationship Id="rId136" Type="http://schemas.openxmlformats.org/officeDocument/2006/relationships/hyperlink" Target="https://www.itu.int/en/ITU-D/Statistics/Documents/facts/rpm_arb_pub_2025_data.xlsx" TargetMode="External"/><Relationship Id="rId61" Type="http://schemas.openxmlformats.org/officeDocument/2006/relationships/image" Target="media/image47.png"/><Relationship Id="rId82" Type="http://schemas.openxmlformats.org/officeDocument/2006/relationships/image" Target="media/image63.png"/><Relationship Id="rId19" Type="http://schemas.openxmlformats.org/officeDocument/2006/relationships/hyperlink" Target="https://www.itu.int/pub/D-PREF-BB.REG_OUT01-2023/en" TargetMode="External"/><Relationship Id="rId14" Type="http://schemas.openxmlformats.org/officeDocument/2006/relationships/hyperlink" Target="https://app.gen5.digital/tracker/metrics" TargetMode="External"/><Relationship Id="rId30" Type="http://schemas.openxmlformats.org/officeDocument/2006/relationships/image" Target="media/image18.png"/><Relationship Id="rId35" Type="http://schemas.openxmlformats.org/officeDocument/2006/relationships/image" Target="media/image23.svg"/><Relationship Id="rId56" Type="http://schemas.openxmlformats.org/officeDocument/2006/relationships/hyperlink" Target="https://bbmaps.itu.int/indicators-bbmaps" TargetMode="External"/><Relationship Id="rId77" Type="http://schemas.openxmlformats.org/officeDocument/2006/relationships/hyperlink" Target="https://www.broadbandcommission.org/" TargetMode="External"/><Relationship Id="rId100" Type="http://schemas.openxmlformats.org/officeDocument/2006/relationships/image" Target="media/image79.png"/><Relationship Id="rId105" Type="http://schemas.openxmlformats.org/officeDocument/2006/relationships/hyperlink" Target="https://www.itu.int/en/ITU-D/Statistics/Documents/facts/rpm_arb_pub_2025_data.xlsx" TargetMode="External"/><Relationship Id="rId126" Type="http://schemas.openxmlformats.org/officeDocument/2006/relationships/hyperlink" Target="https://www.itu.int/hub/publication/d-gen-e_waste-01-2024/" TargetMode="External"/><Relationship Id="rId147"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9.svg"/><Relationship Id="rId72" Type="http://schemas.openxmlformats.org/officeDocument/2006/relationships/image" Target="media/image54.svg"/><Relationship Id="rId93" Type="http://schemas.openxmlformats.org/officeDocument/2006/relationships/image" Target="media/image74.svg"/><Relationship Id="rId98" Type="http://schemas.openxmlformats.org/officeDocument/2006/relationships/image" Target="media/image78.svg"/><Relationship Id="rId121" Type="http://schemas.openxmlformats.org/officeDocument/2006/relationships/image" Target="media/image96.svg"/><Relationship Id="rId142"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3.svg"/><Relationship Id="rId46" Type="http://schemas.openxmlformats.org/officeDocument/2006/relationships/image" Target="media/image34.png"/><Relationship Id="rId67" Type="http://schemas.microsoft.com/office/2016/09/relationships/commentsIds" Target="commentsIds.xml"/><Relationship Id="rId116" Type="http://schemas.openxmlformats.org/officeDocument/2006/relationships/image" Target="media/image91.png"/><Relationship Id="rId137" Type="http://schemas.openxmlformats.org/officeDocument/2006/relationships/hyperlink" Target="https://datahub.itu.int/" TargetMode="External"/><Relationship Id="rId20" Type="http://schemas.openxmlformats.org/officeDocument/2006/relationships/image" Target="media/image8.png"/><Relationship Id="rId41" Type="http://schemas.openxmlformats.org/officeDocument/2006/relationships/image" Target="media/image29.svg"/><Relationship Id="rId62" Type="http://schemas.openxmlformats.org/officeDocument/2006/relationships/image" Target="media/image48.svg"/><Relationship Id="rId83" Type="http://schemas.openxmlformats.org/officeDocument/2006/relationships/image" Target="media/image64.svg"/><Relationship Id="rId88" Type="http://schemas.openxmlformats.org/officeDocument/2006/relationships/image" Target="media/image69.png"/><Relationship Id="rId111" Type="http://schemas.openxmlformats.org/officeDocument/2006/relationships/hyperlink" Target="https://www.itu.int/en/ITU-D/Statistics/Documents/facts/rpm_arb_pub_2025_data.xlsx" TargetMode="External"/><Relationship Id="rId132" Type="http://schemas.openxmlformats.org/officeDocument/2006/relationships/hyperlink" Target="https://www.govstack.global/" TargetMode="External"/><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43.png"/><Relationship Id="rId106" Type="http://schemas.openxmlformats.org/officeDocument/2006/relationships/image" Target="media/image83.png"/><Relationship Id="rId127" Type="http://schemas.openxmlformats.org/officeDocument/2006/relationships/hyperlink" Target="https://www.itu.int/hub/publication/d-gen-e_waste-01-2024/" TargetMode="External"/><Relationship Id="rId10" Type="http://schemas.openxmlformats.org/officeDocument/2006/relationships/endnotes" Target="endnotes.xml"/><Relationship Id="rId31" Type="http://schemas.openxmlformats.org/officeDocument/2006/relationships/image" Target="media/image19.svg"/><Relationship Id="rId52" Type="http://schemas.openxmlformats.org/officeDocument/2006/relationships/image" Target="media/image40.png"/><Relationship Id="rId73" Type="http://schemas.openxmlformats.org/officeDocument/2006/relationships/image" Target="media/image55.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hyperlink" Target="https://www.itu.int/en/ITU-D/Statistics/Documents/facts/rpm_arb_pub_2025_data.xlsx" TargetMode="External"/><Relationship Id="rId101" Type="http://schemas.openxmlformats.org/officeDocument/2006/relationships/image" Target="media/image80.svg"/><Relationship Id="rId122" Type="http://schemas.openxmlformats.org/officeDocument/2006/relationships/hyperlink" Target="https://www.itu.int/hub/publication/d-gen-e_waste-01-2024/" TargetMode="External"/><Relationship Id="rId143" Type="http://schemas.openxmlformats.org/officeDocument/2006/relationships/footer" Target="footer2.xml"/><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 Id="rId47" Type="http://schemas.openxmlformats.org/officeDocument/2006/relationships/image" Target="media/image35.svg"/><Relationship Id="rId68" Type="http://schemas.microsoft.com/office/2018/08/relationships/commentsExtensible" Target="commentsExtensible.xml"/><Relationship Id="rId89" Type="http://schemas.openxmlformats.org/officeDocument/2006/relationships/image" Target="media/image70.svg"/><Relationship Id="rId112" Type="http://schemas.openxmlformats.org/officeDocument/2006/relationships/image" Target="media/image87.png"/><Relationship Id="rId133" Type="http://schemas.openxmlformats.org/officeDocument/2006/relationships/hyperlink" Target="https://www.itu.int/itu-d/sites/digital-impact-unlocked/arab-innovation-and-entrepreneurship-network-aien-promotes-cooperation-and-the-sharing-of-cross-expertise-between-start-ups/" TargetMode="External"/><Relationship Id="rId16" Type="http://schemas.openxmlformats.org/officeDocument/2006/relationships/image" Target="media/image5.svg"/><Relationship Id="rId37" Type="http://schemas.openxmlformats.org/officeDocument/2006/relationships/image" Target="media/image25.svg"/><Relationship Id="rId58" Type="http://schemas.openxmlformats.org/officeDocument/2006/relationships/image" Target="media/image44.svg"/><Relationship Id="rId79" Type="http://schemas.openxmlformats.org/officeDocument/2006/relationships/image" Target="media/image60.svg"/><Relationship Id="rId102" Type="http://schemas.openxmlformats.org/officeDocument/2006/relationships/hyperlink" Target="https://www.itu.int/en/ITU-D/Statistics/Documents/facts/rpm_arb_pub_2025_data.xlsx" TargetMode="External"/><Relationship Id="rId123" Type="http://schemas.openxmlformats.org/officeDocument/2006/relationships/hyperlink" Target="https://www.itu.int/en/ITU-D/Environment/Pages/Publications/The-Global-E-waste-Monitor-2024.aspx" TargetMode="External"/><Relationship Id="rId14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hyperlink" Target="mailto:thierry.geiger@itu.i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atahub.itu.int/" TargetMode="External"/><Relationship Id="rId2" Type="http://schemas.openxmlformats.org/officeDocument/2006/relationships/hyperlink" Target="https://gen5.digital/" TargetMode="External"/><Relationship Id="rId1" Type="http://schemas.openxmlformats.org/officeDocument/2006/relationships/hyperlink" Target="https://gen5.digital/" TargetMode="External"/><Relationship Id="rId4" Type="http://schemas.openxmlformats.org/officeDocument/2006/relationships/hyperlink" Target="https://www.itu.int/itu-d/reports/statistics/facts-figures-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CCE0E51E9C1044807BC3B58DFAB656" ma:contentTypeVersion="13" ma:contentTypeDescription="Create a new document." ma:contentTypeScope="" ma:versionID="3a0cf771f9badaa4fa24f738c9cd27d9">
  <xsd:schema xmlns:xsd="http://www.w3.org/2001/XMLSchema" xmlns:xs="http://www.w3.org/2001/XMLSchema" xmlns:p="http://schemas.microsoft.com/office/2006/metadata/properties" xmlns:ns2="b6109c62-af78-494c-a825-80e1ffe32798" xmlns:ns3="54151c7f-6a84-4427-a6ce-bf1d7f28364f" targetNamespace="http://schemas.microsoft.com/office/2006/metadata/properties" ma:root="true" ma:fieldsID="d8a32cf20eb18a88c3c1d8d3b3c057da" ns2:_="" ns3:_="">
    <xsd:import namespace="b6109c62-af78-494c-a825-80e1ffe32798"/>
    <xsd:import namespace="54151c7f-6a84-4427-a6ce-bf1d7f2836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09c62-af78-494c-a825-80e1ffe32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151c7f-6a84-4427-a6ce-bf1d7f2836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29b382-fa5a-4cbe-be10-aecbe8bfdefe}" ma:internalName="TaxCatchAll" ma:showField="CatchAllData" ma:web="54151c7f-6a84-4427-a6ce-bf1d7f2836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4151c7f-6a84-4427-a6ce-bf1d7f28364f" xsi:nil="true"/>
    <lcf76f155ced4ddcb4097134ff3c332f xmlns="b6109c62-af78-494c-a825-80e1ffe3279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7E243-CB01-4DD2-9601-80AA209EE04B}">
  <ds:schemaRefs>
    <ds:schemaRef ds:uri="http://schemas.microsoft.com/sharepoint/v3/contenttype/forms"/>
  </ds:schemaRefs>
</ds:datastoreItem>
</file>

<file path=customXml/itemProps2.xml><?xml version="1.0" encoding="utf-8"?>
<ds:datastoreItem xmlns:ds="http://schemas.openxmlformats.org/officeDocument/2006/customXml" ds:itemID="{E05C3A98-ECDF-4DF6-9898-84C493F257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109c62-af78-494c-a825-80e1ffe32798"/>
    <ds:schemaRef ds:uri="54151c7f-6a84-4427-a6ce-bf1d7f2836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C58782-B0E1-4E89-9094-CADA65784796}">
  <ds:schemaRefs>
    <ds:schemaRef ds:uri="http://schemas.microsoft.com/office/2006/metadata/properties"/>
    <ds:schemaRef ds:uri="http://schemas.microsoft.com/office/infopath/2007/PartnerControls"/>
    <ds:schemaRef ds:uri="0f208774-d51b-4573-a67b-89dea6922a77"/>
    <ds:schemaRef ds:uri="c90385a7-5e94-4852-9398-ec888c07ca90"/>
    <ds:schemaRef ds:uri="54151c7f-6a84-4427-a6ce-bf1d7f28364f"/>
    <ds:schemaRef ds:uri="b6109c62-af78-494c-a825-80e1ffe32798"/>
  </ds:schemaRefs>
</ds:datastoreItem>
</file>

<file path=customXml/itemProps4.xml><?xml version="1.0" encoding="utf-8"?>
<ds:datastoreItem xmlns:ds="http://schemas.openxmlformats.org/officeDocument/2006/customXml" ds:itemID="{BACF41A4-028F-4752-A2BC-E01D80CDE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12241</Words>
  <Characters>72211</Characters>
  <Application>Microsoft Office Word</Application>
  <DocSecurity>0</DocSecurity>
  <Lines>601</Lines>
  <Paragraphs>168</Paragraphs>
  <ScaleCrop>false</ScaleCrop>
  <HeadingPairs>
    <vt:vector size="2" baseType="variant">
      <vt:variant>
        <vt:lpstr>Title</vt:lpstr>
      </vt:variant>
      <vt:variant>
        <vt:i4>1</vt:i4>
      </vt:variant>
    </vt:vector>
  </HeadingPairs>
  <TitlesOfParts>
    <vt:vector size="1" baseType="lpstr">
      <vt:lpstr>TDAG19</vt:lpstr>
    </vt:vector>
  </TitlesOfParts>
  <Manager>General Secretariat - Pool</Manager>
  <Company>International Telecommunication Union (ITU)</Company>
  <LinksUpToDate>false</LinksUpToDate>
  <CharactersWithSpaces>84284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subject/>
  <dc:creator>BDT-nd</dc:creator>
  <cp:keywords/>
  <dc:description/>
  <cp:lastModifiedBy>BDT</cp:lastModifiedBy>
  <cp:revision>3</cp:revision>
  <cp:lastPrinted>2025-01-09T15:18:00Z</cp:lastPrinted>
  <dcterms:created xsi:type="dcterms:W3CDTF">2025-01-29T14:15:00Z</dcterms:created>
  <dcterms:modified xsi:type="dcterms:W3CDTF">2025-01-31T17:33:00Z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y fmtid="{D5CDD505-2E9C-101B-9397-08002B2CF9AE}" pid="8" name="ContentTypeId">
    <vt:lpwstr>0x010100B3CCE0E51E9C1044807BC3B58DFAB656</vt:lpwstr>
  </property>
  <property fmtid="{D5CDD505-2E9C-101B-9397-08002B2CF9AE}" pid="9" name="MediaServiceImageTags">
    <vt:lpwstr/>
  </property>
</Properties>
</file>