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969"/>
        <w:gridCol w:w="2410"/>
        <w:gridCol w:w="1524"/>
      </w:tblGrid>
      <w:tr w:rsidR="002728FA" w:rsidRPr="00126B03" w14:paraId="65D22A5F" w14:textId="77777777" w:rsidTr="00117481">
        <w:trPr>
          <w:cantSplit/>
          <w:trHeight w:val="1134"/>
        </w:trPr>
        <w:tc>
          <w:tcPr>
            <w:tcW w:w="1985" w:type="dxa"/>
          </w:tcPr>
          <w:p w14:paraId="00F76647" w14:textId="77777777" w:rsidR="002728FA" w:rsidRPr="00126B03" w:rsidRDefault="00137AC9" w:rsidP="00117481">
            <w:pPr>
              <w:tabs>
                <w:tab w:val="clear" w:pos="1191"/>
                <w:tab w:val="clear" w:pos="1588"/>
                <w:tab w:val="clear" w:pos="1985"/>
              </w:tabs>
              <w:spacing w:before="60" w:after="40"/>
              <w:ind w:left="34"/>
              <w:rPr>
                <w:b/>
                <w:bCs/>
                <w:sz w:val="32"/>
                <w:szCs w:val="32"/>
                <w:lang w:val="es-ES_tradnl"/>
              </w:rPr>
            </w:pPr>
            <w:r>
              <w:rPr>
                <w:b/>
                <w:bCs/>
                <w:noProof/>
                <w:sz w:val="32"/>
                <w:szCs w:val="32"/>
                <w:lang w:val="es-ES_tradnl"/>
              </w:rPr>
              <w:drawing>
                <wp:inline distT="0" distB="0" distL="0" distR="0" wp14:anchorId="2B2F6B2E" wp14:editId="73BCB337">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2E1B712F" w14:textId="77777777" w:rsidR="002728FA" w:rsidRDefault="002728FA" w:rsidP="009D30B8">
            <w:pPr>
              <w:tabs>
                <w:tab w:val="clear" w:pos="1191"/>
                <w:tab w:val="clear" w:pos="1588"/>
                <w:tab w:val="clear" w:pos="1985"/>
              </w:tabs>
              <w:spacing w:before="240" w:after="120"/>
              <w:ind w:left="34"/>
              <w:rPr>
                <w:b/>
                <w:bCs/>
                <w:sz w:val="32"/>
                <w:szCs w:val="32"/>
                <w:lang w:val="es-ES_tradnl"/>
              </w:rPr>
            </w:pPr>
            <w:r w:rsidRPr="00126B03">
              <w:rPr>
                <w:b/>
                <w:bCs/>
                <w:sz w:val="32"/>
                <w:szCs w:val="32"/>
                <w:lang w:val="es-ES_tradnl"/>
              </w:rPr>
              <w:t>Reunión Preparatoria Regional</w:t>
            </w:r>
            <w:r w:rsidRPr="00126B03">
              <w:rPr>
                <w:b/>
                <w:bCs/>
                <w:sz w:val="32"/>
                <w:szCs w:val="32"/>
                <w:lang w:val="es-ES_tradnl"/>
              </w:rPr>
              <w:br/>
              <w:t>de las Américas para la CMDT-25 (RPR-AMS)</w:t>
            </w:r>
          </w:p>
          <w:p w14:paraId="6DD1E52D" w14:textId="77777777" w:rsidR="002728FA" w:rsidRPr="00126B03" w:rsidRDefault="002728FA" w:rsidP="00723ECE">
            <w:pPr>
              <w:tabs>
                <w:tab w:val="clear" w:pos="1191"/>
                <w:tab w:val="clear" w:pos="1588"/>
                <w:tab w:val="clear" w:pos="1985"/>
              </w:tabs>
              <w:spacing w:before="240" w:after="120"/>
              <w:ind w:left="34"/>
              <w:rPr>
                <w:rFonts w:ascii="Verdana" w:hAnsi="Verdana"/>
                <w:sz w:val="28"/>
                <w:szCs w:val="28"/>
                <w:lang w:val="es-ES_tradnl"/>
              </w:rPr>
            </w:pPr>
            <w:r w:rsidRPr="00126B03">
              <w:rPr>
                <w:b/>
                <w:bCs/>
                <w:sz w:val="26"/>
                <w:szCs w:val="26"/>
                <w:lang w:val="es-ES_tradnl"/>
              </w:rPr>
              <w:t>Asunción, Paraguay, 1-2 de abril de 2025</w:t>
            </w:r>
          </w:p>
        </w:tc>
        <w:tc>
          <w:tcPr>
            <w:tcW w:w="1524" w:type="dxa"/>
          </w:tcPr>
          <w:p w14:paraId="2851D12B" w14:textId="77777777" w:rsidR="002728FA" w:rsidRPr="00126B03" w:rsidRDefault="002728FA" w:rsidP="00952667">
            <w:pPr>
              <w:spacing w:after="120"/>
              <w:ind w:right="142"/>
              <w:jc w:val="right"/>
              <w:rPr>
                <w:lang w:val="es-ES_tradnl"/>
              </w:rPr>
            </w:pPr>
            <w:r w:rsidRPr="00126B03">
              <w:rPr>
                <w:noProof/>
                <w:lang w:val="es-ES_tradnl" w:eastAsia="fr-FR"/>
              </w:rPr>
              <w:drawing>
                <wp:inline distT="0" distB="0" distL="0" distR="0" wp14:anchorId="1E9F3D31" wp14:editId="5DFB36A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26B03" w14:paraId="349B9FC9" w14:textId="77777777" w:rsidTr="00F07055">
        <w:trPr>
          <w:cantSplit/>
        </w:trPr>
        <w:tc>
          <w:tcPr>
            <w:tcW w:w="5954" w:type="dxa"/>
            <w:gridSpan w:val="2"/>
            <w:tcBorders>
              <w:top w:val="single" w:sz="12" w:space="0" w:color="auto"/>
            </w:tcBorders>
          </w:tcPr>
          <w:p w14:paraId="4AB070DA" w14:textId="77777777" w:rsidR="00683C32" w:rsidRPr="00126B03" w:rsidRDefault="00683C32" w:rsidP="00107E85">
            <w:pPr>
              <w:spacing w:before="0"/>
              <w:rPr>
                <w:rFonts w:cs="Arial"/>
                <w:b/>
                <w:bCs/>
                <w:sz w:val="20"/>
                <w:lang w:val="es-ES_tradnl"/>
              </w:rPr>
            </w:pPr>
          </w:p>
        </w:tc>
        <w:tc>
          <w:tcPr>
            <w:tcW w:w="3934" w:type="dxa"/>
            <w:gridSpan w:val="2"/>
            <w:tcBorders>
              <w:top w:val="single" w:sz="12" w:space="0" w:color="auto"/>
            </w:tcBorders>
          </w:tcPr>
          <w:p w14:paraId="6DE63C13" w14:textId="77777777" w:rsidR="00683C32" w:rsidRPr="00126B03" w:rsidRDefault="00683C32" w:rsidP="00107E85">
            <w:pPr>
              <w:spacing w:before="0"/>
              <w:rPr>
                <w:b/>
                <w:bCs/>
                <w:sz w:val="20"/>
                <w:lang w:val="es-ES_tradnl"/>
              </w:rPr>
            </w:pPr>
          </w:p>
        </w:tc>
      </w:tr>
      <w:tr w:rsidR="008E2CCC" w:rsidRPr="00126B03" w14:paraId="654B4EBB" w14:textId="77777777" w:rsidTr="00F07055">
        <w:trPr>
          <w:cantSplit/>
        </w:trPr>
        <w:tc>
          <w:tcPr>
            <w:tcW w:w="5954" w:type="dxa"/>
            <w:gridSpan w:val="2"/>
          </w:tcPr>
          <w:p w14:paraId="514DB7A9" w14:textId="77777777" w:rsidR="008E2CCC" w:rsidRPr="00126B03" w:rsidRDefault="008E2CCC" w:rsidP="008E2CCC">
            <w:pPr>
              <w:pStyle w:val="Committee"/>
              <w:spacing w:before="0"/>
              <w:rPr>
                <w:b w:val="0"/>
                <w:szCs w:val="24"/>
                <w:lang w:val="es-ES_tradnl"/>
              </w:rPr>
            </w:pPr>
          </w:p>
        </w:tc>
        <w:tc>
          <w:tcPr>
            <w:tcW w:w="3934" w:type="dxa"/>
            <w:gridSpan w:val="2"/>
          </w:tcPr>
          <w:p w14:paraId="2D8BBFD6" w14:textId="051C7802" w:rsidR="008E2CCC" w:rsidRPr="008E2CCC" w:rsidRDefault="008E2CCC" w:rsidP="008E2CCC">
            <w:pPr>
              <w:spacing w:before="0"/>
              <w:jc w:val="both"/>
              <w:rPr>
                <w:bCs/>
                <w:szCs w:val="24"/>
                <w:lang w:val="en-US"/>
              </w:rPr>
            </w:pPr>
            <w:r w:rsidRPr="00364F6A">
              <w:rPr>
                <w:b/>
                <w:bCs/>
                <w:lang w:val="en-US"/>
              </w:rPr>
              <w:t xml:space="preserve">Documento </w:t>
            </w:r>
            <w:bookmarkStart w:id="0" w:name="DocRef1"/>
            <w:bookmarkEnd w:id="0"/>
            <w:r w:rsidRPr="00364F6A">
              <w:rPr>
                <w:b/>
                <w:bCs/>
                <w:lang w:val="en-US"/>
              </w:rPr>
              <w:t>RPM-AMS25/5(Rev.</w:t>
            </w:r>
            <w:r>
              <w:rPr>
                <w:b/>
                <w:bCs/>
                <w:lang w:val="en-US"/>
              </w:rPr>
              <w:t>2</w:t>
            </w:r>
            <w:r w:rsidRPr="00364F6A">
              <w:rPr>
                <w:b/>
                <w:bCs/>
                <w:lang w:val="en-US"/>
              </w:rPr>
              <w:t>)-S</w:t>
            </w:r>
          </w:p>
        </w:tc>
      </w:tr>
      <w:tr w:rsidR="008E2CCC" w:rsidRPr="00126B03" w14:paraId="6D71CCEA" w14:textId="77777777" w:rsidTr="00F07055">
        <w:trPr>
          <w:cantSplit/>
        </w:trPr>
        <w:tc>
          <w:tcPr>
            <w:tcW w:w="5954" w:type="dxa"/>
            <w:gridSpan w:val="2"/>
          </w:tcPr>
          <w:p w14:paraId="15183B8C" w14:textId="77777777" w:rsidR="008E2CCC" w:rsidRPr="008E2CCC" w:rsidRDefault="008E2CCC" w:rsidP="008E2CCC">
            <w:pPr>
              <w:spacing w:before="0"/>
              <w:rPr>
                <w:b/>
                <w:bCs/>
                <w:smallCaps/>
                <w:szCs w:val="24"/>
                <w:lang w:val="en-US"/>
              </w:rPr>
            </w:pPr>
          </w:p>
        </w:tc>
        <w:tc>
          <w:tcPr>
            <w:tcW w:w="3934" w:type="dxa"/>
            <w:gridSpan w:val="2"/>
          </w:tcPr>
          <w:p w14:paraId="5DB114A4" w14:textId="12C8E229" w:rsidR="008E2CCC" w:rsidRPr="00126B03" w:rsidRDefault="008E2CCC" w:rsidP="008E2CCC">
            <w:pPr>
              <w:spacing w:before="0"/>
              <w:rPr>
                <w:b/>
                <w:szCs w:val="24"/>
                <w:lang w:val="es-ES_tradnl"/>
              </w:rPr>
            </w:pPr>
            <w:bookmarkStart w:id="1" w:name="CreationDate"/>
            <w:bookmarkEnd w:id="1"/>
            <w:r w:rsidRPr="00364F6A">
              <w:rPr>
                <w:b/>
                <w:bCs/>
                <w:szCs w:val="28"/>
                <w:lang w:val="es-ES"/>
              </w:rPr>
              <w:t>17 de marzo</w:t>
            </w:r>
            <w:r w:rsidRPr="00D97F84">
              <w:rPr>
                <w:b/>
                <w:bCs/>
                <w:szCs w:val="28"/>
                <w:lang w:val="es-ES"/>
              </w:rPr>
              <w:t xml:space="preserve"> de 2025</w:t>
            </w:r>
          </w:p>
        </w:tc>
      </w:tr>
      <w:tr w:rsidR="008E2CCC" w:rsidRPr="00126B03" w14:paraId="459C24FA" w14:textId="77777777" w:rsidTr="00F07055">
        <w:trPr>
          <w:cantSplit/>
        </w:trPr>
        <w:tc>
          <w:tcPr>
            <w:tcW w:w="5954" w:type="dxa"/>
            <w:gridSpan w:val="2"/>
          </w:tcPr>
          <w:p w14:paraId="41CF1815" w14:textId="77777777" w:rsidR="008E2CCC" w:rsidRPr="00126B03" w:rsidRDefault="008E2CCC" w:rsidP="008E2CCC">
            <w:pPr>
              <w:spacing w:before="0"/>
              <w:rPr>
                <w:b/>
                <w:bCs/>
                <w:smallCaps/>
                <w:szCs w:val="24"/>
                <w:lang w:val="es-ES_tradnl"/>
              </w:rPr>
            </w:pPr>
          </w:p>
        </w:tc>
        <w:tc>
          <w:tcPr>
            <w:tcW w:w="3934" w:type="dxa"/>
            <w:gridSpan w:val="2"/>
          </w:tcPr>
          <w:p w14:paraId="40DBA6D6" w14:textId="77777777" w:rsidR="008E2CCC" w:rsidRPr="00126B03" w:rsidRDefault="008E2CCC" w:rsidP="008E2CCC">
            <w:pPr>
              <w:spacing w:before="0"/>
              <w:rPr>
                <w:szCs w:val="24"/>
                <w:lang w:val="es-ES_tradnl"/>
              </w:rPr>
            </w:pPr>
            <w:bookmarkStart w:id="2" w:name="Original"/>
            <w:bookmarkEnd w:id="2"/>
            <w:r w:rsidRPr="00126B03">
              <w:rPr>
                <w:b/>
                <w:lang w:val="es-ES_tradnl"/>
              </w:rPr>
              <w:t>Original: inglés</w:t>
            </w:r>
          </w:p>
        </w:tc>
      </w:tr>
      <w:tr w:rsidR="008E2CCC" w:rsidRPr="008E2CCC" w14:paraId="3D8803EE" w14:textId="77777777" w:rsidTr="00107E85">
        <w:trPr>
          <w:cantSplit/>
          <w:trHeight w:val="852"/>
        </w:trPr>
        <w:tc>
          <w:tcPr>
            <w:tcW w:w="9888" w:type="dxa"/>
            <w:gridSpan w:val="4"/>
          </w:tcPr>
          <w:p w14:paraId="12435E5E" w14:textId="1C036101" w:rsidR="008E2CCC" w:rsidRPr="00126B03" w:rsidRDefault="008E2CCC" w:rsidP="008E2CCC">
            <w:pPr>
              <w:pStyle w:val="Source"/>
              <w:rPr>
                <w:lang w:val="es-ES_tradnl"/>
              </w:rPr>
            </w:pPr>
            <w:bookmarkStart w:id="3" w:name="Source"/>
            <w:bookmarkEnd w:id="3"/>
            <w:r w:rsidRPr="00D97F84">
              <w:rPr>
                <w:lang w:val="es-ES"/>
              </w:rPr>
              <w:t>Presidente del GT-GADT-</w:t>
            </w:r>
            <w:proofErr w:type="spellStart"/>
            <w:r w:rsidRPr="00D97F84">
              <w:rPr>
                <w:lang w:val="es-ES"/>
              </w:rPr>
              <w:t>futurasCCE</w:t>
            </w:r>
            <w:proofErr w:type="spellEnd"/>
          </w:p>
        </w:tc>
      </w:tr>
      <w:tr w:rsidR="008E2CCC" w:rsidRPr="00F07055" w14:paraId="2662E9DF" w14:textId="77777777" w:rsidTr="00107E85">
        <w:trPr>
          <w:cantSplit/>
        </w:trPr>
        <w:tc>
          <w:tcPr>
            <w:tcW w:w="9888" w:type="dxa"/>
            <w:gridSpan w:val="4"/>
          </w:tcPr>
          <w:p w14:paraId="260B9BC0" w14:textId="615CFA03" w:rsidR="008E2CCC" w:rsidRPr="00126B03" w:rsidRDefault="008E2CCC" w:rsidP="008E2CCC">
            <w:pPr>
              <w:pStyle w:val="Title1"/>
              <w:rPr>
                <w:rFonts w:cs="Times New Roman"/>
                <w:bCs/>
                <w:lang w:val="es-ES_tradnl"/>
              </w:rPr>
            </w:pPr>
            <w:bookmarkStart w:id="4" w:name="Title"/>
            <w:bookmarkEnd w:id="4"/>
            <w:r w:rsidRPr="00D97F84">
              <w:rPr>
                <w:rFonts w:cs="Times New Roman"/>
                <w:bCs/>
                <w:lang w:val="es-ES"/>
              </w:rPr>
              <w:t>Informe sobre la marcha de los trabajos del GT-GADT-futurasCCE</w:t>
            </w:r>
          </w:p>
        </w:tc>
      </w:tr>
      <w:tr w:rsidR="008E2CCC" w:rsidRPr="00F07055" w14:paraId="55FC4D52" w14:textId="77777777" w:rsidTr="00A721F4">
        <w:trPr>
          <w:cantSplit/>
        </w:trPr>
        <w:tc>
          <w:tcPr>
            <w:tcW w:w="9888" w:type="dxa"/>
            <w:gridSpan w:val="4"/>
            <w:tcBorders>
              <w:bottom w:val="single" w:sz="4" w:space="0" w:color="auto"/>
            </w:tcBorders>
          </w:tcPr>
          <w:p w14:paraId="3BB2D0AD" w14:textId="77777777" w:rsidR="008E2CCC" w:rsidRPr="00126B03" w:rsidRDefault="008E2CCC" w:rsidP="008E2CCC">
            <w:pPr>
              <w:rPr>
                <w:lang w:val="es-ES_tradnl"/>
              </w:rPr>
            </w:pPr>
          </w:p>
        </w:tc>
      </w:tr>
      <w:tr w:rsidR="008E2CCC" w:rsidRPr="00F07055" w14:paraId="690A512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B52A406" w14:textId="77777777" w:rsidR="008E2CCC" w:rsidRPr="00D97F84" w:rsidRDefault="008E2CCC" w:rsidP="008E2CCC">
            <w:pPr>
              <w:spacing w:after="120"/>
              <w:rPr>
                <w:b/>
                <w:bCs/>
                <w:lang w:val="es-ES"/>
              </w:rPr>
            </w:pPr>
            <w:r w:rsidRPr="00D97F84">
              <w:rPr>
                <w:b/>
                <w:bCs/>
                <w:lang w:val="es-ES"/>
              </w:rPr>
              <w:t>Punto del orden del día:</w:t>
            </w:r>
          </w:p>
          <w:p w14:paraId="0C6B6D6C" w14:textId="77777777" w:rsidR="008E2CCC" w:rsidRPr="00D97F84" w:rsidRDefault="008E2CCC" w:rsidP="008E2CCC">
            <w:pPr>
              <w:spacing w:after="120"/>
              <w:rPr>
                <w:lang w:val="es-ES"/>
              </w:rPr>
            </w:pPr>
            <w:r w:rsidRPr="00D97F84">
              <w:rPr>
                <w:lang w:val="es-ES"/>
              </w:rPr>
              <w:t>Punto 7.2</w:t>
            </w:r>
          </w:p>
          <w:p w14:paraId="105189A6" w14:textId="77777777" w:rsidR="008E2CCC" w:rsidRPr="00D97F84" w:rsidRDefault="008E2CCC" w:rsidP="008E2CCC">
            <w:pPr>
              <w:spacing w:after="120"/>
              <w:rPr>
                <w:b/>
                <w:bCs/>
                <w:szCs w:val="24"/>
                <w:lang w:val="es-ES"/>
              </w:rPr>
            </w:pPr>
            <w:r w:rsidRPr="00D97F84">
              <w:rPr>
                <w:b/>
                <w:bCs/>
                <w:szCs w:val="24"/>
                <w:lang w:val="es-ES"/>
              </w:rPr>
              <w:t>Resumen:</w:t>
            </w:r>
          </w:p>
          <w:p w14:paraId="231A6EBD" w14:textId="77777777" w:rsidR="008E2CCC" w:rsidRPr="00D97F84" w:rsidRDefault="008E2CCC" w:rsidP="008E2CCC">
            <w:pPr>
              <w:spacing w:after="120"/>
              <w:rPr>
                <w:lang w:val="es-ES"/>
              </w:rPr>
            </w:pPr>
            <w:r w:rsidRPr="00D97F84">
              <w:rPr>
                <w:lang w:val="es-ES"/>
              </w:rPr>
              <w:t>En este documento se presenta el informe sobre las actividades del Grupo de Trabajo del GADT sobre las futuras Cuestiones de las Comisiones de Estudio (GT-GADT-futurasCCE) desde mayo de 2024. En esta versión revisada se ofrece la versión abreviada de los avances realizados en la segunda</w:t>
            </w:r>
            <w:r>
              <w:rPr>
                <w:lang w:val="es-ES"/>
              </w:rPr>
              <w:t>,</w:t>
            </w:r>
            <w:r w:rsidRPr="00D97F84">
              <w:rPr>
                <w:lang w:val="es-ES"/>
              </w:rPr>
              <w:t xml:space="preserve"> tercera </w:t>
            </w:r>
            <w:r>
              <w:rPr>
                <w:lang w:val="es-ES"/>
              </w:rPr>
              <w:t xml:space="preserve">y cuarta </w:t>
            </w:r>
            <w:r w:rsidRPr="00D97F84">
              <w:rPr>
                <w:lang w:val="es-ES"/>
              </w:rPr>
              <w:t xml:space="preserve">reuniones del GT-GADT-futurasCCE y se incluye una sección dedicada a la </w:t>
            </w:r>
            <w:r>
              <w:rPr>
                <w:lang w:val="es-ES"/>
              </w:rPr>
              <w:t>quinta</w:t>
            </w:r>
            <w:r w:rsidRPr="00D97F84">
              <w:rPr>
                <w:lang w:val="es-ES"/>
              </w:rPr>
              <w:t xml:space="preserve"> reunión, celebrada el </w:t>
            </w:r>
            <w:r>
              <w:rPr>
                <w:lang w:val="es-ES"/>
              </w:rPr>
              <w:t>4 de marzo</w:t>
            </w:r>
            <w:r w:rsidRPr="00D97F84">
              <w:rPr>
                <w:lang w:val="es-ES"/>
              </w:rPr>
              <w:t xml:space="preserve"> de 2025.</w:t>
            </w:r>
          </w:p>
          <w:p w14:paraId="4816FC6F" w14:textId="77777777" w:rsidR="008E2CCC" w:rsidRPr="00D97F84" w:rsidRDefault="008E2CCC" w:rsidP="008E2CCC">
            <w:pPr>
              <w:spacing w:after="120"/>
              <w:rPr>
                <w:b/>
                <w:bCs/>
                <w:szCs w:val="24"/>
                <w:lang w:val="es-ES"/>
              </w:rPr>
            </w:pPr>
            <w:r w:rsidRPr="00D97F84">
              <w:rPr>
                <w:b/>
                <w:bCs/>
                <w:lang w:val="es-ES"/>
              </w:rPr>
              <w:t>Acción solicitada:</w:t>
            </w:r>
          </w:p>
          <w:p w14:paraId="34DF1BDF" w14:textId="77777777" w:rsidR="008E2CCC" w:rsidRPr="00D97F84" w:rsidRDefault="008E2CCC" w:rsidP="008E2CCC">
            <w:pPr>
              <w:spacing w:after="120"/>
              <w:rPr>
                <w:lang w:val="es-ES"/>
              </w:rPr>
            </w:pPr>
            <w:r w:rsidRPr="00D97F84">
              <w:rPr>
                <w:lang w:val="es-ES"/>
              </w:rPr>
              <w:t>Se invita a la RPR-</w:t>
            </w:r>
            <w:r>
              <w:rPr>
                <w:lang w:val="es-ES"/>
              </w:rPr>
              <w:t>AMS</w:t>
            </w:r>
            <w:r w:rsidRPr="00D97F84">
              <w:rPr>
                <w:lang w:val="es-ES"/>
              </w:rPr>
              <w:t xml:space="preserve"> a tomar nota de este documento y formular las orientaciones que estime convenientes.</w:t>
            </w:r>
          </w:p>
          <w:p w14:paraId="6E3D02EA" w14:textId="77777777" w:rsidR="008E2CCC" w:rsidRPr="00D97F84" w:rsidRDefault="008E2CCC" w:rsidP="008E2CCC">
            <w:pPr>
              <w:spacing w:after="120"/>
              <w:rPr>
                <w:b/>
                <w:bCs/>
                <w:szCs w:val="24"/>
                <w:lang w:val="es-ES"/>
              </w:rPr>
            </w:pPr>
            <w:r w:rsidRPr="00D97F84">
              <w:rPr>
                <w:b/>
                <w:bCs/>
                <w:szCs w:val="24"/>
                <w:lang w:val="es-ES"/>
              </w:rPr>
              <w:t>Referencias:</w:t>
            </w:r>
          </w:p>
          <w:p w14:paraId="35A5C119" w14:textId="77777777" w:rsidR="008E2CCC" w:rsidRPr="00D97F84" w:rsidRDefault="008E2CCC" w:rsidP="008E2CCC">
            <w:pPr>
              <w:pStyle w:val="enumlev1"/>
              <w:spacing w:before="120" w:after="120"/>
              <w:rPr>
                <w:lang w:val="es-ES"/>
              </w:rPr>
            </w:pPr>
            <w:r w:rsidRPr="00D97F84">
              <w:rPr>
                <w:lang w:val="es-ES"/>
              </w:rPr>
              <w:t>–</w:t>
            </w:r>
            <w:r w:rsidRPr="00D97F84">
              <w:rPr>
                <w:lang w:val="es-ES"/>
              </w:rPr>
              <w:tab/>
              <w:t>Resolución 2 (Rev. Kigali, 2022) de la CMDT.</w:t>
            </w:r>
          </w:p>
          <w:p w14:paraId="78B59461" w14:textId="7487477E" w:rsidR="008E2CCC" w:rsidRPr="00126B03" w:rsidRDefault="008E2CCC" w:rsidP="008E2CCC">
            <w:pPr>
              <w:spacing w:after="120"/>
              <w:rPr>
                <w:lang w:val="es-ES_tradnl"/>
              </w:rPr>
            </w:pPr>
            <w:r w:rsidRPr="00D97F84">
              <w:rPr>
                <w:lang w:val="es-ES"/>
              </w:rPr>
              <w:t>–</w:t>
            </w:r>
            <w:r w:rsidRPr="00D97F84">
              <w:rPr>
                <w:lang w:val="es-ES"/>
              </w:rPr>
              <w:tab/>
            </w:r>
            <w:hyperlink r:id="rId13" w:history="1">
              <w:r w:rsidRPr="00D97F84">
                <w:rPr>
                  <w:rStyle w:val="Hyperlink"/>
                  <w:lang w:val="es-ES"/>
                </w:rPr>
                <w:t>TDAG-2</w:t>
              </w:r>
              <w:bookmarkStart w:id="5" w:name="DocNo1"/>
              <w:bookmarkEnd w:id="5"/>
              <w:r w:rsidRPr="00D97F84">
                <w:rPr>
                  <w:rStyle w:val="Hyperlink"/>
                  <w:lang w:val="es-ES"/>
                </w:rPr>
                <w:t>4/25</w:t>
              </w:r>
            </w:hyperlink>
            <w:r w:rsidRPr="00D97F84">
              <w:rPr>
                <w:lang w:val="es-ES"/>
              </w:rPr>
              <w:t xml:space="preserve"> (primer Informe sobre la marcha de los trabajos del GT-GADT-futurasCCE</w:t>
            </w:r>
            <w:r>
              <w:rPr>
                <w:lang w:val="es-ES"/>
              </w:rPr>
              <w:t>).</w:t>
            </w:r>
          </w:p>
        </w:tc>
      </w:tr>
    </w:tbl>
    <w:p w14:paraId="4BD97355" w14:textId="77777777" w:rsidR="00923CF1" w:rsidRPr="00126B03" w:rsidRDefault="00923CF1" w:rsidP="00935FF0">
      <w:pPr>
        <w:rPr>
          <w:lang w:val="es-ES_tradnl"/>
        </w:rPr>
      </w:pPr>
    </w:p>
    <w:p w14:paraId="702A55FF" w14:textId="77777777" w:rsidR="00923CF1" w:rsidRPr="00126B03"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126B03">
        <w:rPr>
          <w:lang w:val="es-ES_tradnl"/>
        </w:rPr>
        <w:br w:type="page"/>
      </w:r>
    </w:p>
    <w:p w14:paraId="34C8923D" w14:textId="77777777" w:rsidR="008E2CCC" w:rsidRPr="00D97F84" w:rsidRDefault="008E2CCC" w:rsidP="008E2CCC">
      <w:pPr>
        <w:pStyle w:val="Heading1"/>
        <w:rPr>
          <w:lang w:val="es-ES"/>
        </w:rPr>
      </w:pPr>
      <w:bookmarkStart w:id="6" w:name="Proposal"/>
      <w:bookmarkEnd w:id="6"/>
      <w:r w:rsidRPr="00D97F84">
        <w:rPr>
          <w:lang w:val="es-ES"/>
        </w:rPr>
        <w:lastRenderedPageBreak/>
        <w:t>A</w:t>
      </w:r>
      <w:r w:rsidRPr="00D97F84">
        <w:rPr>
          <w:lang w:val="es-ES"/>
        </w:rPr>
        <w:tab/>
        <w:t>Introducción</w:t>
      </w:r>
    </w:p>
    <w:p w14:paraId="0D9EF485" w14:textId="77777777" w:rsidR="008E2CCC" w:rsidRPr="00D97F84" w:rsidRDefault="008E2CCC" w:rsidP="008E2CCC">
      <w:pPr>
        <w:rPr>
          <w:lang w:val="es-ES"/>
        </w:rPr>
      </w:pPr>
      <w:r w:rsidRPr="00D97F84">
        <w:rPr>
          <w:lang w:val="es-ES"/>
        </w:rPr>
        <w:t xml:space="preserve">En la 31ª reunión del GADT, celebrada en Ginebra del 20 al 23 de mayo de 2024 se presentó el primer Informe sobre la marcha de los trabajos del Grupo de Trabajo del GADT sobre las futuras Cuestiones de las Comisiones de Estudio (Documento </w:t>
      </w:r>
      <w:hyperlink r:id="rId14" w:history="1">
        <w:r w:rsidRPr="00D97F84">
          <w:rPr>
            <w:rStyle w:val="Hyperlink"/>
            <w:rFonts w:cstheme="minorHAnsi"/>
            <w:szCs w:val="24"/>
            <w:lang w:val="es-ES"/>
          </w:rPr>
          <w:t>TDAG-24/25</w:t>
        </w:r>
      </w:hyperlink>
      <w:r w:rsidRPr="00D97F84">
        <w:rPr>
          <w:lang w:val="es-ES"/>
        </w:rPr>
        <w:t xml:space="preserve">). Este documento contiene el Informe de la primera reunión del Grupo de Trabajo del GADT sobre las futuras Cuestiones de las Comisiones de Estudio (GT-GADT-futurasCCE), además de una propuesta de composición del Grupo de Trabajo, un documento de antecedentes, una propuesta de mandato para el Grupo de Trabajo y una propuesta de calendario de reuniones en línea. </w:t>
      </w:r>
    </w:p>
    <w:p w14:paraId="26175B4C" w14:textId="77777777" w:rsidR="008E2CCC" w:rsidRPr="00D97F84" w:rsidRDefault="008E2CCC" w:rsidP="008E2CCC">
      <w:pPr>
        <w:rPr>
          <w:lang w:val="es-ES"/>
        </w:rPr>
      </w:pPr>
      <w:r w:rsidRPr="00D97F84">
        <w:rPr>
          <w:lang w:val="es-ES"/>
        </w:rPr>
        <w:t xml:space="preserve">Tras la aprobación del mandato en la reunión del GADT de mayo de 2024, el GT-GADT-futurasCCE celebró sus segunda y tercera reuniones, exclusivamente en línea, los días 3 de septiembre de 2024 y 3 de diciembre de 2024, respectivamente. En la reunión de diciembre se acordó celebrar una reunión adicional antes de la última, prevista para el 2 de marzo de 2025. La cuarta reunión se celebró el 21 de enero de 2025. </w:t>
      </w:r>
    </w:p>
    <w:p w14:paraId="6916494D" w14:textId="77777777" w:rsidR="008E2CCC" w:rsidRPr="00D97F84" w:rsidRDefault="008E2CCC" w:rsidP="008E2CCC">
      <w:pPr>
        <w:rPr>
          <w:lang w:val="es-ES"/>
        </w:rPr>
      </w:pPr>
      <w:r w:rsidRPr="00D97F84">
        <w:rPr>
          <w:lang w:val="es-ES"/>
        </w:rPr>
        <w:t xml:space="preserve">En este documento se presentan los principales resultados alcanzados en las segunda, tercera y cuarta reuniones del GT-GADT-futurasCCE. </w:t>
      </w:r>
    </w:p>
    <w:p w14:paraId="1706EEE2" w14:textId="77777777" w:rsidR="008E2CCC" w:rsidRPr="00D97F84" w:rsidRDefault="008E2CCC" w:rsidP="008E2CCC">
      <w:pPr>
        <w:pStyle w:val="Heading1"/>
        <w:rPr>
          <w:lang w:val="es-ES"/>
        </w:rPr>
      </w:pPr>
      <w:r w:rsidRPr="00D97F84">
        <w:rPr>
          <w:lang w:val="es-ES"/>
        </w:rPr>
        <w:t>B</w:t>
      </w:r>
      <w:r w:rsidRPr="00D97F84">
        <w:rPr>
          <w:lang w:val="es-ES"/>
        </w:rPr>
        <w:tab/>
        <w:t>Segunda reunión en línea del GT-GADT-futurasCCE, celebrada el 3 de septiembre de 2024</w:t>
      </w:r>
    </w:p>
    <w:p w14:paraId="00071AC3" w14:textId="77777777" w:rsidR="008E2CCC" w:rsidRPr="00D97F84" w:rsidRDefault="008E2CCC" w:rsidP="008E2CCC">
      <w:pPr>
        <w:rPr>
          <w:lang w:val="es-ES"/>
        </w:rPr>
      </w:pPr>
      <w:r w:rsidRPr="00D97F84">
        <w:rPr>
          <w:lang w:val="es-ES"/>
        </w:rPr>
        <w:t>La siguiente información está extraída del Informe sobre la segunda reunión del GT</w:t>
      </w:r>
      <w:r w:rsidRPr="00D97F84">
        <w:rPr>
          <w:lang w:val="es-ES"/>
        </w:rPr>
        <w:noBreakHyphen/>
        <w:t>GADT</w:t>
      </w:r>
      <w:r w:rsidRPr="00D97F84">
        <w:rPr>
          <w:lang w:val="es-ES"/>
        </w:rPr>
        <w:noBreakHyphen/>
      </w:r>
      <w:proofErr w:type="spellStart"/>
      <w:r w:rsidRPr="00D97F84">
        <w:rPr>
          <w:lang w:val="es-ES"/>
        </w:rPr>
        <w:t>futurasCCE</w:t>
      </w:r>
      <w:proofErr w:type="spellEnd"/>
      <w:r w:rsidRPr="00D97F84">
        <w:rPr>
          <w:lang w:val="es-ES"/>
        </w:rPr>
        <w:t xml:space="preserve"> (Documento </w:t>
      </w:r>
      <w:hyperlink r:id="rId15" w:history="1">
        <w:r w:rsidRPr="00D97F84">
          <w:rPr>
            <w:rStyle w:val="Hyperlink"/>
            <w:rFonts w:cstheme="minorHAnsi"/>
            <w:szCs w:val="24"/>
            <w:lang w:val="es-ES"/>
          </w:rPr>
          <w:t>TDAG-WG-</w:t>
        </w:r>
        <w:proofErr w:type="spellStart"/>
        <w:r w:rsidRPr="00D97F84">
          <w:rPr>
            <w:rStyle w:val="Hyperlink"/>
            <w:rFonts w:cstheme="minorHAnsi"/>
            <w:szCs w:val="24"/>
            <w:lang w:val="es-ES"/>
          </w:rPr>
          <w:t>futureSGQ</w:t>
        </w:r>
        <w:proofErr w:type="spellEnd"/>
        <w:r w:rsidRPr="00D97F84">
          <w:rPr>
            <w:rStyle w:val="Hyperlink"/>
            <w:rFonts w:cstheme="minorHAnsi"/>
            <w:szCs w:val="24"/>
            <w:lang w:val="es-ES"/>
          </w:rPr>
          <w:t>/10</w:t>
        </w:r>
      </w:hyperlink>
      <w:r w:rsidRPr="00D97F84">
        <w:rPr>
          <w:lang w:val="es-ES"/>
        </w:rPr>
        <w:t xml:space="preserve">). </w:t>
      </w:r>
    </w:p>
    <w:p w14:paraId="2B9A6955" w14:textId="77777777" w:rsidR="008E2CCC" w:rsidRPr="00D97F84" w:rsidRDefault="008E2CCC" w:rsidP="008E2CCC">
      <w:pPr>
        <w:rPr>
          <w:lang w:val="es-ES"/>
        </w:rPr>
      </w:pPr>
      <w:r w:rsidRPr="00D97F84">
        <w:rPr>
          <w:lang w:val="es-ES"/>
        </w:rPr>
        <w:t>El objetivo de la reunión era examinar el contenido del formulario de consulta en línea (cuestionario), preparado para recabar las opiniones de todos los Miembros interesados abonados a las listas de correo del GADT y el GT-GADT-futurasCCE, y llegar a un acuerdo al respecto.</w:t>
      </w:r>
    </w:p>
    <w:p w14:paraId="5DC7A816" w14:textId="77777777" w:rsidR="008E2CCC" w:rsidRPr="00D97F84" w:rsidRDefault="008E2CCC" w:rsidP="008E2CCC">
      <w:pPr>
        <w:rPr>
          <w:rFonts w:cstheme="minorHAnsi"/>
          <w:szCs w:val="24"/>
          <w:lang w:val="es-ES" w:eastAsia="ko-KR"/>
        </w:rPr>
      </w:pPr>
      <w:r w:rsidRPr="00D97F84">
        <w:rPr>
          <w:lang w:val="es-ES"/>
        </w:rPr>
        <w:t>El formulario de consulta se estructuró de la siguiente manera:</w:t>
      </w:r>
    </w:p>
    <w:p w14:paraId="4F884309" w14:textId="77777777" w:rsidR="008E2CCC" w:rsidRPr="00D97F84" w:rsidRDefault="008E2CCC" w:rsidP="008E2CCC">
      <w:pPr>
        <w:pStyle w:val="enumlev1"/>
        <w:rPr>
          <w:lang w:val="es-ES" w:eastAsia="ko-KR"/>
        </w:rPr>
      </w:pPr>
      <w:r w:rsidRPr="00D97F84">
        <w:rPr>
          <w:lang w:val="es-ES" w:eastAsia="ko-KR"/>
        </w:rPr>
        <w:t>1)</w:t>
      </w:r>
      <w:r w:rsidRPr="00D97F84">
        <w:rPr>
          <w:lang w:val="es-ES" w:eastAsia="ko-KR"/>
        </w:rPr>
        <w:tab/>
        <w:t>Sección 1 ("Cuestiones de estudio actuales"): preguntas generales sobre el conocimiento de los encuestados sobre la actual estructura de las Comisiones de Estudio del UIT-D, así como sobre las Cuestiones de estudio actuales que les resultan importantes.</w:t>
      </w:r>
    </w:p>
    <w:p w14:paraId="39809174" w14:textId="77777777" w:rsidR="008E2CCC" w:rsidRPr="00D97F84" w:rsidRDefault="008E2CCC" w:rsidP="008E2CCC">
      <w:pPr>
        <w:pStyle w:val="enumlev1"/>
        <w:rPr>
          <w:lang w:val="es-ES" w:eastAsia="ko-KR"/>
        </w:rPr>
      </w:pPr>
      <w:r w:rsidRPr="00D97F84">
        <w:rPr>
          <w:lang w:val="es-ES" w:eastAsia="ko-KR"/>
        </w:rPr>
        <w:t>2)</w:t>
      </w:r>
      <w:r w:rsidRPr="00D97F84">
        <w:rPr>
          <w:lang w:val="es-ES" w:eastAsia="ko-KR"/>
        </w:rPr>
        <w:tab/>
        <w:t>Sección 2 ("Número de Cuestiones"): preguntas sobre el número de Cuestiones por examinar durante el próximo periodo de estudios, ahondando en la eventual fusión o abandono de Cuestiones.</w:t>
      </w:r>
    </w:p>
    <w:p w14:paraId="1458D92C" w14:textId="77777777" w:rsidR="008E2CCC" w:rsidRPr="00D97F84" w:rsidRDefault="008E2CCC" w:rsidP="008E2CCC">
      <w:pPr>
        <w:pStyle w:val="enumlev1"/>
        <w:rPr>
          <w:lang w:val="es-ES" w:eastAsia="ko-KR"/>
        </w:rPr>
      </w:pPr>
      <w:r w:rsidRPr="00D97F84">
        <w:rPr>
          <w:lang w:val="es-ES" w:eastAsia="ko-KR"/>
        </w:rPr>
        <w:t>3)</w:t>
      </w:r>
      <w:r w:rsidRPr="00D97F84">
        <w:rPr>
          <w:lang w:val="es-ES" w:eastAsia="ko-KR"/>
        </w:rPr>
        <w:tab/>
        <w:t>Sección 3 ("Nuevos temas"): preguntas destinadas a identificar nuevos temas por tratar durante el próximo periodo de estudio, haciendo hincapié en las directrices, las prácticas idóneas y la compartición de experiencias para los países en desarrollo.</w:t>
      </w:r>
    </w:p>
    <w:p w14:paraId="2F903225" w14:textId="77777777" w:rsidR="008E2CCC" w:rsidRPr="00D97F84" w:rsidRDefault="008E2CCC" w:rsidP="008E2CCC">
      <w:pPr>
        <w:pStyle w:val="enumlev1"/>
        <w:rPr>
          <w:lang w:val="es-ES" w:eastAsia="ko-KR"/>
        </w:rPr>
      </w:pPr>
      <w:r w:rsidRPr="00D97F84">
        <w:rPr>
          <w:lang w:val="es-ES" w:eastAsia="ko-KR"/>
        </w:rPr>
        <w:t>4)</w:t>
      </w:r>
      <w:r w:rsidRPr="00D97F84">
        <w:rPr>
          <w:lang w:val="es-ES" w:eastAsia="ko-KR"/>
        </w:rPr>
        <w:tab/>
        <w:t xml:space="preserve">Sección 4 ("Temas transversales"): preguntas sobre los temas transversales que se han de abordar en Cuestiones de estudio independientes o en el marco de múltiples Cuestiones de estudio. </w:t>
      </w:r>
    </w:p>
    <w:p w14:paraId="49E08205" w14:textId="77777777" w:rsidR="008E2CCC" w:rsidRPr="00D97F84" w:rsidRDefault="008E2CCC" w:rsidP="008E2CCC">
      <w:pPr>
        <w:rPr>
          <w:lang w:val="es-ES"/>
        </w:rPr>
      </w:pPr>
      <w:r w:rsidRPr="00D97F84">
        <w:rPr>
          <w:lang w:val="es-ES"/>
        </w:rPr>
        <w:t>Se acordó actualizar el formulario de consulta conforme a los debates sostenidos en la reunión y distribuirlo el 17 de septiembre de 2024, fijándose el plazo límite de respuesta en el 1 de octubre de 2024. Se acordó presentar los resultados (como contribución para la siguiente reunión) a finales de octubre de 2024 a fin de orientar las contribuciones de los Miembros a la siguiente reunión del GT-GADT-futurasCCE, prevista para el 3 de diciembre de 2024, y ayudar a los Grupos Regionales en sus preparativos para la CMDT-25.</w:t>
      </w:r>
    </w:p>
    <w:p w14:paraId="44E8C5B8" w14:textId="77777777" w:rsidR="008E2CCC" w:rsidRPr="00D97F84" w:rsidRDefault="008E2CCC" w:rsidP="008E2CCC">
      <w:pPr>
        <w:pStyle w:val="Heading1"/>
        <w:rPr>
          <w:lang w:val="es-ES"/>
        </w:rPr>
      </w:pPr>
      <w:r w:rsidRPr="00D97F84">
        <w:rPr>
          <w:lang w:val="es-ES"/>
        </w:rPr>
        <w:lastRenderedPageBreak/>
        <w:t>C</w:t>
      </w:r>
      <w:r w:rsidRPr="00D97F84">
        <w:rPr>
          <w:lang w:val="es-ES"/>
        </w:rPr>
        <w:tab/>
        <w:t>Tercera reunión en línea del GT-GADT-futurasCCE, celebrada el 3 de diciembre de 2024</w:t>
      </w:r>
    </w:p>
    <w:p w14:paraId="30F5FDC2" w14:textId="77777777" w:rsidR="008E2CCC" w:rsidRPr="00D97F84" w:rsidRDefault="008E2CCC" w:rsidP="008E2CCC">
      <w:pPr>
        <w:rPr>
          <w:rFonts w:cstheme="minorHAnsi"/>
          <w:szCs w:val="24"/>
          <w:lang w:val="es-ES"/>
        </w:rPr>
      </w:pPr>
      <w:r w:rsidRPr="00D97F84">
        <w:rPr>
          <w:rFonts w:cstheme="minorHAnsi"/>
          <w:szCs w:val="24"/>
          <w:lang w:val="es-ES"/>
        </w:rPr>
        <w:t xml:space="preserve">La </w:t>
      </w:r>
      <w:r w:rsidRPr="00D97F84">
        <w:rPr>
          <w:lang w:val="es-ES"/>
        </w:rPr>
        <w:t>siguiente</w:t>
      </w:r>
      <w:r w:rsidRPr="00D97F84">
        <w:rPr>
          <w:rFonts w:cstheme="minorHAnsi"/>
          <w:szCs w:val="24"/>
          <w:lang w:val="es-ES"/>
        </w:rPr>
        <w:t xml:space="preserve"> información está extraída del Informe sobre la tercera reunión del GT</w:t>
      </w:r>
      <w:r w:rsidRPr="00D97F84">
        <w:rPr>
          <w:rFonts w:cstheme="minorHAnsi"/>
          <w:szCs w:val="24"/>
          <w:lang w:val="es-ES"/>
        </w:rPr>
        <w:noBreakHyphen/>
        <w:t>GADT</w:t>
      </w:r>
      <w:r w:rsidRPr="00D97F84">
        <w:rPr>
          <w:rFonts w:cstheme="minorHAnsi"/>
          <w:szCs w:val="24"/>
          <w:lang w:val="es-ES"/>
        </w:rPr>
        <w:noBreakHyphen/>
      </w:r>
      <w:proofErr w:type="spellStart"/>
      <w:r w:rsidRPr="00D97F84">
        <w:rPr>
          <w:rFonts w:cstheme="minorHAnsi"/>
          <w:szCs w:val="24"/>
          <w:lang w:val="es-ES"/>
        </w:rPr>
        <w:t>futurasCCE</w:t>
      </w:r>
      <w:proofErr w:type="spellEnd"/>
      <w:r w:rsidRPr="00D97F84">
        <w:rPr>
          <w:rFonts w:cstheme="minorHAnsi"/>
          <w:szCs w:val="24"/>
          <w:lang w:val="es-ES"/>
        </w:rPr>
        <w:t xml:space="preserve"> (Documento </w:t>
      </w:r>
      <w:hyperlink r:id="rId16" w:history="1">
        <w:r w:rsidRPr="00D97F84">
          <w:rPr>
            <w:rStyle w:val="Hyperlink"/>
            <w:rFonts w:cstheme="minorHAnsi"/>
            <w:szCs w:val="24"/>
            <w:lang w:val="es-ES"/>
          </w:rPr>
          <w:t>TDAG-WG-</w:t>
        </w:r>
        <w:proofErr w:type="spellStart"/>
        <w:r w:rsidRPr="00D97F84">
          <w:rPr>
            <w:rStyle w:val="Hyperlink"/>
            <w:rFonts w:cstheme="minorHAnsi"/>
            <w:szCs w:val="24"/>
            <w:lang w:val="es-ES"/>
          </w:rPr>
          <w:t>futureSGQ</w:t>
        </w:r>
        <w:proofErr w:type="spellEnd"/>
        <w:r w:rsidRPr="00D97F84">
          <w:rPr>
            <w:rStyle w:val="Hyperlink"/>
            <w:rFonts w:cstheme="minorHAnsi"/>
            <w:szCs w:val="24"/>
            <w:lang w:val="es-ES"/>
          </w:rPr>
          <w:t>/16</w:t>
        </w:r>
      </w:hyperlink>
      <w:r w:rsidRPr="00D97F84">
        <w:rPr>
          <w:rFonts w:cstheme="minorHAnsi"/>
          <w:szCs w:val="24"/>
          <w:lang w:val="es-ES"/>
        </w:rPr>
        <w:t>).</w:t>
      </w:r>
    </w:p>
    <w:p w14:paraId="6814D41D" w14:textId="77777777" w:rsidR="008E2CCC" w:rsidRPr="00D97F84" w:rsidRDefault="008E2CCC" w:rsidP="008E2CCC">
      <w:pPr>
        <w:rPr>
          <w:lang w:val="es-ES"/>
        </w:rPr>
      </w:pPr>
      <w:r w:rsidRPr="00D97F84">
        <w:rPr>
          <w:lang w:val="es-ES"/>
        </w:rPr>
        <w:t xml:space="preserve">Se presentaron los resultados de la consulta en línea (véase la imagen siguiente) para que pudieran utilizarse a la hora de preparar las contribuciones a ulteriores reuniones del La siguiente información está extraída del Informe sobre la segunda reunión del GT-GADT-futurasCCE. </w:t>
      </w:r>
    </w:p>
    <w:p w14:paraId="021A582C" w14:textId="77777777" w:rsidR="008E2CCC" w:rsidRPr="00D97F84" w:rsidRDefault="008E2CCC" w:rsidP="008E2CCC">
      <w:pPr>
        <w:pStyle w:val="FigureNo"/>
        <w:spacing w:after="240"/>
        <w:rPr>
          <w:rFonts w:cstheme="minorHAnsi"/>
          <w:szCs w:val="24"/>
          <w:lang w:val="es-ES" w:eastAsia="ko-KR"/>
        </w:rPr>
      </w:pPr>
      <w:r>
        <w:rPr>
          <w:noProof/>
        </w:rPr>
        <w:drawing>
          <wp:inline distT="0" distB="0" distL="0" distR="0" wp14:anchorId="2A438603" wp14:editId="7B78E02D">
            <wp:extent cx="6120765" cy="3442970"/>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6120765" cy="3442970"/>
                    </a:xfrm>
                    <a:prstGeom prst="rect">
                      <a:avLst/>
                    </a:prstGeom>
                  </pic:spPr>
                </pic:pic>
              </a:graphicData>
            </a:graphic>
          </wp:inline>
        </w:drawing>
      </w:r>
    </w:p>
    <w:p w14:paraId="47B53839" w14:textId="77777777" w:rsidR="008E2CCC" w:rsidRPr="00D97F84" w:rsidRDefault="008E2CCC" w:rsidP="008E2CCC">
      <w:pPr>
        <w:rPr>
          <w:lang w:val="es-ES" w:eastAsia="ko-KR"/>
        </w:rPr>
      </w:pPr>
      <w:r w:rsidRPr="00D97F84">
        <w:rPr>
          <w:lang w:val="es-ES" w:eastAsia="ko-KR"/>
        </w:rPr>
        <w:t>Se recibieron y debatieron una contribución de la Unión Africana de Telecomunicaciones (UAT) y una contribución de los Relatores y Correlatores de la Comisión de Estudio 1 sobre su postura inicial.</w:t>
      </w:r>
    </w:p>
    <w:p w14:paraId="0E3AAAF2" w14:textId="77777777" w:rsidR="008E2CCC" w:rsidRPr="00D97F84" w:rsidRDefault="008E2CCC" w:rsidP="008E2CCC">
      <w:pPr>
        <w:rPr>
          <w:lang w:val="es-ES" w:eastAsia="ko-KR"/>
        </w:rPr>
      </w:pPr>
      <w:r w:rsidRPr="00D97F84">
        <w:rPr>
          <w:lang w:val="es-ES" w:eastAsia="ko-KR"/>
        </w:rPr>
        <w:t xml:space="preserve">En la reunión se acordó lo siguiente: </w:t>
      </w:r>
    </w:p>
    <w:p w14:paraId="7BBCADEC" w14:textId="77777777" w:rsidR="008E2CCC" w:rsidRPr="00D97F84" w:rsidRDefault="008E2CCC" w:rsidP="008E2CCC">
      <w:pPr>
        <w:pStyle w:val="enumlev1"/>
        <w:rPr>
          <w:lang w:val="es-ES" w:eastAsia="ko-KR"/>
        </w:rPr>
      </w:pPr>
      <w:r w:rsidRPr="00D97F84">
        <w:rPr>
          <w:lang w:val="es-ES" w:eastAsia="ko-KR"/>
        </w:rPr>
        <w:t>–</w:t>
      </w:r>
      <w:r w:rsidRPr="00D97F84">
        <w:rPr>
          <w:lang w:val="es-ES" w:eastAsia="ko-KR"/>
        </w:rPr>
        <w:tab/>
        <w:t>El Presidente prepararía un proyecto de revisión de partes de los anexos a la Resolución 2 con mandatos de las Cuestiones de estudio para su consideración en la siguiente reunión. En ese documento se tendrían en cuenta los resultados de la consulta en línea, las contribuciones recibidas y las opiniones expresadas en la reunión. El objetivo era recibir el mayor número posible de contribuciones/opiniones tanto formales como informales. El documento se presentaría como contribución a la siguiente reunión del GT</w:t>
      </w:r>
      <w:r w:rsidRPr="00D97F84">
        <w:rPr>
          <w:lang w:val="es-ES" w:eastAsia="ko-KR"/>
        </w:rPr>
        <w:noBreakHyphen/>
        <w:t>GADT</w:t>
      </w:r>
      <w:r w:rsidRPr="00D97F84">
        <w:rPr>
          <w:lang w:val="es-ES" w:eastAsia="ko-KR"/>
        </w:rPr>
        <w:noBreakHyphen/>
        <w:t xml:space="preserve">futurasCCE. </w:t>
      </w:r>
    </w:p>
    <w:p w14:paraId="106936CA" w14:textId="77777777" w:rsidR="008E2CCC" w:rsidRPr="00D97F84" w:rsidRDefault="008E2CCC" w:rsidP="008E2CCC">
      <w:pPr>
        <w:pStyle w:val="enumlev1"/>
        <w:rPr>
          <w:lang w:val="es-ES" w:eastAsia="ko-KR"/>
        </w:rPr>
      </w:pPr>
      <w:r w:rsidRPr="00D97F84">
        <w:rPr>
          <w:lang w:val="es-ES" w:eastAsia="ko-KR"/>
        </w:rPr>
        <w:t>–</w:t>
      </w:r>
      <w:r w:rsidRPr="00D97F84">
        <w:rPr>
          <w:lang w:val="es-ES" w:eastAsia="ko-KR"/>
        </w:rPr>
        <w:tab/>
        <w:t xml:space="preserve">Se encargaría a la secretaría de la BDT que solicitase a los coordinadores de las ORT para el GT-GADT-futurasCCE la presentación de contribuciones de esas organizaciones a la siguiente reunión del GT-GADT-futurasCCE. </w:t>
      </w:r>
    </w:p>
    <w:p w14:paraId="2F67A732" w14:textId="77777777" w:rsidR="008E2CCC" w:rsidRPr="00D97F84" w:rsidRDefault="008E2CCC" w:rsidP="008E2CCC">
      <w:pPr>
        <w:pStyle w:val="enumlev1"/>
        <w:rPr>
          <w:lang w:val="es-ES" w:eastAsia="ko-KR"/>
        </w:rPr>
      </w:pPr>
      <w:r w:rsidRPr="00D97F84">
        <w:rPr>
          <w:lang w:val="es-ES" w:eastAsia="ko-KR"/>
        </w:rPr>
        <w:t>–</w:t>
      </w:r>
      <w:r w:rsidRPr="00D97F84">
        <w:rPr>
          <w:lang w:val="es-ES" w:eastAsia="ko-KR"/>
        </w:rPr>
        <w:tab/>
        <w:t xml:space="preserve">La celebración de una reunión electrónica adicional en enero-febrero de 2025 tras consultarlo con la secretaría de la BDT, el Director de la BDT y el Presidente del GADT. </w:t>
      </w:r>
    </w:p>
    <w:p w14:paraId="3685EB67" w14:textId="77777777" w:rsidR="008E2CCC" w:rsidRPr="00D97F84" w:rsidRDefault="008E2CCC" w:rsidP="008E2CCC">
      <w:pPr>
        <w:pStyle w:val="Heading1"/>
        <w:rPr>
          <w:lang w:val="es-ES"/>
        </w:rPr>
      </w:pPr>
      <w:r w:rsidRPr="00D97F84">
        <w:rPr>
          <w:lang w:val="es-ES"/>
        </w:rPr>
        <w:lastRenderedPageBreak/>
        <w:t>D</w:t>
      </w:r>
      <w:r w:rsidRPr="00D97F84">
        <w:rPr>
          <w:lang w:val="es-ES"/>
        </w:rPr>
        <w:tab/>
        <w:t xml:space="preserve">Cuarta reunión en línea del </w:t>
      </w:r>
      <w:r w:rsidRPr="00D97F84">
        <w:rPr>
          <w:lang w:val="es-ES" w:eastAsia="ko-KR"/>
        </w:rPr>
        <w:t>GT-GADT-futurasCCE</w:t>
      </w:r>
      <w:r w:rsidRPr="00D97F84">
        <w:rPr>
          <w:lang w:val="es-ES"/>
        </w:rPr>
        <w:t>, celebrada el 21 de enero de 2025</w:t>
      </w:r>
    </w:p>
    <w:p w14:paraId="4AA497C6" w14:textId="77777777" w:rsidR="008E2CCC" w:rsidRPr="00D97F84" w:rsidRDefault="008E2CCC" w:rsidP="008E2CCC">
      <w:pPr>
        <w:rPr>
          <w:lang w:val="es-ES"/>
        </w:rPr>
      </w:pPr>
      <w:r w:rsidRPr="00D97F84">
        <w:rPr>
          <w:lang w:val="es-ES"/>
        </w:rPr>
        <w:t xml:space="preserve">La siguiente información está extraída del Informe sobre la cuarta reunión del </w:t>
      </w:r>
      <w:r w:rsidRPr="00D97F84">
        <w:rPr>
          <w:lang w:val="es-ES" w:eastAsia="ko-KR"/>
        </w:rPr>
        <w:t>GT</w:t>
      </w:r>
      <w:r w:rsidRPr="00D97F84">
        <w:rPr>
          <w:lang w:val="es-ES" w:eastAsia="ko-KR"/>
        </w:rPr>
        <w:noBreakHyphen/>
        <w:t>GADT</w:t>
      </w:r>
      <w:r w:rsidRPr="00D97F84">
        <w:rPr>
          <w:lang w:val="es-ES" w:eastAsia="ko-KR"/>
        </w:rPr>
        <w:noBreakHyphen/>
      </w:r>
      <w:proofErr w:type="spellStart"/>
      <w:r w:rsidRPr="00D97F84">
        <w:rPr>
          <w:lang w:val="es-ES" w:eastAsia="ko-KR"/>
        </w:rPr>
        <w:t>futurasCCE</w:t>
      </w:r>
      <w:proofErr w:type="spellEnd"/>
      <w:r w:rsidRPr="00D97F84">
        <w:rPr>
          <w:lang w:val="es-ES" w:eastAsia="ko-KR"/>
        </w:rPr>
        <w:t xml:space="preserve"> (Documento</w:t>
      </w:r>
      <w:r w:rsidRPr="00D97F84">
        <w:rPr>
          <w:lang w:val="es-ES"/>
        </w:rPr>
        <w:t xml:space="preserve"> </w:t>
      </w:r>
      <w:hyperlink r:id="rId19" w:history="1">
        <w:r w:rsidRPr="00D97F84">
          <w:rPr>
            <w:rStyle w:val="Hyperlink"/>
            <w:rFonts w:cstheme="minorHAnsi"/>
            <w:szCs w:val="24"/>
            <w:lang w:val="es-ES"/>
          </w:rPr>
          <w:t>TDAG-WG-</w:t>
        </w:r>
        <w:proofErr w:type="spellStart"/>
        <w:r w:rsidRPr="00D97F84">
          <w:rPr>
            <w:rStyle w:val="Hyperlink"/>
            <w:rFonts w:cstheme="minorHAnsi"/>
            <w:szCs w:val="24"/>
            <w:lang w:val="es-ES"/>
          </w:rPr>
          <w:t>futureSGQ</w:t>
        </w:r>
        <w:proofErr w:type="spellEnd"/>
        <w:r w:rsidRPr="00D97F84">
          <w:rPr>
            <w:rStyle w:val="Hyperlink"/>
            <w:rFonts w:cstheme="minorHAnsi"/>
            <w:szCs w:val="24"/>
            <w:lang w:val="es-ES"/>
          </w:rPr>
          <w:t>/25</w:t>
        </w:r>
      </w:hyperlink>
      <w:r w:rsidRPr="00D97F84">
        <w:rPr>
          <w:lang w:val="es-ES"/>
        </w:rPr>
        <w:t>). Esta reunión contó con la asistencia de más de 80 participantes.</w:t>
      </w:r>
    </w:p>
    <w:p w14:paraId="275F5A1A" w14:textId="77777777" w:rsidR="008E2CCC" w:rsidRPr="00D97F84" w:rsidRDefault="008E2CCC" w:rsidP="008E2CCC">
      <w:pPr>
        <w:rPr>
          <w:lang w:val="es-ES"/>
        </w:rPr>
      </w:pPr>
      <w:r w:rsidRPr="00D97F84">
        <w:rPr>
          <w:lang w:val="es-ES"/>
        </w:rPr>
        <w:t>Se recibieron, presentaron y debatieron detenidamente las seis contribuciones siguientes:</w:t>
      </w:r>
    </w:p>
    <w:p w14:paraId="101062C0" w14:textId="77777777" w:rsidR="008E2CCC" w:rsidRPr="00D97F84" w:rsidRDefault="008E2CCC" w:rsidP="008E2CCC">
      <w:pPr>
        <w:pStyle w:val="enumlev1"/>
        <w:rPr>
          <w:lang w:val="es-ES" w:eastAsia="ko-KR"/>
        </w:rPr>
      </w:pPr>
      <w:r w:rsidRPr="00D97F84">
        <w:rPr>
          <w:lang w:val="es-ES" w:eastAsia="ko-KR"/>
        </w:rPr>
        <w:t>–</w:t>
      </w:r>
      <w:r w:rsidRPr="00D97F84">
        <w:rPr>
          <w:lang w:val="es-ES" w:eastAsia="ko-KR"/>
        </w:rPr>
        <w:tab/>
        <w:t>Opiniones de la Telecomunidad Asia-Pacífico (APT).</w:t>
      </w:r>
    </w:p>
    <w:p w14:paraId="5FA92847" w14:textId="77777777" w:rsidR="008E2CCC" w:rsidRPr="00D97F84" w:rsidRDefault="008E2CCC" w:rsidP="008E2CCC">
      <w:pPr>
        <w:pStyle w:val="enumlev1"/>
        <w:rPr>
          <w:lang w:val="es-ES" w:eastAsia="ko-KR"/>
        </w:rPr>
      </w:pPr>
      <w:r w:rsidRPr="00D97F84">
        <w:rPr>
          <w:lang w:val="es-ES" w:eastAsia="ko-KR"/>
        </w:rPr>
        <w:t>–</w:t>
      </w:r>
      <w:r w:rsidRPr="00D97F84">
        <w:rPr>
          <w:lang w:val="es-ES" w:eastAsia="ko-KR"/>
        </w:rPr>
        <w:tab/>
        <w:t>Dos propuestas de nueva Cuestión (asequibilidad de los dispositivos/ disponibilidad y aplicación de la inteligencia artificial).</w:t>
      </w:r>
    </w:p>
    <w:p w14:paraId="777B2566" w14:textId="77777777" w:rsidR="008E2CCC" w:rsidRPr="00D97F84" w:rsidRDefault="008E2CCC" w:rsidP="008E2CCC">
      <w:pPr>
        <w:pStyle w:val="enumlev1"/>
        <w:rPr>
          <w:lang w:val="es-ES" w:eastAsia="ko-KR"/>
        </w:rPr>
      </w:pPr>
      <w:r w:rsidRPr="00D97F84">
        <w:rPr>
          <w:lang w:val="es-ES" w:eastAsia="ko-KR"/>
        </w:rPr>
        <w:t>–</w:t>
      </w:r>
      <w:r w:rsidRPr="00D97F84">
        <w:rPr>
          <w:lang w:val="es-ES" w:eastAsia="ko-KR"/>
        </w:rPr>
        <w:tab/>
        <w:t>Opiniones iniciales de los Relatores y Correlatores de la Comisión de Estudio 2.</w:t>
      </w:r>
    </w:p>
    <w:p w14:paraId="4A56B2B0" w14:textId="77777777" w:rsidR="008E2CCC" w:rsidRPr="00D97F84" w:rsidRDefault="008E2CCC" w:rsidP="008E2CCC">
      <w:pPr>
        <w:pStyle w:val="enumlev1"/>
        <w:rPr>
          <w:lang w:val="es-ES" w:eastAsia="ko-KR"/>
        </w:rPr>
      </w:pPr>
      <w:r w:rsidRPr="00D97F84">
        <w:rPr>
          <w:lang w:val="es-ES" w:eastAsia="ko-KR"/>
        </w:rPr>
        <w:t>–</w:t>
      </w:r>
      <w:r w:rsidRPr="00D97F84">
        <w:rPr>
          <w:lang w:val="es-ES" w:eastAsia="ko-KR"/>
        </w:rPr>
        <w:tab/>
        <w:t>Mandato revisado de la mayoría de Cuestiones de la Comisión de Estudio 1.</w:t>
      </w:r>
    </w:p>
    <w:p w14:paraId="7B11F4DB" w14:textId="77777777" w:rsidR="008E2CCC" w:rsidRPr="00D97F84" w:rsidRDefault="008E2CCC" w:rsidP="008E2CCC">
      <w:pPr>
        <w:pStyle w:val="enumlev1"/>
        <w:rPr>
          <w:lang w:val="es-ES"/>
        </w:rPr>
      </w:pPr>
      <w:r w:rsidRPr="00D97F84">
        <w:rPr>
          <w:lang w:val="es-ES"/>
        </w:rPr>
        <w:t>–</w:t>
      </w:r>
      <w:r w:rsidRPr="00D97F84">
        <w:rPr>
          <w:lang w:val="es-ES"/>
        </w:rPr>
        <w:tab/>
        <w:t xml:space="preserve">Documento </w:t>
      </w:r>
      <w:hyperlink r:id="rId20" w:history="1">
        <w:r w:rsidRPr="00D97F84">
          <w:rPr>
            <w:rStyle w:val="Hyperlink"/>
            <w:rFonts w:cstheme="minorHAnsi"/>
            <w:szCs w:val="24"/>
            <w:lang w:val="es-ES"/>
          </w:rPr>
          <w:t>TDAG-WG-</w:t>
        </w:r>
        <w:proofErr w:type="spellStart"/>
        <w:r w:rsidRPr="00D97F84">
          <w:rPr>
            <w:rStyle w:val="Hyperlink"/>
            <w:rFonts w:cstheme="minorHAnsi"/>
            <w:szCs w:val="24"/>
            <w:lang w:val="es-ES"/>
          </w:rPr>
          <w:t>futureSGQ</w:t>
        </w:r>
        <w:proofErr w:type="spellEnd"/>
        <w:r w:rsidRPr="00D97F84">
          <w:rPr>
            <w:rStyle w:val="Hyperlink"/>
            <w:rFonts w:cstheme="minorHAnsi"/>
            <w:szCs w:val="24"/>
            <w:lang w:val="es-ES"/>
          </w:rPr>
          <w:t>/23</w:t>
        </w:r>
      </w:hyperlink>
      <w:r w:rsidRPr="00D97F84">
        <w:rPr>
          <w:lang w:val="es-ES"/>
        </w:rPr>
        <w:t xml:space="preserve">, que es el proyecto de revisión de los extractos de los anexos a la Resolución 2 con mandatos de las Cuestiones de estudio, preparada por el </w:t>
      </w:r>
      <w:proofErr w:type="gramStart"/>
      <w:r w:rsidRPr="00D97F84">
        <w:rPr>
          <w:lang w:val="es-ES"/>
        </w:rPr>
        <w:t>Presidente</w:t>
      </w:r>
      <w:proofErr w:type="gramEnd"/>
      <w:r w:rsidRPr="00D97F84">
        <w:rPr>
          <w:lang w:val="es-ES"/>
        </w:rPr>
        <w:t xml:space="preserve"> tal y como se acordó en la reunión anterior</w:t>
      </w:r>
      <w:r w:rsidRPr="00D97F84">
        <w:rPr>
          <w:lang w:val="es-ES" w:eastAsia="ko-KR"/>
        </w:rPr>
        <w:t>.</w:t>
      </w:r>
    </w:p>
    <w:p w14:paraId="7AEB7D7A" w14:textId="77777777" w:rsidR="008E2CCC" w:rsidRPr="00D97F84" w:rsidRDefault="008E2CCC" w:rsidP="008E2CCC">
      <w:pPr>
        <w:rPr>
          <w:lang w:val="es-ES" w:eastAsia="ko-KR"/>
        </w:rPr>
      </w:pPr>
      <w:r w:rsidRPr="00D97F84">
        <w:rPr>
          <w:lang w:val="es-ES" w:eastAsia="ko-KR"/>
        </w:rPr>
        <w:t>En la reunión se acordó lo siguiente:</w:t>
      </w:r>
    </w:p>
    <w:p w14:paraId="37399E58" w14:textId="77777777" w:rsidR="008E2CCC" w:rsidRPr="00D97F84" w:rsidRDefault="008E2CCC" w:rsidP="008E2CCC">
      <w:pPr>
        <w:pStyle w:val="enumlev1"/>
        <w:rPr>
          <w:lang w:val="es-ES" w:eastAsia="ko-KR"/>
        </w:rPr>
      </w:pPr>
      <w:r w:rsidRPr="00D97F84">
        <w:rPr>
          <w:lang w:val="es-ES"/>
        </w:rPr>
        <w:t>–</w:t>
      </w:r>
      <w:r w:rsidRPr="00D97F84">
        <w:rPr>
          <w:lang w:val="es-ES"/>
        </w:rPr>
        <w:tab/>
        <w:t xml:space="preserve">Se actualizará el Documento </w:t>
      </w:r>
      <w:hyperlink r:id="rId21" w:history="1">
        <w:r w:rsidRPr="00D97F84">
          <w:rPr>
            <w:rStyle w:val="Hyperlink"/>
            <w:rFonts w:cstheme="minorHAnsi"/>
            <w:szCs w:val="24"/>
            <w:lang w:val="es-ES"/>
          </w:rPr>
          <w:t>TDAG-WG-</w:t>
        </w:r>
        <w:proofErr w:type="spellStart"/>
        <w:r w:rsidRPr="00D97F84">
          <w:rPr>
            <w:rStyle w:val="Hyperlink"/>
            <w:rFonts w:cstheme="minorHAnsi"/>
            <w:szCs w:val="24"/>
            <w:lang w:val="es-ES"/>
          </w:rPr>
          <w:t>futureSGQ</w:t>
        </w:r>
        <w:proofErr w:type="spellEnd"/>
        <w:r w:rsidRPr="00D97F84">
          <w:rPr>
            <w:rStyle w:val="Hyperlink"/>
            <w:rFonts w:cstheme="minorHAnsi"/>
            <w:szCs w:val="24"/>
            <w:lang w:val="es-ES"/>
          </w:rPr>
          <w:t>/23</w:t>
        </w:r>
      </w:hyperlink>
      <w:r w:rsidRPr="00D97F84">
        <w:rPr>
          <w:lang w:val="es-ES" w:eastAsia="ko-KR"/>
        </w:rPr>
        <w:t xml:space="preserve"> para integrar las contribuciones recibidas y los resultados de los debates sostenidos en la reunión. Se prevé distribuir la versión definitiva del documento como producto del GT-GADT-futurasCCE.</w:t>
      </w:r>
    </w:p>
    <w:p w14:paraId="387C5489" w14:textId="77777777" w:rsidR="008E2CCC" w:rsidRDefault="008E2CCC" w:rsidP="008E2CCC">
      <w:pPr>
        <w:pStyle w:val="enumlev1"/>
        <w:rPr>
          <w:lang w:val="es-ES" w:eastAsia="ko-KR"/>
        </w:rPr>
      </w:pPr>
      <w:r w:rsidRPr="00D97F84">
        <w:rPr>
          <w:lang w:val="es-ES" w:eastAsia="ko-KR"/>
        </w:rPr>
        <w:t>–</w:t>
      </w:r>
      <w:r w:rsidRPr="00D97F84">
        <w:rPr>
          <w:lang w:val="es-ES" w:eastAsia="ko-KR"/>
        </w:rPr>
        <w:tab/>
        <w:t>Los autores y los participantes que expresaron opiniones al respecto colaborarán en el examen de las dos propuestas de nueva Cuestión. Las propuestas revisadas se presentarán a la próxima reunión y se integrarán en una versión revisada del Documento</w:t>
      </w:r>
      <w:r w:rsidRPr="00D97F84">
        <w:rPr>
          <w:lang w:val="es-ES"/>
        </w:rPr>
        <w:t xml:space="preserve"> </w:t>
      </w:r>
      <w:hyperlink r:id="rId22" w:history="1">
        <w:r w:rsidRPr="00D97F84">
          <w:rPr>
            <w:rStyle w:val="Hyperlink"/>
            <w:rFonts w:cstheme="minorHAnsi"/>
            <w:szCs w:val="24"/>
            <w:lang w:val="es-ES"/>
          </w:rPr>
          <w:t>TDAG-WG-</w:t>
        </w:r>
        <w:proofErr w:type="spellStart"/>
        <w:r w:rsidRPr="00D97F84">
          <w:rPr>
            <w:rStyle w:val="Hyperlink"/>
            <w:rFonts w:cstheme="minorHAnsi"/>
            <w:szCs w:val="24"/>
            <w:lang w:val="es-ES"/>
          </w:rPr>
          <w:t>futureSGQ</w:t>
        </w:r>
        <w:proofErr w:type="spellEnd"/>
        <w:r w:rsidRPr="00D97F84">
          <w:rPr>
            <w:rStyle w:val="Hyperlink"/>
            <w:rFonts w:cstheme="minorHAnsi"/>
            <w:szCs w:val="24"/>
            <w:lang w:val="es-ES"/>
          </w:rPr>
          <w:t>/23</w:t>
        </w:r>
      </w:hyperlink>
      <w:r w:rsidRPr="00D97F84">
        <w:rPr>
          <w:lang w:val="es-ES" w:eastAsia="ko-KR"/>
        </w:rPr>
        <w:t>.</w:t>
      </w:r>
    </w:p>
    <w:p w14:paraId="14C3D8F3" w14:textId="7CEA8122" w:rsidR="008E2CCC" w:rsidRPr="00364F6A" w:rsidRDefault="008E2CCC" w:rsidP="008E2CCC">
      <w:pPr>
        <w:pStyle w:val="Heading1"/>
        <w:rPr>
          <w:lang w:val="es-ES"/>
        </w:rPr>
      </w:pPr>
      <w:r>
        <w:rPr>
          <w:lang w:val="es-ES"/>
        </w:rPr>
        <w:t>E</w:t>
      </w:r>
      <w:r>
        <w:rPr>
          <w:lang w:val="es-ES"/>
        </w:rPr>
        <w:tab/>
      </w:r>
      <w:r w:rsidRPr="00364F6A">
        <w:rPr>
          <w:lang w:val="es-ES"/>
        </w:rPr>
        <w:t>Quinta reunión en línea del GT-GADT-futurasCCE, celebrada el 4 de marz</w:t>
      </w:r>
      <w:r>
        <w:rPr>
          <w:lang w:val="es-ES"/>
        </w:rPr>
        <w:t>o de 2025</w:t>
      </w:r>
    </w:p>
    <w:p w14:paraId="38669933" w14:textId="16A3A343" w:rsidR="008E2CCC" w:rsidRPr="00364F6A" w:rsidRDefault="008E2CCC" w:rsidP="008E2CCC">
      <w:pPr>
        <w:spacing w:after="120"/>
        <w:rPr>
          <w:rFonts w:cstheme="minorHAnsi"/>
          <w:szCs w:val="24"/>
          <w:lang w:val="es-ES" w:eastAsia="ko-KR"/>
        </w:rPr>
      </w:pPr>
      <w:r w:rsidRPr="00364F6A">
        <w:rPr>
          <w:rFonts w:cstheme="minorHAnsi"/>
          <w:szCs w:val="24"/>
          <w:lang w:val="es-ES"/>
        </w:rPr>
        <w:t>La información siguiente procede del Informe de la quinta reunión del GT</w:t>
      </w:r>
      <w:r w:rsidRPr="00721B01">
        <w:rPr>
          <w:rFonts w:cstheme="minorHAnsi"/>
          <w:szCs w:val="24"/>
          <w:lang w:val="es-ES"/>
        </w:rPr>
        <w:t>-GADT</w:t>
      </w:r>
      <w:r w:rsidRPr="00364F6A">
        <w:rPr>
          <w:rFonts w:cstheme="minorHAnsi"/>
          <w:szCs w:val="24"/>
          <w:lang w:val="es-ES"/>
        </w:rPr>
        <w:t>-futuras</w:t>
      </w:r>
      <w:r w:rsidRPr="00721B01">
        <w:rPr>
          <w:rFonts w:cstheme="minorHAnsi"/>
          <w:szCs w:val="24"/>
          <w:lang w:val="es-ES"/>
        </w:rPr>
        <w:t xml:space="preserve"> </w:t>
      </w:r>
      <w:r w:rsidRPr="00364F6A">
        <w:rPr>
          <w:rFonts w:cstheme="minorHAnsi"/>
          <w:szCs w:val="24"/>
          <w:lang w:val="es-ES"/>
        </w:rPr>
        <w:t>CC</w:t>
      </w:r>
      <w:r>
        <w:rPr>
          <w:rFonts w:cstheme="minorHAnsi"/>
          <w:szCs w:val="24"/>
          <w:lang w:val="es-ES"/>
        </w:rPr>
        <w:t>E (Documento</w:t>
      </w:r>
      <w:r w:rsidRPr="00364F6A">
        <w:rPr>
          <w:rFonts w:cstheme="minorHAnsi"/>
          <w:szCs w:val="24"/>
          <w:lang w:val="es-ES"/>
        </w:rPr>
        <w:t xml:space="preserve"> </w:t>
      </w:r>
      <w:hyperlink r:id="rId23" w:history="1">
        <w:r w:rsidRPr="00364F6A">
          <w:rPr>
            <w:rStyle w:val="Hyperlink"/>
            <w:rFonts w:cstheme="minorHAnsi"/>
            <w:szCs w:val="24"/>
            <w:lang w:val="es-ES"/>
          </w:rPr>
          <w:t>TDAG-WG-</w:t>
        </w:r>
        <w:proofErr w:type="spellStart"/>
        <w:r w:rsidRPr="00364F6A">
          <w:rPr>
            <w:rStyle w:val="Hyperlink"/>
            <w:rFonts w:cstheme="minorHAnsi"/>
            <w:szCs w:val="24"/>
            <w:lang w:val="es-ES"/>
          </w:rPr>
          <w:t>futureSGQ</w:t>
        </w:r>
        <w:proofErr w:type="spellEnd"/>
        <w:r w:rsidRPr="00364F6A">
          <w:rPr>
            <w:rStyle w:val="Hyperlink"/>
            <w:rFonts w:cstheme="minorHAnsi"/>
            <w:szCs w:val="24"/>
            <w:lang w:val="es-ES"/>
          </w:rPr>
          <w:t>/</w:t>
        </w:r>
        <w:r w:rsidRPr="00364F6A">
          <w:rPr>
            <w:rStyle w:val="Hyperlink"/>
            <w:rFonts w:cstheme="minorHAnsi"/>
            <w:szCs w:val="24"/>
            <w:lang w:val="es-ES" w:eastAsia="ko-KR"/>
          </w:rPr>
          <w:t>34</w:t>
        </w:r>
      </w:hyperlink>
      <w:r w:rsidRPr="00364F6A">
        <w:rPr>
          <w:rFonts w:cstheme="minorHAnsi"/>
          <w:szCs w:val="24"/>
          <w:lang w:val="es-ES"/>
        </w:rPr>
        <w:t xml:space="preserve">). </w:t>
      </w:r>
      <w:r w:rsidRPr="00721B01">
        <w:rPr>
          <w:rFonts w:cstheme="minorHAnsi"/>
          <w:szCs w:val="24"/>
          <w:lang w:val="es-ES"/>
        </w:rPr>
        <w:t>Esta reunión con</w:t>
      </w:r>
      <w:r w:rsidRPr="00364F6A">
        <w:rPr>
          <w:rFonts w:cstheme="minorHAnsi"/>
          <w:szCs w:val="24"/>
          <w:lang w:val="es-ES"/>
        </w:rPr>
        <w:t>tó con la asistencia de má</w:t>
      </w:r>
      <w:r>
        <w:rPr>
          <w:rFonts w:cstheme="minorHAnsi"/>
          <w:szCs w:val="24"/>
          <w:lang w:val="es-ES"/>
        </w:rPr>
        <w:t>s de 80 participantes</w:t>
      </w:r>
      <w:r w:rsidRPr="00364F6A">
        <w:rPr>
          <w:rFonts w:cstheme="minorHAnsi"/>
          <w:szCs w:val="24"/>
          <w:lang w:val="es-ES" w:eastAsia="ko-KR"/>
        </w:rPr>
        <w:t>.</w:t>
      </w:r>
    </w:p>
    <w:p w14:paraId="531018D6" w14:textId="77777777" w:rsidR="008E2CCC" w:rsidRPr="00364F6A" w:rsidRDefault="008E2CCC" w:rsidP="008E2CCC">
      <w:pPr>
        <w:spacing w:before="60" w:after="60"/>
        <w:rPr>
          <w:rFonts w:cstheme="minorHAnsi"/>
          <w:szCs w:val="24"/>
          <w:lang w:val="es-ES"/>
        </w:rPr>
      </w:pPr>
      <w:r w:rsidRPr="00364F6A">
        <w:rPr>
          <w:rFonts w:cstheme="minorHAnsi"/>
          <w:szCs w:val="24"/>
          <w:lang w:val="es-ES"/>
        </w:rPr>
        <w:t xml:space="preserve">Se recibieron, presentaron y debatieron detenidamente las seis contribuciones </w:t>
      </w:r>
      <w:r>
        <w:rPr>
          <w:rFonts w:cstheme="minorHAnsi"/>
          <w:szCs w:val="24"/>
          <w:lang w:val="es-ES"/>
        </w:rPr>
        <w:t>siguientes</w:t>
      </w:r>
      <w:r w:rsidRPr="00364F6A">
        <w:rPr>
          <w:rFonts w:cstheme="minorHAnsi"/>
          <w:szCs w:val="24"/>
          <w:lang w:val="es-ES"/>
        </w:rPr>
        <w:t>:</w:t>
      </w:r>
    </w:p>
    <w:p w14:paraId="2B95A562" w14:textId="2915F454"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Informes del Grupo Asesor de la Industria sobre Desarrollo y los Directores de Reglamentación del Sector Privado</w:t>
      </w:r>
      <w:r w:rsidRPr="00364F6A">
        <w:rPr>
          <w:lang w:val="es-ES"/>
        </w:rPr>
        <w:t xml:space="preserve"> (IAGDI-CRO)</w:t>
      </w:r>
      <w:r w:rsidRPr="00364F6A">
        <w:rPr>
          <w:lang w:val="es-ES" w:eastAsia="ko-KR"/>
        </w:rPr>
        <w:t xml:space="preserve"> s</w:t>
      </w:r>
      <w:r>
        <w:rPr>
          <w:lang w:val="es-ES" w:eastAsia="ko-KR"/>
        </w:rPr>
        <w:t>obre dos charlas tecnológicas organizadas en torno a los temas de las dos Comisiones de Estudio del UIT</w:t>
      </w:r>
      <w:r>
        <w:rPr>
          <w:lang w:val="es-ES" w:eastAsia="ko-KR"/>
        </w:rPr>
        <w:noBreakHyphen/>
        <w:t xml:space="preserve">D. </w:t>
      </w:r>
      <w:r w:rsidRPr="00721B01">
        <w:rPr>
          <w:lang w:val="es-ES" w:eastAsia="ko-KR"/>
        </w:rPr>
        <w:t xml:space="preserve">Se </w:t>
      </w:r>
      <w:r w:rsidRPr="00364F6A">
        <w:rPr>
          <w:lang w:val="es-ES" w:eastAsia="ko-KR"/>
        </w:rPr>
        <w:t>abordaron los temas que pueden servir para alimentar futuras Cuestiones de es</w:t>
      </w:r>
      <w:r>
        <w:rPr>
          <w:lang w:val="es-ES" w:eastAsia="ko-KR"/>
        </w:rPr>
        <w:t>tudio</w:t>
      </w:r>
      <w:r w:rsidRPr="00364F6A">
        <w:rPr>
          <w:lang w:val="es-ES" w:eastAsia="ko-KR"/>
        </w:rPr>
        <w:t>.</w:t>
      </w:r>
    </w:p>
    <w:p w14:paraId="26F659B3" w14:textId="63220874"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 xml:space="preserve">Opiniones actualizadas de la Unión Africana de Telecomunicaciones (UAT) sobre nuevos temas (asequibilidad/disponibilidad de dispositivos y aplicación de la </w:t>
      </w:r>
      <w:r>
        <w:rPr>
          <w:lang w:val="es-ES" w:eastAsia="ko-KR"/>
        </w:rPr>
        <w:t>inteligencia artificial), sobre el número de Comisiones de Estudio y sobre el proyecto de propuesta de producto del GT-GADT-futurasCCE</w:t>
      </w:r>
      <w:r w:rsidRPr="00364F6A">
        <w:rPr>
          <w:lang w:val="es-ES" w:eastAsia="ko-KR"/>
        </w:rPr>
        <w:t>.</w:t>
      </w:r>
    </w:p>
    <w:p w14:paraId="53DBEB3D" w14:textId="258726C7"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Recopilación completa de los mandatos de las Cuestiones de la Comisión de Estudio</w:t>
      </w:r>
      <w:r>
        <w:rPr>
          <w:lang w:val="es-ES" w:eastAsia="ko-KR"/>
        </w:rPr>
        <w:t> </w:t>
      </w:r>
      <w:r w:rsidRPr="00364F6A">
        <w:rPr>
          <w:lang w:val="es-ES" w:eastAsia="ko-KR"/>
        </w:rPr>
        <w:t>1 del UIT</w:t>
      </w:r>
      <w:r>
        <w:rPr>
          <w:lang w:val="es-ES" w:eastAsia="ko-KR"/>
        </w:rPr>
        <w:noBreakHyphen/>
      </w:r>
      <w:r w:rsidRPr="00364F6A">
        <w:rPr>
          <w:lang w:val="es-ES" w:eastAsia="ko-KR"/>
        </w:rPr>
        <w:t>D (CE</w:t>
      </w:r>
      <w:r>
        <w:rPr>
          <w:lang w:val="es-ES" w:eastAsia="ko-KR"/>
        </w:rPr>
        <w:t> </w:t>
      </w:r>
      <w:r w:rsidRPr="00364F6A">
        <w:rPr>
          <w:lang w:val="es-ES" w:eastAsia="ko-KR"/>
        </w:rPr>
        <w:t xml:space="preserve">1), presentada por el Vicepresidente de </w:t>
      </w:r>
      <w:r>
        <w:rPr>
          <w:lang w:val="es-ES" w:eastAsia="ko-KR"/>
        </w:rPr>
        <w:t>la CE 1 y Coordinador sobre las futuras Cuestiones de estudio en nombre de los (Co)Relatores de la CE 1</w:t>
      </w:r>
      <w:r w:rsidRPr="00364F6A">
        <w:rPr>
          <w:lang w:val="es-ES" w:eastAsia="ko-KR"/>
        </w:rPr>
        <w:t>.</w:t>
      </w:r>
    </w:p>
    <w:p w14:paraId="36DC5A61" w14:textId="6B2E4FB4" w:rsidR="008E2CCC" w:rsidRPr="00364F6A" w:rsidRDefault="008E2CCC" w:rsidP="008E2CCC">
      <w:pPr>
        <w:pStyle w:val="enumlev1"/>
        <w:rPr>
          <w:lang w:val="es-ES" w:eastAsia="ko-KR"/>
        </w:rPr>
      </w:pPr>
      <w:r w:rsidRPr="008E2CCC">
        <w:rPr>
          <w:lang w:val="es-ES" w:eastAsia="ko-KR"/>
        </w:rPr>
        <w:lastRenderedPageBreak/>
        <w:t>–</w:t>
      </w:r>
      <w:r>
        <w:rPr>
          <w:lang w:val="es-ES" w:eastAsia="ko-KR"/>
        </w:rPr>
        <w:tab/>
      </w:r>
      <w:r w:rsidRPr="00364F6A">
        <w:rPr>
          <w:lang w:val="es-ES" w:eastAsia="ko-KR"/>
        </w:rPr>
        <w:t xml:space="preserve">Propuesta actualizada de China sobre una nueva Cuestión sobre la aplicación de </w:t>
      </w:r>
      <w:r>
        <w:rPr>
          <w:lang w:val="es-ES" w:eastAsia="ko-KR"/>
        </w:rPr>
        <w:t>la inteligencia artificial (IA) tras los comentarios recibidos y los debates fuera de línea celebrados desde la última reunión</w:t>
      </w:r>
      <w:r w:rsidRPr="00364F6A">
        <w:rPr>
          <w:lang w:val="es-ES" w:eastAsia="ko-KR"/>
        </w:rPr>
        <w:t>.</w:t>
      </w:r>
    </w:p>
    <w:p w14:paraId="3E83FF33" w14:textId="2E9648D4"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Propuesta de Egipto sobre las bases y directrices para la propuesta de futuras Cuestiones y observaci</w:t>
      </w:r>
      <w:r>
        <w:rPr>
          <w:lang w:val="es-ES" w:eastAsia="ko-KR"/>
        </w:rPr>
        <w:t>ones sobre el proyecto de propuesta de producto del GT-GADT-futurasCCE</w:t>
      </w:r>
      <w:r w:rsidRPr="00364F6A">
        <w:rPr>
          <w:lang w:val="es-ES" w:eastAsia="ko-KR"/>
        </w:rPr>
        <w:t>.</w:t>
      </w:r>
    </w:p>
    <w:p w14:paraId="68E217B3" w14:textId="625474ED" w:rsidR="008E2CCC" w:rsidRPr="00364F6A" w:rsidRDefault="008E2CCC" w:rsidP="008E2CCC">
      <w:pPr>
        <w:pStyle w:val="enumlev1"/>
        <w:rPr>
          <w:lang w:val="es-ES"/>
        </w:rPr>
      </w:pPr>
      <w:r w:rsidRPr="008E2CCC">
        <w:rPr>
          <w:lang w:val="es-ES"/>
        </w:rPr>
        <w:t>–</w:t>
      </w:r>
      <w:r>
        <w:rPr>
          <w:lang w:val="es-ES"/>
        </w:rPr>
        <w:tab/>
      </w:r>
      <w:r w:rsidRPr="00364F6A">
        <w:rPr>
          <w:lang w:val="es-ES"/>
        </w:rPr>
        <w:t xml:space="preserve">Documento </w:t>
      </w:r>
      <w:hyperlink r:id="rId24" w:history="1">
        <w:r w:rsidRPr="00364F6A">
          <w:rPr>
            <w:rStyle w:val="Hyperlink"/>
            <w:rFonts w:cstheme="minorHAnsi"/>
            <w:szCs w:val="24"/>
            <w:lang w:val="es-ES"/>
          </w:rPr>
          <w:t>TDAG-WG-</w:t>
        </w:r>
        <w:proofErr w:type="spellStart"/>
        <w:r w:rsidRPr="00364F6A">
          <w:rPr>
            <w:rStyle w:val="Hyperlink"/>
            <w:rFonts w:cstheme="minorHAnsi"/>
            <w:szCs w:val="24"/>
            <w:lang w:val="es-ES"/>
          </w:rPr>
          <w:t>futureSGQ</w:t>
        </w:r>
        <w:proofErr w:type="spellEnd"/>
        <w:r w:rsidRPr="00364F6A">
          <w:rPr>
            <w:rStyle w:val="Hyperlink"/>
            <w:rFonts w:cstheme="minorHAnsi"/>
            <w:szCs w:val="24"/>
            <w:lang w:val="es-ES"/>
          </w:rPr>
          <w:t>/</w:t>
        </w:r>
        <w:r w:rsidRPr="00364F6A">
          <w:rPr>
            <w:rStyle w:val="Hyperlink"/>
            <w:rFonts w:cstheme="minorHAnsi"/>
            <w:szCs w:val="24"/>
            <w:lang w:val="es-ES" w:eastAsia="ko-KR"/>
          </w:rPr>
          <w:t>29</w:t>
        </w:r>
      </w:hyperlink>
      <w:r w:rsidRPr="00364F6A">
        <w:rPr>
          <w:lang w:val="es-ES"/>
        </w:rPr>
        <w:t>, segundo proyecto de revisión de extractos de los Anexos a la Resolución</w:t>
      </w:r>
      <w:r>
        <w:rPr>
          <w:lang w:val="es-ES"/>
        </w:rPr>
        <w:t> </w:t>
      </w:r>
      <w:r w:rsidRPr="00364F6A">
        <w:rPr>
          <w:lang w:val="es-ES"/>
        </w:rPr>
        <w:t xml:space="preserve">2, incluidos los mandatos de las Cuestiones de estudio, preparado por el </w:t>
      </w:r>
      <w:proofErr w:type="gramStart"/>
      <w:r w:rsidRPr="00364F6A">
        <w:rPr>
          <w:lang w:val="es-ES"/>
        </w:rPr>
        <w:t>Presidente</w:t>
      </w:r>
      <w:proofErr w:type="gramEnd"/>
      <w:r w:rsidRPr="00364F6A">
        <w:rPr>
          <w:lang w:val="es-ES"/>
        </w:rPr>
        <w:t xml:space="preserve"> a partir de la</w:t>
      </w:r>
      <w:r>
        <w:rPr>
          <w:lang w:val="es-ES"/>
        </w:rPr>
        <w:t>s contribuciones y observaciones recibidas y de los debates fuera de línea celebrados desde la reunión anterior</w:t>
      </w:r>
      <w:r w:rsidRPr="00364F6A">
        <w:rPr>
          <w:lang w:val="es-ES" w:eastAsia="ko-KR"/>
        </w:rPr>
        <w:t>.</w:t>
      </w:r>
    </w:p>
    <w:p w14:paraId="44B41581" w14:textId="77777777" w:rsidR="008E2CCC" w:rsidRPr="00364F6A" w:rsidRDefault="008E2CCC" w:rsidP="008E2CCC">
      <w:pPr>
        <w:rPr>
          <w:lang w:val="es-ES" w:eastAsia="ko-KR"/>
        </w:rPr>
      </w:pPr>
      <w:r w:rsidRPr="00364F6A">
        <w:rPr>
          <w:lang w:val="es-ES" w:eastAsia="ko-KR"/>
        </w:rPr>
        <w:t>En la reunión se acordó lo siguiente:</w:t>
      </w:r>
    </w:p>
    <w:p w14:paraId="4BA9C9C8" w14:textId="1B37616B"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Mantener las dos Comisiones de Estudio actuales. Se habló de una posible te</w:t>
      </w:r>
      <w:r>
        <w:rPr>
          <w:lang w:val="es-ES" w:eastAsia="ko-KR"/>
        </w:rPr>
        <w:t>rcera Comisión de Estudio, pero se consideró que este tema rebasa el ámbito de las dos Comisiones de Estudio actuales y debería abordarse como un tema independiente</w:t>
      </w:r>
      <w:r w:rsidRPr="00364F6A">
        <w:rPr>
          <w:lang w:val="es-ES" w:eastAsia="ko-KR"/>
        </w:rPr>
        <w:t>.</w:t>
      </w:r>
    </w:p>
    <w:p w14:paraId="4BAEE847" w14:textId="5ADD9DE6"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Que cada una de las dos Comisiones de Estudi</w:t>
      </w:r>
      <w:r>
        <w:rPr>
          <w:lang w:val="es-ES" w:eastAsia="ko-KR"/>
        </w:rPr>
        <w:t>o tenga cinco Cuestiones</w:t>
      </w:r>
      <w:r w:rsidRPr="00364F6A">
        <w:rPr>
          <w:lang w:val="es-ES" w:eastAsia="ko-KR"/>
        </w:rPr>
        <w:t>.</w:t>
      </w:r>
    </w:p>
    <w:p w14:paraId="1011D7D8" w14:textId="18920DFF"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Fusionar las C1/1 (banda ancha) y C5/1 (zonas rurales y remotas)</w:t>
      </w:r>
      <w:r>
        <w:rPr>
          <w:lang w:val="es-ES" w:eastAsia="ko-KR"/>
        </w:rPr>
        <w:t xml:space="preserve"> del actual periodo de estudios</w:t>
      </w:r>
      <w:r w:rsidRPr="00364F6A">
        <w:rPr>
          <w:lang w:val="es-ES" w:eastAsia="ko-KR"/>
        </w:rPr>
        <w:t>.</w:t>
      </w:r>
    </w:p>
    <w:p w14:paraId="17922A1A" w14:textId="5E71829C"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Acordar el ámbito de co</w:t>
      </w:r>
      <w:r>
        <w:rPr>
          <w:lang w:val="es-ES" w:eastAsia="ko-KR"/>
        </w:rPr>
        <w:t>mpetencia de la C</w:t>
      </w:r>
      <w:r w:rsidRPr="00364F6A">
        <w:rPr>
          <w:lang w:val="es-ES" w:eastAsia="ko-KR"/>
        </w:rPr>
        <w:t>4/1 (</w:t>
      </w:r>
      <w:r>
        <w:rPr>
          <w:lang w:val="es-ES" w:eastAsia="ko-KR"/>
        </w:rPr>
        <w:t>aspectos económicos</w:t>
      </w:r>
      <w:r w:rsidRPr="00364F6A">
        <w:rPr>
          <w:lang w:val="es-ES" w:eastAsia="ko-KR"/>
        </w:rPr>
        <w:t>).</w:t>
      </w:r>
    </w:p>
    <w:p w14:paraId="5D65D680" w14:textId="4EAA6176"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 xml:space="preserve">Incluir el nuevo tema de la IA en </w:t>
      </w:r>
      <w:r>
        <w:rPr>
          <w:lang w:val="es-ES" w:eastAsia="ko-KR"/>
        </w:rPr>
        <w:t>una Cuestión de estudio existente</w:t>
      </w:r>
      <w:r w:rsidRPr="00364F6A">
        <w:rPr>
          <w:lang w:val="es-ES" w:eastAsia="ko-KR"/>
        </w:rPr>
        <w:t>.</w:t>
      </w:r>
    </w:p>
    <w:p w14:paraId="26E2C90A" w14:textId="77777777" w:rsidR="008E2CCC" w:rsidRPr="00364F6A" w:rsidRDefault="008E2CCC" w:rsidP="008E2CCC">
      <w:pPr>
        <w:rPr>
          <w:lang w:val="es-ES" w:eastAsia="ko-KR"/>
        </w:rPr>
      </w:pPr>
      <w:r w:rsidRPr="00364F6A">
        <w:rPr>
          <w:lang w:val="es-ES" w:eastAsia="ko-KR"/>
        </w:rPr>
        <w:t>Son necesarios más debates para llegar a un consenso sobre los siguien</w:t>
      </w:r>
      <w:r>
        <w:rPr>
          <w:lang w:val="es-ES" w:eastAsia="ko-KR"/>
        </w:rPr>
        <w:t>tes puntos</w:t>
      </w:r>
      <w:r w:rsidRPr="00364F6A">
        <w:rPr>
          <w:lang w:val="es-ES" w:eastAsia="ko-KR"/>
        </w:rPr>
        <w:t>:</w:t>
      </w:r>
    </w:p>
    <w:p w14:paraId="6547449F" w14:textId="6B8D2E82"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 xml:space="preserve">Dónde incluir el nuevo tema sobre disponibilidad y asequibilidad de </w:t>
      </w:r>
      <w:r>
        <w:rPr>
          <w:lang w:val="es-ES" w:eastAsia="ko-KR"/>
        </w:rPr>
        <w:t>los dispositivos</w:t>
      </w:r>
      <w:r w:rsidRPr="00364F6A">
        <w:rPr>
          <w:lang w:val="es-ES" w:eastAsia="ko-KR"/>
        </w:rPr>
        <w:t>.</w:t>
      </w:r>
    </w:p>
    <w:p w14:paraId="7A20663E" w14:textId="5AF0A248" w:rsidR="008E2CCC" w:rsidRPr="00364F6A"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Si es necesario o no fusionar algunas Cuestiones (entre otras, la C6/1 con la C4/2 o la</w:t>
      </w:r>
      <w:r>
        <w:rPr>
          <w:lang w:val="es-ES" w:eastAsia="ko-KR"/>
        </w:rPr>
        <w:t> </w:t>
      </w:r>
      <w:r w:rsidRPr="00364F6A">
        <w:rPr>
          <w:lang w:val="es-ES" w:eastAsia="ko-KR"/>
        </w:rPr>
        <w:t>C5/2, la</w:t>
      </w:r>
      <w:r>
        <w:rPr>
          <w:lang w:val="es-ES" w:eastAsia="ko-KR"/>
        </w:rPr>
        <w:t> </w:t>
      </w:r>
      <w:r w:rsidRPr="00364F6A">
        <w:rPr>
          <w:lang w:val="es-ES" w:eastAsia="ko-KR"/>
        </w:rPr>
        <w:t xml:space="preserve">C7/1 con la C5/2, la </w:t>
      </w:r>
      <w:r>
        <w:rPr>
          <w:lang w:val="es-ES" w:eastAsia="ko-KR"/>
        </w:rPr>
        <w:t>C</w:t>
      </w:r>
      <w:r w:rsidRPr="00364F6A">
        <w:rPr>
          <w:lang w:val="es-ES" w:eastAsia="ko-KR"/>
        </w:rPr>
        <w:t xml:space="preserve">1/2 </w:t>
      </w:r>
      <w:r>
        <w:rPr>
          <w:lang w:val="es-ES" w:eastAsia="ko-KR"/>
        </w:rPr>
        <w:t>con la C</w:t>
      </w:r>
      <w:r w:rsidRPr="00364F6A">
        <w:rPr>
          <w:lang w:val="es-ES" w:eastAsia="ko-KR"/>
        </w:rPr>
        <w:t xml:space="preserve">2/2, </w:t>
      </w:r>
      <w:r>
        <w:rPr>
          <w:lang w:val="es-ES" w:eastAsia="ko-KR"/>
        </w:rPr>
        <w:t>la C</w:t>
      </w:r>
      <w:r w:rsidRPr="00364F6A">
        <w:rPr>
          <w:lang w:val="es-ES" w:eastAsia="ko-KR"/>
        </w:rPr>
        <w:t>4/2 C</w:t>
      </w:r>
      <w:r>
        <w:rPr>
          <w:lang w:val="es-ES" w:eastAsia="ko-KR"/>
        </w:rPr>
        <w:t>+</w:t>
      </w:r>
      <w:r w:rsidRPr="00364F6A">
        <w:rPr>
          <w:lang w:val="es-ES" w:eastAsia="ko-KR"/>
        </w:rPr>
        <w:t xml:space="preserve">I </w:t>
      </w:r>
      <w:r>
        <w:rPr>
          <w:lang w:val="es-ES" w:eastAsia="ko-KR"/>
        </w:rPr>
        <w:t>con la C</w:t>
      </w:r>
      <w:r w:rsidRPr="00364F6A">
        <w:rPr>
          <w:lang w:val="es-ES" w:eastAsia="ko-KR"/>
        </w:rPr>
        <w:t xml:space="preserve">6/2 </w:t>
      </w:r>
      <w:r>
        <w:rPr>
          <w:lang w:val="es-ES" w:eastAsia="ko-KR"/>
        </w:rPr>
        <w:t>y la C</w:t>
      </w:r>
      <w:r w:rsidRPr="00364F6A">
        <w:rPr>
          <w:lang w:val="es-ES" w:eastAsia="ko-KR"/>
        </w:rPr>
        <w:t>7/2)</w:t>
      </w:r>
      <w:r>
        <w:rPr>
          <w:rStyle w:val="FootnoteReference"/>
          <w:lang w:eastAsia="ko-KR"/>
        </w:rPr>
        <w:footnoteReference w:id="2"/>
      </w:r>
      <w:r w:rsidRPr="00364F6A">
        <w:rPr>
          <w:lang w:val="es-ES" w:eastAsia="ko-KR"/>
        </w:rPr>
        <w:t xml:space="preserve"> </w:t>
      </w:r>
      <w:r>
        <w:rPr>
          <w:lang w:val="es-ES" w:eastAsia="ko-KR"/>
        </w:rPr>
        <w:t>y dentro de qué Comisión de Estudio deben considerarse (incluidas las C</w:t>
      </w:r>
      <w:r w:rsidRPr="00364F6A">
        <w:rPr>
          <w:lang w:val="es-ES" w:eastAsia="ko-KR"/>
        </w:rPr>
        <w:t xml:space="preserve">3/1 </w:t>
      </w:r>
      <w:r>
        <w:rPr>
          <w:lang w:val="es-ES" w:eastAsia="ko-KR"/>
        </w:rPr>
        <w:t>y</w:t>
      </w:r>
      <w:r w:rsidRPr="00364F6A">
        <w:rPr>
          <w:lang w:val="es-ES" w:eastAsia="ko-KR"/>
        </w:rPr>
        <w:t xml:space="preserve"> </w:t>
      </w:r>
      <w:r>
        <w:rPr>
          <w:lang w:val="es-ES" w:eastAsia="ko-KR"/>
        </w:rPr>
        <w:t>C</w:t>
      </w:r>
      <w:r w:rsidRPr="00364F6A">
        <w:rPr>
          <w:lang w:val="es-ES" w:eastAsia="ko-KR"/>
        </w:rPr>
        <w:t>3/2)</w:t>
      </w:r>
      <w:r w:rsidRPr="00364F6A">
        <w:rPr>
          <w:vertAlign w:val="superscript"/>
          <w:lang w:val="es-ES" w:eastAsia="ko-KR"/>
        </w:rPr>
        <w:t>1</w:t>
      </w:r>
      <w:r w:rsidRPr="00364F6A">
        <w:rPr>
          <w:lang w:val="es-ES" w:eastAsia="ko-KR"/>
        </w:rPr>
        <w:t>.</w:t>
      </w:r>
    </w:p>
    <w:p w14:paraId="123AF898" w14:textId="29F5515C" w:rsidR="008E2CCC" w:rsidRDefault="008E2CCC" w:rsidP="008E2CCC">
      <w:pPr>
        <w:pStyle w:val="enumlev1"/>
        <w:rPr>
          <w:lang w:val="es-ES" w:eastAsia="ko-KR"/>
        </w:rPr>
      </w:pPr>
      <w:r w:rsidRPr="008E2CCC">
        <w:rPr>
          <w:lang w:val="es-ES" w:eastAsia="ko-KR"/>
        </w:rPr>
        <w:t>–</w:t>
      </w:r>
      <w:r>
        <w:rPr>
          <w:lang w:val="es-ES" w:eastAsia="ko-KR"/>
        </w:rPr>
        <w:tab/>
      </w:r>
      <w:r w:rsidRPr="00364F6A">
        <w:rPr>
          <w:lang w:val="es-ES" w:eastAsia="ko-KR"/>
        </w:rPr>
        <w:t>Si algunas Cuestiones independientes o fusionadas (incluida la C1/1 f</w:t>
      </w:r>
      <w:r>
        <w:rPr>
          <w:lang w:val="es-ES" w:eastAsia="ko-KR"/>
        </w:rPr>
        <w:t>usionada con la C</w:t>
      </w:r>
      <w:r w:rsidRPr="00364F6A">
        <w:rPr>
          <w:lang w:val="es-ES" w:eastAsia="ko-KR"/>
        </w:rPr>
        <w:t xml:space="preserve">5/1, </w:t>
      </w:r>
      <w:r>
        <w:rPr>
          <w:lang w:val="es-ES" w:eastAsia="ko-KR"/>
        </w:rPr>
        <w:t>C</w:t>
      </w:r>
      <w:r w:rsidRPr="00364F6A">
        <w:rPr>
          <w:lang w:val="es-ES" w:eastAsia="ko-KR"/>
        </w:rPr>
        <w:t>2/1)</w:t>
      </w:r>
      <w:r w:rsidRPr="00364F6A">
        <w:rPr>
          <w:vertAlign w:val="superscript"/>
          <w:lang w:val="es-ES" w:eastAsia="ko-KR"/>
        </w:rPr>
        <w:t>1</w:t>
      </w:r>
      <w:r w:rsidRPr="00364F6A">
        <w:rPr>
          <w:lang w:val="es-ES" w:eastAsia="ko-KR"/>
        </w:rPr>
        <w:t xml:space="preserve"> </w:t>
      </w:r>
      <w:r>
        <w:rPr>
          <w:lang w:val="es-ES" w:eastAsia="ko-KR"/>
        </w:rPr>
        <w:t>deben ampliar su alcance para ser más atractivas</w:t>
      </w:r>
      <w:r w:rsidRPr="00364F6A">
        <w:rPr>
          <w:lang w:val="es-ES" w:eastAsia="ko-KR"/>
        </w:rPr>
        <w:t>.</w:t>
      </w:r>
      <w:r w:rsidRPr="008E2CCC">
        <w:rPr>
          <w:rStyle w:val="FootnoteReference"/>
          <w:lang w:val="es-ES"/>
        </w:rPr>
        <w:t>1</w:t>
      </w:r>
    </w:p>
    <w:p w14:paraId="543C5FAE" w14:textId="18265942" w:rsidR="0069537D" w:rsidRPr="00126B03" w:rsidRDefault="003C58BF" w:rsidP="008E2CCC">
      <w:pPr>
        <w:tabs>
          <w:tab w:val="clear" w:pos="794"/>
          <w:tab w:val="clear" w:pos="1191"/>
          <w:tab w:val="clear" w:pos="1588"/>
          <w:tab w:val="clear" w:pos="1985"/>
        </w:tabs>
        <w:spacing w:after="120"/>
        <w:jc w:val="center"/>
        <w:rPr>
          <w:lang w:val="es-ES_tradnl"/>
        </w:rPr>
      </w:pPr>
      <w:r w:rsidRPr="00126B03">
        <w:rPr>
          <w:lang w:val="es-ES_tradnl"/>
        </w:rPr>
        <w:t>_____________</w:t>
      </w:r>
      <w:r w:rsidR="004122C5" w:rsidRPr="00126B03">
        <w:rPr>
          <w:lang w:val="es-ES_tradnl"/>
        </w:rPr>
        <w:t>_</w:t>
      </w:r>
      <w:r w:rsidR="00922EC1" w:rsidRPr="00126B03">
        <w:rPr>
          <w:lang w:val="es-ES_tradnl"/>
        </w:rPr>
        <w:t>_</w:t>
      </w:r>
    </w:p>
    <w:sectPr w:rsidR="0069537D" w:rsidRPr="00126B03" w:rsidSect="008C7A35">
      <w:headerReference w:type="defaul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FDD7" w14:textId="77777777" w:rsidR="008E2CCC" w:rsidRDefault="008E2CCC">
      <w:r>
        <w:separator/>
      </w:r>
    </w:p>
  </w:endnote>
  <w:endnote w:type="continuationSeparator" w:id="0">
    <w:p w14:paraId="65DDFC72" w14:textId="77777777" w:rsidR="008E2CCC" w:rsidRDefault="008E2CCC">
      <w:r>
        <w:continuationSeparator/>
      </w:r>
    </w:p>
  </w:endnote>
  <w:endnote w:type="continuationNotice" w:id="1">
    <w:p w14:paraId="4C173822" w14:textId="77777777" w:rsidR="008E2CCC" w:rsidRDefault="008E2C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585"/>
      <w:gridCol w:w="5812"/>
    </w:tblGrid>
    <w:tr w:rsidR="0059420B" w:rsidRPr="00F07055" w14:paraId="4978EA27" w14:textId="77777777" w:rsidTr="0017269C">
      <w:tc>
        <w:tcPr>
          <w:tcW w:w="1526" w:type="dxa"/>
          <w:tcBorders>
            <w:top w:val="single" w:sz="4" w:space="0" w:color="000000"/>
          </w:tcBorders>
          <w:shd w:val="clear" w:color="auto" w:fill="auto"/>
        </w:tcPr>
        <w:p w14:paraId="0B7D3BF6" w14:textId="77777777" w:rsidR="0059420B" w:rsidRPr="000E2CE3" w:rsidRDefault="0059420B" w:rsidP="0059420B">
          <w:pPr>
            <w:pStyle w:val="FirstFooter"/>
            <w:tabs>
              <w:tab w:val="left" w:pos="1559"/>
              <w:tab w:val="left" w:pos="3828"/>
            </w:tabs>
            <w:rPr>
              <w:sz w:val="18"/>
              <w:szCs w:val="18"/>
              <w:lang w:val="es-ES"/>
            </w:rPr>
          </w:pPr>
          <w:r w:rsidRPr="000E2CE3">
            <w:rPr>
              <w:sz w:val="18"/>
              <w:szCs w:val="18"/>
              <w:lang w:val="es-ES"/>
            </w:rPr>
            <w:t>Contact</w:t>
          </w:r>
          <w:r w:rsidR="0017269C" w:rsidRPr="000E2CE3">
            <w:rPr>
              <w:sz w:val="18"/>
              <w:szCs w:val="18"/>
              <w:lang w:val="es-ES"/>
            </w:rPr>
            <w:t>o</w:t>
          </w:r>
          <w:r w:rsidRPr="000E2CE3">
            <w:rPr>
              <w:sz w:val="18"/>
              <w:szCs w:val="18"/>
              <w:lang w:val="es-ES"/>
            </w:rPr>
            <w:t>:</w:t>
          </w:r>
        </w:p>
      </w:tc>
      <w:tc>
        <w:tcPr>
          <w:tcW w:w="2585" w:type="dxa"/>
          <w:tcBorders>
            <w:top w:val="single" w:sz="4" w:space="0" w:color="000000"/>
          </w:tcBorders>
          <w:shd w:val="clear" w:color="auto" w:fill="auto"/>
        </w:tcPr>
        <w:p w14:paraId="5E71F726" w14:textId="77777777" w:rsidR="0059420B" w:rsidRPr="000E2CE3" w:rsidRDefault="0017269C" w:rsidP="0059420B">
          <w:pPr>
            <w:pStyle w:val="FirstFooter"/>
            <w:tabs>
              <w:tab w:val="left" w:pos="2302"/>
            </w:tabs>
            <w:ind w:left="2302" w:hanging="2302"/>
            <w:rPr>
              <w:sz w:val="18"/>
              <w:szCs w:val="18"/>
              <w:lang w:val="es-ES"/>
            </w:rPr>
          </w:pPr>
          <w:r w:rsidRPr="000E2CE3">
            <w:rPr>
              <w:sz w:val="18"/>
              <w:szCs w:val="18"/>
              <w:lang w:val="es-ES"/>
            </w:rPr>
            <w:t>Nombre/Organización/Entidad</w:t>
          </w:r>
          <w:r w:rsidR="0059420B" w:rsidRPr="000E2CE3">
            <w:rPr>
              <w:sz w:val="18"/>
              <w:szCs w:val="18"/>
              <w:lang w:val="es-ES"/>
            </w:rPr>
            <w:t>:</w:t>
          </w:r>
        </w:p>
      </w:tc>
      <w:tc>
        <w:tcPr>
          <w:tcW w:w="5812" w:type="dxa"/>
          <w:tcBorders>
            <w:top w:val="single" w:sz="4" w:space="0" w:color="000000"/>
          </w:tcBorders>
        </w:tcPr>
        <w:p w14:paraId="55236224" w14:textId="056DBCE8" w:rsidR="0059420B" w:rsidRPr="008E2CCC" w:rsidRDefault="008E2CCC" w:rsidP="0059420B">
          <w:pPr>
            <w:pStyle w:val="FirstFooter"/>
            <w:tabs>
              <w:tab w:val="left" w:pos="2302"/>
            </w:tabs>
            <w:rPr>
              <w:sz w:val="18"/>
              <w:szCs w:val="18"/>
              <w:lang w:val="es-ES"/>
            </w:rPr>
          </w:pPr>
          <w:r w:rsidRPr="008E2CCC">
            <w:rPr>
              <w:sz w:val="18"/>
              <w:szCs w:val="18"/>
              <w:lang w:val="es-ES"/>
            </w:rPr>
            <w:t>Sr. Ahmad Reza Sharafat, Presidente del Grupo de Trabajo del GADT sobre las futuras Cuestiones de las Comisiones de Estudio</w:t>
          </w:r>
        </w:p>
      </w:tc>
      <w:bookmarkStart w:id="9" w:name="OrgName"/>
      <w:bookmarkEnd w:id="9"/>
    </w:tr>
    <w:tr w:rsidR="008E2CCC" w:rsidRPr="000E2CE3" w14:paraId="4AA5726C" w14:textId="77777777" w:rsidTr="0017269C">
      <w:tc>
        <w:tcPr>
          <w:tcW w:w="1526" w:type="dxa"/>
          <w:shd w:val="clear" w:color="auto" w:fill="auto"/>
        </w:tcPr>
        <w:p w14:paraId="3EBBA34C" w14:textId="77777777" w:rsidR="008E2CCC" w:rsidRPr="000E2CE3" w:rsidRDefault="008E2CCC" w:rsidP="008E2CCC">
          <w:pPr>
            <w:pStyle w:val="FirstFooter"/>
            <w:tabs>
              <w:tab w:val="left" w:pos="1559"/>
              <w:tab w:val="left" w:pos="3828"/>
            </w:tabs>
            <w:rPr>
              <w:sz w:val="20"/>
              <w:lang w:val="es-ES"/>
            </w:rPr>
          </w:pPr>
        </w:p>
      </w:tc>
      <w:tc>
        <w:tcPr>
          <w:tcW w:w="2585" w:type="dxa"/>
          <w:shd w:val="clear" w:color="auto" w:fill="auto"/>
        </w:tcPr>
        <w:p w14:paraId="3F747F3D" w14:textId="77777777" w:rsidR="008E2CCC" w:rsidRPr="000E2CE3" w:rsidRDefault="008E2CCC" w:rsidP="008E2CCC">
          <w:pPr>
            <w:pStyle w:val="FirstFooter"/>
            <w:tabs>
              <w:tab w:val="left" w:pos="2302"/>
            </w:tabs>
            <w:rPr>
              <w:sz w:val="18"/>
              <w:szCs w:val="18"/>
              <w:lang w:val="es-ES"/>
            </w:rPr>
          </w:pPr>
          <w:r w:rsidRPr="000E2CE3">
            <w:rPr>
              <w:sz w:val="18"/>
              <w:szCs w:val="18"/>
              <w:lang w:val="es-ES"/>
            </w:rPr>
            <w:t>Teléfono:</w:t>
          </w:r>
        </w:p>
      </w:tc>
      <w:tc>
        <w:tcPr>
          <w:tcW w:w="5812" w:type="dxa"/>
        </w:tcPr>
        <w:p w14:paraId="73421ED3" w14:textId="4BEC21A3" w:rsidR="008E2CCC" w:rsidRPr="008E2CCC" w:rsidRDefault="008E2CCC" w:rsidP="008E2CCC">
          <w:pPr>
            <w:pStyle w:val="FirstFooter"/>
            <w:tabs>
              <w:tab w:val="left" w:pos="2302"/>
            </w:tabs>
            <w:rPr>
              <w:sz w:val="18"/>
              <w:szCs w:val="18"/>
              <w:lang w:val="es-ES"/>
            </w:rPr>
          </w:pPr>
          <w:r w:rsidRPr="008E2CCC">
            <w:rPr>
              <w:sz w:val="18"/>
              <w:szCs w:val="18"/>
            </w:rPr>
            <w:t>+98 912 106 1716 (Irán) ; +41 77 247 6006 (</w:t>
          </w:r>
          <w:r w:rsidRPr="008E2CCC">
            <w:rPr>
              <w:sz w:val="18"/>
              <w:szCs w:val="18"/>
              <w:lang w:val="en-GB"/>
            </w:rPr>
            <w:t>Suiza</w:t>
          </w:r>
          <w:r w:rsidRPr="008E2CCC">
            <w:rPr>
              <w:sz w:val="18"/>
              <w:szCs w:val="18"/>
            </w:rPr>
            <w:t>)</w:t>
          </w:r>
        </w:p>
      </w:tc>
      <w:bookmarkStart w:id="10" w:name="PhoneNo"/>
      <w:bookmarkEnd w:id="10"/>
    </w:tr>
    <w:tr w:rsidR="008E2CCC" w:rsidRPr="000E2CE3" w14:paraId="5F873DEB" w14:textId="77777777" w:rsidTr="0017269C">
      <w:tc>
        <w:tcPr>
          <w:tcW w:w="1526" w:type="dxa"/>
          <w:shd w:val="clear" w:color="auto" w:fill="auto"/>
        </w:tcPr>
        <w:p w14:paraId="4823771F" w14:textId="77777777" w:rsidR="008E2CCC" w:rsidRPr="000E2CE3" w:rsidRDefault="008E2CCC" w:rsidP="008E2CCC">
          <w:pPr>
            <w:pStyle w:val="FirstFooter"/>
            <w:tabs>
              <w:tab w:val="left" w:pos="1559"/>
              <w:tab w:val="left" w:pos="3828"/>
            </w:tabs>
            <w:rPr>
              <w:sz w:val="20"/>
              <w:lang w:val="es-ES"/>
            </w:rPr>
          </w:pPr>
        </w:p>
      </w:tc>
      <w:tc>
        <w:tcPr>
          <w:tcW w:w="2585" w:type="dxa"/>
          <w:shd w:val="clear" w:color="auto" w:fill="auto"/>
        </w:tcPr>
        <w:p w14:paraId="139DAA98" w14:textId="77777777" w:rsidR="008E2CCC" w:rsidRPr="000E2CE3" w:rsidRDefault="008E2CCC" w:rsidP="008E2CCC">
          <w:pPr>
            <w:pStyle w:val="FirstFooter"/>
            <w:tabs>
              <w:tab w:val="left" w:pos="2302"/>
            </w:tabs>
            <w:rPr>
              <w:sz w:val="18"/>
              <w:szCs w:val="18"/>
              <w:lang w:val="es-ES"/>
            </w:rPr>
          </w:pPr>
          <w:r w:rsidRPr="000E2CE3">
            <w:rPr>
              <w:sz w:val="18"/>
              <w:szCs w:val="18"/>
              <w:lang w:val="es-ES"/>
            </w:rPr>
            <w:t>Correo-e:</w:t>
          </w:r>
        </w:p>
      </w:tc>
      <w:tc>
        <w:tcPr>
          <w:tcW w:w="5812" w:type="dxa"/>
        </w:tcPr>
        <w:p w14:paraId="22A643E4" w14:textId="1B788B82" w:rsidR="008E2CCC" w:rsidRPr="008E2CCC" w:rsidRDefault="008E2CCC" w:rsidP="008E2CCC">
          <w:pPr>
            <w:pStyle w:val="FirstFooter"/>
            <w:tabs>
              <w:tab w:val="left" w:pos="2302"/>
            </w:tabs>
            <w:rPr>
              <w:sz w:val="18"/>
              <w:szCs w:val="18"/>
              <w:lang w:val="es-ES"/>
            </w:rPr>
          </w:pPr>
          <w:hyperlink r:id="rId1" w:history="1">
            <w:r w:rsidRPr="008E2CCC">
              <w:rPr>
                <w:rStyle w:val="Hyperlink"/>
                <w:sz w:val="18"/>
                <w:szCs w:val="18"/>
              </w:rPr>
              <w:t>ahmad.sharafat@gmail.com</w:t>
            </w:r>
          </w:hyperlink>
        </w:p>
      </w:tc>
      <w:bookmarkStart w:id="11" w:name="Email"/>
      <w:bookmarkEnd w:id="11"/>
    </w:tr>
  </w:tbl>
  <w:p w14:paraId="625F5422" w14:textId="77777777" w:rsidR="00721657" w:rsidRPr="000E2CE3" w:rsidRDefault="00721657" w:rsidP="00030397">
    <w:pPr>
      <w:pStyle w:val="Footer"/>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D5554" w14:textId="77777777" w:rsidR="008E2CCC" w:rsidRDefault="008E2CCC">
      <w:r>
        <w:t>____________________</w:t>
      </w:r>
    </w:p>
  </w:footnote>
  <w:footnote w:type="continuationSeparator" w:id="0">
    <w:p w14:paraId="40FBBF7A" w14:textId="77777777" w:rsidR="008E2CCC" w:rsidRDefault="008E2CCC">
      <w:r>
        <w:continuationSeparator/>
      </w:r>
    </w:p>
  </w:footnote>
  <w:footnote w:type="continuationNotice" w:id="1">
    <w:p w14:paraId="7559DBBD" w14:textId="77777777" w:rsidR="008E2CCC" w:rsidRDefault="008E2CCC">
      <w:pPr>
        <w:spacing w:before="0"/>
      </w:pPr>
    </w:p>
  </w:footnote>
  <w:footnote w:id="2">
    <w:p w14:paraId="673D1C4D" w14:textId="017DF763" w:rsidR="008E2CCC" w:rsidRPr="00DC6522" w:rsidRDefault="008E2CCC" w:rsidP="008E2CCC">
      <w:pPr>
        <w:pStyle w:val="FootnoteText"/>
        <w:spacing w:before="0"/>
        <w:rPr>
          <w:sz w:val="20"/>
          <w:lang w:val="es-ES" w:eastAsia="ko-KR"/>
        </w:rPr>
      </w:pPr>
      <w:r w:rsidRPr="00DC6522">
        <w:rPr>
          <w:rStyle w:val="FootnoteReference"/>
          <w:sz w:val="20"/>
        </w:rPr>
        <w:footnoteRef/>
      </w:r>
      <w:r w:rsidRPr="00DC6522">
        <w:rPr>
          <w:sz w:val="20"/>
          <w:lang w:val="es-ES"/>
        </w:rPr>
        <w:tab/>
        <w:t>Los números de las Cuestiones son los correspondientes al periodo de estudios</w:t>
      </w:r>
      <w:r w:rsidRPr="00DC6522">
        <w:rPr>
          <w:sz w:val="20"/>
          <w:lang w:val="es-ES" w:eastAsia="ko-KR"/>
        </w:rPr>
        <w:t xml:space="preserve"> 2022-2025: </w:t>
      </w:r>
      <w:hyperlink r:id="rId1" w:history="1">
        <w:r w:rsidRPr="00DC6522">
          <w:rPr>
            <w:rStyle w:val="Hyperlink"/>
            <w:rFonts w:hint="eastAsia"/>
            <w:sz w:val="20"/>
            <w:lang w:val="es-ES" w:eastAsia="ko-KR"/>
          </w:rPr>
          <w:t>enlace</w:t>
        </w:r>
      </w:hyperlink>
      <w:r w:rsidRPr="00DC6522">
        <w:rPr>
          <w:sz w:val="20"/>
          <w:lang w:val="es-ES"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E595" w14:textId="411C24FD" w:rsidR="00721657" w:rsidRPr="00126B03"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n-US"/>
      </w:rPr>
    </w:pPr>
    <w:r w:rsidRPr="004D495C">
      <w:rPr>
        <w:sz w:val="22"/>
        <w:szCs w:val="22"/>
      </w:rPr>
      <w:tab/>
    </w:r>
    <w:r w:rsidR="0017269C" w:rsidRPr="00126B03">
      <w:rPr>
        <w:sz w:val="22"/>
        <w:szCs w:val="22"/>
        <w:lang w:val="en-US"/>
      </w:rPr>
      <w:t>UIT</w:t>
    </w:r>
    <w:r w:rsidRPr="00126B03">
      <w:rPr>
        <w:sz w:val="22"/>
        <w:szCs w:val="22"/>
        <w:lang w:val="en-US"/>
      </w:rPr>
      <w:t>-D/</w:t>
    </w:r>
    <w:bookmarkStart w:id="7" w:name="DocRef2"/>
    <w:bookmarkEnd w:id="7"/>
    <w:r w:rsidRPr="00126B03">
      <w:rPr>
        <w:sz w:val="22"/>
        <w:szCs w:val="22"/>
        <w:lang w:val="en-US"/>
      </w:rPr>
      <w:t>RPM-A</w:t>
    </w:r>
    <w:r w:rsidR="000E2CE3" w:rsidRPr="00126B03">
      <w:rPr>
        <w:sz w:val="22"/>
        <w:szCs w:val="22"/>
        <w:lang w:val="en-US"/>
      </w:rPr>
      <w:t>MS</w:t>
    </w:r>
    <w:r w:rsidRPr="00126B03">
      <w:rPr>
        <w:sz w:val="22"/>
        <w:szCs w:val="22"/>
        <w:lang w:val="en-US"/>
      </w:rPr>
      <w:t>25/</w:t>
    </w:r>
    <w:bookmarkStart w:id="8" w:name="DocNo2"/>
    <w:bookmarkEnd w:id="8"/>
    <w:r w:rsidR="008E2CCC">
      <w:rPr>
        <w:sz w:val="22"/>
        <w:szCs w:val="22"/>
        <w:lang w:val="en-US"/>
      </w:rPr>
      <w:t>5(Rev.2)</w:t>
    </w:r>
    <w:r w:rsidRPr="00126B03">
      <w:rPr>
        <w:sz w:val="22"/>
        <w:szCs w:val="22"/>
        <w:lang w:val="en-US"/>
      </w:rPr>
      <w:t>-</w:t>
    </w:r>
    <w:r w:rsidR="0017269C" w:rsidRPr="00126B03">
      <w:rPr>
        <w:sz w:val="22"/>
        <w:szCs w:val="22"/>
        <w:lang w:val="en-US"/>
      </w:rPr>
      <w:t>S</w:t>
    </w:r>
    <w:r w:rsidRPr="00126B03">
      <w:rPr>
        <w:sz w:val="22"/>
        <w:szCs w:val="22"/>
        <w:lang w:val="en-US"/>
      </w:rPr>
      <w:tab/>
      <w:t>P</w:t>
    </w:r>
    <w:r w:rsidR="0017269C" w:rsidRPr="00126B03">
      <w:rPr>
        <w:sz w:val="22"/>
        <w:szCs w:val="22"/>
        <w:lang w:val="en-US"/>
      </w:rPr>
      <w:t>ágina</w:t>
    </w:r>
    <w:r w:rsidRPr="00126B03">
      <w:rPr>
        <w:sz w:val="22"/>
        <w:szCs w:val="22"/>
        <w:lang w:val="en-US"/>
      </w:rPr>
      <w:t xml:space="preserve"> </w:t>
    </w:r>
    <w:r w:rsidRPr="004D495C">
      <w:rPr>
        <w:sz w:val="22"/>
        <w:szCs w:val="22"/>
      </w:rPr>
      <w:fldChar w:fldCharType="begin"/>
    </w:r>
    <w:r w:rsidRPr="00126B03">
      <w:rPr>
        <w:sz w:val="22"/>
        <w:szCs w:val="22"/>
        <w:lang w:val="en-US"/>
      </w:rPr>
      <w:instrText xml:space="preserve"> PAGE </w:instrText>
    </w:r>
    <w:r w:rsidRPr="004D495C">
      <w:rPr>
        <w:sz w:val="22"/>
        <w:szCs w:val="22"/>
      </w:rPr>
      <w:fldChar w:fldCharType="separate"/>
    </w:r>
    <w:r w:rsidRPr="00126B03">
      <w:rPr>
        <w:sz w:val="22"/>
        <w:szCs w:val="22"/>
        <w:lang w:val="en-U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B75"/>
    <w:multiLevelType w:val="hybridMultilevel"/>
    <w:tmpl w:val="6CD4951A"/>
    <w:lvl w:ilvl="0" w:tplc="0C0A0015">
      <w:start w:val="5"/>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4"/>
  </w:num>
  <w:num w:numId="2" w16cid:durableId="1313950817">
    <w:abstractNumId w:val="2"/>
  </w:num>
  <w:num w:numId="3" w16cid:durableId="1989439298">
    <w:abstractNumId w:val="3"/>
  </w:num>
  <w:num w:numId="4" w16cid:durableId="94716195">
    <w:abstractNumId w:val="1"/>
  </w:num>
  <w:num w:numId="5" w16cid:durableId="22460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2CE3"/>
    <w:rsid w:val="000E3ED4"/>
    <w:rsid w:val="000E3F9C"/>
    <w:rsid w:val="000F1550"/>
    <w:rsid w:val="000F251B"/>
    <w:rsid w:val="000F5FE8"/>
    <w:rsid w:val="000F6644"/>
    <w:rsid w:val="00100833"/>
    <w:rsid w:val="00102F72"/>
    <w:rsid w:val="00107E85"/>
    <w:rsid w:val="00113EE8"/>
    <w:rsid w:val="0011455A"/>
    <w:rsid w:val="00114A65"/>
    <w:rsid w:val="00117481"/>
    <w:rsid w:val="00121846"/>
    <w:rsid w:val="00122C86"/>
    <w:rsid w:val="00126B03"/>
    <w:rsid w:val="00133061"/>
    <w:rsid w:val="0013591E"/>
    <w:rsid w:val="00137AC9"/>
    <w:rsid w:val="00141699"/>
    <w:rsid w:val="00147000"/>
    <w:rsid w:val="00163091"/>
    <w:rsid w:val="001645CB"/>
    <w:rsid w:val="00166305"/>
    <w:rsid w:val="00167545"/>
    <w:rsid w:val="001703C6"/>
    <w:rsid w:val="0017269C"/>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2A6F"/>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28FA"/>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AD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325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346AA"/>
    <w:rsid w:val="0044411E"/>
    <w:rsid w:val="00453435"/>
    <w:rsid w:val="00460089"/>
    <w:rsid w:val="00465EF3"/>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246E8"/>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7AE4"/>
    <w:rsid w:val="005A0D18"/>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3ECE"/>
    <w:rsid w:val="007279A8"/>
    <w:rsid w:val="00727B1A"/>
    <w:rsid w:val="00741337"/>
    <w:rsid w:val="00752258"/>
    <w:rsid w:val="007529E1"/>
    <w:rsid w:val="00757D5F"/>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B2B"/>
    <w:rsid w:val="008D5E4F"/>
    <w:rsid w:val="008E2CCC"/>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30B8"/>
    <w:rsid w:val="009D49A2"/>
    <w:rsid w:val="009F3940"/>
    <w:rsid w:val="009F3EB2"/>
    <w:rsid w:val="009F6EB1"/>
    <w:rsid w:val="00A11D05"/>
    <w:rsid w:val="00A13162"/>
    <w:rsid w:val="00A20267"/>
    <w:rsid w:val="00A27BE0"/>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56FA"/>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4A5C"/>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50A2C"/>
    <w:rsid w:val="00C60A41"/>
    <w:rsid w:val="00C62DE8"/>
    <w:rsid w:val="00C62DFB"/>
    <w:rsid w:val="00C630E6"/>
    <w:rsid w:val="00C63812"/>
    <w:rsid w:val="00C64AF3"/>
    <w:rsid w:val="00C66F4D"/>
    <w:rsid w:val="00C67BB5"/>
    <w:rsid w:val="00C71B13"/>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C6522"/>
    <w:rsid w:val="00DD66B4"/>
    <w:rsid w:val="00DE1972"/>
    <w:rsid w:val="00DE27AB"/>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11D9"/>
    <w:rsid w:val="00ED486C"/>
    <w:rsid w:val="00ED5299"/>
    <w:rsid w:val="00EE3A64"/>
    <w:rsid w:val="00EE50E5"/>
    <w:rsid w:val="00EF01CF"/>
    <w:rsid w:val="00F03590"/>
    <w:rsid w:val="00F03622"/>
    <w:rsid w:val="00F07055"/>
    <w:rsid w:val="00F077F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9211C"/>
    <w:rsid w:val="00FA095D"/>
    <w:rsid w:val="00FA67C6"/>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48454"/>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8E2CC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image" Target="media/image4.sv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SGQ-C-0029" TargetMode="External"/><Relationship Id="rId5" Type="http://schemas.openxmlformats.org/officeDocument/2006/relationships/numbering" Target="numbering.xml"/><Relationship Id="rId15" Type="http://schemas.openxmlformats.org/officeDocument/2006/relationships/hyperlink" Target="https://www.itu.int/md/D22-TDAG.WG.SGQ-C-0010/" TargetMode="External"/><Relationship Id="rId23" Type="http://schemas.openxmlformats.org/officeDocument/2006/relationships/hyperlink" Target="https://www.itu.int/md/D22-TDAG.WG.SGQ-C-003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WG.SGQ-C-0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23/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AADA016B-A3B3-43A7-9964-ED94D7BAC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38EDA-4BD1-49CF-972F-CE71234FC357}">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Spanish</dc:creator>
  <cp:keywords/>
  <cp:lastModifiedBy>BDT</cp:lastModifiedBy>
  <cp:revision>5</cp:revision>
  <cp:lastPrinted>2014-11-05T03:22:00Z</cp:lastPrinted>
  <dcterms:created xsi:type="dcterms:W3CDTF">2025-03-25T07:56:00Z</dcterms:created>
  <dcterms:modified xsi:type="dcterms:W3CDTF">2025-03-25T07:56:00Z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