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A17D9" w:rsidRPr="00D8041C" w14:paraId="723FFBD2" w14:textId="77777777" w:rsidTr="00697432">
        <w:trPr>
          <w:cantSplit/>
          <w:trHeight w:val="1134"/>
        </w:trPr>
        <w:tc>
          <w:tcPr>
            <w:tcW w:w="1985" w:type="dxa"/>
          </w:tcPr>
          <w:p w14:paraId="7EBDACA8" w14:textId="541A0AF1" w:rsidR="003A17D9" w:rsidRPr="00D83D3E" w:rsidRDefault="003A17D9" w:rsidP="003A17D9">
            <w:pPr>
              <w:tabs>
                <w:tab w:val="clear" w:pos="1191"/>
                <w:tab w:val="clear" w:pos="1588"/>
                <w:tab w:val="clear" w:pos="1985"/>
              </w:tabs>
              <w:spacing w:before="60" w:after="40"/>
              <w:ind w:left="34"/>
              <w:rPr>
                <w:b/>
                <w:bCs/>
                <w:sz w:val="32"/>
                <w:szCs w:val="32"/>
                <w:lang w:val="es-ES"/>
              </w:rPr>
            </w:pPr>
            <w:r>
              <w:rPr>
                <w:b/>
                <w:bCs/>
                <w:noProof/>
                <w:sz w:val="32"/>
                <w:szCs w:val="32"/>
                <w:lang w:val="es-ES_tradnl"/>
              </w:rPr>
              <w:drawing>
                <wp:inline distT="0" distB="0" distL="0" distR="0" wp14:anchorId="0622B3B2" wp14:editId="0D3552FB">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4677FD9" w14:textId="423A5D4C" w:rsidR="003A17D9" w:rsidRPr="00D83D3E" w:rsidRDefault="003A17D9" w:rsidP="0019645B">
            <w:pPr>
              <w:tabs>
                <w:tab w:val="clear" w:pos="1191"/>
                <w:tab w:val="clear" w:pos="1588"/>
                <w:tab w:val="clear" w:pos="1985"/>
              </w:tabs>
              <w:spacing w:before="360" w:after="120"/>
              <w:ind w:left="34"/>
              <w:rPr>
                <w:b/>
                <w:bCs/>
                <w:sz w:val="32"/>
                <w:szCs w:val="32"/>
                <w:lang w:val="es-ES"/>
              </w:rPr>
            </w:pPr>
            <w:r w:rsidRPr="00396492">
              <w:rPr>
                <w:b/>
                <w:bCs/>
                <w:sz w:val="32"/>
                <w:szCs w:val="32"/>
                <w:lang w:val="es-ES"/>
              </w:rPr>
              <w:t xml:space="preserve">Reuniones Preparatorias Regionales </w:t>
            </w:r>
            <w:r w:rsidRPr="00396492">
              <w:rPr>
                <w:b/>
                <w:bCs/>
                <w:sz w:val="32"/>
                <w:szCs w:val="32"/>
                <w:lang w:val="es-ES"/>
              </w:rPr>
              <w:br/>
              <w:t>para la CMDT-25 (RPR)</w:t>
            </w:r>
          </w:p>
        </w:tc>
        <w:tc>
          <w:tcPr>
            <w:tcW w:w="1524" w:type="dxa"/>
          </w:tcPr>
          <w:p w14:paraId="31A06B45" w14:textId="77777777" w:rsidR="003A17D9" w:rsidRPr="00D8041C" w:rsidRDefault="003A17D9" w:rsidP="00952667">
            <w:pPr>
              <w:spacing w:after="120"/>
              <w:ind w:right="142"/>
              <w:jc w:val="right"/>
              <w:rPr>
                <w:lang w:val="es-ES_tradnl"/>
              </w:rPr>
            </w:pPr>
            <w:r w:rsidRPr="00D8041C">
              <w:rPr>
                <w:noProof/>
                <w:lang w:val="es-ES_tradnl" w:eastAsia="fr-FR"/>
              </w:rPr>
              <w:drawing>
                <wp:inline distT="0" distB="0" distL="0" distR="0" wp14:anchorId="3D99E9C8" wp14:editId="54AA835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6349489" w14:textId="77777777" w:rsidTr="0009076F">
        <w:trPr>
          <w:cantSplit/>
        </w:trPr>
        <w:tc>
          <w:tcPr>
            <w:tcW w:w="6379" w:type="dxa"/>
            <w:gridSpan w:val="2"/>
            <w:tcBorders>
              <w:top w:val="single" w:sz="12" w:space="0" w:color="auto"/>
            </w:tcBorders>
          </w:tcPr>
          <w:p w14:paraId="1BACAB9D" w14:textId="77777777" w:rsidR="00683C32" w:rsidRPr="00D8041C" w:rsidRDefault="00683C32" w:rsidP="00107E85">
            <w:pPr>
              <w:spacing w:before="0"/>
              <w:rPr>
                <w:rFonts w:cs="Arial"/>
                <w:b/>
                <w:bCs/>
                <w:sz w:val="20"/>
                <w:lang w:val="es-ES_tradnl"/>
              </w:rPr>
            </w:pPr>
          </w:p>
        </w:tc>
        <w:tc>
          <w:tcPr>
            <w:tcW w:w="3509" w:type="dxa"/>
            <w:gridSpan w:val="2"/>
            <w:tcBorders>
              <w:top w:val="single" w:sz="12" w:space="0" w:color="auto"/>
            </w:tcBorders>
          </w:tcPr>
          <w:p w14:paraId="4A40777B" w14:textId="77777777" w:rsidR="00683C32" w:rsidRPr="00D8041C" w:rsidRDefault="00683C32" w:rsidP="00107E85">
            <w:pPr>
              <w:spacing w:before="0"/>
              <w:rPr>
                <w:b/>
                <w:bCs/>
                <w:sz w:val="20"/>
                <w:lang w:val="es-ES_tradnl"/>
              </w:rPr>
            </w:pPr>
          </w:p>
        </w:tc>
      </w:tr>
      <w:tr w:rsidR="00D11F6A" w:rsidRPr="00142C63" w14:paraId="38119B3F" w14:textId="77777777" w:rsidTr="0009076F">
        <w:trPr>
          <w:cantSplit/>
        </w:trPr>
        <w:tc>
          <w:tcPr>
            <w:tcW w:w="6379" w:type="dxa"/>
            <w:gridSpan w:val="2"/>
          </w:tcPr>
          <w:p w14:paraId="4A32FFFF" w14:textId="77777777" w:rsidR="00D11F6A" w:rsidRPr="00D8041C" w:rsidRDefault="00D11F6A" w:rsidP="00D11F6A">
            <w:pPr>
              <w:pStyle w:val="Committee"/>
              <w:spacing w:before="0"/>
              <w:rPr>
                <w:b w:val="0"/>
                <w:szCs w:val="24"/>
                <w:lang w:val="es-ES_tradnl"/>
              </w:rPr>
            </w:pPr>
          </w:p>
        </w:tc>
        <w:tc>
          <w:tcPr>
            <w:tcW w:w="3509" w:type="dxa"/>
            <w:gridSpan w:val="2"/>
          </w:tcPr>
          <w:p w14:paraId="05ACB084" w14:textId="77777777" w:rsidR="00D11F6A" w:rsidRPr="00396492" w:rsidRDefault="00D11F6A" w:rsidP="00D11F6A">
            <w:pPr>
              <w:spacing w:before="0"/>
              <w:jc w:val="both"/>
              <w:rPr>
                <w:b/>
                <w:bCs/>
                <w:lang w:val="es-ES"/>
              </w:rPr>
            </w:pPr>
            <w:proofErr w:type="spellStart"/>
            <w:r w:rsidRPr="00396492">
              <w:rPr>
                <w:b/>
                <w:bCs/>
                <w:lang w:val="es-ES"/>
              </w:rPr>
              <w:t>Addéndum</w:t>
            </w:r>
            <w:proofErr w:type="spellEnd"/>
            <w:r w:rsidRPr="00396492">
              <w:rPr>
                <w:b/>
                <w:bCs/>
                <w:lang w:val="es-ES"/>
              </w:rPr>
              <w:t xml:space="preserve"> 2 al </w:t>
            </w:r>
          </w:p>
          <w:p w14:paraId="2193A444" w14:textId="4CFC7C4A" w:rsidR="00D11F6A" w:rsidRPr="00D8041C" w:rsidRDefault="00D11F6A" w:rsidP="00D11F6A">
            <w:pPr>
              <w:spacing w:before="0"/>
              <w:jc w:val="both"/>
              <w:rPr>
                <w:bCs/>
                <w:szCs w:val="24"/>
                <w:lang w:val="es-ES_tradnl"/>
              </w:rPr>
            </w:pPr>
            <w:r w:rsidRPr="00396492">
              <w:rPr>
                <w:b/>
                <w:bCs/>
                <w:lang w:val="es-ES"/>
              </w:rPr>
              <w:t>Documento</w:t>
            </w:r>
            <w:bookmarkStart w:id="0" w:name="DocRef1"/>
            <w:bookmarkEnd w:id="0"/>
            <w:r w:rsidRPr="00396492">
              <w:rPr>
                <w:b/>
                <w:bCs/>
                <w:lang w:val="es-ES"/>
              </w:rPr>
              <w:t xml:space="preserve"> </w:t>
            </w:r>
            <w:proofErr w:type="spellStart"/>
            <w:r w:rsidRPr="00396492">
              <w:rPr>
                <w:b/>
                <w:bCs/>
                <w:lang w:val="es-ES"/>
              </w:rPr>
              <w:t>RPMs</w:t>
            </w:r>
            <w:proofErr w:type="spellEnd"/>
            <w:r w:rsidRPr="00396492">
              <w:rPr>
                <w:b/>
                <w:bCs/>
                <w:lang w:val="es-ES"/>
              </w:rPr>
              <w:t>/4-S</w:t>
            </w:r>
          </w:p>
        </w:tc>
      </w:tr>
      <w:tr w:rsidR="00D11F6A" w:rsidRPr="00D8041C" w14:paraId="51D52364" w14:textId="77777777" w:rsidTr="0009076F">
        <w:trPr>
          <w:cantSplit/>
        </w:trPr>
        <w:tc>
          <w:tcPr>
            <w:tcW w:w="6379" w:type="dxa"/>
            <w:gridSpan w:val="2"/>
          </w:tcPr>
          <w:p w14:paraId="167D91DC" w14:textId="77777777" w:rsidR="00D11F6A" w:rsidRPr="00D8041C" w:rsidRDefault="00D11F6A" w:rsidP="00D11F6A">
            <w:pPr>
              <w:spacing w:before="0"/>
              <w:rPr>
                <w:b/>
                <w:bCs/>
                <w:smallCaps/>
                <w:szCs w:val="24"/>
                <w:lang w:val="es-ES_tradnl"/>
              </w:rPr>
            </w:pPr>
          </w:p>
        </w:tc>
        <w:tc>
          <w:tcPr>
            <w:tcW w:w="3509" w:type="dxa"/>
            <w:gridSpan w:val="2"/>
          </w:tcPr>
          <w:p w14:paraId="6A5173D2" w14:textId="5C4A2DA4" w:rsidR="00D11F6A" w:rsidRPr="00D8041C" w:rsidRDefault="00D11F6A" w:rsidP="00D11F6A">
            <w:pPr>
              <w:spacing w:before="0"/>
              <w:rPr>
                <w:b/>
                <w:szCs w:val="24"/>
                <w:lang w:val="es-ES_tradnl"/>
              </w:rPr>
            </w:pPr>
            <w:bookmarkStart w:id="1" w:name="CreationDate"/>
            <w:bookmarkEnd w:id="1"/>
            <w:r w:rsidRPr="00396492">
              <w:rPr>
                <w:b/>
                <w:bCs/>
                <w:szCs w:val="28"/>
                <w:lang w:val="es-ES"/>
              </w:rPr>
              <w:t>10 de diciembre de 2024</w:t>
            </w:r>
          </w:p>
        </w:tc>
      </w:tr>
      <w:tr w:rsidR="00D11F6A" w:rsidRPr="00D8041C" w14:paraId="71026D2C" w14:textId="77777777" w:rsidTr="0009076F">
        <w:trPr>
          <w:cantSplit/>
        </w:trPr>
        <w:tc>
          <w:tcPr>
            <w:tcW w:w="6379" w:type="dxa"/>
            <w:gridSpan w:val="2"/>
          </w:tcPr>
          <w:p w14:paraId="78BBA6F0" w14:textId="77777777" w:rsidR="00D11F6A" w:rsidRPr="00D8041C" w:rsidRDefault="00D11F6A" w:rsidP="00D11F6A">
            <w:pPr>
              <w:spacing w:before="0"/>
              <w:rPr>
                <w:b/>
                <w:bCs/>
                <w:smallCaps/>
                <w:szCs w:val="24"/>
                <w:lang w:val="es-ES_tradnl"/>
              </w:rPr>
            </w:pPr>
          </w:p>
        </w:tc>
        <w:tc>
          <w:tcPr>
            <w:tcW w:w="3509" w:type="dxa"/>
            <w:gridSpan w:val="2"/>
          </w:tcPr>
          <w:p w14:paraId="52004FCE" w14:textId="51BE8F87" w:rsidR="00D11F6A" w:rsidRPr="00D8041C" w:rsidRDefault="00D11F6A" w:rsidP="00D11F6A">
            <w:pPr>
              <w:spacing w:before="0"/>
              <w:rPr>
                <w:szCs w:val="24"/>
                <w:lang w:val="es-ES_tradnl"/>
              </w:rPr>
            </w:pPr>
            <w:r w:rsidRPr="00396492">
              <w:rPr>
                <w:b/>
                <w:lang w:val="es-ES"/>
              </w:rPr>
              <w:t>Original: inglés</w:t>
            </w:r>
          </w:p>
        </w:tc>
      </w:tr>
      <w:tr w:rsidR="00A13162" w:rsidRPr="003A17D9" w14:paraId="2ECD16AC" w14:textId="77777777" w:rsidTr="00107E85">
        <w:trPr>
          <w:cantSplit/>
          <w:trHeight w:val="852"/>
        </w:trPr>
        <w:tc>
          <w:tcPr>
            <w:tcW w:w="9888" w:type="dxa"/>
            <w:gridSpan w:val="4"/>
          </w:tcPr>
          <w:p w14:paraId="05231AF0" w14:textId="4D86E77D" w:rsidR="00A13162" w:rsidRPr="00D8041C" w:rsidRDefault="00D11F6A" w:rsidP="0030353C">
            <w:pPr>
              <w:pStyle w:val="Source"/>
              <w:rPr>
                <w:lang w:val="es-ES_tradnl"/>
              </w:rPr>
            </w:pPr>
            <w:bookmarkStart w:id="2" w:name="Source"/>
            <w:bookmarkEnd w:id="2"/>
            <w:r w:rsidRPr="00396492">
              <w:rPr>
                <w:lang w:val="es-ES"/>
              </w:rPr>
              <w:t>Director de la Oficina de Desarrollo de las Telecomunicaciones</w:t>
            </w:r>
          </w:p>
        </w:tc>
      </w:tr>
      <w:tr w:rsidR="00AC6F14" w:rsidRPr="003A17D9" w14:paraId="41DE7919" w14:textId="77777777" w:rsidTr="00107E85">
        <w:trPr>
          <w:cantSplit/>
        </w:trPr>
        <w:tc>
          <w:tcPr>
            <w:tcW w:w="9888" w:type="dxa"/>
            <w:gridSpan w:val="4"/>
          </w:tcPr>
          <w:p w14:paraId="0CEB81C7" w14:textId="2C12A834" w:rsidR="00AC6F14" w:rsidRPr="00D8041C" w:rsidRDefault="00D11F6A" w:rsidP="0030353C">
            <w:pPr>
              <w:pStyle w:val="Title1"/>
              <w:rPr>
                <w:lang w:val="es-ES_tradnl"/>
              </w:rPr>
            </w:pPr>
            <w:bookmarkStart w:id="3" w:name="Title"/>
            <w:bookmarkEnd w:id="3"/>
            <w:r w:rsidRPr="00396492">
              <w:rPr>
                <w:lang w:val="es-ES"/>
              </w:rPr>
              <w:t xml:space="preserve">Resultados de la AR-23/CMR-23 </w:t>
            </w:r>
            <w:r>
              <w:rPr>
                <w:lang w:val="es-ES"/>
              </w:rPr>
              <w:t>pertinentes</w:t>
            </w:r>
            <w:r w:rsidRPr="00396492">
              <w:rPr>
                <w:lang w:val="es-ES"/>
              </w:rPr>
              <w:t xml:space="preserve"> para el UIT-D</w:t>
            </w:r>
          </w:p>
        </w:tc>
      </w:tr>
      <w:tr w:rsidR="00A721F4" w:rsidRPr="003A17D9" w14:paraId="244DCDF8" w14:textId="77777777" w:rsidTr="00A721F4">
        <w:trPr>
          <w:cantSplit/>
        </w:trPr>
        <w:tc>
          <w:tcPr>
            <w:tcW w:w="9888" w:type="dxa"/>
            <w:gridSpan w:val="4"/>
            <w:tcBorders>
              <w:bottom w:val="single" w:sz="4" w:space="0" w:color="auto"/>
            </w:tcBorders>
          </w:tcPr>
          <w:p w14:paraId="0ED88AB4" w14:textId="77777777" w:rsidR="00A721F4" w:rsidRPr="00D8041C" w:rsidRDefault="00A721F4" w:rsidP="0030353C">
            <w:pPr>
              <w:rPr>
                <w:lang w:val="es-ES_tradnl"/>
              </w:rPr>
            </w:pPr>
          </w:p>
        </w:tc>
      </w:tr>
      <w:tr w:rsidR="00A721F4" w:rsidRPr="003A17D9" w14:paraId="4F6C8C8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B4EFE26" w14:textId="77777777" w:rsidR="00D11F6A" w:rsidRPr="00396492" w:rsidRDefault="00D11F6A" w:rsidP="00D11F6A">
            <w:pPr>
              <w:pStyle w:val="Title1"/>
              <w:jc w:val="left"/>
              <w:rPr>
                <w:rFonts w:cstheme="minorHAnsi"/>
                <w:b/>
                <w:bCs/>
                <w:caps/>
                <w:sz w:val="24"/>
                <w:szCs w:val="24"/>
                <w:lang w:val="es-ES"/>
              </w:rPr>
            </w:pPr>
            <w:r w:rsidRPr="00396492">
              <w:rPr>
                <w:rFonts w:cstheme="minorHAnsi"/>
                <w:b/>
                <w:bCs/>
                <w:sz w:val="24"/>
                <w:szCs w:val="24"/>
                <w:lang w:val="es-ES"/>
              </w:rPr>
              <w:t>Punto del orden del día:</w:t>
            </w:r>
          </w:p>
          <w:p w14:paraId="37ACEC74" w14:textId="7B2144CF" w:rsidR="00D11F6A" w:rsidRPr="00D11F6A" w:rsidRDefault="00D11F6A" w:rsidP="00D11F6A">
            <w:pPr>
              <w:pStyle w:val="Title1"/>
              <w:jc w:val="left"/>
              <w:rPr>
                <w:rFonts w:cstheme="minorHAnsi"/>
                <w:caps/>
                <w:sz w:val="24"/>
                <w:szCs w:val="24"/>
                <w:lang w:val="es-ES"/>
              </w:rPr>
            </w:pPr>
            <w:r w:rsidRPr="00396492">
              <w:rPr>
                <w:rFonts w:cstheme="minorHAnsi"/>
                <w:sz w:val="24"/>
                <w:szCs w:val="24"/>
                <w:lang w:val="es-ES"/>
              </w:rPr>
              <w:t>Punto 6</w:t>
            </w:r>
          </w:p>
          <w:p w14:paraId="57E36DDF" w14:textId="1614D144"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528F3A84" w14:textId="77777777" w:rsidR="00D11F6A" w:rsidRPr="00396492" w:rsidRDefault="00D11F6A" w:rsidP="00D11F6A">
            <w:pPr>
              <w:spacing w:after="120"/>
              <w:rPr>
                <w:lang w:val="es-ES"/>
              </w:rPr>
            </w:pPr>
            <w:r w:rsidRPr="00396492">
              <w:rPr>
                <w:lang w:val="es-ES"/>
              </w:rPr>
              <w:t xml:space="preserve">La </w:t>
            </w:r>
            <w:bookmarkStart w:id="4" w:name="_Hlk189206347"/>
            <w:r w:rsidRPr="00396492">
              <w:rPr>
                <w:lang w:val="es-ES"/>
              </w:rPr>
              <w:t xml:space="preserve">Asamblea de Radiocomunicaciones de 2023 </w:t>
            </w:r>
            <w:bookmarkEnd w:id="4"/>
            <w:r w:rsidRPr="00396492">
              <w:rPr>
                <w:lang w:val="es-ES"/>
              </w:rPr>
              <w:t>(AR-23) se celebró en Dubái (Emiratos Árabes Unidos) del 13 al 17 de noviembre de 2023. Acto seguido, se celebraron la Conferencia Mundial de Radiocomunicaciones de 2023 (CMR-23), del 20 de noviembre al 15 de diciembre de 2023, y la primera sesión de la Reunión Preparatoria de la Conferencia (RPC27-1) de la Conferencia Mundial de Radiocomunicaciones de 2027 (CMR-27), del 18 al 19 de diciembre de 2023.</w:t>
            </w:r>
          </w:p>
          <w:p w14:paraId="5BC4C493" w14:textId="77777777" w:rsidR="00D11F6A" w:rsidRPr="00396492" w:rsidRDefault="00D11F6A" w:rsidP="00D11F6A">
            <w:pPr>
              <w:spacing w:after="120"/>
              <w:rPr>
                <w:lang w:val="es-ES"/>
              </w:rPr>
            </w:pPr>
            <w:r w:rsidRPr="00396492">
              <w:rPr>
                <w:lang w:val="es-ES"/>
              </w:rPr>
              <w:t>En el presente documento se resumen los principales resultados de estas reuniones y se destacan las decisiones pertinentes para la labor del Sector de Desarrollo.</w:t>
            </w:r>
          </w:p>
          <w:p w14:paraId="16B5F381"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5D4B6B83" w14:textId="380957D6" w:rsidR="00A721F4" w:rsidRPr="00D8041C" w:rsidRDefault="00D11F6A" w:rsidP="00EA0C51">
            <w:pPr>
              <w:spacing w:after="120"/>
              <w:rPr>
                <w:szCs w:val="24"/>
                <w:lang w:val="es-ES_tradnl"/>
              </w:rPr>
            </w:pPr>
            <w:r w:rsidRPr="00396492">
              <w:rPr>
                <w:lang w:val="es-ES"/>
              </w:rPr>
              <w:t xml:space="preserve">Se invita a </w:t>
            </w:r>
            <w:r w:rsidRPr="00396492">
              <w:rPr>
                <w:bCs/>
                <w:lang w:val="es-ES"/>
              </w:rPr>
              <w:t xml:space="preserve">la RPR </w:t>
            </w:r>
            <w:r w:rsidRPr="00396492">
              <w:rPr>
                <w:lang w:val="es-ES"/>
              </w:rPr>
              <w:t>a tomar nota de este informe y a facilitar las orientaciones que estime oportunas.</w:t>
            </w:r>
          </w:p>
          <w:p w14:paraId="31685DA7"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5AC0AD69" w14:textId="37A6E13B" w:rsidR="00D11F6A" w:rsidRPr="00D6760B" w:rsidRDefault="00D11F6A" w:rsidP="00D11F6A">
            <w:pPr>
              <w:pStyle w:val="enumlev1"/>
              <w:rPr>
                <w:lang w:val="es-ES"/>
              </w:rPr>
            </w:pPr>
            <w:r w:rsidRPr="00D6760B">
              <w:rPr>
                <w:lang w:val="es-ES"/>
              </w:rPr>
              <w:t>1</w:t>
            </w:r>
            <w:r w:rsidRPr="00D6760B">
              <w:rPr>
                <w:lang w:val="es-ES"/>
              </w:rPr>
              <w:tab/>
              <w:t>AR-23</w:t>
            </w:r>
            <w:hyperlink r:id="rId13" w:anchor="/es" w:history="1">
              <w:r w:rsidRPr="00D6760B">
                <w:rPr>
                  <w:rStyle w:val="Hyperlink"/>
                  <w:lang w:val="es-ES"/>
                </w:rPr>
                <w:t xml:space="preserve">: https://www.itu.int/ra-23/ </w:t>
              </w:r>
            </w:hyperlink>
          </w:p>
          <w:p w14:paraId="2CC98E01" w14:textId="2EAB9848" w:rsidR="00D11F6A" w:rsidRPr="00396492" w:rsidRDefault="00D11F6A" w:rsidP="00D11F6A">
            <w:pPr>
              <w:pStyle w:val="enumlev1"/>
            </w:pPr>
            <w:r>
              <w:t>2</w:t>
            </w:r>
            <w:r>
              <w:tab/>
            </w:r>
            <w:r w:rsidRPr="00396492">
              <w:t xml:space="preserve">CMR-23: </w:t>
            </w:r>
            <w:hyperlink r:id="rId14" w:history="1">
              <w:r w:rsidRPr="00910FB2">
                <w:rPr>
                  <w:rStyle w:val="Hyperlink"/>
                </w:rPr>
                <w:t>https://www.itu.int/wrc-23/es</w:t>
              </w:r>
            </w:hyperlink>
          </w:p>
          <w:p w14:paraId="4B5995AD" w14:textId="7275B4C9" w:rsidR="00D11F6A" w:rsidRPr="00396492" w:rsidRDefault="00D11F6A" w:rsidP="00D11F6A">
            <w:pPr>
              <w:pStyle w:val="enumlev1"/>
              <w:rPr>
                <w:rStyle w:val="Hyperlink"/>
                <w:color w:val="auto"/>
                <w:u w:val="none"/>
              </w:rPr>
            </w:pPr>
            <w:r>
              <w:t>3</w:t>
            </w:r>
            <w:r>
              <w:tab/>
            </w:r>
            <w:r w:rsidRPr="00396492">
              <w:t>RP</w:t>
            </w:r>
            <w:r>
              <w:t>C</w:t>
            </w:r>
            <w:r w:rsidRPr="00396492">
              <w:t>-27-1</w:t>
            </w:r>
            <w:hyperlink r:id="rId15" w:history="1">
              <w:r w:rsidRPr="00396492">
                <w:rPr>
                  <w:rStyle w:val="Hyperlink"/>
                </w:rPr>
                <w:t>:https://www.itu.int/en/ITU-R/study-groups/rcpm/Pages/cpm-27.aspx</w:t>
              </w:r>
            </w:hyperlink>
          </w:p>
          <w:p w14:paraId="46CFFB78" w14:textId="4A70D401" w:rsidR="00D11F6A" w:rsidRPr="00396492" w:rsidRDefault="00D11F6A" w:rsidP="00D11F6A">
            <w:pPr>
              <w:pStyle w:val="enumlev1"/>
              <w:rPr>
                <w:rStyle w:val="Hyperlink"/>
                <w:color w:val="auto"/>
                <w:u w:val="none"/>
                <w:lang w:val="es-ES"/>
              </w:rPr>
            </w:pPr>
            <w:r w:rsidRPr="00D11F6A">
              <w:rPr>
                <w:lang w:val="es-ES"/>
              </w:rPr>
              <w:t>4</w:t>
            </w:r>
            <w:r w:rsidRPr="00D11F6A">
              <w:rPr>
                <w:lang w:val="es-ES"/>
              </w:rPr>
              <w:tab/>
            </w:r>
            <w:hyperlink r:id="rId16" w:anchor="/es" w:history="1">
              <w:r w:rsidRPr="00396492">
                <w:rPr>
                  <w:rStyle w:val="Hyperlink"/>
                  <w:rFonts w:cstheme="minorHAnsi"/>
                  <w:szCs w:val="24"/>
                  <w:lang w:val="es-ES"/>
                </w:rPr>
                <w:t>Actas finales de la CMR-23</w:t>
              </w:r>
            </w:hyperlink>
          </w:p>
          <w:p w14:paraId="0BDD9A13" w14:textId="38C2F6B0" w:rsidR="00A721F4" w:rsidRPr="00D8041C" w:rsidRDefault="00D11F6A" w:rsidP="00D11F6A">
            <w:pPr>
              <w:pStyle w:val="enumlev1"/>
              <w:rPr>
                <w:lang w:val="es-ES_tradnl"/>
              </w:rPr>
            </w:pPr>
            <w:r w:rsidRPr="00D11F6A">
              <w:rPr>
                <w:lang w:val="es-ES"/>
              </w:rPr>
              <w:t>5</w:t>
            </w:r>
            <w:r w:rsidRPr="00D11F6A">
              <w:rPr>
                <w:lang w:val="es-ES"/>
              </w:rPr>
              <w:tab/>
            </w:r>
            <w:hyperlink r:id="rId17" w:anchor="/es" w:history="1">
              <w:r w:rsidRPr="00B715C5">
                <w:rPr>
                  <w:rStyle w:val="Hyperlink"/>
                  <w:rFonts w:cstheme="minorHAnsi"/>
                  <w:szCs w:val="24"/>
                  <w:lang w:val="es-ES"/>
                </w:rPr>
                <w:t>Edición</w:t>
              </w:r>
              <w:r>
                <w:rPr>
                  <w:rStyle w:val="Hyperlink"/>
                  <w:rFonts w:cstheme="minorHAnsi"/>
                  <w:szCs w:val="24"/>
                  <w:lang w:val="es-ES"/>
                </w:rPr>
                <w:t xml:space="preserve"> de</w:t>
              </w:r>
              <w:r w:rsidRPr="00B715C5">
                <w:rPr>
                  <w:rStyle w:val="Hyperlink"/>
                  <w:rFonts w:cstheme="minorHAnsi"/>
                  <w:szCs w:val="24"/>
                  <w:lang w:val="es-ES"/>
                </w:rPr>
                <w:t xml:space="preserve"> 2024</w:t>
              </w:r>
              <w:r>
                <w:rPr>
                  <w:rStyle w:val="Hyperlink"/>
                  <w:rFonts w:cstheme="minorHAnsi"/>
                  <w:szCs w:val="24"/>
                  <w:lang w:val="es-ES"/>
                </w:rPr>
                <w:t xml:space="preserve"> del R</w:t>
              </w:r>
              <w:r w:rsidRPr="00B715C5">
                <w:rPr>
                  <w:rStyle w:val="Hyperlink"/>
                  <w:rFonts w:cstheme="minorHAnsi"/>
                  <w:szCs w:val="24"/>
                  <w:lang w:val="es-ES"/>
                </w:rPr>
                <w:t xml:space="preserve">eglamento de Radiocomunicaciones </w:t>
              </w:r>
            </w:hyperlink>
          </w:p>
        </w:tc>
      </w:tr>
    </w:tbl>
    <w:p w14:paraId="0C099620" w14:textId="77777777" w:rsidR="00923CF1" w:rsidRPr="00D8041C" w:rsidRDefault="00923CF1" w:rsidP="00935FF0">
      <w:pPr>
        <w:rPr>
          <w:lang w:val="es-ES_tradnl"/>
        </w:rPr>
      </w:pPr>
    </w:p>
    <w:p w14:paraId="66D10CE9"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39353FEB" w14:textId="493D1130" w:rsidR="00D11F6A" w:rsidRPr="00336DFA" w:rsidRDefault="00336DFA" w:rsidP="00336DFA">
      <w:pPr>
        <w:pStyle w:val="Heading1"/>
        <w:rPr>
          <w:sz w:val="24"/>
          <w:szCs w:val="24"/>
          <w:lang w:val="es-ES"/>
        </w:rPr>
      </w:pPr>
      <w:bookmarkStart w:id="5" w:name="Proposal"/>
      <w:bookmarkEnd w:id="5"/>
      <w:r w:rsidRPr="00336DFA">
        <w:rPr>
          <w:sz w:val="24"/>
          <w:szCs w:val="24"/>
          <w:lang w:val="es-ES"/>
        </w:rPr>
        <w:lastRenderedPageBreak/>
        <w:t>1</w:t>
      </w:r>
      <w:r w:rsidRPr="00336DFA">
        <w:rPr>
          <w:sz w:val="24"/>
          <w:szCs w:val="24"/>
          <w:lang w:val="es-ES"/>
        </w:rPr>
        <w:tab/>
      </w:r>
      <w:proofErr w:type="gramStart"/>
      <w:r w:rsidR="00D11F6A" w:rsidRPr="00336DFA">
        <w:rPr>
          <w:sz w:val="24"/>
          <w:szCs w:val="24"/>
          <w:lang w:val="es-ES"/>
        </w:rPr>
        <w:t>Antecedentes</w:t>
      </w:r>
      <w:proofErr w:type="gramEnd"/>
    </w:p>
    <w:p w14:paraId="4AE1E4A0" w14:textId="6E7DCD1C" w:rsidR="00D11F6A" w:rsidRPr="00396492" w:rsidRDefault="00D11F6A" w:rsidP="00336DFA">
      <w:pPr>
        <w:rPr>
          <w:rFonts w:cstheme="minorHAnsi"/>
          <w:lang w:val="es-ES"/>
        </w:rPr>
      </w:pPr>
      <w:r w:rsidRPr="00396492">
        <w:rPr>
          <w:lang w:val="es-ES"/>
        </w:rPr>
        <w:t>La AR-23 se celebró en Dubái (Emiratos Árabes Unidos) del 13 al 17 de noviembre de 2023. A</w:t>
      </w:r>
      <w:r>
        <w:rPr>
          <w:lang w:val="es-ES"/>
        </w:rPr>
        <w:t xml:space="preserve"> la Asamblea a</w:t>
      </w:r>
      <w:r w:rsidRPr="00396492">
        <w:rPr>
          <w:lang w:val="es-ES"/>
        </w:rPr>
        <w:t>sistieron más de 1</w:t>
      </w:r>
      <w:r w:rsidR="00181A84">
        <w:rPr>
          <w:lang w:val="es-ES"/>
        </w:rPr>
        <w:t xml:space="preserve"> </w:t>
      </w:r>
      <w:r w:rsidRPr="00396492">
        <w:rPr>
          <w:lang w:val="es-ES"/>
        </w:rPr>
        <w:t>300 delegados de 128 Estados Miembros de la UIT.</w:t>
      </w:r>
      <w:r>
        <w:rPr>
          <w:lang w:val="es-ES"/>
        </w:rPr>
        <w:t xml:space="preserve"> La Sra.</w:t>
      </w:r>
      <w:r w:rsidRPr="00396492">
        <w:rPr>
          <w:lang w:val="es-ES"/>
        </w:rPr>
        <w:t xml:space="preserve"> Carol Wilson</w:t>
      </w:r>
      <w:r>
        <w:rPr>
          <w:lang w:val="es-ES"/>
        </w:rPr>
        <w:t xml:space="preserve"> (</w:t>
      </w:r>
      <w:r w:rsidRPr="00396492">
        <w:rPr>
          <w:lang w:val="es-ES"/>
        </w:rPr>
        <w:t>Australia</w:t>
      </w:r>
      <w:r>
        <w:rPr>
          <w:lang w:val="es-ES"/>
        </w:rPr>
        <w:t xml:space="preserve">) ha sido </w:t>
      </w:r>
      <w:r w:rsidRPr="00396492">
        <w:rPr>
          <w:lang w:val="es-ES"/>
        </w:rPr>
        <w:t xml:space="preserve">la primera </w:t>
      </w:r>
      <w:r w:rsidRPr="00396492">
        <w:rPr>
          <w:rFonts w:cstheme="minorHAnsi"/>
          <w:lang w:val="es-ES"/>
        </w:rPr>
        <w:t>mujer en presidir una Asamblea de Radiocomunicaciones de la UIT.</w:t>
      </w:r>
    </w:p>
    <w:p w14:paraId="570CA830" w14:textId="105B856B" w:rsidR="00D11F6A" w:rsidRPr="00396492" w:rsidRDefault="00D11F6A" w:rsidP="00336DFA">
      <w:pPr>
        <w:rPr>
          <w:lang w:val="es-ES" w:eastAsia="zh-CN"/>
        </w:rPr>
      </w:pPr>
      <w:r w:rsidRPr="00396492">
        <w:rPr>
          <w:lang w:val="es-ES"/>
        </w:rPr>
        <w:t xml:space="preserve">La CMR-23 </w:t>
      </w:r>
      <w:r w:rsidRPr="00396492">
        <w:rPr>
          <w:szCs w:val="24"/>
          <w:lang w:val="es-ES"/>
        </w:rPr>
        <w:t xml:space="preserve">se celebró </w:t>
      </w:r>
      <w:r w:rsidRPr="00396492">
        <w:rPr>
          <w:lang w:val="es-ES"/>
        </w:rPr>
        <w:t xml:space="preserve">del 20 de noviembre al 15 de diciembre de 2023 en </w:t>
      </w:r>
      <w:r>
        <w:rPr>
          <w:lang w:val="es-ES"/>
        </w:rPr>
        <w:t>las mismas instalaciones</w:t>
      </w:r>
      <w:r w:rsidRPr="00396492">
        <w:rPr>
          <w:lang w:val="es-ES"/>
        </w:rPr>
        <w:t xml:space="preserve"> que la AR-23. </w:t>
      </w:r>
      <w:r>
        <w:rPr>
          <w:lang w:val="es-ES"/>
        </w:rPr>
        <w:t>A la Conferencia asistieron m</w:t>
      </w:r>
      <w:r w:rsidRPr="00396492">
        <w:rPr>
          <w:lang w:val="es-ES"/>
        </w:rPr>
        <w:t>ás de 3</w:t>
      </w:r>
      <w:r>
        <w:rPr>
          <w:lang w:val="es-ES"/>
        </w:rPr>
        <w:t xml:space="preserve"> </w:t>
      </w:r>
      <w:r w:rsidRPr="00396492">
        <w:rPr>
          <w:lang w:val="es-ES"/>
        </w:rPr>
        <w:t xml:space="preserve">900 delegados de 163 Estados Miembros, incluidos 88 participantes de </w:t>
      </w:r>
      <w:r>
        <w:rPr>
          <w:lang w:val="es-ES"/>
        </w:rPr>
        <w:t>rango</w:t>
      </w:r>
      <w:r w:rsidRPr="00396492">
        <w:rPr>
          <w:lang w:val="es-ES"/>
        </w:rPr>
        <w:t xml:space="preserve"> ministerial. </w:t>
      </w:r>
      <w:r>
        <w:rPr>
          <w:lang w:val="es-ES"/>
        </w:rPr>
        <w:t>El porcentaje de delegadas ante la CMR-23 ascendió al</w:t>
      </w:r>
      <w:r w:rsidRPr="00396492">
        <w:rPr>
          <w:lang w:val="es-ES"/>
        </w:rPr>
        <w:t xml:space="preserve"> 22%</w:t>
      </w:r>
      <w:r>
        <w:rPr>
          <w:lang w:val="es-ES"/>
        </w:rPr>
        <w:t>, lo que supuso</w:t>
      </w:r>
      <w:r w:rsidRPr="00396492">
        <w:rPr>
          <w:lang w:val="es-ES"/>
        </w:rPr>
        <w:t xml:space="preserve"> un aumento con respecto al 18% </w:t>
      </w:r>
      <w:r>
        <w:rPr>
          <w:lang w:val="es-ES"/>
        </w:rPr>
        <w:t>registrado en</w:t>
      </w:r>
      <w:r w:rsidRPr="00396492">
        <w:rPr>
          <w:lang w:val="es-ES"/>
        </w:rPr>
        <w:t xml:space="preserve"> la CMR-19 en 2019. El Sr. Mohammed AL RAMSI </w:t>
      </w:r>
      <w:r>
        <w:rPr>
          <w:lang w:val="es-ES"/>
        </w:rPr>
        <w:t>(</w:t>
      </w:r>
      <w:r w:rsidRPr="00396492">
        <w:rPr>
          <w:lang w:val="es-ES"/>
        </w:rPr>
        <w:t>Emiratos Árabes Unidos</w:t>
      </w:r>
      <w:r>
        <w:rPr>
          <w:lang w:val="es-ES"/>
        </w:rPr>
        <w:t xml:space="preserve">) ejerció las veces de </w:t>
      </w:r>
      <w:proofErr w:type="gramStart"/>
      <w:r>
        <w:rPr>
          <w:lang w:val="es-ES"/>
        </w:rPr>
        <w:t>P</w:t>
      </w:r>
      <w:r w:rsidRPr="00396492">
        <w:rPr>
          <w:lang w:val="es-ES"/>
        </w:rPr>
        <w:t>residente</w:t>
      </w:r>
      <w:proofErr w:type="gramEnd"/>
      <w:r w:rsidRPr="00396492">
        <w:rPr>
          <w:lang w:val="es-ES"/>
        </w:rPr>
        <w:t xml:space="preserve"> de la CMR</w:t>
      </w:r>
      <w:r w:rsidR="00181A84">
        <w:rPr>
          <w:lang w:val="es-ES"/>
        </w:rPr>
        <w:noBreakHyphen/>
      </w:r>
      <w:r w:rsidRPr="00396492">
        <w:rPr>
          <w:lang w:val="es-ES"/>
        </w:rPr>
        <w:t>23.</w:t>
      </w:r>
    </w:p>
    <w:p w14:paraId="1B9D2004" w14:textId="77777777" w:rsidR="00D11F6A" w:rsidRPr="00396492" w:rsidRDefault="00D11F6A" w:rsidP="00336DFA">
      <w:pPr>
        <w:rPr>
          <w:rFonts w:cstheme="minorBidi"/>
          <w:lang w:val="es-ES"/>
        </w:rPr>
      </w:pPr>
      <w:r w:rsidRPr="00396492">
        <w:rPr>
          <w:rFonts w:cstheme="minorBidi"/>
          <w:lang w:val="es-ES"/>
        </w:rPr>
        <w:t xml:space="preserve">La RPC27-1 se celebró en Dubái los días 18 y 19 de diciembre de 2023. </w:t>
      </w:r>
      <w:r>
        <w:rPr>
          <w:rFonts w:cstheme="minorBidi"/>
          <w:lang w:val="es-ES"/>
        </w:rPr>
        <w:t>En esta reunión se organizaron</w:t>
      </w:r>
      <w:r w:rsidRPr="00396492">
        <w:rPr>
          <w:rFonts w:cstheme="minorBidi"/>
          <w:lang w:val="es-ES"/>
        </w:rPr>
        <w:t xml:space="preserve"> los estudios preparatorios </w:t>
      </w:r>
      <w:r w:rsidRPr="00336DFA">
        <w:rPr>
          <w:lang w:val="es-ES"/>
        </w:rPr>
        <w:t>para</w:t>
      </w:r>
      <w:r w:rsidRPr="00396492">
        <w:rPr>
          <w:rFonts w:cstheme="minorBidi"/>
          <w:lang w:val="es-ES"/>
        </w:rPr>
        <w:t xml:space="preserve"> la CMR-27</w:t>
      </w:r>
      <w:r>
        <w:rPr>
          <w:rFonts w:cstheme="minorBidi"/>
          <w:lang w:val="es-ES"/>
        </w:rPr>
        <w:t>, se</w:t>
      </w:r>
      <w:r w:rsidRPr="00396492">
        <w:rPr>
          <w:rFonts w:cstheme="minorBidi"/>
          <w:lang w:val="es-ES"/>
        </w:rPr>
        <w:t xml:space="preserve"> propuso una estructura para</w:t>
      </w:r>
      <w:r>
        <w:rPr>
          <w:rFonts w:cstheme="minorBidi"/>
          <w:lang w:val="es-ES"/>
        </w:rPr>
        <w:t xml:space="preserve"> el informe de dicha conferencia </w:t>
      </w:r>
      <w:r w:rsidRPr="00396492">
        <w:rPr>
          <w:rFonts w:cstheme="minorBidi"/>
          <w:lang w:val="es-ES"/>
        </w:rPr>
        <w:t>y</w:t>
      </w:r>
      <w:r>
        <w:rPr>
          <w:rFonts w:cstheme="minorBidi"/>
          <w:lang w:val="es-ES"/>
        </w:rPr>
        <w:t xml:space="preserve"> se nombraron </w:t>
      </w:r>
      <w:r w:rsidRPr="00396492">
        <w:rPr>
          <w:rFonts w:cstheme="minorBidi"/>
          <w:lang w:val="es-ES"/>
        </w:rPr>
        <w:t xml:space="preserve">siete Relatores y </w:t>
      </w:r>
      <w:proofErr w:type="spellStart"/>
      <w:r w:rsidRPr="00396492">
        <w:rPr>
          <w:rFonts w:cstheme="minorBidi"/>
          <w:lang w:val="es-ES"/>
        </w:rPr>
        <w:t>Correlatores</w:t>
      </w:r>
      <w:proofErr w:type="spellEnd"/>
      <w:r w:rsidRPr="00396492">
        <w:rPr>
          <w:rFonts w:cstheme="minorBidi"/>
          <w:lang w:val="es-ES"/>
        </w:rPr>
        <w:t xml:space="preserve"> de capítulos </w:t>
      </w:r>
      <w:r>
        <w:rPr>
          <w:rFonts w:cstheme="minorBidi"/>
          <w:lang w:val="es-ES"/>
        </w:rPr>
        <w:t>para</w:t>
      </w:r>
      <w:r w:rsidRPr="00396492">
        <w:rPr>
          <w:rFonts w:cstheme="minorBidi"/>
          <w:lang w:val="es-ES"/>
        </w:rPr>
        <w:t xml:space="preserve"> la RPC-27</w:t>
      </w:r>
      <w:r>
        <w:rPr>
          <w:rFonts w:cstheme="minorBidi"/>
          <w:lang w:val="es-ES"/>
        </w:rPr>
        <w:t>,</w:t>
      </w:r>
      <w:r w:rsidRPr="00396492">
        <w:rPr>
          <w:rFonts w:cstheme="minorBidi"/>
          <w:lang w:val="es-ES"/>
        </w:rPr>
        <w:t xml:space="preserve"> que ayudarán al </w:t>
      </w:r>
      <w:proofErr w:type="gramStart"/>
      <w:r w:rsidRPr="00396492">
        <w:rPr>
          <w:rFonts w:cstheme="minorBidi"/>
          <w:lang w:val="es-ES"/>
        </w:rPr>
        <w:t>Presidente</w:t>
      </w:r>
      <w:proofErr w:type="gramEnd"/>
      <w:r w:rsidRPr="00396492">
        <w:rPr>
          <w:rFonts w:cstheme="minorBidi"/>
          <w:lang w:val="es-ES"/>
        </w:rPr>
        <w:t xml:space="preserve"> de la RPC-27 a gestionar</w:t>
      </w:r>
      <w:r>
        <w:rPr>
          <w:rFonts w:cstheme="minorBidi"/>
          <w:lang w:val="es-ES"/>
        </w:rPr>
        <w:t xml:space="preserve"> la elaboración </w:t>
      </w:r>
      <w:r w:rsidRPr="00396492">
        <w:rPr>
          <w:rFonts w:cstheme="minorBidi"/>
          <w:lang w:val="es-ES"/>
        </w:rPr>
        <w:t xml:space="preserve">del proyecto de Informe a la CMR-27. </w:t>
      </w:r>
    </w:p>
    <w:p w14:paraId="75E2067A" w14:textId="77777777" w:rsidR="00D11F6A" w:rsidRPr="00396492" w:rsidRDefault="00D11F6A" w:rsidP="00D11F6A">
      <w:pPr>
        <w:spacing w:after="120"/>
        <w:rPr>
          <w:szCs w:val="24"/>
          <w:lang w:val="es-ES"/>
        </w:rPr>
      </w:pPr>
      <w:r>
        <w:rPr>
          <w:szCs w:val="24"/>
          <w:lang w:val="es-ES"/>
        </w:rPr>
        <w:t xml:space="preserve">El </w:t>
      </w:r>
      <w:r w:rsidRPr="00C479B9">
        <w:rPr>
          <w:szCs w:val="24"/>
          <w:lang w:val="es-ES"/>
        </w:rPr>
        <w:t xml:space="preserve">Organismo Regulador de las Telecomunicaciones y el Gobierno Digital </w:t>
      </w:r>
      <w:r w:rsidRPr="00396492">
        <w:rPr>
          <w:szCs w:val="24"/>
          <w:lang w:val="es-ES"/>
        </w:rPr>
        <w:t xml:space="preserve">(TDRA) de los EAU </w:t>
      </w:r>
      <w:r>
        <w:rPr>
          <w:szCs w:val="24"/>
          <w:lang w:val="es-ES"/>
        </w:rPr>
        <w:t>fue el anfitrión de</w:t>
      </w:r>
      <w:r w:rsidRPr="00396492">
        <w:rPr>
          <w:szCs w:val="24"/>
          <w:lang w:val="es-ES"/>
        </w:rPr>
        <w:t xml:space="preserve"> la A</w:t>
      </w:r>
      <w:r>
        <w:rPr>
          <w:szCs w:val="24"/>
          <w:lang w:val="es-ES"/>
        </w:rPr>
        <w:t>R</w:t>
      </w:r>
      <w:r w:rsidRPr="00396492">
        <w:rPr>
          <w:szCs w:val="24"/>
          <w:lang w:val="es-ES"/>
        </w:rPr>
        <w:t>-23, la CMR-23 y la RPC27-1.</w:t>
      </w:r>
    </w:p>
    <w:p w14:paraId="7B1F6C08" w14:textId="57F45358" w:rsidR="00D11F6A" w:rsidRPr="00D6760B" w:rsidRDefault="00336DFA" w:rsidP="00181A84">
      <w:pPr>
        <w:pStyle w:val="Heading1"/>
        <w:rPr>
          <w:sz w:val="24"/>
          <w:szCs w:val="24"/>
          <w:lang w:val="es-ES"/>
        </w:rPr>
      </w:pPr>
      <w:r w:rsidRPr="00D6760B">
        <w:rPr>
          <w:sz w:val="24"/>
          <w:szCs w:val="24"/>
          <w:lang w:val="es-ES"/>
        </w:rPr>
        <w:t>2</w:t>
      </w:r>
      <w:r w:rsidRPr="00D6760B">
        <w:rPr>
          <w:sz w:val="24"/>
          <w:szCs w:val="24"/>
          <w:lang w:val="es-ES"/>
        </w:rPr>
        <w:tab/>
      </w:r>
      <w:proofErr w:type="gramStart"/>
      <w:r w:rsidR="00D11F6A" w:rsidRPr="00D6760B">
        <w:rPr>
          <w:sz w:val="24"/>
          <w:szCs w:val="24"/>
          <w:lang w:val="es-ES"/>
        </w:rPr>
        <w:t>Asamblea</w:t>
      </w:r>
      <w:proofErr w:type="gramEnd"/>
      <w:r w:rsidR="00D11F6A" w:rsidRPr="00D6760B">
        <w:rPr>
          <w:sz w:val="24"/>
          <w:szCs w:val="24"/>
          <w:lang w:val="es-ES"/>
        </w:rPr>
        <w:t xml:space="preserve"> de Radiocomunicaciones de 2023 (AR-23)</w:t>
      </w:r>
    </w:p>
    <w:p w14:paraId="7F805687" w14:textId="77777777" w:rsidR="00D11F6A" w:rsidRPr="00396492" w:rsidRDefault="00D11F6A" w:rsidP="00336DFA">
      <w:pPr>
        <w:rPr>
          <w:szCs w:val="24"/>
          <w:lang w:val="es-ES"/>
        </w:rPr>
      </w:pPr>
      <w:r>
        <w:rPr>
          <w:szCs w:val="24"/>
          <w:lang w:val="es-ES"/>
        </w:rPr>
        <w:t>En l</w:t>
      </w:r>
      <w:r w:rsidRPr="00396492">
        <w:rPr>
          <w:szCs w:val="24"/>
          <w:lang w:val="es-ES"/>
        </w:rPr>
        <w:t xml:space="preserve">a AR-23, presidida por </w:t>
      </w:r>
      <w:r>
        <w:rPr>
          <w:szCs w:val="24"/>
          <w:lang w:val="es-ES"/>
        </w:rPr>
        <w:t xml:space="preserve">la Sra. </w:t>
      </w:r>
      <w:r w:rsidRPr="00396492">
        <w:rPr>
          <w:szCs w:val="24"/>
          <w:lang w:val="es-ES"/>
        </w:rPr>
        <w:t xml:space="preserve">Carol </w:t>
      </w:r>
      <w:r>
        <w:rPr>
          <w:szCs w:val="24"/>
          <w:lang w:val="es-ES"/>
        </w:rPr>
        <w:t>Wilson</w:t>
      </w:r>
      <w:r w:rsidRPr="00396492">
        <w:rPr>
          <w:szCs w:val="24"/>
          <w:lang w:val="es-ES"/>
        </w:rPr>
        <w:t xml:space="preserve">, </w:t>
      </w:r>
      <w:r>
        <w:rPr>
          <w:szCs w:val="24"/>
          <w:lang w:val="es-ES"/>
        </w:rPr>
        <w:t xml:space="preserve">se </w:t>
      </w:r>
      <w:r w:rsidRPr="00396492">
        <w:rPr>
          <w:szCs w:val="24"/>
          <w:lang w:val="es-ES"/>
        </w:rPr>
        <w:t>estableci</w:t>
      </w:r>
      <w:r>
        <w:rPr>
          <w:szCs w:val="24"/>
          <w:lang w:val="es-ES"/>
        </w:rPr>
        <w:t>eron</w:t>
      </w:r>
      <w:r w:rsidRPr="00396492">
        <w:rPr>
          <w:szCs w:val="24"/>
          <w:lang w:val="es-ES"/>
        </w:rPr>
        <w:t xml:space="preserve"> los futuros programas de trabajo del Sector de </w:t>
      </w:r>
      <w:r w:rsidRPr="00336DFA">
        <w:rPr>
          <w:lang w:val="es-ES"/>
        </w:rPr>
        <w:t>Radiocomunicaciones</w:t>
      </w:r>
      <w:r w:rsidRPr="00396492">
        <w:rPr>
          <w:szCs w:val="24"/>
          <w:lang w:val="es-ES"/>
        </w:rPr>
        <w:t xml:space="preserve"> de la UIT y</w:t>
      </w:r>
      <w:r>
        <w:rPr>
          <w:szCs w:val="24"/>
          <w:lang w:val="es-ES"/>
        </w:rPr>
        <w:t xml:space="preserve"> se</w:t>
      </w:r>
      <w:r w:rsidRPr="00396492">
        <w:rPr>
          <w:szCs w:val="24"/>
          <w:lang w:val="es-ES"/>
        </w:rPr>
        <w:t xml:space="preserve"> aprob</w:t>
      </w:r>
      <w:r>
        <w:rPr>
          <w:szCs w:val="24"/>
          <w:lang w:val="es-ES"/>
        </w:rPr>
        <w:t>aron</w:t>
      </w:r>
      <w:r w:rsidRPr="00396492">
        <w:rPr>
          <w:szCs w:val="24"/>
          <w:lang w:val="es-ES"/>
        </w:rPr>
        <w:t xml:space="preserve"> normas</w:t>
      </w:r>
      <w:r>
        <w:rPr>
          <w:szCs w:val="24"/>
          <w:lang w:val="es-ES"/>
        </w:rPr>
        <w:t xml:space="preserve"> en materia </w:t>
      </w:r>
      <w:r w:rsidRPr="00396492">
        <w:rPr>
          <w:szCs w:val="24"/>
          <w:lang w:val="es-ES"/>
        </w:rPr>
        <w:t>de radiocomunicaciones (</w:t>
      </w:r>
      <w:r>
        <w:rPr>
          <w:szCs w:val="24"/>
          <w:lang w:val="es-ES"/>
        </w:rPr>
        <w:t xml:space="preserve">denominadas </w:t>
      </w:r>
      <w:r w:rsidRPr="00396492">
        <w:rPr>
          <w:szCs w:val="24"/>
          <w:lang w:val="es-ES"/>
        </w:rPr>
        <w:t>Recomendaciones UIT-R) y Resoluciones</w:t>
      </w:r>
      <w:r>
        <w:rPr>
          <w:szCs w:val="24"/>
          <w:lang w:val="es-ES"/>
        </w:rPr>
        <w:t>.</w:t>
      </w:r>
    </w:p>
    <w:p w14:paraId="79848156" w14:textId="77777777" w:rsidR="00D11F6A" w:rsidRPr="00396492" w:rsidRDefault="00D11F6A" w:rsidP="00336DFA">
      <w:pPr>
        <w:rPr>
          <w:szCs w:val="24"/>
          <w:lang w:val="es-ES"/>
        </w:rPr>
      </w:pPr>
      <w:r w:rsidRPr="00396492">
        <w:rPr>
          <w:szCs w:val="24"/>
          <w:lang w:val="es-ES"/>
        </w:rPr>
        <w:t>La lista de Resoluciones UIT-R (</w:t>
      </w:r>
      <w:r>
        <w:rPr>
          <w:szCs w:val="24"/>
          <w:lang w:val="es-ES"/>
        </w:rPr>
        <w:t xml:space="preserve">de la </w:t>
      </w:r>
      <w:r w:rsidRPr="00396492">
        <w:rPr>
          <w:szCs w:val="24"/>
          <w:lang w:val="es-ES"/>
        </w:rPr>
        <w:t>A</w:t>
      </w:r>
      <w:r>
        <w:rPr>
          <w:szCs w:val="24"/>
          <w:lang w:val="es-ES"/>
        </w:rPr>
        <w:t>R</w:t>
      </w:r>
      <w:r w:rsidRPr="00396492">
        <w:rPr>
          <w:szCs w:val="24"/>
          <w:lang w:val="es-ES"/>
        </w:rPr>
        <w:t>-23)</w:t>
      </w:r>
      <w:r>
        <w:rPr>
          <w:szCs w:val="24"/>
          <w:lang w:val="es-ES"/>
        </w:rPr>
        <w:t xml:space="preserve"> puede consultarse </w:t>
      </w:r>
      <w:r w:rsidRPr="00396492">
        <w:rPr>
          <w:szCs w:val="24"/>
          <w:lang w:val="es-ES"/>
        </w:rPr>
        <w:t xml:space="preserve">en la página web </w:t>
      </w:r>
      <w:r>
        <w:rPr>
          <w:szCs w:val="24"/>
          <w:lang w:val="es-ES"/>
        </w:rPr>
        <w:t xml:space="preserve">de la </w:t>
      </w:r>
      <w:r w:rsidRPr="00396492">
        <w:rPr>
          <w:szCs w:val="24"/>
          <w:lang w:val="es-ES"/>
        </w:rPr>
        <w:t>A</w:t>
      </w:r>
      <w:r>
        <w:rPr>
          <w:szCs w:val="24"/>
          <w:lang w:val="es-ES"/>
        </w:rPr>
        <w:t>R</w:t>
      </w:r>
      <w:r w:rsidRPr="00396492">
        <w:rPr>
          <w:szCs w:val="24"/>
          <w:lang w:val="es-ES"/>
        </w:rPr>
        <w:t>-23 (</w:t>
      </w:r>
      <w:r>
        <w:rPr>
          <w:szCs w:val="24"/>
          <w:lang w:val="es-ES"/>
        </w:rPr>
        <w:t xml:space="preserve">se requieren </w:t>
      </w:r>
      <w:r w:rsidRPr="00336DFA">
        <w:rPr>
          <w:lang w:val="es-ES"/>
        </w:rPr>
        <w:t>derechos</w:t>
      </w:r>
      <w:r>
        <w:rPr>
          <w:szCs w:val="24"/>
          <w:lang w:val="es-ES"/>
        </w:rPr>
        <w:t xml:space="preserve"> de acceso </w:t>
      </w:r>
      <w:r w:rsidRPr="00396492">
        <w:rPr>
          <w:szCs w:val="24"/>
          <w:lang w:val="es-ES"/>
        </w:rPr>
        <w:t xml:space="preserve">TIES). En el Anexo 1 </w:t>
      </w:r>
      <w:r>
        <w:rPr>
          <w:szCs w:val="24"/>
          <w:lang w:val="es-ES"/>
        </w:rPr>
        <w:t xml:space="preserve">se </w:t>
      </w:r>
      <w:r w:rsidRPr="00396492">
        <w:rPr>
          <w:szCs w:val="24"/>
          <w:lang w:val="es-ES"/>
        </w:rPr>
        <w:t>resumen</w:t>
      </w:r>
      <w:r>
        <w:rPr>
          <w:szCs w:val="24"/>
          <w:lang w:val="es-ES"/>
        </w:rPr>
        <w:t xml:space="preserve"> </w:t>
      </w:r>
      <w:r w:rsidRPr="00396492">
        <w:rPr>
          <w:szCs w:val="24"/>
          <w:lang w:val="es-ES"/>
        </w:rPr>
        <w:t>las Resoluciones UIT-R (</w:t>
      </w:r>
      <w:r>
        <w:rPr>
          <w:szCs w:val="24"/>
          <w:lang w:val="es-ES"/>
        </w:rPr>
        <w:t xml:space="preserve">de la </w:t>
      </w:r>
      <w:r w:rsidRPr="00396492">
        <w:rPr>
          <w:szCs w:val="24"/>
          <w:lang w:val="es-ES"/>
        </w:rPr>
        <w:t xml:space="preserve">AR-23) y </w:t>
      </w:r>
      <w:r>
        <w:rPr>
          <w:szCs w:val="24"/>
          <w:lang w:val="es-ES"/>
        </w:rPr>
        <w:t xml:space="preserve">se indica </w:t>
      </w:r>
      <w:r w:rsidRPr="00396492">
        <w:rPr>
          <w:szCs w:val="24"/>
          <w:lang w:val="es-ES"/>
        </w:rPr>
        <w:t>su pertinencia para los trabajos del UIT-D.</w:t>
      </w:r>
    </w:p>
    <w:p w14:paraId="6B62A9AA" w14:textId="3B75D5CA" w:rsidR="00D11F6A" w:rsidRPr="00181A84" w:rsidRDefault="00336DFA" w:rsidP="00181A84">
      <w:pPr>
        <w:pStyle w:val="Heading1"/>
        <w:rPr>
          <w:sz w:val="24"/>
          <w:szCs w:val="24"/>
          <w:lang w:val="es-ES"/>
        </w:rPr>
      </w:pPr>
      <w:r w:rsidRPr="00181A84">
        <w:rPr>
          <w:sz w:val="24"/>
          <w:szCs w:val="24"/>
          <w:lang w:val="es-ES"/>
        </w:rPr>
        <w:t>3</w:t>
      </w:r>
      <w:r w:rsidRPr="00181A84">
        <w:rPr>
          <w:sz w:val="24"/>
          <w:szCs w:val="24"/>
          <w:lang w:val="es-ES"/>
        </w:rPr>
        <w:tab/>
      </w:r>
      <w:proofErr w:type="gramStart"/>
      <w:r w:rsidR="00D11F6A" w:rsidRPr="00181A84">
        <w:rPr>
          <w:sz w:val="24"/>
          <w:szCs w:val="24"/>
          <w:lang w:val="es-ES"/>
        </w:rPr>
        <w:t>Conferencia</w:t>
      </w:r>
      <w:proofErr w:type="gramEnd"/>
      <w:r w:rsidR="00D11F6A" w:rsidRPr="00181A84">
        <w:rPr>
          <w:sz w:val="24"/>
          <w:szCs w:val="24"/>
          <w:lang w:val="es-ES"/>
        </w:rPr>
        <w:t xml:space="preserve"> Mundial de </w:t>
      </w:r>
      <w:r w:rsidR="00D11F6A" w:rsidRPr="00D6760B">
        <w:rPr>
          <w:sz w:val="24"/>
          <w:szCs w:val="24"/>
          <w:lang w:val="es-ES"/>
        </w:rPr>
        <w:t>Radiocomunicaciones</w:t>
      </w:r>
      <w:r w:rsidR="00D11F6A" w:rsidRPr="00181A84">
        <w:rPr>
          <w:sz w:val="24"/>
          <w:szCs w:val="24"/>
          <w:lang w:val="es-ES"/>
        </w:rPr>
        <w:t xml:space="preserve"> de 2023 (CMR-23) </w:t>
      </w:r>
    </w:p>
    <w:p w14:paraId="4313CE7A" w14:textId="77777777" w:rsidR="00D11F6A" w:rsidRPr="00396492" w:rsidRDefault="00D11F6A" w:rsidP="00336DFA">
      <w:pPr>
        <w:rPr>
          <w:rFonts w:cstheme="minorHAnsi"/>
          <w:szCs w:val="24"/>
          <w:lang w:val="es-ES"/>
        </w:rPr>
      </w:pPr>
      <w:r>
        <w:rPr>
          <w:rFonts w:cstheme="minorHAnsi"/>
          <w:szCs w:val="24"/>
          <w:lang w:val="es-ES"/>
        </w:rPr>
        <w:t>E</w:t>
      </w:r>
      <w:r w:rsidRPr="00396492">
        <w:rPr>
          <w:rFonts w:cstheme="minorHAnsi"/>
          <w:szCs w:val="24"/>
          <w:lang w:val="es-ES"/>
        </w:rPr>
        <w:t xml:space="preserve">l </w:t>
      </w:r>
      <w:proofErr w:type="gramStart"/>
      <w:r w:rsidRPr="00396492">
        <w:rPr>
          <w:rFonts w:cstheme="minorHAnsi"/>
          <w:szCs w:val="24"/>
          <w:lang w:val="es-ES"/>
        </w:rPr>
        <w:t>Presidente</w:t>
      </w:r>
      <w:proofErr w:type="gramEnd"/>
      <w:r w:rsidRPr="00396492">
        <w:rPr>
          <w:rFonts w:cstheme="minorHAnsi"/>
          <w:szCs w:val="24"/>
          <w:lang w:val="es-ES"/>
        </w:rPr>
        <w:t xml:space="preserve"> de la Conferencia, </w:t>
      </w:r>
      <w:r>
        <w:rPr>
          <w:rFonts w:cstheme="minorHAnsi"/>
          <w:szCs w:val="24"/>
          <w:lang w:val="es-ES"/>
        </w:rPr>
        <w:t>Excmo. Sr. I</w:t>
      </w:r>
      <w:r w:rsidRPr="00396492">
        <w:rPr>
          <w:rFonts w:cstheme="minorHAnsi"/>
          <w:szCs w:val="24"/>
          <w:lang w:val="es-ES"/>
        </w:rPr>
        <w:t xml:space="preserve">ng. Mohammed Al </w:t>
      </w:r>
      <w:proofErr w:type="spellStart"/>
      <w:r w:rsidRPr="00396492">
        <w:rPr>
          <w:rFonts w:cstheme="minorHAnsi"/>
          <w:szCs w:val="24"/>
          <w:lang w:val="es-ES"/>
        </w:rPr>
        <w:t>Ramsi</w:t>
      </w:r>
      <w:proofErr w:type="spellEnd"/>
      <w:r>
        <w:rPr>
          <w:rFonts w:cstheme="minorHAnsi"/>
          <w:szCs w:val="24"/>
          <w:lang w:val="es-ES"/>
        </w:rPr>
        <w:t xml:space="preserve"> (</w:t>
      </w:r>
      <w:r w:rsidRPr="00396492">
        <w:rPr>
          <w:rFonts w:cstheme="minorHAnsi"/>
          <w:szCs w:val="24"/>
          <w:lang w:val="es-ES"/>
        </w:rPr>
        <w:t>Emiratos Árabes Unidos</w:t>
      </w:r>
      <w:r>
        <w:rPr>
          <w:rFonts w:cstheme="minorHAnsi"/>
          <w:szCs w:val="24"/>
          <w:lang w:val="es-ES"/>
        </w:rPr>
        <w:t>), dirigió l</w:t>
      </w:r>
      <w:r w:rsidRPr="00396492">
        <w:rPr>
          <w:rFonts w:cstheme="minorHAnsi"/>
          <w:szCs w:val="24"/>
          <w:lang w:val="es-ES"/>
        </w:rPr>
        <w:t xml:space="preserve">as negociaciones </w:t>
      </w:r>
      <w:r w:rsidRPr="00336DFA">
        <w:rPr>
          <w:lang w:val="es-ES"/>
        </w:rPr>
        <w:t>de</w:t>
      </w:r>
      <w:r w:rsidRPr="00396492">
        <w:rPr>
          <w:rFonts w:cstheme="minorHAnsi"/>
          <w:szCs w:val="24"/>
          <w:lang w:val="es-ES"/>
        </w:rPr>
        <w:t xml:space="preserve"> la CMR-23 con</w:t>
      </w:r>
      <w:r>
        <w:rPr>
          <w:rFonts w:cstheme="minorHAnsi"/>
          <w:szCs w:val="24"/>
          <w:lang w:val="es-ES"/>
        </w:rPr>
        <w:t xml:space="preserve"> ayuda</w:t>
      </w:r>
      <w:r w:rsidRPr="00396492">
        <w:rPr>
          <w:rFonts w:cstheme="minorHAnsi"/>
          <w:szCs w:val="24"/>
          <w:lang w:val="es-ES"/>
        </w:rPr>
        <w:t xml:space="preserve"> de</w:t>
      </w:r>
      <w:r>
        <w:rPr>
          <w:rFonts w:cstheme="minorHAnsi"/>
          <w:szCs w:val="24"/>
          <w:lang w:val="es-ES"/>
        </w:rPr>
        <w:t xml:space="preserve"> los</w:t>
      </w:r>
      <w:r w:rsidRPr="00396492">
        <w:rPr>
          <w:rFonts w:cstheme="minorHAnsi"/>
          <w:szCs w:val="24"/>
          <w:lang w:val="es-ES"/>
        </w:rPr>
        <w:t xml:space="preserve"> </w:t>
      </w:r>
      <w:r>
        <w:rPr>
          <w:rFonts w:cstheme="minorHAnsi"/>
          <w:szCs w:val="24"/>
          <w:lang w:val="es-ES"/>
        </w:rPr>
        <w:t>P</w:t>
      </w:r>
      <w:r w:rsidRPr="00396492">
        <w:rPr>
          <w:rFonts w:cstheme="minorHAnsi"/>
          <w:szCs w:val="24"/>
          <w:lang w:val="es-ES"/>
        </w:rPr>
        <w:t>residentes de</w:t>
      </w:r>
      <w:r>
        <w:rPr>
          <w:rFonts w:cstheme="minorHAnsi"/>
          <w:szCs w:val="24"/>
          <w:lang w:val="es-ES"/>
        </w:rPr>
        <w:t xml:space="preserve"> las seis Comisiones.</w:t>
      </w:r>
    </w:p>
    <w:p w14:paraId="69E4F190" w14:textId="77777777" w:rsidR="00D11F6A" w:rsidRPr="00396492" w:rsidRDefault="00D11F6A" w:rsidP="00D11F6A">
      <w:pPr>
        <w:spacing w:after="120"/>
        <w:rPr>
          <w:rFonts w:cstheme="minorHAnsi"/>
          <w:szCs w:val="24"/>
          <w:lang w:val="es-ES"/>
        </w:rPr>
      </w:pPr>
      <w:r>
        <w:rPr>
          <w:rFonts w:cstheme="minorHAnsi"/>
          <w:szCs w:val="24"/>
          <w:lang w:val="es-ES"/>
        </w:rPr>
        <w:t>En l</w:t>
      </w:r>
      <w:r w:rsidRPr="00396492">
        <w:rPr>
          <w:rFonts w:cstheme="minorHAnsi"/>
          <w:szCs w:val="24"/>
          <w:lang w:val="es-ES"/>
        </w:rPr>
        <w:t xml:space="preserve">a CMR-23 </w:t>
      </w:r>
      <w:r>
        <w:rPr>
          <w:rFonts w:cstheme="minorHAnsi"/>
          <w:szCs w:val="24"/>
          <w:lang w:val="es-ES"/>
        </w:rPr>
        <w:t xml:space="preserve">se </w:t>
      </w:r>
      <w:r w:rsidRPr="00396492">
        <w:rPr>
          <w:rFonts w:cstheme="minorHAnsi"/>
          <w:szCs w:val="24"/>
          <w:lang w:val="es-ES"/>
        </w:rPr>
        <w:t xml:space="preserve">revisó el Reglamento de Radiocomunicaciones (RR), </w:t>
      </w:r>
      <w:r>
        <w:rPr>
          <w:rFonts w:cstheme="minorHAnsi"/>
          <w:szCs w:val="24"/>
          <w:lang w:val="es-ES"/>
        </w:rPr>
        <w:t xml:space="preserve">a saber, </w:t>
      </w:r>
      <w:r w:rsidRPr="00396492">
        <w:rPr>
          <w:rFonts w:cstheme="minorHAnsi"/>
          <w:szCs w:val="24"/>
          <w:lang w:val="es-ES"/>
        </w:rPr>
        <w:t>el tratado internacional</w:t>
      </w:r>
      <w:r>
        <w:rPr>
          <w:rFonts w:cstheme="minorHAnsi"/>
          <w:szCs w:val="24"/>
          <w:lang w:val="es-ES"/>
        </w:rPr>
        <w:t xml:space="preserve"> por el que se </w:t>
      </w:r>
      <w:r w:rsidRPr="00396492">
        <w:rPr>
          <w:rFonts w:cstheme="minorHAnsi"/>
          <w:szCs w:val="24"/>
          <w:lang w:val="es-ES"/>
        </w:rPr>
        <w:t>rige</w:t>
      </w:r>
      <w:r>
        <w:rPr>
          <w:rFonts w:cstheme="minorHAnsi"/>
          <w:szCs w:val="24"/>
          <w:lang w:val="es-ES"/>
        </w:rPr>
        <w:t xml:space="preserve"> la utilización </w:t>
      </w:r>
      <w:r w:rsidRPr="00396492">
        <w:rPr>
          <w:rFonts w:cstheme="minorHAnsi"/>
          <w:szCs w:val="24"/>
          <w:lang w:val="es-ES"/>
        </w:rPr>
        <w:t>del espectro de radiofrecuencias y las órbitas de los satélites geoestacionarios y no geoestacionarios.</w:t>
      </w:r>
    </w:p>
    <w:p w14:paraId="0F1419F3" w14:textId="77777777" w:rsidR="00D11F6A" w:rsidRPr="00396492" w:rsidRDefault="00D11F6A" w:rsidP="00336DFA">
      <w:pPr>
        <w:rPr>
          <w:rFonts w:cstheme="minorHAnsi"/>
          <w:szCs w:val="24"/>
          <w:lang w:val="es-ES"/>
        </w:rPr>
      </w:pPr>
      <w:r w:rsidRPr="00396492">
        <w:rPr>
          <w:rFonts w:cstheme="minorHAnsi"/>
          <w:szCs w:val="24"/>
          <w:lang w:val="es-ES"/>
        </w:rPr>
        <w:t>De acuerdo con el orden del día de la conferencia, la CMR-23 abordó</w:t>
      </w:r>
      <w:r>
        <w:rPr>
          <w:rFonts w:cstheme="minorHAnsi"/>
          <w:szCs w:val="24"/>
          <w:lang w:val="es-ES"/>
        </w:rPr>
        <w:t xml:space="preserve"> diversos</w:t>
      </w:r>
      <w:r w:rsidRPr="00396492">
        <w:rPr>
          <w:rFonts w:cstheme="minorHAnsi"/>
          <w:szCs w:val="24"/>
          <w:lang w:val="es-ES"/>
        </w:rPr>
        <w:t xml:space="preserve"> </w:t>
      </w:r>
      <w:r>
        <w:rPr>
          <w:rFonts w:cstheme="minorHAnsi"/>
          <w:szCs w:val="24"/>
          <w:lang w:val="es-ES"/>
        </w:rPr>
        <w:t>aspectos de las</w:t>
      </w:r>
      <w:r w:rsidRPr="00396492">
        <w:rPr>
          <w:rFonts w:cstheme="minorHAnsi"/>
          <w:szCs w:val="24"/>
          <w:lang w:val="es-ES"/>
        </w:rPr>
        <w:t xml:space="preserve"> radiocomunicaciones de</w:t>
      </w:r>
      <w:r>
        <w:rPr>
          <w:rFonts w:cstheme="minorHAnsi"/>
          <w:szCs w:val="24"/>
          <w:lang w:val="es-ES"/>
        </w:rPr>
        <w:t xml:space="preserve"> alcance</w:t>
      </w:r>
      <w:r w:rsidRPr="00396492">
        <w:rPr>
          <w:rFonts w:cstheme="minorHAnsi"/>
          <w:szCs w:val="24"/>
          <w:lang w:val="es-ES"/>
        </w:rPr>
        <w:t xml:space="preserve"> mundial</w:t>
      </w:r>
      <w:r>
        <w:rPr>
          <w:rFonts w:cstheme="minorHAnsi"/>
          <w:szCs w:val="24"/>
          <w:lang w:val="es-ES"/>
        </w:rPr>
        <w:t xml:space="preserve"> en aras de la eficiencia en </w:t>
      </w:r>
      <w:r w:rsidRPr="00396492">
        <w:rPr>
          <w:rFonts w:cstheme="minorHAnsi"/>
          <w:szCs w:val="24"/>
          <w:lang w:val="es-ES"/>
        </w:rPr>
        <w:t>el uso de</w:t>
      </w:r>
      <w:r>
        <w:rPr>
          <w:rFonts w:cstheme="minorHAnsi"/>
          <w:szCs w:val="24"/>
          <w:lang w:val="es-ES"/>
        </w:rPr>
        <w:t xml:space="preserve"> </w:t>
      </w:r>
      <w:r w:rsidRPr="00396492">
        <w:rPr>
          <w:rFonts w:cstheme="minorHAnsi"/>
          <w:szCs w:val="24"/>
          <w:lang w:val="es-ES"/>
        </w:rPr>
        <w:t>l</w:t>
      </w:r>
      <w:r>
        <w:rPr>
          <w:rFonts w:cstheme="minorHAnsi"/>
          <w:szCs w:val="24"/>
          <w:lang w:val="es-ES"/>
        </w:rPr>
        <w:t>os recursos</w:t>
      </w:r>
      <w:r w:rsidRPr="00396492">
        <w:rPr>
          <w:rFonts w:cstheme="minorHAnsi"/>
          <w:szCs w:val="24"/>
          <w:lang w:val="es-ES"/>
        </w:rPr>
        <w:t xml:space="preserve"> espectr</w:t>
      </w:r>
      <w:r>
        <w:rPr>
          <w:rFonts w:cstheme="minorHAnsi"/>
          <w:szCs w:val="24"/>
          <w:lang w:val="es-ES"/>
        </w:rPr>
        <w:t xml:space="preserve">ales y </w:t>
      </w:r>
      <w:r w:rsidRPr="00396492">
        <w:rPr>
          <w:rFonts w:cstheme="minorHAnsi"/>
          <w:szCs w:val="24"/>
          <w:lang w:val="es-ES"/>
        </w:rPr>
        <w:t xml:space="preserve">orbitales y determinó </w:t>
      </w:r>
      <w:r>
        <w:rPr>
          <w:rFonts w:cstheme="minorHAnsi"/>
          <w:szCs w:val="24"/>
          <w:lang w:val="es-ES"/>
        </w:rPr>
        <w:t xml:space="preserve">una serie de </w:t>
      </w:r>
      <w:r w:rsidRPr="00396492">
        <w:rPr>
          <w:rFonts w:cstheme="minorHAnsi"/>
          <w:szCs w:val="24"/>
          <w:lang w:val="es-ES"/>
        </w:rPr>
        <w:t>Cuestiones para su estudio por la Asamblea de Radiocomunicaciones y sus Comisiones de Estudio en preparación de futuras Conferencias de Radiocomunicaciones</w:t>
      </w:r>
    </w:p>
    <w:p w14:paraId="113443B1" w14:textId="76CA8211" w:rsidR="00D11F6A" w:rsidRPr="00396492" w:rsidRDefault="00D11F6A" w:rsidP="00336DFA">
      <w:pPr>
        <w:rPr>
          <w:rFonts w:cstheme="minorHAnsi"/>
          <w:szCs w:val="24"/>
          <w:lang w:val="es-ES"/>
        </w:rPr>
      </w:pPr>
      <w:r>
        <w:rPr>
          <w:lang w:val="es-ES"/>
        </w:rPr>
        <w:t xml:space="preserve">La </w:t>
      </w:r>
      <w:hyperlink r:id="rId18" w:anchor="/es" w:history="1">
        <w:r w:rsidRPr="00396492">
          <w:rPr>
            <w:rStyle w:val="Hyperlink"/>
            <w:rFonts w:cstheme="minorHAnsi"/>
            <w:szCs w:val="24"/>
            <w:lang w:val="es-ES"/>
          </w:rPr>
          <w:t xml:space="preserve">edición </w:t>
        </w:r>
        <w:r>
          <w:rPr>
            <w:rStyle w:val="Hyperlink"/>
            <w:rFonts w:cstheme="minorHAnsi"/>
            <w:szCs w:val="24"/>
            <w:lang w:val="es-ES"/>
          </w:rPr>
          <w:t xml:space="preserve">de </w:t>
        </w:r>
        <w:r w:rsidRPr="00396492">
          <w:rPr>
            <w:rStyle w:val="Hyperlink"/>
            <w:rFonts w:cstheme="minorHAnsi"/>
            <w:szCs w:val="24"/>
            <w:lang w:val="es-ES"/>
          </w:rPr>
          <w:t>2024 del Reglamento de Radiocomunicaciones</w:t>
        </w:r>
      </w:hyperlink>
      <w:r>
        <w:rPr>
          <w:rFonts w:cstheme="minorHAnsi"/>
          <w:szCs w:val="24"/>
          <w:lang w:val="es-ES"/>
        </w:rPr>
        <w:t xml:space="preserve"> s</w:t>
      </w:r>
      <w:r w:rsidRPr="00396492">
        <w:rPr>
          <w:rFonts w:cstheme="minorHAnsi"/>
          <w:szCs w:val="24"/>
          <w:lang w:val="es-ES"/>
        </w:rPr>
        <w:t>e ha publicado en</w:t>
      </w:r>
      <w:r>
        <w:rPr>
          <w:rFonts w:cstheme="minorHAnsi"/>
          <w:szCs w:val="24"/>
          <w:lang w:val="es-ES"/>
        </w:rPr>
        <w:t xml:space="preserve"> los</w:t>
      </w:r>
      <w:r w:rsidRPr="00396492">
        <w:rPr>
          <w:rFonts w:cstheme="minorHAnsi"/>
          <w:szCs w:val="24"/>
          <w:lang w:val="es-ES"/>
        </w:rPr>
        <w:t xml:space="preserve"> </w:t>
      </w:r>
      <w:r w:rsidR="00181A84">
        <w:rPr>
          <w:rFonts w:cstheme="minorHAnsi"/>
          <w:szCs w:val="24"/>
          <w:lang w:val="es-ES"/>
        </w:rPr>
        <w:t>seis</w:t>
      </w:r>
      <w:r w:rsidRPr="00396492">
        <w:rPr>
          <w:rFonts w:cstheme="minorHAnsi"/>
          <w:szCs w:val="24"/>
          <w:lang w:val="es-ES"/>
        </w:rPr>
        <w:t xml:space="preserve"> idiomas</w:t>
      </w:r>
      <w:r>
        <w:rPr>
          <w:rFonts w:cstheme="minorHAnsi"/>
          <w:szCs w:val="24"/>
          <w:lang w:val="es-ES"/>
        </w:rPr>
        <w:t xml:space="preserve"> oficiales</w:t>
      </w:r>
      <w:r w:rsidRPr="00396492">
        <w:rPr>
          <w:rFonts w:cstheme="minorHAnsi"/>
          <w:szCs w:val="24"/>
          <w:lang w:val="es-ES"/>
        </w:rPr>
        <w:t xml:space="preserve"> de las Naciones Unidas (</w:t>
      </w:r>
      <w:r>
        <w:rPr>
          <w:rFonts w:cstheme="minorHAnsi"/>
          <w:szCs w:val="24"/>
          <w:lang w:val="es-ES"/>
        </w:rPr>
        <w:t xml:space="preserve">a título </w:t>
      </w:r>
      <w:r w:rsidRPr="00396492">
        <w:rPr>
          <w:rFonts w:cstheme="minorHAnsi"/>
          <w:szCs w:val="24"/>
          <w:lang w:val="es-ES"/>
        </w:rPr>
        <w:t>gratuit</w:t>
      </w:r>
      <w:r>
        <w:rPr>
          <w:rFonts w:cstheme="minorHAnsi"/>
          <w:szCs w:val="24"/>
          <w:lang w:val="es-ES"/>
        </w:rPr>
        <w:t>o</w:t>
      </w:r>
      <w:r w:rsidRPr="00396492">
        <w:rPr>
          <w:rFonts w:cstheme="minorHAnsi"/>
          <w:szCs w:val="24"/>
          <w:lang w:val="es-ES"/>
        </w:rPr>
        <w:t xml:space="preserve">). Entre los principales </w:t>
      </w:r>
      <w:r w:rsidRPr="00336DFA">
        <w:rPr>
          <w:lang w:val="es-ES"/>
        </w:rPr>
        <w:t>resultados</w:t>
      </w:r>
      <w:r w:rsidRPr="00396492">
        <w:rPr>
          <w:rFonts w:cstheme="minorHAnsi"/>
          <w:szCs w:val="24"/>
          <w:lang w:val="es-ES"/>
        </w:rPr>
        <w:t xml:space="preserve"> de la CMR-23 figuran los siguientes:</w:t>
      </w:r>
    </w:p>
    <w:p w14:paraId="1D158A8F" w14:textId="77777777" w:rsidR="00D11F6A" w:rsidRPr="00396492" w:rsidRDefault="00D11F6A" w:rsidP="00336DFA">
      <w:pPr>
        <w:rPr>
          <w:lang w:val="es-ES"/>
        </w:rPr>
      </w:pPr>
      <w:r w:rsidRPr="00396492">
        <w:rPr>
          <w:lang w:val="es-ES"/>
        </w:rPr>
        <w:t>En resumen, la CMR-23 aprobó 43 Resoluciones</w:t>
      </w:r>
      <w:r w:rsidRPr="008E3044">
        <w:rPr>
          <w:lang w:val="es-ES"/>
        </w:rPr>
        <w:t xml:space="preserve"> </w:t>
      </w:r>
      <w:r w:rsidRPr="00396492">
        <w:rPr>
          <w:lang w:val="es-ES"/>
        </w:rPr>
        <w:t>nuevas, revisó 56 Resoluciones</w:t>
      </w:r>
      <w:r w:rsidRPr="008E3044">
        <w:rPr>
          <w:lang w:val="es-ES"/>
        </w:rPr>
        <w:t xml:space="preserve"> </w:t>
      </w:r>
      <w:r w:rsidRPr="00396492">
        <w:rPr>
          <w:lang w:val="es-ES"/>
        </w:rPr>
        <w:t xml:space="preserve">existentes y suprimió </w:t>
      </w:r>
      <w:r>
        <w:rPr>
          <w:lang w:val="es-ES"/>
        </w:rPr>
        <w:t xml:space="preserve">varias </w:t>
      </w:r>
      <w:r w:rsidRPr="00396492">
        <w:rPr>
          <w:lang w:val="es-ES"/>
        </w:rPr>
        <w:t>Resoluciones</w:t>
      </w:r>
      <w:r>
        <w:rPr>
          <w:lang w:val="es-ES"/>
        </w:rPr>
        <w:t xml:space="preserve"> obsoletas</w:t>
      </w:r>
      <w:r w:rsidRPr="00396492">
        <w:rPr>
          <w:lang w:val="es-ES"/>
        </w:rPr>
        <w:t xml:space="preserve">. </w:t>
      </w:r>
    </w:p>
    <w:p w14:paraId="5E715EB3" w14:textId="77777777" w:rsidR="00D11F6A" w:rsidRPr="00396492" w:rsidRDefault="00D11F6A" w:rsidP="00336DFA">
      <w:pPr>
        <w:rPr>
          <w:lang w:val="es-ES"/>
        </w:rPr>
      </w:pPr>
      <w:r w:rsidRPr="00396492">
        <w:rPr>
          <w:lang w:val="es-ES"/>
        </w:rPr>
        <w:lastRenderedPageBreak/>
        <w:t xml:space="preserve">En el cuadro del Anexo 2 se resumen </w:t>
      </w:r>
      <w:r>
        <w:rPr>
          <w:lang w:val="es-ES"/>
        </w:rPr>
        <w:t>varias</w:t>
      </w:r>
      <w:r w:rsidRPr="00396492">
        <w:rPr>
          <w:lang w:val="es-ES"/>
        </w:rPr>
        <w:t xml:space="preserve"> Resoluciones de la CMR-23 importantes </w:t>
      </w:r>
      <w:r>
        <w:rPr>
          <w:lang w:val="es-ES"/>
        </w:rPr>
        <w:t xml:space="preserve">y </w:t>
      </w:r>
      <w:r w:rsidRPr="00396492">
        <w:rPr>
          <w:lang w:val="es-ES"/>
        </w:rPr>
        <w:t>pertinentes para los trabajos de la BDT y/o el UIT-D.</w:t>
      </w:r>
    </w:p>
    <w:p w14:paraId="3E4ACF32" w14:textId="3334B577" w:rsidR="00D11F6A" w:rsidRPr="00D6760B" w:rsidRDefault="00336DFA" w:rsidP="00181A84">
      <w:pPr>
        <w:pStyle w:val="Heading1"/>
        <w:rPr>
          <w:sz w:val="24"/>
          <w:szCs w:val="24"/>
          <w:lang w:val="es-ES"/>
        </w:rPr>
      </w:pPr>
      <w:r w:rsidRPr="00D6760B">
        <w:rPr>
          <w:sz w:val="24"/>
          <w:szCs w:val="24"/>
          <w:lang w:val="es-ES"/>
        </w:rPr>
        <w:t>4</w:t>
      </w:r>
      <w:r w:rsidRPr="00D6760B">
        <w:rPr>
          <w:sz w:val="24"/>
          <w:szCs w:val="24"/>
          <w:lang w:val="es-ES"/>
        </w:rPr>
        <w:tab/>
      </w:r>
      <w:r w:rsidR="00D11F6A" w:rsidRPr="00D6760B">
        <w:rPr>
          <w:sz w:val="24"/>
          <w:szCs w:val="24"/>
          <w:lang w:val="es-ES"/>
        </w:rPr>
        <w:t>Reunión Preparatoria de la Conferencia (RPC27-1) para la Conferencia Mundial de Radiocomunicaciones de 2027 (CMR-27)</w:t>
      </w:r>
    </w:p>
    <w:p w14:paraId="56FB86A8" w14:textId="35270624" w:rsidR="00D11F6A" w:rsidRPr="00396492" w:rsidRDefault="00D11F6A" w:rsidP="00336DFA">
      <w:pPr>
        <w:rPr>
          <w:lang w:val="es-ES"/>
        </w:rPr>
      </w:pPr>
      <w:r>
        <w:rPr>
          <w:lang w:val="es-ES"/>
        </w:rPr>
        <w:t>En l</w:t>
      </w:r>
      <w:r w:rsidRPr="00396492">
        <w:rPr>
          <w:lang w:val="es-ES"/>
        </w:rPr>
        <w:t xml:space="preserve">a primera </w:t>
      </w:r>
      <w:r>
        <w:rPr>
          <w:lang w:val="es-ES"/>
        </w:rPr>
        <w:t>sesión</w:t>
      </w:r>
      <w:r w:rsidRPr="00396492">
        <w:rPr>
          <w:lang w:val="es-ES"/>
        </w:rPr>
        <w:t xml:space="preserve"> de la </w:t>
      </w:r>
      <w:hyperlink r:id="rId19">
        <w:r w:rsidRPr="00396492">
          <w:rPr>
            <w:lang w:val="es-ES"/>
          </w:rPr>
          <w:t>Reunión Preparatoria de la Conferencia para la CMR-27</w:t>
        </w:r>
      </w:hyperlink>
      <w:r>
        <w:rPr>
          <w:lang w:val="es-ES"/>
        </w:rPr>
        <w:t xml:space="preserve"> se </w:t>
      </w:r>
      <w:r w:rsidRPr="00396492">
        <w:rPr>
          <w:lang w:val="es-ES"/>
        </w:rPr>
        <w:t>debatió el proyecto de estructura/índice del informe de la RPC a la CMR-27</w:t>
      </w:r>
      <w:r>
        <w:rPr>
          <w:lang w:val="es-ES"/>
        </w:rPr>
        <w:t>, así como un ante</w:t>
      </w:r>
      <w:r w:rsidRPr="00396492">
        <w:rPr>
          <w:lang w:val="es-ES"/>
        </w:rPr>
        <w:t xml:space="preserve">proyecto </w:t>
      </w:r>
      <w:r w:rsidRPr="008E3044">
        <w:rPr>
          <w:lang w:val="es-ES"/>
        </w:rPr>
        <w:t>de atribución de los trabajos preparatorios del UIT-R para la CMR-27 y la CMR-31.</w:t>
      </w:r>
      <w:r w:rsidRPr="00396492">
        <w:rPr>
          <w:lang w:val="es-ES"/>
        </w:rPr>
        <w:t xml:space="preserve"> </w:t>
      </w:r>
      <w:r>
        <w:rPr>
          <w:lang w:val="es-ES"/>
        </w:rPr>
        <w:t>Para obtener más información al respecto, véase:</w:t>
      </w:r>
      <w:r w:rsidRPr="00396492">
        <w:rPr>
          <w:lang w:val="es-ES"/>
        </w:rPr>
        <w:t xml:space="preserve"> </w:t>
      </w:r>
      <w:hyperlink r:id="rId20">
        <w:r w:rsidR="00181A84">
          <w:rPr>
            <w:rStyle w:val="Hyperlink"/>
            <w:lang w:val="es-ES"/>
          </w:rPr>
          <w:t>https://www.itu.int/md/R23-CPM27.1-C-0005/es</w:t>
        </w:r>
      </w:hyperlink>
      <w:r w:rsidR="00181A84">
        <w:rPr>
          <w:rStyle w:val="Hyperlink"/>
          <w:lang w:val="es-ES"/>
        </w:rPr>
        <w:t xml:space="preserve"> </w:t>
      </w:r>
      <w:r w:rsidRPr="00396492">
        <w:rPr>
          <w:lang w:val="es-ES"/>
        </w:rPr>
        <w:t>(</w:t>
      </w:r>
      <w:r>
        <w:rPr>
          <w:lang w:val="es-ES"/>
        </w:rPr>
        <w:t xml:space="preserve">se </w:t>
      </w:r>
      <w:r w:rsidRPr="008E3044">
        <w:rPr>
          <w:lang w:val="es-ES"/>
        </w:rPr>
        <w:t>requieren derechos de acceso TIES</w:t>
      </w:r>
      <w:r w:rsidRPr="00396492">
        <w:rPr>
          <w:lang w:val="es-ES"/>
        </w:rPr>
        <w:t>).</w:t>
      </w:r>
    </w:p>
    <w:p w14:paraId="0A69BE8A" w14:textId="77777777" w:rsidR="00D11F6A" w:rsidRPr="00396492" w:rsidRDefault="00D11F6A" w:rsidP="00D11F6A">
      <w:pPr>
        <w:spacing w:after="120"/>
        <w:rPr>
          <w:szCs w:val="24"/>
          <w:lang w:val="es-ES"/>
        </w:rPr>
      </w:pPr>
    </w:p>
    <w:p w14:paraId="15BF7001" w14:textId="77777777" w:rsidR="00D11F6A" w:rsidRPr="00396492" w:rsidRDefault="00D11F6A" w:rsidP="00D11F6A">
      <w:pPr>
        <w:spacing w:after="120"/>
        <w:rPr>
          <w:szCs w:val="24"/>
          <w:lang w:val="es-ES"/>
        </w:rPr>
        <w:sectPr w:rsidR="00D11F6A" w:rsidRPr="00396492" w:rsidSect="00D11F6A">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pPr>
    </w:p>
    <w:p w14:paraId="6C388EDB" w14:textId="1C525B03" w:rsidR="00D11F6A" w:rsidRPr="009B1085" w:rsidRDefault="00D11F6A" w:rsidP="005E348B">
      <w:pPr>
        <w:pStyle w:val="AnnexNo"/>
        <w:jc w:val="left"/>
        <w:rPr>
          <w:b/>
          <w:bCs/>
          <w:lang w:val="es-ES"/>
        </w:rPr>
      </w:pPr>
      <w:r w:rsidRPr="009B1085">
        <w:rPr>
          <w:b/>
          <w:bCs/>
          <w:sz w:val="24"/>
          <w:szCs w:val="24"/>
          <w:lang w:val="es-ES"/>
        </w:rPr>
        <w:lastRenderedPageBreak/>
        <w:t>A</w:t>
      </w:r>
      <w:r w:rsidR="009B1085">
        <w:rPr>
          <w:b/>
          <w:bCs/>
          <w:sz w:val="24"/>
          <w:szCs w:val="24"/>
          <w:lang w:val="es-ES"/>
        </w:rPr>
        <w:t>NEXO</w:t>
      </w:r>
      <w:r w:rsidRPr="009B1085">
        <w:rPr>
          <w:b/>
          <w:bCs/>
          <w:lang w:val="es-ES"/>
        </w:rPr>
        <w:t xml:space="preserve"> 1</w:t>
      </w:r>
    </w:p>
    <w:p w14:paraId="50CD661D" w14:textId="2B2F6E16" w:rsidR="00D11F6A" w:rsidRPr="009B1085" w:rsidRDefault="00D11F6A" w:rsidP="005E348B">
      <w:pPr>
        <w:pStyle w:val="Annextitle"/>
        <w:jc w:val="left"/>
        <w:rPr>
          <w:sz w:val="24"/>
          <w:szCs w:val="24"/>
          <w:lang w:val="es-ES"/>
        </w:rPr>
      </w:pPr>
      <w:r w:rsidRPr="009B1085">
        <w:rPr>
          <w:sz w:val="24"/>
          <w:szCs w:val="24"/>
          <w:lang w:val="es-ES"/>
        </w:rPr>
        <w:t>Resumen de las Resoluciones UIT-R de la Asamblea de Radiocomunicaciones de 2023 (AR-23)</w:t>
      </w:r>
      <w:r w:rsidR="005E348B" w:rsidRPr="009B1085">
        <w:rPr>
          <w:sz w:val="24"/>
          <w:szCs w:val="24"/>
          <w:lang w:val="es-ES"/>
        </w:rPr>
        <w:t xml:space="preserve"> </w:t>
      </w:r>
      <w:r w:rsidRPr="009B1085">
        <w:rPr>
          <w:sz w:val="24"/>
          <w:szCs w:val="24"/>
          <w:lang w:val="es-ES"/>
        </w:rPr>
        <w:t xml:space="preserve">pertinentes para los trabajos del UIT-D </w:t>
      </w:r>
    </w:p>
    <w:p w14:paraId="72D3386E" w14:textId="77777777" w:rsidR="00D11F6A" w:rsidRPr="00396492" w:rsidRDefault="00D11F6A" w:rsidP="0043190D">
      <w:pPr>
        <w:spacing w:after="240"/>
        <w:rPr>
          <w:rFonts w:ascii="Calibri" w:hAnsi="Calibri" w:cs="Calibri"/>
          <w:lang w:val="es-ES"/>
        </w:rPr>
      </w:pPr>
      <w:r w:rsidRPr="00396492">
        <w:rPr>
          <w:rFonts w:ascii="Calibri" w:hAnsi="Calibri" w:cs="Calibri"/>
          <w:lang w:val="es-ES"/>
        </w:rPr>
        <w:t xml:space="preserve">En el </w:t>
      </w:r>
      <w:r>
        <w:rPr>
          <w:rFonts w:ascii="Calibri" w:hAnsi="Calibri" w:cs="Calibri"/>
          <w:lang w:val="es-ES"/>
        </w:rPr>
        <w:t>siguiente C</w:t>
      </w:r>
      <w:r w:rsidRPr="00396492">
        <w:rPr>
          <w:rFonts w:ascii="Calibri" w:hAnsi="Calibri" w:cs="Calibri"/>
          <w:lang w:val="es-ES"/>
        </w:rPr>
        <w:t xml:space="preserve">uadro se resumen las Resoluciones UIT-R </w:t>
      </w:r>
      <w:r>
        <w:rPr>
          <w:rFonts w:ascii="Calibri" w:hAnsi="Calibri" w:cs="Calibri"/>
          <w:lang w:val="es-ES"/>
        </w:rPr>
        <w:t>de</w:t>
      </w:r>
      <w:r w:rsidRPr="00396492">
        <w:rPr>
          <w:rFonts w:ascii="Calibri" w:hAnsi="Calibri" w:cs="Calibri"/>
          <w:lang w:val="es-ES"/>
        </w:rPr>
        <w:t xml:space="preserve"> la AR-23 y</w:t>
      </w:r>
      <w:r>
        <w:rPr>
          <w:rFonts w:ascii="Calibri" w:hAnsi="Calibri" w:cs="Calibri"/>
          <w:lang w:val="es-ES"/>
        </w:rPr>
        <w:t xml:space="preserve"> se indica</w:t>
      </w:r>
      <w:r w:rsidRPr="00396492">
        <w:rPr>
          <w:rFonts w:ascii="Calibri" w:hAnsi="Calibri" w:cs="Calibri"/>
          <w:lang w:val="es-ES"/>
        </w:rPr>
        <w:t xml:space="preserve"> su pertinencia para los trabajos del UIT-D. El mandato otorgado a la BDT en virtud de las Resoluciones pertinentes de la AR-23 se incluirá en la aplicación del Plan de Acción de Kigali y las Resoluciones pertinentes de la CMDT-2</w:t>
      </w:r>
      <w:r>
        <w:rPr>
          <w:rFonts w:ascii="Calibri" w:hAnsi="Calibri" w:cs="Calibri"/>
          <w:lang w:val="es-ES"/>
        </w:rPr>
        <w:t>5</w:t>
      </w:r>
      <w:r w:rsidRPr="00396492">
        <w:rPr>
          <w:rFonts w:ascii="Calibri" w:hAnsi="Calibri" w:cs="Calibri"/>
          <w:lang w:val="es-ES"/>
        </w:rPr>
        <w:t>.</w:t>
      </w:r>
    </w:p>
    <w:tbl>
      <w:tblPr>
        <w:tblStyle w:val="GridTable5Dark-Accent11"/>
        <w:tblpPr w:leftFromText="180" w:rightFromText="180" w:vertAnchor="text" w:tblpXSpec="right" w:tblpY="1"/>
        <w:tblOverlap w:val="never"/>
        <w:tblW w:w="5016" w:type="pct"/>
        <w:tblLook w:val="04A0" w:firstRow="1" w:lastRow="0" w:firstColumn="1" w:lastColumn="0" w:noHBand="0" w:noVBand="1"/>
      </w:tblPr>
      <w:tblGrid>
        <w:gridCol w:w="1212"/>
        <w:gridCol w:w="4634"/>
        <w:gridCol w:w="1148"/>
        <w:gridCol w:w="7039"/>
      </w:tblGrid>
      <w:tr w:rsidR="00641520" w:rsidRPr="00396492" w14:paraId="751D59CB" w14:textId="77777777" w:rsidTr="004E44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 w:type="pct"/>
          </w:tcPr>
          <w:p w14:paraId="2C28C242" w14:textId="77777777" w:rsidR="00D11F6A" w:rsidRPr="0043190D" w:rsidRDefault="00D11F6A" w:rsidP="0043190D">
            <w:pPr>
              <w:pStyle w:val="Tablehead"/>
              <w:rPr>
                <w:b/>
                <w:bCs w:val="0"/>
                <w:lang w:val="es-ES"/>
              </w:rPr>
            </w:pPr>
            <w:r w:rsidRPr="0043190D">
              <w:rPr>
                <w:b/>
                <w:bCs w:val="0"/>
                <w:lang w:val="es-ES"/>
              </w:rPr>
              <w:t>Resolución</w:t>
            </w:r>
          </w:p>
        </w:tc>
        <w:tc>
          <w:tcPr>
            <w:tcW w:w="1651" w:type="pct"/>
          </w:tcPr>
          <w:p w14:paraId="32B11FD7" w14:textId="77777777" w:rsidR="00D11F6A" w:rsidRPr="0043190D" w:rsidRDefault="00D11F6A" w:rsidP="0043190D">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43190D">
              <w:rPr>
                <w:b/>
                <w:bCs w:val="0"/>
                <w:lang w:val="es-ES"/>
              </w:rPr>
              <w:t>Título</w:t>
            </w:r>
          </w:p>
        </w:tc>
        <w:tc>
          <w:tcPr>
            <w:tcW w:w="409" w:type="pct"/>
          </w:tcPr>
          <w:p w14:paraId="501F47FB" w14:textId="77777777" w:rsidR="00D11F6A" w:rsidRPr="0043190D" w:rsidRDefault="00D11F6A" w:rsidP="0043190D">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43190D">
              <w:rPr>
                <w:b/>
                <w:bCs w:val="0"/>
                <w:lang w:val="es-ES"/>
              </w:rPr>
              <w:t>Acción en la AR-23</w:t>
            </w:r>
          </w:p>
        </w:tc>
        <w:tc>
          <w:tcPr>
            <w:tcW w:w="2509" w:type="pct"/>
          </w:tcPr>
          <w:p w14:paraId="5B194FF5" w14:textId="77777777" w:rsidR="00D11F6A" w:rsidRPr="0043190D" w:rsidRDefault="00D11F6A" w:rsidP="0043190D">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43190D">
              <w:rPr>
                <w:b/>
                <w:bCs w:val="0"/>
                <w:lang w:val="es-ES"/>
              </w:rPr>
              <w:t>Observaciones</w:t>
            </w:r>
          </w:p>
        </w:tc>
      </w:tr>
      <w:tr w:rsidR="00641520" w:rsidRPr="00396492" w14:paraId="1FE29FEF"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020AC141" w14:textId="413C0110" w:rsidR="00D11F6A" w:rsidRPr="00D6760B" w:rsidRDefault="00D11F6A" w:rsidP="001703DB">
            <w:pPr>
              <w:pStyle w:val="Tabletext"/>
              <w:jc w:val="center"/>
              <w:rPr>
                <w:rFonts w:cstheme="minorHAnsi"/>
                <w:b w:val="0"/>
                <w:bCs w:val="0"/>
                <w:lang w:val="es-ES"/>
              </w:rPr>
            </w:pPr>
            <w:hyperlink r:id="rId27" w:history="1">
              <w:r w:rsidRPr="00D6760B">
                <w:rPr>
                  <w:rStyle w:val="Hyperlink"/>
                  <w:rFonts w:cstheme="minorHAnsi"/>
                  <w:b w:val="0"/>
                  <w:bCs w:val="0"/>
                  <w:szCs w:val="22"/>
                  <w:lang w:val="es-ES"/>
                </w:rPr>
                <w:t>Res.1-9 (2023)</w:t>
              </w:r>
            </w:hyperlink>
          </w:p>
        </w:tc>
        <w:tc>
          <w:tcPr>
            <w:tcW w:w="1651" w:type="pct"/>
          </w:tcPr>
          <w:p w14:paraId="71A47B81"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szCs w:val="22"/>
                <w:lang w:val="es-ES"/>
              </w:rPr>
            </w:pPr>
            <w:r w:rsidRPr="0071099C">
              <w:rPr>
                <w:b/>
                <w:bCs/>
                <w:szCs w:val="22"/>
                <w:lang w:val="es-ES"/>
              </w:rPr>
              <w:t>Métodos de trabajo de la Asamblea de Radiocomunicaciones, de las Comisiones de Estudio de Radiocomunicaciones, del Grupo Asesor de Radiocomunicaciones y de otros grupos del Sector de Radiocomunicaciones</w:t>
            </w:r>
          </w:p>
        </w:tc>
        <w:tc>
          <w:tcPr>
            <w:tcW w:w="409" w:type="pct"/>
          </w:tcPr>
          <w:p w14:paraId="4E22FA1A" w14:textId="77777777" w:rsidR="00D11F6A" w:rsidRPr="0071099C"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szCs w:val="22"/>
                <w:lang w:val="es-ES"/>
              </w:rPr>
            </w:pPr>
            <w:r w:rsidRPr="0071099C">
              <w:rPr>
                <w:szCs w:val="22"/>
                <w:lang w:val="es-ES"/>
              </w:rPr>
              <w:t>MOD</w:t>
            </w:r>
          </w:p>
        </w:tc>
        <w:tc>
          <w:tcPr>
            <w:tcW w:w="2509" w:type="pct"/>
          </w:tcPr>
          <w:p w14:paraId="2EE19A21"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szCs w:val="22"/>
                <w:lang w:val="es-ES"/>
              </w:rPr>
            </w:pPr>
          </w:p>
        </w:tc>
      </w:tr>
      <w:tr w:rsidR="00641520" w:rsidRPr="00396492" w14:paraId="68631A99"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541E534A" w14:textId="6734F6B9" w:rsidR="00D11F6A" w:rsidRPr="00D6760B" w:rsidRDefault="00D11F6A" w:rsidP="001703DB">
            <w:pPr>
              <w:pStyle w:val="Tabletext"/>
              <w:jc w:val="center"/>
              <w:rPr>
                <w:rFonts w:cstheme="minorHAnsi"/>
                <w:b w:val="0"/>
                <w:bCs w:val="0"/>
                <w:lang w:val="es-ES"/>
              </w:rPr>
            </w:pPr>
            <w:hyperlink r:id="rId28" w:history="1">
              <w:r w:rsidRPr="00D6760B">
                <w:rPr>
                  <w:rStyle w:val="Hyperlink"/>
                  <w:rFonts w:cstheme="minorHAnsi"/>
                  <w:b w:val="0"/>
                  <w:bCs w:val="0"/>
                  <w:szCs w:val="22"/>
                  <w:lang w:val="es-ES"/>
                </w:rPr>
                <w:t>Res.2-9 (2023)</w:t>
              </w:r>
            </w:hyperlink>
          </w:p>
        </w:tc>
        <w:tc>
          <w:tcPr>
            <w:tcW w:w="1651" w:type="pct"/>
          </w:tcPr>
          <w:p w14:paraId="2A6E11F4"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szCs w:val="22"/>
                <w:lang w:val="es-ES"/>
              </w:rPr>
            </w:pPr>
            <w:bookmarkStart w:id="8" w:name="_Toc180535448"/>
            <w:bookmarkStart w:id="9" w:name="_Toc180537868"/>
            <w:r w:rsidRPr="0071099C">
              <w:rPr>
                <w:b/>
                <w:bCs/>
                <w:szCs w:val="22"/>
                <w:lang w:val="es-ES"/>
              </w:rPr>
              <w:t>Reunión Preparatoria de la Conferencia</w:t>
            </w:r>
            <w:bookmarkEnd w:id="8"/>
            <w:bookmarkEnd w:id="9"/>
          </w:p>
        </w:tc>
        <w:tc>
          <w:tcPr>
            <w:tcW w:w="409" w:type="pct"/>
          </w:tcPr>
          <w:p w14:paraId="5BB38FD6" w14:textId="77777777" w:rsidR="00D11F6A" w:rsidRPr="0071099C"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szCs w:val="22"/>
                <w:lang w:val="es-ES"/>
              </w:rPr>
            </w:pPr>
            <w:r w:rsidRPr="0071099C">
              <w:rPr>
                <w:szCs w:val="22"/>
                <w:lang w:val="es-ES"/>
              </w:rPr>
              <w:t>MOD</w:t>
            </w:r>
          </w:p>
        </w:tc>
        <w:tc>
          <w:tcPr>
            <w:tcW w:w="2509" w:type="pct"/>
          </w:tcPr>
          <w:p w14:paraId="12A1E88D"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szCs w:val="22"/>
                <w:lang w:val="es-ES"/>
              </w:rPr>
            </w:pPr>
          </w:p>
        </w:tc>
      </w:tr>
      <w:tr w:rsidR="00641520" w:rsidRPr="00396492" w14:paraId="53ABA96A"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D005452" w14:textId="4751582C" w:rsidR="00D11F6A" w:rsidRPr="00D6760B" w:rsidRDefault="00D11F6A" w:rsidP="001703DB">
            <w:pPr>
              <w:pStyle w:val="Tabletext"/>
              <w:jc w:val="center"/>
              <w:rPr>
                <w:rFonts w:cstheme="minorHAnsi"/>
                <w:b w:val="0"/>
                <w:bCs w:val="0"/>
                <w:lang w:val="es-ES"/>
              </w:rPr>
            </w:pPr>
            <w:hyperlink r:id="rId29" w:history="1">
              <w:r w:rsidRPr="00D6760B">
                <w:rPr>
                  <w:rStyle w:val="Hyperlink"/>
                  <w:rFonts w:cstheme="minorHAnsi"/>
                  <w:b w:val="0"/>
                  <w:bCs w:val="0"/>
                  <w:szCs w:val="22"/>
                  <w:lang w:val="es-ES"/>
                </w:rPr>
                <w:t>Res.4-9 (2023)</w:t>
              </w:r>
            </w:hyperlink>
          </w:p>
        </w:tc>
        <w:tc>
          <w:tcPr>
            <w:tcW w:w="1651" w:type="pct"/>
          </w:tcPr>
          <w:p w14:paraId="50AFA77A"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szCs w:val="22"/>
                <w:lang w:val="es-ES"/>
              </w:rPr>
            </w:pPr>
            <w:r w:rsidRPr="0071099C">
              <w:rPr>
                <w:b/>
                <w:bCs/>
                <w:szCs w:val="22"/>
                <w:lang w:val="es-ES"/>
              </w:rPr>
              <w:t>Estructura de las Comisiones de Estudio de Radiocomunicaciones</w:t>
            </w:r>
          </w:p>
        </w:tc>
        <w:tc>
          <w:tcPr>
            <w:tcW w:w="409" w:type="pct"/>
          </w:tcPr>
          <w:p w14:paraId="7DB8DD6A" w14:textId="77777777" w:rsidR="00D11F6A" w:rsidRPr="0071099C"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szCs w:val="22"/>
                <w:lang w:val="es-ES"/>
              </w:rPr>
            </w:pPr>
            <w:r w:rsidRPr="0071099C">
              <w:rPr>
                <w:szCs w:val="22"/>
                <w:lang w:val="es-ES"/>
              </w:rPr>
              <w:t>MOD</w:t>
            </w:r>
          </w:p>
        </w:tc>
        <w:tc>
          <w:tcPr>
            <w:tcW w:w="2509" w:type="pct"/>
          </w:tcPr>
          <w:p w14:paraId="38133381"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szCs w:val="22"/>
                <w:lang w:val="es-ES"/>
              </w:rPr>
            </w:pPr>
          </w:p>
        </w:tc>
      </w:tr>
      <w:tr w:rsidR="00641520" w:rsidRPr="00396492" w14:paraId="2DDEE9E2"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7B8F2145" w14:textId="11D2ABE0" w:rsidR="00D11F6A" w:rsidRPr="00D6760B" w:rsidRDefault="00D11F6A" w:rsidP="001703DB">
            <w:pPr>
              <w:pStyle w:val="Tabletext"/>
              <w:jc w:val="center"/>
              <w:rPr>
                <w:rFonts w:cstheme="minorHAnsi"/>
                <w:b w:val="0"/>
                <w:bCs w:val="0"/>
                <w:lang w:val="es-ES"/>
              </w:rPr>
            </w:pPr>
            <w:hyperlink r:id="rId30" w:history="1">
              <w:r w:rsidRPr="00D6760B">
                <w:rPr>
                  <w:rStyle w:val="Hyperlink"/>
                  <w:rFonts w:cstheme="minorHAnsi"/>
                  <w:b w:val="0"/>
                  <w:bCs w:val="0"/>
                  <w:szCs w:val="22"/>
                  <w:lang w:val="es-ES"/>
                </w:rPr>
                <w:t>Res.5</w:t>
              </w:r>
            </w:hyperlink>
          </w:p>
        </w:tc>
        <w:tc>
          <w:tcPr>
            <w:tcW w:w="1651" w:type="pct"/>
          </w:tcPr>
          <w:p w14:paraId="3CFC4522"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szCs w:val="22"/>
                <w:lang w:val="es-ES"/>
              </w:rPr>
            </w:pPr>
            <w:r w:rsidRPr="0071099C">
              <w:rPr>
                <w:b/>
                <w:bCs/>
                <w:szCs w:val="22"/>
                <w:lang w:val="es-ES"/>
              </w:rPr>
              <w:t>Programa de trabajo y Cuestiones de las Comisiones de Estudio de Radiocomunicaciones</w:t>
            </w:r>
          </w:p>
        </w:tc>
        <w:tc>
          <w:tcPr>
            <w:tcW w:w="409" w:type="pct"/>
          </w:tcPr>
          <w:p w14:paraId="34F506F0" w14:textId="77777777" w:rsidR="00D11F6A" w:rsidRPr="0071099C"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szCs w:val="22"/>
                <w:lang w:val="es-ES"/>
              </w:rPr>
            </w:pPr>
            <w:r w:rsidRPr="0071099C">
              <w:rPr>
                <w:szCs w:val="22"/>
                <w:lang w:val="es-ES"/>
              </w:rPr>
              <w:t>MOD</w:t>
            </w:r>
          </w:p>
        </w:tc>
        <w:tc>
          <w:tcPr>
            <w:tcW w:w="2509" w:type="pct"/>
          </w:tcPr>
          <w:p w14:paraId="3717FA02"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szCs w:val="22"/>
                <w:lang w:val="es-ES"/>
              </w:rPr>
            </w:pPr>
          </w:p>
        </w:tc>
      </w:tr>
      <w:tr w:rsidR="00641520" w:rsidRPr="003A17D9" w14:paraId="68955594"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5BBF3DB2" w14:textId="00763C20" w:rsidR="00D11F6A" w:rsidRPr="00D6760B" w:rsidRDefault="00D11F6A" w:rsidP="001703DB">
            <w:pPr>
              <w:pStyle w:val="Tabletext"/>
              <w:jc w:val="center"/>
              <w:rPr>
                <w:rFonts w:cstheme="minorHAnsi"/>
                <w:b w:val="0"/>
                <w:bCs w:val="0"/>
                <w:lang w:val="es-ES"/>
              </w:rPr>
            </w:pPr>
            <w:hyperlink r:id="rId31" w:history="1">
              <w:r w:rsidRPr="00D6760B">
                <w:rPr>
                  <w:rStyle w:val="Hyperlink"/>
                  <w:rFonts w:cstheme="minorHAnsi"/>
                  <w:b w:val="0"/>
                  <w:bCs w:val="0"/>
                  <w:szCs w:val="22"/>
                  <w:lang w:val="es-ES"/>
                </w:rPr>
                <w:t>Res.6-3 (2019)</w:t>
              </w:r>
            </w:hyperlink>
          </w:p>
        </w:tc>
        <w:tc>
          <w:tcPr>
            <w:tcW w:w="1651" w:type="pct"/>
          </w:tcPr>
          <w:p w14:paraId="52AEB127"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szCs w:val="22"/>
                <w:lang w:val="es-ES"/>
              </w:rPr>
            </w:pPr>
            <w:bookmarkStart w:id="10" w:name="_Toc180537874"/>
            <w:r w:rsidRPr="0071099C">
              <w:rPr>
                <w:b/>
                <w:bCs/>
                <w:szCs w:val="22"/>
                <w:lang w:val="es-ES"/>
              </w:rPr>
              <w:t>Coordinación y colaboración con el Sector de Normalización de las Telecomunicaciones de la UIT</w:t>
            </w:r>
            <w:bookmarkEnd w:id="10"/>
          </w:p>
        </w:tc>
        <w:tc>
          <w:tcPr>
            <w:tcW w:w="409" w:type="pct"/>
          </w:tcPr>
          <w:p w14:paraId="12CEF6B1" w14:textId="77777777" w:rsidR="00D11F6A" w:rsidRPr="0071099C"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szCs w:val="22"/>
                <w:lang w:val="es-ES"/>
              </w:rPr>
            </w:pPr>
            <w:r w:rsidRPr="0071099C">
              <w:rPr>
                <w:szCs w:val="22"/>
                <w:lang w:val="es-ES"/>
              </w:rPr>
              <w:t>SUP</w:t>
            </w:r>
          </w:p>
        </w:tc>
        <w:tc>
          <w:tcPr>
            <w:tcW w:w="2509" w:type="pct"/>
          </w:tcPr>
          <w:p w14:paraId="28DAAFC1"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szCs w:val="22"/>
                <w:lang w:val="es-ES"/>
              </w:rPr>
            </w:pPr>
            <w:r w:rsidRPr="0071099C">
              <w:rPr>
                <w:szCs w:val="22"/>
                <w:lang w:val="es-ES"/>
              </w:rPr>
              <w:t>Véase la nueva Resolución UIT-R 75</w:t>
            </w:r>
          </w:p>
        </w:tc>
      </w:tr>
      <w:tr w:rsidR="00641520" w:rsidRPr="003A17D9" w14:paraId="0CD39BFB"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44010022" w14:textId="05DE837A" w:rsidR="00D11F6A" w:rsidRPr="00D6760B" w:rsidRDefault="00D11F6A" w:rsidP="001703DB">
            <w:pPr>
              <w:pStyle w:val="Tabletext"/>
              <w:jc w:val="center"/>
              <w:rPr>
                <w:rFonts w:cstheme="minorHAnsi"/>
                <w:b w:val="0"/>
                <w:bCs w:val="0"/>
                <w:lang w:val="es-ES"/>
              </w:rPr>
            </w:pPr>
            <w:hyperlink r:id="rId32" w:history="1">
              <w:r w:rsidRPr="00D6760B">
                <w:rPr>
                  <w:rStyle w:val="Hyperlink"/>
                  <w:rFonts w:cstheme="minorHAnsi"/>
                  <w:b w:val="0"/>
                  <w:bCs w:val="0"/>
                  <w:szCs w:val="22"/>
                  <w:lang w:val="es-ES"/>
                </w:rPr>
                <w:t>Res.7-4 (2019)</w:t>
              </w:r>
            </w:hyperlink>
          </w:p>
        </w:tc>
        <w:tc>
          <w:tcPr>
            <w:tcW w:w="1651" w:type="pct"/>
          </w:tcPr>
          <w:p w14:paraId="756EEB5F"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szCs w:val="22"/>
                <w:lang w:val="es-ES"/>
              </w:rPr>
            </w:pPr>
            <w:r w:rsidRPr="0071099C">
              <w:rPr>
                <w:b/>
                <w:bCs/>
                <w:szCs w:val="22"/>
                <w:lang w:val="es-ES"/>
              </w:rPr>
              <w:t>Desarrollo de las telecomunicaciones, incluida la coordinación y colaboración con el Sector de Desarrollo de las Telecomunicaciones de la UIT</w:t>
            </w:r>
          </w:p>
        </w:tc>
        <w:tc>
          <w:tcPr>
            <w:tcW w:w="409" w:type="pct"/>
          </w:tcPr>
          <w:p w14:paraId="3B487F3E" w14:textId="77777777" w:rsidR="00D11F6A" w:rsidRPr="0071099C"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szCs w:val="22"/>
                <w:lang w:val="es-ES"/>
              </w:rPr>
            </w:pPr>
            <w:r w:rsidRPr="0071099C">
              <w:rPr>
                <w:szCs w:val="22"/>
                <w:lang w:val="es-ES"/>
              </w:rPr>
              <w:t>SUP</w:t>
            </w:r>
          </w:p>
        </w:tc>
        <w:tc>
          <w:tcPr>
            <w:tcW w:w="2509" w:type="pct"/>
          </w:tcPr>
          <w:p w14:paraId="67463E5E"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szCs w:val="22"/>
                <w:lang w:val="es-ES"/>
              </w:rPr>
            </w:pPr>
            <w:r w:rsidRPr="0071099C">
              <w:rPr>
                <w:szCs w:val="22"/>
                <w:lang w:val="es-ES"/>
              </w:rPr>
              <w:t>Véase la nueva Resolución UIT-R 75</w:t>
            </w:r>
          </w:p>
        </w:tc>
      </w:tr>
      <w:tr w:rsidR="00641520" w:rsidRPr="003A17D9" w14:paraId="302DC9C5"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2D139B04" w14:textId="2B7B78CA" w:rsidR="00D11F6A" w:rsidRPr="00D6760B" w:rsidRDefault="00D11F6A" w:rsidP="001703DB">
            <w:pPr>
              <w:pStyle w:val="Tabletext"/>
              <w:jc w:val="center"/>
              <w:rPr>
                <w:rFonts w:cstheme="minorHAnsi"/>
                <w:b w:val="0"/>
                <w:bCs w:val="0"/>
                <w:szCs w:val="22"/>
                <w:lang w:val="es-ES"/>
              </w:rPr>
            </w:pPr>
            <w:hyperlink r:id="rId33" w:history="1">
              <w:r w:rsidRPr="00D6760B">
                <w:rPr>
                  <w:rStyle w:val="Hyperlink"/>
                  <w:rFonts w:cstheme="minorHAnsi"/>
                  <w:b w:val="0"/>
                  <w:bCs w:val="0"/>
                  <w:szCs w:val="22"/>
                  <w:lang w:val="es-ES"/>
                </w:rPr>
                <w:t>Res.8-4(2023)</w:t>
              </w:r>
            </w:hyperlink>
          </w:p>
        </w:tc>
        <w:tc>
          <w:tcPr>
            <w:tcW w:w="1651" w:type="pct"/>
          </w:tcPr>
          <w:p w14:paraId="66E66C00" w14:textId="6FBCB52A"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
              </w:rPr>
            </w:pPr>
            <w:bookmarkStart w:id="11" w:name="_Toc151971612"/>
            <w:r w:rsidRPr="0071099C">
              <w:rPr>
                <w:rFonts w:cstheme="minorHAnsi"/>
                <w:b/>
                <w:bCs/>
                <w:szCs w:val="22"/>
                <w:lang w:val="es-ES_tradnl"/>
              </w:rPr>
              <w:t>Estudios y campañas de medición de la propagación radioeléctrica en los países en desarrollo</w:t>
            </w:r>
            <w:bookmarkEnd w:id="11"/>
          </w:p>
        </w:tc>
        <w:tc>
          <w:tcPr>
            <w:tcW w:w="409" w:type="pct"/>
          </w:tcPr>
          <w:p w14:paraId="30CA39F5" w14:textId="77777777" w:rsidR="00D11F6A" w:rsidRPr="0071099C"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71099C">
              <w:rPr>
                <w:rFonts w:cstheme="minorHAnsi"/>
                <w:szCs w:val="22"/>
                <w:lang w:val="es-ES"/>
              </w:rPr>
              <w:t>MOD</w:t>
            </w:r>
          </w:p>
        </w:tc>
        <w:tc>
          <w:tcPr>
            <w:tcW w:w="2509" w:type="pct"/>
          </w:tcPr>
          <w:p w14:paraId="591E2C71" w14:textId="77777777" w:rsidR="00D11F6A" w:rsidRPr="0071099C" w:rsidRDefault="00D11F6A" w:rsidP="00F94B6C">
            <w:pPr>
              <w:pStyle w:val="Tabletext"/>
              <w:ind w:left="394"/>
              <w:cnfStyle w:val="000000100000" w:firstRow="0" w:lastRow="0" w:firstColumn="0" w:lastColumn="0" w:oddVBand="0" w:evenVBand="0" w:oddHBand="1" w:evenHBand="0" w:firstRowFirstColumn="0" w:firstRowLastColumn="0" w:lastRowFirstColumn="0" w:lastRowLastColumn="0"/>
              <w:rPr>
                <w:rFonts w:cstheme="minorHAnsi"/>
                <w:i/>
                <w:szCs w:val="22"/>
                <w:lang w:val="es-ES"/>
              </w:rPr>
            </w:pPr>
            <w:r w:rsidRPr="0071099C">
              <w:rPr>
                <w:rFonts w:cstheme="minorHAnsi"/>
                <w:i/>
                <w:szCs w:val="22"/>
                <w:lang w:val="es-ES"/>
              </w:rPr>
              <w:t>considerando</w:t>
            </w:r>
          </w:p>
          <w:p w14:paraId="759BCCFB" w14:textId="77777777" w:rsidR="00D11F6A" w:rsidRPr="0071099C"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71099C">
              <w:rPr>
                <w:rFonts w:cstheme="minorHAnsi"/>
                <w:i/>
                <w:iCs/>
                <w:szCs w:val="22"/>
                <w:lang w:val="es-ES"/>
              </w:rPr>
              <w:t>c)</w:t>
            </w:r>
            <w:r w:rsidRPr="0071099C">
              <w:rPr>
                <w:rFonts w:cstheme="minorHAnsi"/>
                <w:szCs w:val="22"/>
                <w:lang w:val="es-ES"/>
              </w:rPr>
              <w:tab/>
            </w:r>
            <w:r w:rsidRPr="0071099C">
              <w:rPr>
                <w:rFonts w:cstheme="minorHAnsi"/>
                <w:szCs w:val="22"/>
                <w:lang w:val="es-ES_tradnl"/>
              </w:rPr>
              <w:t>que la Resolución 5 (Rev.CMR-15</w:t>
            </w:r>
            <w:r w:rsidRPr="00F94B6C">
              <w:rPr>
                <w:rFonts w:cstheme="minorHAnsi"/>
                <w:i/>
                <w:iCs/>
                <w:szCs w:val="22"/>
                <w:lang w:val="es-ES_tradnl"/>
              </w:rPr>
              <w:t>) resuelve encargar al Secretario General</w:t>
            </w:r>
            <w:r w:rsidRPr="0071099C">
              <w:rPr>
                <w:rFonts w:cstheme="minorHAnsi"/>
                <w:szCs w:val="22"/>
                <w:lang w:val="es-ES_tradnl"/>
              </w:rPr>
              <w:t xml:space="preserve"> que ofrezca la asistencia de la Unión a los países en desarrollo </w:t>
            </w:r>
            <w:r w:rsidRPr="0071099C">
              <w:rPr>
                <w:rFonts w:cstheme="minorHAnsi"/>
                <w:szCs w:val="22"/>
                <w:lang w:val="es-ES_tradnl"/>
              </w:rPr>
              <w:lastRenderedPageBreak/>
              <w:t>situados en regiones tropicales que se esfuerzan por efectuar estudios sobre su propio territorio para mejorar y desarrollar sus radiocomunicaciones, a que ayude a estos países a organizar, si es necesario con la colaboración de las organizaciones internacionales y regionales que pudieran interesarse en la cuestión, campañas nacionales de medición de la propagación, incluida la recogida de los datos meteorológicos apropiados, y a que trate de obtener fondos y recursos para estos fines del Programa de las Naciones Unidas para el Desarrollo (PNUD) o de otras fuentes, de modo que la Unión pueda aportar a los países interesados asistencia técnica suficiente y eficaz para alcanzar los fines de dicha Resolución</w:t>
            </w:r>
            <w:r w:rsidRPr="0071099C">
              <w:rPr>
                <w:rFonts w:cstheme="minorHAnsi"/>
                <w:szCs w:val="22"/>
                <w:lang w:val="es-ES"/>
              </w:rPr>
              <w:t>,</w:t>
            </w:r>
          </w:p>
          <w:p w14:paraId="7513A288" w14:textId="77777777" w:rsidR="00D11F6A" w:rsidRPr="0071099C" w:rsidRDefault="00D11F6A" w:rsidP="00F94B6C">
            <w:pPr>
              <w:pStyle w:val="Tabletext"/>
              <w:ind w:left="394"/>
              <w:cnfStyle w:val="000000100000" w:firstRow="0" w:lastRow="0" w:firstColumn="0" w:lastColumn="0" w:oddVBand="0" w:evenVBand="0" w:oddHBand="1" w:evenHBand="0" w:firstRowFirstColumn="0" w:firstRowLastColumn="0" w:lastRowFirstColumn="0" w:lastRowLastColumn="0"/>
              <w:rPr>
                <w:rFonts w:cstheme="minorHAnsi"/>
                <w:i/>
                <w:szCs w:val="22"/>
                <w:lang w:val="es-ES"/>
              </w:rPr>
            </w:pPr>
            <w:r w:rsidRPr="0071099C">
              <w:rPr>
                <w:rFonts w:cstheme="minorHAnsi"/>
                <w:i/>
                <w:szCs w:val="22"/>
                <w:lang w:val="es-ES"/>
              </w:rPr>
              <w:t>resuelve</w:t>
            </w:r>
          </w:p>
          <w:p w14:paraId="0D4F243C" w14:textId="7F1DD3BB" w:rsidR="00D11F6A" w:rsidRPr="00D83D3E"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rFonts w:cstheme="minorHAnsi"/>
                <w:szCs w:val="22"/>
                <w:lang w:val="es-ES_tradnl"/>
              </w:rPr>
            </w:pPr>
            <w:r w:rsidRPr="0071099C">
              <w:rPr>
                <w:rFonts w:cstheme="minorHAnsi"/>
                <w:szCs w:val="22"/>
                <w:lang w:val="es-ES"/>
              </w:rPr>
              <w:t>4</w:t>
            </w:r>
            <w:r w:rsidRPr="0071099C">
              <w:rPr>
                <w:rFonts w:cstheme="minorHAnsi"/>
                <w:szCs w:val="22"/>
                <w:lang w:val="es-ES"/>
              </w:rPr>
              <w:tab/>
            </w:r>
            <w:r w:rsidRPr="0071099C">
              <w:rPr>
                <w:rFonts w:cstheme="minorHAnsi"/>
                <w:szCs w:val="22"/>
                <w:lang w:val="es-ES_tradnl"/>
              </w:rPr>
              <w:t>que la Oficina de Radiocomunicaciones, con el apoyo adecuado de la Comisión de Estudio 3 de Radiocomunicaciones, colabore estrechamente con la Oficina de Desarrollo de las Telecomunicaciones en la identificación de campañas de medición de propagación adecuadas en las regiones de interés y ofrezca todas las orientaciones técnicas necesarias a la Oficina de Desarrollo de las Telecomunicaciones para la realización de cualquiera de estas mediciones</w:t>
            </w:r>
            <w:r w:rsidR="00E83DE2">
              <w:rPr>
                <w:rFonts w:cstheme="minorHAnsi"/>
                <w:szCs w:val="22"/>
                <w:lang w:val="es-ES_tradnl"/>
              </w:rPr>
              <w:t>,</w:t>
            </w:r>
          </w:p>
        </w:tc>
      </w:tr>
      <w:tr w:rsidR="00641520" w:rsidRPr="00396492" w14:paraId="6826AD32"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67A25857" w14:textId="7A658D96" w:rsidR="00D11F6A" w:rsidRPr="00965AC4" w:rsidRDefault="00D11F6A" w:rsidP="001703DB">
            <w:pPr>
              <w:pStyle w:val="Tabletext"/>
              <w:jc w:val="center"/>
              <w:rPr>
                <w:rFonts w:cstheme="minorHAnsi"/>
                <w:b w:val="0"/>
                <w:bCs w:val="0"/>
                <w:szCs w:val="22"/>
                <w:lang w:val="es-ES"/>
              </w:rPr>
            </w:pPr>
            <w:hyperlink r:id="rId34" w:history="1">
              <w:r w:rsidRPr="00965AC4">
                <w:rPr>
                  <w:rStyle w:val="Hyperlink"/>
                  <w:rFonts w:cstheme="minorHAnsi"/>
                  <w:b w:val="0"/>
                  <w:bCs w:val="0"/>
                  <w:szCs w:val="22"/>
                  <w:lang w:val="es-ES"/>
                </w:rPr>
                <w:t>Res.9-7 (2023)</w:t>
              </w:r>
            </w:hyperlink>
          </w:p>
        </w:tc>
        <w:tc>
          <w:tcPr>
            <w:tcW w:w="1651" w:type="pct"/>
          </w:tcPr>
          <w:p w14:paraId="5A23F046"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12" w:name="_Toc151971614"/>
            <w:r w:rsidRPr="0071099C">
              <w:rPr>
                <w:rFonts w:cstheme="minorHAnsi"/>
                <w:b/>
                <w:bCs/>
                <w:szCs w:val="22"/>
                <w:lang w:val="es-ES_tradnl"/>
              </w:rPr>
              <w:t>Coordinación y colaboración con otras organizaciones interesadas, en particular la ISO, la CEI y el CISPR</w:t>
            </w:r>
            <w:bookmarkEnd w:id="12"/>
          </w:p>
        </w:tc>
        <w:tc>
          <w:tcPr>
            <w:tcW w:w="409" w:type="pct"/>
          </w:tcPr>
          <w:p w14:paraId="2FC59222" w14:textId="77777777" w:rsidR="00D11F6A" w:rsidRPr="0071099C"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Cs w:val="22"/>
                <w:lang w:val="es-ES"/>
              </w:rPr>
            </w:pPr>
            <w:r w:rsidRPr="0071099C">
              <w:rPr>
                <w:rFonts w:cstheme="minorHAnsi"/>
                <w:szCs w:val="22"/>
                <w:lang w:val="es-ES"/>
              </w:rPr>
              <w:t>MOD</w:t>
            </w:r>
          </w:p>
        </w:tc>
        <w:tc>
          <w:tcPr>
            <w:tcW w:w="2509" w:type="pct"/>
          </w:tcPr>
          <w:p w14:paraId="498400FC" w14:textId="77777777" w:rsidR="00D11F6A" w:rsidRPr="0071099C"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es-ES"/>
              </w:rPr>
            </w:pPr>
          </w:p>
        </w:tc>
      </w:tr>
      <w:tr w:rsidR="00641520" w:rsidRPr="003A17D9" w14:paraId="33E4D7E6"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2ECF355A" w14:textId="2C2AE070" w:rsidR="00D11F6A" w:rsidRPr="00965AC4" w:rsidRDefault="00D11F6A" w:rsidP="001703DB">
            <w:pPr>
              <w:pStyle w:val="Tabletext"/>
              <w:jc w:val="center"/>
              <w:rPr>
                <w:rFonts w:cstheme="minorHAnsi"/>
                <w:b w:val="0"/>
                <w:bCs w:val="0"/>
                <w:szCs w:val="22"/>
                <w:lang w:val="es-ES"/>
              </w:rPr>
            </w:pPr>
            <w:hyperlink r:id="rId35" w:history="1">
              <w:r w:rsidRPr="00965AC4">
                <w:rPr>
                  <w:rStyle w:val="Hyperlink"/>
                  <w:rFonts w:cstheme="minorHAnsi"/>
                  <w:b w:val="0"/>
                  <w:bCs w:val="0"/>
                  <w:szCs w:val="22"/>
                  <w:lang w:val="es-ES"/>
                </w:rPr>
                <w:t>Res.11-6 (2023)</w:t>
              </w:r>
            </w:hyperlink>
          </w:p>
        </w:tc>
        <w:tc>
          <w:tcPr>
            <w:tcW w:w="1651" w:type="pct"/>
          </w:tcPr>
          <w:p w14:paraId="5E3E7D88" w14:textId="77777777" w:rsidR="00D11F6A" w:rsidRPr="0071099C"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13" w:name="_Toc151971616"/>
            <w:r w:rsidRPr="0071099C">
              <w:rPr>
                <w:rFonts w:cstheme="minorHAnsi"/>
                <w:b/>
                <w:bCs/>
                <w:szCs w:val="22"/>
                <w:lang w:val="es-ES_tradnl"/>
              </w:rPr>
              <w:t>Perfeccionamiento del sistema de gestión del espectro para los países en desarrollo</w:t>
            </w:r>
            <w:bookmarkEnd w:id="13"/>
          </w:p>
        </w:tc>
        <w:tc>
          <w:tcPr>
            <w:tcW w:w="409" w:type="pct"/>
          </w:tcPr>
          <w:p w14:paraId="1E62C152" w14:textId="77777777" w:rsidR="00D11F6A" w:rsidRPr="0071099C"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71099C">
              <w:rPr>
                <w:rFonts w:cstheme="minorHAnsi"/>
                <w:szCs w:val="22"/>
                <w:lang w:val="es-ES"/>
              </w:rPr>
              <w:t>MOD</w:t>
            </w:r>
          </w:p>
        </w:tc>
        <w:tc>
          <w:tcPr>
            <w:tcW w:w="2509" w:type="pct"/>
          </w:tcPr>
          <w:p w14:paraId="4D9F2461" w14:textId="77777777" w:rsidR="00D11F6A" w:rsidRPr="0071099C" w:rsidRDefault="00D11F6A" w:rsidP="00F94B6C">
            <w:pPr>
              <w:pStyle w:val="Tabletext"/>
              <w:ind w:left="394"/>
              <w:cnfStyle w:val="000000100000" w:firstRow="0" w:lastRow="0" w:firstColumn="0" w:lastColumn="0" w:oddVBand="0" w:evenVBand="0" w:oddHBand="1" w:evenHBand="0" w:firstRowFirstColumn="0" w:firstRowLastColumn="0" w:lastRowFirstColumn="0" w:lastRowLastColumn="0"/>
              <w:rPr>
                <w:rFonts w:cstheme="minorHAnsi"/>
                <w:i/>
                <w:szCs w:val="22"/>
                <w:lang w:val="es-ES"/>
              </w:rPr>
            </w:pPr>
            <w:r w:rsidRPr="0071099C">
              <w:rPr>
                <w:rFonts w:cstheme="minorHAnsi"/>
                <w:i/>
                <w:szCs w:val="22"/>
                <w:lang w:val="es-ES"/>
              </w:rPr>
              <w:t>considerando</w:t>
            </w:r>
          </w:p>
          <w:p w14:paraId="6D4382EA" w14:textId="77777777" w:rsidR="00D11F6A" w:rsidRPr="0071099C" w:rsidRDefault="00D11F6A" w:rsidP="005E348B">
            <w:pPr>
              <w:pStyle w:val="Tabletext"/>
              <w:tabs>
                <w:tab w:val="clear" w:pos="284"/>
                <w:tab w:val="left" w:pos="678"/>
              </w:tabs>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lang w:val="es-ES_tradnl"/>
              </w:rPr>
            </w:pPr>
            <w:r w:rsidRPr="00F94B6C">
              <w:rPr>
                <w:rFonts w:cstheme="minorHAnsi"/>
                <w:i/>
                <w:iCs/>
                <w:szCs w:val="22"/>
                <w:lang w:val="es-ES_tradnl"/>
              </w:rPr>
              <w:t>a)</w:t>
            </w:r>
            <w:r w:rsidRPr="0071099C">
              <w:rPr>
                <w:rFonts w:cstheme="minorHAnsi"/>
                <w:szCs w:val="22"/>
                <w:lang w:val="es-ES_tradnl"/>
              </w:rPr>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14:paraId="52023781" w14:textId="77777777" w:rsidR="00D11F6A" w:rsidRPr="0071099C" w:rsidRDefault="00D11F6A" w:rsidP="005E348B">
            <w:pPr>
              <w:pStyle w:val="Tabletext"/>
              <w:spacing w:after="120"/>
              <w:cnfStyle w:val="000000100000" w:firstRow="0" w:lastRow="0" w:firstColumn="0" w:lastColumn="0" w:oddVBand="0" w:evenVBand="0" w:oddHBand="1" w:evenHBand="0" w:firstRowFirstColumn="0" w:firstRowLastColumn="0" w:lastRowFirstColumn="0" w:lastRowLastColumn="0"/>
              <w:rPr>
                <w:rFonts w:cstheme="minorHAnsi"/>
                <w:szCs w:val="22"/>
                <w:lang w:val="es-ES_tradnl"/>
              </w:rPr>
            </w:pPr>
            <w:r w:rsidRPr="00F94B6C">
              <w:rPr>
                <w:rFonts w:cstheme="minorHAnsi"/>
                <w:i/>
                <w:iCs/>
                <w:szCs w:val="22"/>
                <w:lang w:val="es-ES_tradnl"/>
              </w:rPr>
              <w:t>b)</w:t>
            </w:r>
            <w:r w:rsidRPr="0071099C">
              <w:rPr>
                <w:rFonts w:cstheme="minorHAnsi"/>
                <w:szCs w:val="22"/>
                <w:lang w:val="es-ES_tradnl"/>
              </w:rPr>
              <w:tab/>
              <w:t xml:space="preserve">que la Oficina de Desarrollo de las Telecomunicaciones (BDT) ha elaborado el sistema SMS4DC en Unicode en estrecha colaboración con la </w:t>
            </w:r>
            <w:r w:rsidRPr="0071099C">
              <w:rPr>
                <w:rFonts w:cstheme="minorHAnsi"/>
                <w:szCs w:val="22"/>
                <w:lang w:val="es-ES_tradnl"/>
              </w:rPr>
              <w:lastRenderedPageBreak/>
              <w:t>Oficina de Radiocomunicaciones teniendo en cuenta especificaciones técnicas estipuladas por el UIT</w:t>
            </w:r>
            <w:r w:rsidRPr="0071099C">
              <w:rPr>
                <w:rFonts w:cstheme="minorHAnsi"/>
                <w:szCs w:val="22"/>
                <w:lang w:val="es-ES_tradnl"/>
              </w:rPr>
              <w:noBreakHyphen/>
              <w:t>R y grupos de expertos del UIT</w:t>
            </w:r>
            <w:r w:rsidRPr="0071099C">
              <w:rPr>
                <w:rFonts w:cstheme="minorHAnsi"/>
                <w:szCs w:val="22"/>
                <w:lang w:val="es-ES_tradnl"/>
              </w:rPr>
              <w:noBreakHyphen/>
              <w:t>D;</w:t>
            </w:r>
          </w:p>
          <w:p w14:paraId="3A182A4D" w14:textId="77777777" w:rsidR="00D11F6A" w:rsidRPr="0071099C" w:rsidRDefault="00D11F6A" w:rsidP="005E348B">
            <w:pPr>
              <w:pStyle w:val="Tabletext"/>
              <w:tabs>
                <w:tab w:val="clear" w:pos="284"/>
                <w:tab w:val="left" w:pos="678"/>
              </w:tabs>
              <w:spacing w:after="120"/>
              <w:cnfStyle w:val="000000100000" w:firstRow="0" w:lastRow="0" w:firstColumn="0" w:lastColumn="0" w:oddVBand="0" w:evenVBand="0" w:oddHBand="1" w:evenHBand="0" w:firstRowFirstColumn="0" w:firstRowLastColumn="0" w:lastRowFirstColumn="0" w:lastRowLastColumn="0"/>
              <w:rPr>
                <w:rFonts w:cstheme="minorHAnsi"/>
                <w:szCs w:val="22"/>
                <w:lang w:val="es-ES_tradnl"/>
              </w:rPr>
            </w:pPr>
            <w:r w:rsidRPr="00F94B6C">
              <w:rPr>
                <w:rFonts w:cstheme="minorHAnsi"/>
                <w:i/>
                <w:iCs/>
                <w:szCs w:val="22"/>
                <w:lang w:val="es-ES_tradnl"/>
              </w:rPr>
              <w:t>c)</w:t>
            </w:r>
            <w:r w:rsidRPr="0071099C">
              <w:rPr>
                <w:rFonts w:cstheme="minorHAnsi"/>
                <w:szCs w:val="22"/>
                <w:lang w:val="es-ES_tradnl"/>
              </w:rPr>
              <w:tab/>
              <w:t>que los datos utilizados en el sistema SMS4DC se basan en Recomendaciones pertinentes del UIT-R sobre gestión del espectro, incluidas las relativas a la coordinación y notificación;</w:t>
            </w:r>
          </w:p>
          <w:p w14:paraId="4C1BAF07" w14:textId="77777777" w:rsidR="00D11F6A" w:rsidRPr="0071099C" w:rsidRDefault="00D11F6A" w:rsidP="005E348B">
            <w:pPr>
              <w:pStyle w:val="Tabletext"/>
              <w:tabs>
                <w:tab w:val="clear" w:pos="284"/>
                <w:tab w:val="left" w:pos="678"/>
              </w:tabs>
              <w:spacing w:after="120"/>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F94B6C">
              <w:rPr>
                <w:rFonts w:cstheme="minorHAnsi"/>
                <w:i/>
                <w:iCs/>
                <w:szCs w:val="22"/>
                <w:lang w:val="es-ES_tradnl"/>
              </w:rPr>
              <w:t>d</w:t>
            </w:r>
            <w:r w:rsidRPr="0071099C">
              <w:rPr>
                <w:rFonts w:cstheme="minorHAnsi"/>
                <w:szCs w:val="22"/>
                <w:lang w:val="es-ES_tradnl"/>
              </w:rPr>
              <w:t>)</w:t>
            </w:r>
            <w:r w:rsidRPr="0071099C">
              <w:rPr>
                <w:rFonts w:cstheme="minorHAnsi"/>
                <w:szCs w:val="22"/>
                <w:lang w:val="es-ES_tradnl"/>
              </w:rPr>
              <w:tab/>
              <w:t>que muchas administraciones han logrado aplicar un sistema automático de gestión de base de datos (SGBD) para la elaboración y el mantenimiento de sus datos nacionales de gestión del espectro,</w:t>
            </w:r>
          </w:p>
          <w:p w14:paraId="5D167E53" w14:textId="77777777" w:rsidR="00D11F6A" w:rsidRPr="0071099C" w:rsidRDefault="00D11F6A" w:rsidP="005E348B">
            <w:pPr>
              <w:pStyle w:val="Tabletext"/>
              <w:spacing w:after="120"/>
              <w:ind w:left="391"/>
              <w:cnfStyle w:val="000000100000" w:firstRow="0" w:lastRow="0" w:firstColumn="0" w:lastColumn="0" w:oddVBand="0" w:evenVBand="0" w:oddHBand="1" w:evenHBand="0" w:firstRowFirstColumn="0" w:firstRowLastColumn="0" w:lastRowFirstColumn="0" w:lastRowLastColumn="0"/>
              <w:rPr>
                <w:rFonts w:cstheme="minorHAnsi"/>
                <w:i/>
                <w:szCs w:val="22"/>
                <w:lang w:val="es-ES"/>
              </w:rPr>
            </w:pPr>
            <w:r w:rsidRPr="0071099C">
              <w:rPr>
                <w:rFonts w:cstheme="minorHAnsi"/>
                <w:i/>
                <w:szCs w:val="22"/>
                <w:lang w:val="es-ES"/>
              </w:rPr>
              <w:t>resuelve</w:t>
            </w:r>
          </w:p>
          <w:p w14:paraId="42F92DBD" w14:textId="77777777" w:rsidR="00D11F6A" w:rsidRPr="0071099C"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rFonts w:cstheme="minorHAnsi"/>
                <w:szCs w:val="22"/>
                <w:lang w:val="es-ES_tradnl"/>
              </w:rPr>
            </w:pPr>
            <w:r w:rsidRPr="0071099C">
              <w:rPr>
                <w:rFonts w:cstheme="minorHAnsi"/>
                <w:szCs w:val="22"/>
                <w:lang w:val="es-ES_tradnl"/>
              </w:rPr>
              <w:t>1</w:t>
            </w:r>
            <w:r w:rsidRPr="0071099C">
              <w:rPr>
                <w:rFonts w:cstheme="minorHAnsi"/>
                <w:szCs w:val="22"/>
                <w:lang w:val="es-ES_tradnl"/>
              </w:rPr>
              <w:tab/>
              <w:t>que la Comisión de Estudio 1 y los expertos de la BR sigan prestando su ayuda en el perfeccionamiento del sistema SMS4DC, con arreglo a las decisiones de la CMR y a las Recomendaciones, incluidos los métodos de predicción de ondas radioeléctricas de las Recomendaciones de la serie P, Manuales e Informes pertinentes del UIT</w:t>
            </w:r>
            <w:r w:rsidRPr="0071099C">
              <w:rPr>
                <w:rFonts w:cstheme="minorHAnsi"/>
                <w:szCs w:val="22"/>
                <w:lang w:val="es-ES_tradnl"/>
              </w:rPr>
              <w:noBreakHyphen/>
              <w:t>R;</w:t>
            </w:r>
          </w:p>
          <w:p w14:paraId="6C5C819A" w14:textId="1C946FC1" w:rsidR="00D11F6A" w:rsidRPr="0071099C"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71099C">
              <w:rPr>
                <w:rFonts w:cstheme="minorHAnsi"/>
                <w:szCs w:val="22"/>
                <w:lang w:val="es-ES_tradnl"/>
              </w:rPr>
              <w:t>2</w:t>
            </w:r>
            <w:r w:rsidRPr="0071099C">
              <w:rPr>
                <w:rFonts w:cstheme="minorHAnsi"/>
                <w:szCs w:val="22"/>
                <w:lang w:val="es-ES_tradnl"/>
              </w:rPr>
              <w:tab/>
              <w:t>que la BR siga ayudando a la BDT a aplicar el sistema de gestión del espectro en diferentes países mediante la participación de la Comisión de Estudio 1 y los expertos de la BR en proyectos de capacitación pertinentes, tales como la Academia de la UIT</w:t>
            </w:r>
            <w:r w:rsidR="00E83DE2">
              <w:rPr>
                <w:rFonts w:cstheme="minorHAnsi"/>
                <w:szCs w:val="22"/>
                <w:lang w:val="es-ES_tradnl"/>
              </w:rPr>
              <w:t>,</w:t>
            </w:r>
          </w:p>
        </w:tc>
      </w:tr>
      <w:tr w:rsidR="00641520" w:rsidRPr="003A17D9" w14:paraId="62EFA71F"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6D3B5C35" w14:textId="047BE8E4" w:rsidR="00D11F6A" w:rsidRPr="00965AC4" w:rsidRDefault="00D11F6A" w:rsidP="001703DB">
            <w:pPr>
              <w:pStyle w:val="Tabletext"/>
              <w:jc w:val="center"/>
              <w:rPr>
                <w:rFonts w:cstheme="minorHAnsi"/>
                <w:b w:val="0"/>
                <w:bCs w:val="0"/>
                <w:szCs w:val="22"/>
                <w:lang w:val="es-ES"/>
              </w:rPr>
            </w:pPr>
            <w:hyperlink r:id="rId36" w:history="1">
              <w:r w:rsidRPr="00965AC4">
                <w:rPr>
                  <w:rStyle w:val="Hyperlink"/>
                  <w:rFonts w:cstheme="minorHAnsi"/>
                  <w:b w:val="0"/>
                  <w:bCs w:val="0"/>
                  <w:szCs w:val="22"/>
                  <w:lang w:val="es-ES"/>
                </w:rPr>
                <w:t>Res.12-2 (2023)</w:t>
              </w:r>
            </w:hyperlink>
          </w:p>
        </w:tc>
        <w:tc>
          <w:tcPr>
            <w:tcW w:w="1651" w:type="pct"/>
          </w:tcPr>
          <w:p w14:paraId="194D4C4D"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14" w:name="_Toc151971618"/>
            <w:r w:rsidRPr="00575452">
              <w:rPr>
                <w:rFonts w:cstheme="minorHAnsi"/>
                <w:b/>
                <w:bCs/>
                <w:szCs w:val="22"/>
                <w:lang w:val="es-ES_tradnl"/>
              </w:rPr>
              <w:t>Manuales y publicaciones especiales para el desarrollo de los servicios de radiocomunicaciones</w:t>
            </w:r>
            <w:bookmarkEnd w:id="14"/>
          </w:p>
        </w:tc>
        <w:tc>
          <w:tcPr>
            <w:tcW w:w="409" w:type="pct"/>
          </w:tcPr>
          <w:p w14:paraId="4574E0F1" w14:textId="77777777" w:rsidR="00D11F6A" w:rsidRPr="0057545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Cs w:val="22"/>
                <w:lang w:val="es-ES"/>
              </w:rPr>
            </w:pPr>
            <w:r w:rsidRPr="00575452">
              <w:rPr>
                <w:rFonts w:cstheme="minorHAnsi"/>
                <w:szCs w:val="22"/>
                <w:lang w:val="es-ES"/>
              </w:rPr>
              <w:t>MOD</w:t>
            </w:r>
          </w:p>
        </w:tc>
        <w:tc>
          <w:tcPr>
            <w:tcW w:w="2509" w:type="pct"/>
          </w:tcPr>
          <w:p w14:paraId="2FE65585" w14:textId="77777777" w:rsidR="00D11F6A" w:rsidRPr="00575452" w:rsidRDefault="00D11F6A" w:rsidP="005E348B">
            <w:pPr>
              <w:pStyle w:val="Tabletext"/>
              <w:spacing w:after="120"/>
              <w:ind w:left="391"/>
              <w:cnfStyle w:val="000000000000" w:firstRow="0" w:lastRow="0" w:firstColumn="0" w:lastColumn="0" w:oddVBand="0" w:evenVBand="0" w:oddHBand="0" w:evenHBand="0" w:firstRowFirstColumn="0" w:firstRowLastColumn="0" w:lastRowFirstColumn="0" w:lastRowLastColumn="0"/>
              <w:rPr>
                <w:rFonts w:cstheme="minorHAnsi"/>
                <w:i/>
                <w:szCs w:val="22"/>
                <w:lang w:val="es-ES"/>
              </w:rPr>
            </w:pPr>
            <w:r w:rsidRPr="00575452">
              <w:rPr>
                <w:rFonts w:cstheme="minorHAnsi"/>
                <w:i/>
                <w:szCs w:val="22"/>
                <w:lang w:val="es-ES"/>
              </w:rPr>
              <w:t>invita</w:t>
            </w:r>
          </w:p>
          <w:p w14:paraId="326B8C3C"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es-ES"/>
              </w:rPr>
            </w:pPr>
            <w:r w:rsidRPr="00575452">
              <w:rPr>
                <w:rFonts w:cstheme="minorHAnsi"/>
                <w:szCs w:val="22"/>
                <w:lang w:val="es-ES_tradnl"/>
              </w:rPr>
              <w:t>al Sector de Desarrollo de las Telecomunicaciones a indicar los temas concretos que serían más útiles para los países en desarrollo, a fin de que pueda efectuarse una planificación de Manuales y publicaciones especiales.</w:t>
            </w:r>
          </w:p>
        </w:tc>
      </w:tr>
      <w:tr w:rsidR="00641520" w:rsidRPr="00396492" w14:paraId="3E455188"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1EEB3B7D" w14:textId="4792410C" w:rsidR="00D11F6A" w:rsidRPr="00965AC4" w:rsidRDefault="00D11F6A" w:rsidP="001703DB">
            <w:pPr>
              <w:pStyle w:val="Tabletext"/>
              <w:jc w:val="center"/>
              <w:rPr>
                <w:rFonts w:cstheme="minorHAnsi"/>
                <w:b w:val="0"/>
                <w:bCs w:val="0"/>
                <w:szCs w:val="22"/>
                <w:lang w:val="es-ES"/>
              </w:rPr>
            </w:pPr>
            <w:hyperlink r:id="rId37" w:history="1">
              <w:r w:rsidRPr="00965AC4">
                <w:rPr>
                  <w:rStyle w:val="Hyperlink"/>
                  <w:rFonts w:cstheme="minorHAnsi"/>
                  <w:b w:val="0"/>
                  <w:bCs w:val="0"/>
                  <w:szCs w:val="22"/>
                  <w:lang w:val="es-ES"/>
                </w:rPr>
                <w:t>Res.15-6 (2015)</w:t>
              </w:r>
            </w:hyperlink>
          </w:p>
        </w:tc>
        <w:tc>
          <w:tcPr>
            <w:tcW w:w="1651" w:type="pct"/>
          </w:tcPr>
          <w:p w14:paraId="4155DB1D"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Bidi"/>
                <w:b/>
                <w:bCs/>
                <w:szCs w:val="22"/>
                <w:lang w:val="es-ES"/>
              </w:rPr>
            </w:pPr>
            <w:bookmarkStart w:id="15" w:name="_Toc180537886"/>
            <w:r w:rsidRPr="00575452">
              <w:rPr>
                <w:rFonts w:cstheme="minorBidi"/>
                <w:b/>
                <w:bCs/>
                <w:szCs w:val="22"/>
                <w:lang w:val="es-ES"/>
              </w:rPr>
              <w:t xml:space="preserve">Nombramiento y periodo máximo de mandato de los </w:t>
            </w:r>
            <w:proofErr w:type="gramStart"/>
            <w:r w:rsidRPr="00575452">
              <w:rPr>
                <w:rFonts w:cstheme="minorBidi"/>
                <w:b/>
                <w:bCs/>
                <w:szCs w:val="22"/>
                <w:lang w:val="es-ES"/>
              </w:rPr>
              <w:t>Presidentes</w:t>
            </w:r>
            <w:proofErr w:type="gramEnd"/>
            <w:r w:rsidRPr="00575452">
              <w:rPr>
                <w:rFonts w:cstheme="minorBidi"/>
                <w:b/>
                <w:bCs/>
                <w:szCs w:val="22"/>
                <w:lang w:val="es-ES"/>
              </w:rPr>
              <w:t xml:space="preserve"> y Vicepresidentes de las Comisiones de Estudio de Radiocomunicaciones, del Comité de Coordinación de Vocabulario y del Grupo Asesor de Radiocomunicaciones</w:t>
            </w:r>
            <w:bookmarkEnd w:id="15"/>
          </w:p>
        </w:tc>
        <w:tc>
          <w:tcPr>
            <w:tcW w:w="409" w:type="pct"/>
          </w:tcPr>
          <w:p w14:paraId="15C3C3ED" w14:textId="77777777" w:rsidR="00D11F6A" w:rsidRPr="0057545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575452">
              <w:rPr>
                <w:rFonts w:cstheme="minorHAnsi"/>
                <w:szCs w:val="22"/>
                <w:lang w:val="es-ES"/>
              </w:rPr>
              <w:t>SUP</w:t>
            </w:r>
          </w:p>
        </w:tc>
        <w:tc>
          <w:tcPr>
            <w:tcW w:w="2509" w:type="pct"/>
          </w:tcPr>
          <w:p w14:paraId="12400D27"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es-ES"/>
              </w:rPr>
            </w:pPr>
          </w:p>
        </w:tc>
      </w:tr>
      <w:tr w:rsidR="00641520" w:rsidRPr="00396492" w14:paraId="13C0A1AB"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0455A960" w14:textId="6B2ACE8E" w:rsidR="00D11F6A" w:rsidRPr="00965AC4" w:rsidRDefault="00D11F6A" w:rsidP="001703DB">
            <w:pPr>
              <w:pStyle w:val="Tabletext"/>
              <w:jc w:val="center"/>
              <w:rPr>
                <w:rFonts w:cstheme="minorHAnsi"/>
                <w:b w:val="0"/>
                <w:bCs w:val="0"/>
                <w:szCs w:val="22"/>
                <w:lang w:val="es-ES"/>
              </w:rPr>
            </w:pPr>
            <w:hyperlink r:id="rId38" w:history="1">
              <w:r w:rsidRPr="00965AC4">
                <w:rPr>
                  <w:rStyle w:val="Hyperlink"/>
                  <w:rFonts w:cstheme="minorHAnsi"/>
                  <w:b w:val="0"/>
                  <w:bCs w:val="0"/>
                  <w:szCs w:val="22"/>
                  <w:lang w:val="es-ES"/>
                </w:rPr>
                <w:t>Res.19-6 (2023)</w:t>
              </w:r>
            </w:hyperlink>
          </w:p>
        </w:tc>
        <w:tc>
          <w:tcPr>
            <w:tcW w:w="1651" w:type="pct"/>
          </w:tcPr>
          <w:p w14:paraId="654F689E"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16" w:name="_Toc180537890"/>
            <w:r w:rsidRPr="00575452">
              <w:rPr>
                <w:rFonts w:cstheme="minorHAnsi"/>
                <w:b/>
                <w:bCs/>
                <w:szCs w:val="22"/>
                <w:lang w:val="es-ES"/>
              </w:rPr>
              <w:t>Difusión de los textos del UIT-R</w:t>
            </w:r>
            <w:bookmarkEnd w:id="16"/>
          </w:p>
        </w:tc>
        <w:tc>
          <w:tcPr>
            <w:tcW w:w="409" w:type="pct"/>
          </w:tcPr>
          <w:p w14:paraId="326D5DB3" w14:textId="77777777" w:rsidR="00D11F6A" w:rsidRPr="0057545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Cs w:val="22"/>
                <w:lang w:val="es-ES"/>
              </w:rPr>
            </w:pPr>
            <w:r w:rsidRPr="00575452">
              <w:rPr>
                <w:rFonts w:cstheme="minorHAnsi"/>
                <w:szCs w:val="22"/>
                <w:lang w:val="es-ES"/>
              </w:rPr>
              <w:t>MOD</w:t>
            </w:r>
          </w:p>
        </w:tc>
        <w:tc>
          <w:tcPr>
            <w:tcW w:w="2509" w:type="pct"/>
          </w:tcPr>
          <w:p w14:paraId="28B06FE0"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Cs w:val="22"/>
                <w:lang w:val="es-ES"/>
              </w:rPr>
            </w:pPr>
          </w:p>
        </w:tc>
      </w:tr>
      <w:tr w:rsidR="00641520" w:rsidRPr="00396492" w14:paraId="32ACDE92"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6006E6ED" w14:textId="4CBB9704" w:rsidR="00D11F6A" w:rsidRPr="00965AC4" w:rsidRDefault="00D11F6A" w:rsidP="001703DB">
            <w:pPr>
              <w:pStyle w:val="Tabletext"/>
              <w:jc w:val="center"/>
              <w:rPr>
                <w:rFonts w:cstheme="minorHAnsi"/>
                <w:b w:val="0"/>
                <w:bCs w:val="0"/>
                <w:szCs w:val="22"/>
                <w:lang w:val="es-ES"/>
              </w:rPr>
            </w:pPr>
            <w:hyperlink r:id="rId39" w:history="1">
              <w:r w:rsidRPr="00965AC4">
                <w:rPr>
                  <w:rStyle w:val="Hyperlink"/>
                  <w:rFonts w:cstheme="minorHAnsi"/>
                  <w:b w:val="0"/>
                  <w:bCs w:val="0"/>
                  <w:szCs w:val="22"/>
                  <w:lang w:val="es-ES"/>
                </w:rPr>
                <w:t>Res.22-6 (2023)</w:t>
              </w:r>
            </w:hyperlink>
          </w:p>
        </w:tc>
        <w:tc>
          <w:tcPr>
            <w:tcW w:w="1651" w:type="pct"/>
          </w:tcPr>
          <w:p w14:paraId="03D5E8B8"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
              </w:rPr>
            </w:pPr>
            <w:r w:rsidRPr="00575452">
              <w:rPr>
                <w:rFonts w:cstheme="minorHAnsi"/>
                <w:b/>
                <w:bCs/>
                <w:szCs w:val="22"/>
                <w:lang w:val="es-ES"/>
              </w:rPr>
              <w:t>Mejora de las prácticas y técnicas relativas a la gestión nacional del espectro radioeléctrico</w:t>
            </w:r>
          </w:p>
        </w:tc>
        <w:tc>
          <w:tcPr>
            <w:tcW w:w="409" w:type="pct"/>
          </w:tcPr>
          <w:p w14:paraId="404D8D6C" w14:textId="77777777" w:rsidR="00D11F6A" w:rsidRPr="0057545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Cs w:val="22"/>
                <w:lang w:val="es-ES"/>
              </w:rPr>
            </w:pPr>
            <w:r w:rsidRPr="00575452">
              <w:rPr>
                <w:rFonts w:cstheme="minorHAnsi"/>
                <w:szCs w:val="22"/>
                <w:lang w:val="es-ES"/>
              </w:rPr>
              <w:t>MOD</w:t>
            </w:r>
          </w:p>
        </w:tc>
        <w:tc>
          <w:tcPr>
            <w:tcW w:w="2509" w:type="pct"/>
          </w:tcPr>
          <w:p w14:paraId="7A373302"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Cs w:val="22"/>
                <w:lang w:val="es-ES"/>
              </w:rPr>
            </w:pPr>
          </w:p>
        </w:tc>
      </w:tr>
      <w:tr w:rsidR="00641520" w:rsidRPr="00396492" w14:paraId="5C1CE493"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2CE350D8" w14:textId="37955022" w:rsidR="00D11F6A" w:rsidRPr="00965AC4" w:rsidRDefault="00D11F6A" w:rsidP="001703DB">
            <w:pPr>
              <w:pStyle w:val="Tabletext"/>
              <w:jc w:val="center"/>
              <w:rPr>
                <w:rFonts w:cstheme="minorHAnsi"/>
                <w:b w:val="0"/>
                <w:bCs w:val="0"/>
                <w:szCs w:val="22"/>
                <w:lang w:val="es-ES"/>
              </w:rPr>
            </w:pPr>
            <w:hyperlink r:id="rId40" w:history="1">
              <w:r w:rsidRPr="00965AC4">
                <w:rPr>
                  <w:rStyle w:val="Hyperlink"/>
                  <w:rFonts w:cstheme="minorHAnsi"/>
                  <w:b w:val="0"/>
                  <w:bCs w:val="0"/>
                  <w:szCs w:val="22"/>
                  <w:lang w:val="es-ES"/>
                </w:rPr>
                <w:t>Res.23-4 (2023)</w:t>
              </w:r>
            </w:hyperlink>
          </w:p>
        </w:tc>
        <w:tc>
          <w:tcPr>
            <w:tcW w:w="1651" w:type="pct"/>
          </w:tcPr>
          <w:p w14:paraId="27A14516"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17" w:name="_Toc151971624"/>
            <w:r w:rsidRPr="00575452">
              <w:rPr>
                <w:rFonts w:cstheme="minorHAnsi"/>
                <w:b/>
                <w:bCs/>
                <w:szCs w:val="22"/>
                <w:lang w:val="es-ES_tradnl"/>
              </w:rPr>
              <w:t>Extensión al ámbito mundial del sistema internacional de comprobación técnica de las emisiones</w:t>
            </w:r>
            <w:bookmarkEnd w:id="17"/>
          </w:p>
        </w:tc>
        <w:tc>
          <w:tcPr>
            <w:tcW w:w="409" w:type="pct"/>
          </w:tcPr>
          <w:p w14:paraId="70E435EE"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7DF5DC99"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p>
        </w:tc>
      </w:tr>
      <w:tr w:rsidR="00641520" w:rsidRPr="00396492" w14:paraId="23C5A9FC"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5B79B324" w14:textId="73B78D93" w:rsidR="00D11F6A" w:rsidRPr="00965AC4" w:rsidRDefault="00D11F6A" w:rsidP="001703DB">
            <w:pPr>
              <w:pStyle w:val="Tabletext"/>
              <w:jc w:val="center"/>
              <w:rPr>
                <w:rFonts w:cstheme="minorHAnsi"/>
                <w:b w:val="0"/>
                <w:bCs w:val="0"/>
                <w:szCs w:val="22"/>
                <w:lang w:val="es-ES"/>
              </w:rPr>
            </w:pPr>
            <w:hyperlink r:id="rId41" w:history="1">
              <w:r w:rsidRPr="00965AC4">
                <w:rPr>
                  <w:rStyle w:val="Hyperlink"/>
                  <w:rFonts w:cstheme="minorHAnsi"/>
                  <w:b w:val="0"/>
                  <w:bCs w:val="0"/>
                  <w:szCs w:val="22"/>
                  <w:lang w:val="es-ES"/>
                </w:rPr>
                <w:t>Res.25-3 (2012)</w:t>
              </w:r>
            </w:hyperlink>
          </w:p>
        </w:tc>
        <w:tc>
          <w:tcPr>
            <w:tcW w:w="1651" w:type="pct"/>
          </w:tcPr>
          <w:p w14:paraId="66DA60D0"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18" w:name="_Toc436919077"/>
            <w:bookmarkStart w:id="19" w:name="_Toc23513653"/>
            <w:bookmarkStart w:id="20" w:name="_Toc24031923"/>
            <w:bookmarkStart w:id="21" w:name="_Toc151971626"/>
            <w:r w:rsidRPr="00575452">
              <w:rPr>
                <w:rFonts w:cstheme="minorHAnsi"/>
                <w:b/>
                <w:bCs/>
                <w:szCs w:val="22"/>
                <w:lang w:val="es-ES_tradnl"/>
              </w:rPr>
              <w:t>Programas informáticos y datos numéricos de referencia correspondientes para estudiar la propagación de las ondas radioeléctricas</w:t>
            </w:r>
            <w:bookmarkEnd w:id="18"/>
            <w:bookmarkEnd w:id="19"/>
            <w:bookmarkEnd w:id="20"/>
            <w:bookmarkEnd w:id="21"/>
          </w:p>
        </w:tc>
        <w:tc>
          <w:tcPr>
            <w:tcW w:w="409" w:type="pct"/>
          </w:tcPr>
          <w:p w14:paraId="62C10B9D"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22E77023"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96492" w14:paraId="248EB088"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7116F605" w14:textId="7A308D50" w:rsidR="00D11F6A" w:rsidRPr="00965AC4" w:rsidRDefault="00D11F6A" w:rsidP="001703DB">
            <w:pPr>
              <w:pStyle w:val="Tabletext"/>
              <w:jc w:val="center"/>
              <w:rPr>
                <w:rFonts w:cstheme="minorHAnsi"/>
                <w:b w:val="0"/>
                <w:bCs w:val="0"/>
                <w:szCs w:val="22"/>
                <w:lang w:val="es-ES"/>
              </w:rPr>
            </w:pPr>
            <w:hyperlink r:id="rId42" w:history="1">
              <w:r w:rsidRPr="00965AC4">
                <w:rPr>
                  <w:rStyle w:val="Hyperlink"/>
                  <w:rFonts w:cstheme="minorHAnsi"/>
                  <w:b w:val="0"/>
                  <w:bCs w:val="0"/>
                  <w:szCs w:val="22"/>
                  <w:lang w:val="es-ES"/>
                </w:rPr>
                <w:t>Res.28-2 (2012)</w:t>
              </w:r>
            </w:hyperlink>
          </w:p>
        </w:tc>
        <w:tc>
          <w:tcPr>
            <w:tcW w:w="1651" w:type="pct"/>
          </w:tcPr>
          <w:p w14:paraId="18E916FA"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22" w:name="_Toc436919079"/>
            <w:bookmarkStart w:id="23" w:name="_Toc23513655"/>
            <w:bookmarkStart w:id="24" w:name="_Toc24031925"/>
            <w:bookmarkStart w:id="25" w:name="_Toc151971628"/>
            <w:r w:rsidRPr="00575452">
              <w:rPr>
                <w:rFonts w:cstheme="minorHAnsi"/>
                <w:b/>
                <w:bCs/>
                <w:szCs w:val="22"/>
                <w:lang w:val="es-ES_tradnl"/>
              </w:rPr>
              <w:t>Emisiones de frecuencias patrón y señales horarias</w:t>
            </w:r>
            <w:bookmarkEnd w:id="22"/>
            <w:bookmarkEnd w:id="23"/>
            <w:bookmarkEnd w:id="24"/>
            <w:bookmarkEnd w:id="25"/>
          </w:p>
        </w:tc>
        <w:tc>
          <w:tcPr>
            <w:tcW w:w="409" w:type="pct"/>
          </w:tcPr>
          <w:p w14:paraId="412343B8"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00E9CDF4"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p>
        </w:tc>
      </w:tr>
      <w:tr w:rsidR="00641520" w:rsidRPr="00396492" w14:paraId="67EBD0AF"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11170F4D" w14:textId="68665A07" w:rsidR="00D11F6A" w:rsidRPr="00965AC4" w:rsidRDefault="00D11F6A" w:rsidP="001703DB">
            <w:pPr>
              <w:pStyle w:val="Tabletext"/>
              <w:jc w:val="center"/>
              <w:rPr>
                <w:rFonts w:cstheme="minorHAnsi"/>
                <w:b w:val="0"/>
                <w:bCs w:val="0"/>
                <w:szCs w:val="22"/>
                <w:lang w:val="es-ES"/>
              </w:rPr>
            </w:pPr>
            <w:hyperlink r:id="rId43" w:history="1">
              <w:r w:rsidRPr="00965AC4">
                <w:rPr>
                  <w:rStyle w:val="Hyperlink"/>
                  <w:rFonts w:cstheme="minorHAnsi"/>
                  <w:b w:val="0"/>
                  <w:bCs w:val="0"/>
                  <w:szCs w:val="22"/>
                  <w:lang w:val="es-ES"/>
                </w:rPr>
                <w:t>Res.36-6 (2023)</w:t>
              </w:r>
            </w:hyperlink>
          </w:p>
        </w:tc>
        <w:tc>
          <w:tcPr>
            <w:tcW w:w="1651" w:type="pct"/>
          </w:tcPr>
          <w:p w14:paraId="3CB2BD4D"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26" w:name="_Toc151971630"/>
            <w:r w:rsidRPr="00575452">
              <w:rPr>
                <w:rFonts w:cstheme="minorHAnsi"/>
                <w:b/>
                <w:bCs/>
                <w:szCs w:val="22"/>
                <w:lang w:val="es-ES_tradnl"/>
              </w:rPr>
              <w:t>Coordinación del vocabulario en los seis idiomas oficiales de la Unión en igualdad de condiciones en el Sector de Radiocomunicaciones de la UIT</w:t>
            </w:r>
            <w:bookmarkEnd w:id="26"/>
          </w:p>
        </w:tc>
        <w:tc>
          <w:tcPr>
            <w:tcW w:w="409" w:type="pct"/>
          </w:tcPr>
          <w:p w14:paraId="3014F745"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2F5EEE61"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96492" w14:paraId="38F95700"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5CB1B46C" w14:textId="7D177E7B" w:rsidR="00D11F6A" w:rsidRPr="00965AC4" w:rsidRDefault="00D11F6A" w:rsidP="001703DB">
            <w:pPr>
              <w:pStyle w:val="Tabletext"/>
              <w:jc w:val="center"/>
              <w:rPr>
                <w:rFonts w:cstheme="minorHAnsi"/>
                <w:b w:val="0"/>
                <w:bCs w:val="0"/>
                <w:szCs w:val="22"/>
                <w:lang w:val="es-ES"/>
              </w:rPr>
            </w:pPr>
            <w:hyperlink r:id="rId44" w:history="1">
              <w:r w:rsidRPr="00965AC4">
                <w:rPr>
                  <w:rStyle w:val="Hyperlink"/>
                  <w:rFonts w:cstheme="minorHAnsi"/>
                  <w:b w:val="0"/>
                  <w:bCs w:val="0"/>
                  <w:szCs w:val="22"/>
                  <w:lang w:val="es-ES"/>
                </w:rPr>
                <w:t>Res.37 (1995)</w:t>
              </w:r>
            </w:hyperlink>
          </w:p>
        </w:tc>
        <w:tc>
          <w:tcPr>
            <w:tcW w:w="1651" w:type="pct"/>
          </w:tcPr>
          <w:p w14:paraId="28636DD3"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27" w:name="_Toc180535232"/>
            <w:bookmarkStart w:id="28" w:name="_Toc436919087"/>
            <w:bookmarkStart w:id="29" w:name="_Toc23513659"/>
            <w:bookmarkStart w:id="30" w:name="_Toc24031929"/>
            <w:bookmarkStart w:id="31" w:name="_Toc151971632"/>
            <w:r w:rsidRPr="00575452">
              <w:rPr>
                <w:rFonts w:cstheme="minorHAnsi"/>
                <w:b/>
                <w:bCs/>
                <w:szCs w:val="22"/>
                <w:lang w:val="es-ES_tradnl"/>
              </w:rPr>
              <w:t>Estudios de propagación de las ondas radioeléctricas en relación con el diseño de sistemas y la planificación de servicios</w:t>
            </w:r>
            <w:bookmarkEnd w:id="27"/>
            <w:bookmarkEnd w:id="28"/>
            <w:bookmarkEnd w:id="29"/>
            <w:bookmarkEnd w:id="30"/>
            <w:bookmarkEnd w:id="31"/>
          </w:p>
        </w:tc>
        <w:tc>
          <w:tcPr>
            <w:tcW w:w="409" w:type="pct"/>
          </w:tcPr>
          <w:p w14:paraId="09790249"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02595AB4"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p>
        </w:tc>
      </w:tr>
      <w:tr w:rsidR="00641520" w:rsidRPr="00396492" w14:paraId="595A8D9A"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508B69E7" w14:textId="041F9946" w:rsidR="00D11F6A" w:rsidRPr="00965AC4" w:rsidRDefault="00D11F6A" w:rsidP="001703DB">
            <w:pPr>
              <w:pStyle w:val="Tabletext"/>
              <w:jc w:val="center"/>
              <w:rPr>
                <w:rFonts w:cstheme="minorHAnsi"/>
                <w:b w:val="0"/>
                <w:bCs w:val="0"/>
                <w:szCs w:val="22"/>
                <w:lang w:val="es-ES"/>
              </w:rPr>
            </w:pPr>
            <w:hyperlink r:id="rId45" w:history="1">
              <w:r w:rsidRPr="00965AC4">
                <w:rPr>
                  <w:rStyle w:val="Hyperlink"/>
                  <w:rFonts w:cstheme="minorHAnsi"/>
                  <w:b w:val="0"/>
                  <w:bCs w:val="0"/>
                  <w:szCs w:val="22"/>
                  <w:lang w:val="es-ES"/>
                </w:rPr>
                <w:t>Res.40-4 (2015)</w:t>
              </w:r>
            </w:hyperlink>
          </w:p>
        </w:tc>
        <w:tc>
          <w:tcPr>
            <w:tcW w:w="1651" w:type="pct"/>
          </w:tcPr>
          <w:p w14:paraId="0F6A97AA"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
              </w:rPr>
            </w:pPr>
            <w:bookmarkStart w:id="32" w:name="_Toc23513661"/>
            <w:bookmarkStart w:id="33" w:name="_Toc24031931"/>
            <w:bookmarkStart w:id="34" w:name="_Toc151971634"/>
            <w:r w:rsidRPr="00575452">
              <w:rPr>
                <w:rFonts w:cstheme="minorHAnsi"/>
                <w:b/>
                <w:bCs/>
                <w:szCs w:val="22"/>
                <w:lang w:val="es-ES_tradnl"/>
              </w:rPr>
              <w:t>Bases de datos mundiales sobre características de la superficie y altura del terreno</w:t>
            </w:r>
            <w:bookmarkEnd w:id="32"/>
            <w:bookmarkEnd w:id="33"/>
            <w:bookmarkEnd w:id="34"/>
          </w:p>
        </w:tc>
        <w:tc>
          <w:tcPr>
            <w:tcW w:w="409" w:type="pct"/>
          </w:tcPr>
          <w:p w14:paraId="074918F2"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1A4EBAA2"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96492" w14:paraId="1C923EF9"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01F721FE" w14:textId="206F8F16" w:rsidR="00D11F6A" w:rsidRPr="00965AC4" w:rsidRDefault="00D11F6A" w:rsidP="001703DB">
            <w:pPr>
              <w:pStyle w:val="Tabletext"/>
              <w:jc w:val="center"/>
              <w:rPr>
                <w:rFonts w:cstheme="minorHAnsi"/>
                <w:b w:val="0"/>
                <w:bCs w:val="0"/>
                <w:szCs w:val="22"/>
                <w:lang w:val="es-ES"/>
              </w:rPr>
            </w:pPr>
            <w:hyperlink r:id="rId46" w:history="1">
              <w:r w:rsidRPr="00965AC4">
                <w:rPr>
                  <w:rStyle w:val="Hyperlink"/>
                  <w:rFonts w:cstheme="minorHAnsi"/>
                  <w:b w:val="0"/>
                  <w:bCs w:val="0"/>
                  <w:szCs w:val="22"/>
                  <w:lang w:val="es-ES"/>
                </w:rPr>
                <w:t>Res.47-2 (2012)</w:t>
              </w:r>
            </w:hyperlink>
          </w:p>
        </w:tc>
        <w:tc>
          <w:tcPr>
            <w:tcW w:w="1651" w:type="pct"/>
          </w:tcPr>
          <w:p w14:paraId="00DFC6F9"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35" w:name="_Toc180535242"/>
            <w:bookmarkStart w:id="36" w:name="_Toc436919091"/>
            <w:bookmarkStart w:id="37" w:name="_Toc23513663"/>
            <w:bookmarkStart w:id="38" w:name="_Toc24031933"/>
            <w:bookmarkStart w:id="39" w:name="_Toc151971636"/>
            <w:r w:rsidRPr="00575452">
              <w:rPr>
                <w:rFonts w:cstheme="minorHAnsi"/>
                <w:b/>
                <w:bCs/>
                <w:szCs w:val="22"/>
                <w:lang w:val="es-ES_tradnl"/>
              </w:rPr>
              <w:t>Futura presentación de tecnologías de transmisión radioeléctrica de satélite para las IMT-2000</w:t>
            </w:r>
            <w:bookmarkEnd w:id="35"/>
            <w:bookmarkEnd w:id="36"/>
            <w:bookmarkEnd w:id="37"/>
            <w:bookmarkEnd w:id="38"/>
            <w:bookmarkEnd w:id="39"/>
          </w:p>
        </w:tc>
        <w:tc>
          <w:tcPr>
            <w:tcW w:w="409" w:type="pct"/>
          </w:tcPr>
          <w:p w14:paraId="23E0ECB1"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06E50F8D"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p>
        </w:tc>
      </w:tr>
      <w:tr w:rsidR="00641520" w:rsidRPr="00396492" w14:paraId="79905727"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1868EC4" w14:textId="2BCBC992" w:rsidR="00D11F6A" w:rsidRPr="00965AC4" w:rsidRDefault="00D11F6A" w:rsidP="001703DB">
            <w:pPr>
              <w:pStyle w:val="Tabletext"/>
              <w:jc w:val="center"/>
              <w:rPr>
                <w:rFonts w:cstheme="minorHAnsi"/>
                <w:b w:val="0"/>
                <w:bCs w:val="0"/>
                <w:szCs w:val="22"/>
                <w:lang w:val="es-ES"/>
              </w:rPr>
            </w:pPr>
            <w:hyperlink r:id="rId47" w:history="1">
              <w:r w:rsidRPr="00965AC4">
                <w:rPr>
                  <w:rStyle w:val="Hyperlink"/>
                  <w:rFonts w:cstheme="minorHAnsi"/>
                  <w:b w:val="0"/>
                  <w:bCs w:val="0"/>
                  <w:szCs w:val="22"/>
                  <w:lang w:val="es-ES"/>
                </w:rPr>
                <w:t>Res.48-3 (2019)</w:t>
              </w:r>
            </w:hyperlink>
          </w:p>
        </w:tc>
        <w:tc>
          <w:tcPr>
            <w:tcW w:w="1651" w:type="pct"/>
          </w:tcPr>
          <w:p w14:paraId="121FCF28"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
              </w:rPr>
            </w:pPr>
            <w:r w:rsidRPr="00575452">
              <w:rPr>
                <w:rFonts w:cstheme="minorHAnsi"/>
                <w:b/>
                <w:bCs/>
                <w:szCs w:val="22"/>
                <w:lang w:val="es-ES"/>
              </w:rPr>
              <w:t>Fortalecimiento de la presencia regional en los trabajos de las Comisiones de Estudio de Radiocomunicaciones</w:t>
            </w:r>
          </w:p>
        </w:tc>
        <w:tc>
          <w:tcPr>
            <w:tcW w:w="409" w:type="pct"/>
          </w:tcPr>
          <w:p w14:paraId="695AFA79"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SUP</w:t>
            </w:r>
          </w:p>
        </w:tc>
        <w:tc>
          <w:tcPr>
            <w:tcW w:w="2509" w:type="pct"/>
          </w:tcPr>
          <w:p w14:paraId="6247DA58"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96492" w14:paraId="469B0CB2"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316C76AB" w14:textId="222EFF4A" w:rsidR="00D11F6A" w:rsidRPr="00965AC4" w:rsidRDefault="00D11F6A" w:rsidP="001703DB">
            <w:pPr>
              <w:pStyle w:val="Tabletext"/>
              <w:jc w:val="center"/>
              <w:rPr>
                <w:rFonts w:cstheme="minorHAnsi"/>
                <w:b w:val="0"/>
                <w:bCs w:val="0"/>
                <w:szCs w:val="22"/>
                <w:lang w:val="es-ES"/>
              </w:rPr>
            </w:pPr>
            <w:hyperlink r:id="rId48" w:history="1">
              <w:r w:rsidRPr="00965AC4">
                <w:rPr>
                  <w:rStyle w:val="Hyperlink"/>
                  <w:rFonts w:cstheme="minorHAnsi"/>
                  <w:b w:val="0"/>
                  <w:bCs w:val="0"/>
                  <w:szCs w:val="22"/>
                  <w:lang w:val="es-ES"/>
                </w:rPr>
                <w:t>Res.50-5 (2023)</w:t>
              </w:r>
            </w:hyperlink>
          </w:p>
        </w:tc>
        <w:tc>
          <w:tcPr>
            <w:tcW w:w="1651" w:type="pct"/>
          </w:tcPr>
          <w:p w14:paraId="29114F92"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40" w:name="_Toc151971638"/>
            <w:r w:rsidRPr="00575452">
              <w:rPr>
                <w:rFonts w:cstheme="minorHAnsi"/>
                <w:b/>
                <w:bCs/>
                <w:szCs w:val="22"/>
                <w:lang w:val="es-ES_tradnl"/>
              </w:rPr>
              <w:t xml:space="preserve">Funciones del Sector de Radiocomunicaciones con respecto al desarrollo de las </w:t>
            </w:r>
            <w:r w:rsidRPr="00575452">
              <w:rPr>
                <w:rFonts w:cstheme="minorHAnsi"/>
                <w:b/>
                <w:bCs/>
                <w:szCs w:val="22"/>
                <w:lang w:val="es-ES_tradnl"/>
              </w:rPr>
              <w:lastRenderedPageBreak/>
              <w:t>telecomunicaciones móviles internacionales (IMT)</w:t>
            </w:r>
            <w:bookmarkEnd w:id="40"/>
          </w:p>
        </w:tc>
        <w:tc>
          <w:tcPr>
            <w:tcW w:w="409" w:type="pct"/>
          </w:tcPr>
          <w:p w14:paraId="18265887"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lastRenderedPageBreak/>
              <w:t>MOD</w:t>
            </w:r>
          </w:p>
        </w:tc>
        <w:tc>
          <w:tcPr>
            <w:tcW w:w="2509" w:type="pct"/>
          </w:tcPr>
          <w:p w14:paraId="121EE745"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p>
        </w:tc>
      </w:tr>
      <w:tr w:rsidR="00641520" w:rsidRPr="00396492" w14:paraId="1A0C1CC8"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4542DF35" w14:textId="6A9B8E8B" w:rsidR="00D11F6A" w:rsidRPr="00965AC4" w:rsidRDefault="00D11F6A" w:rsidP="001703DB">
            <w:pPr>
              <w:pStyle w:val="Tabletext"/>
              <w:jc w:val="center"/>
              <w:rPr>
                <w:rFonts w:cstheme="minorHAnsi"/>
                <w:b w:val="0"/>
                <w:bCs w:val="0"/>
                <w:szCs w:val="22"/>
                <w:lang w:val="es-ES"/>
              </w:rPr>
            </w:pPr>
            <w:hyperlink r:id="rId49" w:history="1">
              <w:r w:rsidRPr="00965AC4">
                <w:rPr>
                  <w:rStyle w:val="Hyperlink"/>
                  <w:rFonts w:cstheme="minorHAnsi"/>
                  <w:b w:val="0"/>
                  <w:bCs w:val="0"/>
                  <w:szCs w:val="22"/>
                  <w:lang w:val="es-ES"/>
                </w:rPr>
                <w:t>Res.52-1 (2015)</w:t>
              </w:r>
            </w:hyperlink>
          </w:p>
        </w:tc>
        <w:tc>
          <w:tcPr>
            <w:tcW w:w="1651" w:type="pct"/>
          </w:tcPr>
          <w:p w14:paraId="3179C63A" w14:textId="77777777"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41" w:name="_Toc180535248"/>
            <w:bookmarkStart w:id="42" w:name="_Toc436919097"/>
            <w:bookmarkStart w:id="43" w:name="_Toc23513669"/>
            <w:bookmarkStart w:id="44" w:name="_Toc24031939"/>
            <w:bookmarkStart w:id="45" w:name="_Toc151971640"/>
            <w:r w:rsidRPr="00575452">
              <w:rPr>
                <w:rFonts w:cstheme="minorHAnsi"/>
                <w:b/>
                <w:bCs/>
                <w:szCs w:val="22"/>
                <w:lang w:val="es-ES_tradnl"/>
              </w:rPr>
              <w:t>Autorización para que el Grupo Asesor de Radiocomunicaciones (GAR) actúe en el periodo entre Asambleas de Radiocomunicaciones (AR)</w:t>
            </w:r>
            <w:bookmarkEnd w:id="41"/>
            <w:bookmarkEnd w:id="42"/>
            <w:bookmarkEnd w:id="43"/>
            <w:bookmarkEnd w:id="44"/>
            <w:bookmarkEnd w:id="45"/>
          </w:p>
        </w:tc>
        <w:tc>
          <w:tcPr>
            <w:tcW w:w="409" w:type="pct"/>
          </w:tcPr>
          <w:p w14:paraId="27B66DF9" w14:textId="77777777" w:rsidR="00D11F6A" w:rsidRPr="00396492" w:rsidRDefault="00D11F6A" w:rsidP="005E348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5E348B">
              <w:t>NOC</w:t>
            </w:r>
          </w:p>
        </w:tc>
        <w:tc>
          <w:tcPr>
            <w:tcW w:w="2509" w:type="pct"/>
          </w:tcPr>
          <w:p w14:paraId="1CA5A733"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96492" w14:paraId="61C760BF"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5DB8E28C" w14:textId="36EDB7F2" w:rsidR="00D11F6A" w:rsidRPr="00965AC4" w:rsidRDefault="00D11F6A" w:rsidP="001703DB">
            <w:pPr>
              <w:pStyle w:val="Tabletext"/>
              <w:jc w:val="center"/>
              <w:rPr>
                <w:rFonts w:cstheme="minorHAnsi"/>
                <w:b w:val="0"/>
                <w:bCs w:val="0"/>
                <w:szCs w:val="22"/>
                <w:lang w:val="es-ES"/>
              </w:rPr>
            </w:pPr>
            <w:hyperlink r:id="rId50" w:history="1">
              <w:r w:rsidRPr="00965AC4">
                <w:rPr>
                  <w:rStyle w:val="Hyperlink"/>
                  <w:rFonts w:cstheme="minorHAnsi"/>
                  <w:b w:val="0"/>
                  <w:bCs w:val="0"/>
                  <w:szCs w:val="22"/>
                  <w:lang w:val="es-ES"/>
                </w:rPr>
                <w:t>Res.54-4 (2023)</w:t>
              </w:r>
            </w:hyperlink>
          </w:p>
        </w:tc>
        <w:tc>
          <w:tcPr>
            <w:tcW w:w="1651" w:type="pct"/>
          </w:tcPr>
          <w:p w14:paraId="18D7F00D"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46" w:name="_Toc151971642"/>
            <w:r w:rsidRPr="00575452">
              <w:rPr>
                <w:rFonts w:cstheme="minorHAnsi"/>
                <w:b/>
                <w:bCs/>
                <w:szCs w:val="22"/>
                <w:lang w:val="es-ES_tradnl"/>
              </w:rPr>
              <w:t>Estudios para lograr la armonización de los dispositivos de corto alcance</w:t>
            </w:r>
            <w:bookmarkEnd w:id="46"/>
          </w:p>
        </w:tc>
        <w:tc>
          <w:tcPr>
            <w:tcW w:w="409" w:type="pct"/>
          </w:tcPr>
          <w:p w14:paraId="2F20D85F" w14:textId="77777777" w:rsidR="00D11F6A" w:rsidRPr="009011D5" w:rsidRDefault="00D11F6A" w:rsidP="005E348B">
            <w:pPr>
              <w:pStyle w:val="Tabletext"/>
              <w:jc w:val="center"/>
              <w:cnfStyle w:val="000000000000" w:firstRow="0" w:lastRow="0" w:firstColumn="0" w:lastColumn="0" w:oddVBand="0" w:evenVBand="0" w:oddHBand="0" w:evenHBand="0" w:firstRowFirstColumn="0" w:firstRowLastColumn="0" w:lastRowFirstColumn="0" w:lastRowLastColumn="0"/>
            </w:pPr>
            <w:r w:rsidRPr="009011D5">
              <w:t>MOD</w:t>
            </w:r>
          </w:p>
        </w:tc>
        <w:tc>
          <w:tcPr>
            <w:tcW w:w="2509" w:type="pct"/>
          </w:tcPr>
          <w:p w14:paraId="1A199074" w14:textId="77777777" w:rsidR="00D11F6A" w:rsidRPr="009011D5" w:rsidRDefault="00D11F6A" w:rsidP="009011D5">
            <w:pPr>
              <w:pStyle w:val="Tabletext"/>
              <w:cnfStyle w:val="000000000000" w:firstRow="0" w:lastRow="0" w:firstColumn="0" w:lastColumn="0" w:oddVBand="0" w:evenVBand="0" w:oddHBand="0" w:evenHBand="0" w:firstRowFirstColumn="0" w:firstRowLastColumn="0" w:lastRowFirstColumn="0" w:lastRowLastColumn="0"/>
            </w:pPr>
          </w:p>
        </w:tc>
      </w:tr>
      <w:tr w:rsidR="00641520" w:rsidRPr="003A17D9" w14:paraId="10AD1910"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8D7587A" w14:textId="7A870651" w:rsidR="00D11F6A" w:rsidRPr="00965AC4" w:rsidRDefault="00D11F6A" w:rsidP="001703DB">
            <w:pPr>
              <w:pStyle w:val="Tabletext"/>
              <w:jc w:val="center"/>
              <w:rPr>
                <w:rFonts w:cstheme="minorHAnsi"/>
                <w:b w:val="0"/>
                <w:bCs w:val="0"/>
                <w:szCs w:val="22"/>
                <w:lang w:val="es-ES"/>
              </w:rPr>
            </w:pPr>
            <w:hyperlink r:id="rId51" w:history="1">
              <w:r w:rsidRPr="00965AC4">
                <w:rPr>
                  <w:rStyle w:val="Hyperlink"/>
                  <w:rFonts w:cstheme="minorHAnsi"/>
                  <w:b w:val="0"/>
                  <w:bCs w:val="0"/>
                  <w:szCs w:val="22"/>
                  <w:lang w:val="es-ES"/>
                </w:rPr>
                <w:t>Res.55-4 (2023)</w:t>
              </w:r>
            </w:hyperlink>
          </w:p>
        </w:tc>
        <w:tc>
          <w:tcPr>
            <w:tcW w:w="1651" w:type="pct"/>
          </w:tcPr>
          <w:p w14:paraId="386A1909" w14:textId="0DC789C5" w:rsidR="00D11F6A" w:rsidRPr="0057545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47" w:name="_Toc151971644"/>
            <w:r w:rsidRPr="00575452">
              <w:rPr>
                <w:rFonts w:cstheme="minorHAnsi"/>
                <w:b/>
                <w:bCs/>
                <w:szCs w:val="22"/>
                <w:lang w:val="es-ES_tradnl"/>
              </w:rPr>
              <w:t>Estudios del UIT-R sobre predicción, detección, mitigación de</w:t>
            </w:r>
            <w:r w:rsidR="00943B8F">
              <w:rPr>
                <w:rFonts w:cstheme="minorHAnsi"/>
                <w:b/>
                <w:bCs/>
                <w:szCs w:val="22"/>
                <w:lang w:val="es-ES_tradnl"/>
              </w:rPr>
              <w:t xml:space="preserve"> </w:t>
            </w:r>
            <w:r w:rsidRPr="00575452">
              <w:rPr>
                <w:rFonts w:cstheme="minorHAnsi"/>
                <w:b/>
                <w:bCs/>
                <w:szCs w:val="22"/>
                <w:lang w:val="es-ES_tradnl"/>
              </w:rPr>
              <w:t>los efectos de las catástrofes y operaciones de socorro</w:t>
            </w:r>
            <w:bookmarkEnd w:id="47"/>
          </w:p>
        </w:tc>
        <w:tc>
          <w:tcPr>
            <w:tcW w:w="409" w:type="pct"/>
          </w:tcPr>
          <w:p w14:paraId="594F4A81" w14:textId="77777777" w:rsidR="00D11F6A" w:rsidRPr="009011D5" w:rsidRDefault="00D11F6A" w:rsidP="005E348B">
            <w:pPr>
              <w:pStyle w:val="Tabletext"/>
              <w:tabs>
                <w:tab w:val="clear" w:pos="284"/>
                <w:tab w:val="clear" w:pos="567"/>
                <w:tab w:val="clear" w:pos="851"/>
                <w:tab w:val="left" w:pos="169"/>
                <w:tab w:val="left" w:pos="594"/>
                <w:tab w:val="left" w:pos="736"/>
              </w:tabs>
              <w:jc w:val="center"/>
              <w:cnfStyle w:val="000000100000" w:firstRow="0" w:lastRow="0" w:firstColumn="0" w:lastColumn="0" w:oddVBand="0" w:evenVBand="0" w:oddHBand="1" w:evenHBand="0" w:firstRowFirstColumn="0" w:firstRowLastColumn="0" w:lastRowFirstColumn="0" w:lastRowLastColumn="0"/>
            </w:pPr>
            <w:r w:rsidRPr="009011D5">
              <w:t>MOD</w:t>
            </w:r>
          </w:p>
        </w:tc>
        <w:tc>
          <w:tcPr>
            <w:tcW w:w="2509" w:type="pct"/>
          </w:tcPr>
          <w:p w14:paraId="51EA27B4" w14:textId="77777777" w:rsidR="00D11F6A" w:rsidRPr="005E348B" w:rsidRDefault="00D11F6A" w:rsidP="00F30BD1">
            <w:pPr>
              <w:pStyle w:val="Tabletext"/>
              <w:spacing w:after="120"/>
              <w:ind w:left="391"/>
              <w:cnfStyle w:val="000000100000" w:firstRow="0" w:lastRow="0" w:firstColumn="0" w:lastColumn="0" w:oddVBand="0" w:evenVBand="0" w:oddHBand="1" w:evenHBand="0" w:firstRowFirstColumn="0" w:firstRowLastColumn="0" w:lastRowFirstColumn="0" w:lastRowLastColumn="0"/>
              <w:rPr>
                <w:i/>
                <w:iCs/>
                <w:lang w:val="es-ES"/>
              </w:rPr>
            </w:pPr>
            <w:r w:rsidRPr="005E348B">
              <w:rPr>
                <w:i/>
                <w:iCs/>
                <w:lang w:val="es-ES"/>
              </w:rPr>
              <w:t>observando</w:t>
            </w:r>
          </w:p>
          <w:p w14:paraId="1F02135D" w14:textId="77777777" w:rsidR="00D11F6A" w:rsidRPr="00D6760B" w:rsidRDefault="00D11F6A" w:rsidP="005E348B">
            <w:pPr>
              <w:pStyle w:val="Tabletext"/>
              <w:tabs>
                <w:tab w:val="clear" w:pos="284"/>
                <w:tab w:val="left" w:pos="678"/>
              </w:tabs>
              <w:spacing w:after="120"/>
              <w:cnfStyle w:val="000000100000" w:firstRow="0" w:lastRow="0" w:firstColumn="0" w:lastColumn="0" w:oddVBand="0" w:evenVBand="0" w:oddHBand="1" w:evenHBand="0" w:firstRowFirstColumn="0" w:firstRowLastColumn="0" w:lastRowFirstColumn="0" w:lastRowLastColumn="0"/>
              <w:rPr>
                <w:lang w:val="es-ES"/>
              </w:rPr>
            </w:pPr>
            <w:r w:rsidRPr="00D6760B">
              <w:rPr>
                <w:i/>
                <w:iCs/>
                <w:lang w:val="es-ES"/>
              </w:rPr>
              <w:t>a)</w:t>
            </w:r>
            <w:r w:rsidRPr="00D6760B">
              <w:rPr>
                <w:lang w:val="es-ES"/>
              </w:rPr>
              <w:tab/>
              <w:t>la Resolución 34 (Rev. Kigali, 2022) de la Conferencia Mundial de Desarrollo de las Telecomunicaciones – La función de las telecomunicaciones y las tecnologías de la información y la comunicación (TIC) en la preparación, alerta temprana, rescate, mitigación de los efectos, operaciones de socorro y respuesta en caso de catástrofe;</w:t>
            </w:r>
          </w:p>
          <w:p w14:paraId="2DAD8AA3" w14:textId="77777777" w:rsidR="00D11F6A" w:rsidRPr="00D6760B" w:rsidRDefault="00D11F6A" w:rsidP="00F30BD1">
            <w:pPr>
              <w:pStyle w:val="Tabletext"/>
              <w:spacing w:after="120"/>
              <w:ind w:left="391"/>
              <w:cnfStyle w:val="000000100000" w:firstRow="0" w:lastRow="0" w:firstColumn="0" w:lastColumn="0" w:oddVBand="0" w:evenVBand="0" w:oddHBand="1" w:evenHBand="0" w:firstRowFirstColumn="0" w:firstRowLastColumn="0" w:lastRowFirstColumn="0" w:lastRowLastColumn="0"/>
              <w:rPr>
                <w:i/>
                <w:iCs/>
                <w:lang w:val="es-ES"/>
              </w:rPr>
            </w:pPr>
            <w:r w:rsidRPr="00D6760B">
              <w:rPr>
                <w:i/>
                <w:iCs/>
                <w:lang w:val="es-ES"/>
              </w:rPr>
              <w:t>invita a las Comisiones de Estudio</w:t>
            </w:r>
          </w:p>
          <w:p w14:paraId="75AC5D5D" w14:textId="6D761CD8" w:rsidR="00D11F6A" w:rsidRPr="00D6760B" w:rsidRDefault="00D11F6A" w:rsidP="00F30BD1">
            <w:pPr>
              <w:pStyle w:val="Tabletext"/>
              <w:spacing w:after="120"/>
              <w:cnfStyle w:val="000000100000" w:firstRow="0" w:lastRow="0" w:firstColumn="0" w:lastColumn="0" w:oddVBand="0" w:evenVBand="0" w:oddHBand="1" w:evenHBand="0" w:firstRowFirstColumn="0" w:firstRowLastColumn="0" w:lastRowFirstColumn="0" w:lastRowLastColumn="0"/>
              <w:rPr>
                <w:lang w:val="es-ES"/>
              </w:rPr>
            </w:pPr>
            <w:r w:rsidRPr="00D6760B">
              <w:rPr>
                <w:lang w:val="es-ES"/>
              </w:rPr>
              <w:t>a que, en el cumplimiento de sus programas de trabajo, tomen en consideración el ámbito de los estudios y actividades en curso indicados en la página web del UIT-R sobre Radiocomunicaciones de Emergencia</w:t>
            </w:r>
            <w:r w:rsidR="00531535">
              <w:rPr>
                <w:rStyle w:val="FootnoteReference"/>
                <w:lang w:val="es-ES"/>
              </w:rPr>
              <w:footnoteReference w:customMarkFollows="1" w:id="1"/>
              <w:t>1</w:t>
            </w:r>
            <w:r w:rsidRPr="00D6760B">
              <w:rPr>
                <w:lang w:val="es-ES"/>
              </w:rPr>
              <w:t>, así como la información facilitada por la Oficina sobre las actividades conexas que llevan a cabo los otros dos Sectores y la Secretaría General, a fin de evitar la duplicación de los esfuerzos.</w:t>
            </w:r>
          </w:p>
          <w:p w14:paraId="784BD812" w14:textId="1F21826F" w:rsidR="00D11F6A" w:rsidRPr="00D6760B" w:rsidRDefault="00DD5B93" w:rsidP="009011D5">
            <w:pPr>
              <w:pStyle w:val="Tabletext"/>
              <w:cnfStyle w:val="000000100000" w:firstRow="0" w:lastRow="0" w:firstColumn="0" w:lastColumn="0" w:oddVBand="0" w:evenVBand="0" w:oddHBand="1" w:evenHBand="0" w:firstRowFirstColumn="0" w:firstRowLastColumn="0" w:lastRowFirstColumn="0" w:lastRowLastColumn="0"/>
              <w:rPr>
                <w:lang w:val="es-ES"/>
              </w:rPr>
            </w:pPr>
            <w:r w:rsidRPr="00DD5B93">
              <w:rPr>
                <w:b/>
                <w:bCs/>
                <w:lang w:val="es-ES"/>
              </w:rPr>
              <w:t>Nota</w:t>
            </w:r>
            <w:r>
              <w:rPr>
                <w:lang w:val="es-ES"/>
              </w:rPr>
              <w:t xml:space="preserve">: </w:t>
            </w:r>
            <w:r w:rsidR="00D11F6A" w:rsidRPr="00F30BD1">
              <w:rPr>
                <w:lang w:val="es-ES"/>
              </w:rPr>
              <w:t xml:space="preserve">En el Anexo a esta Resolución se enumeran todos los Informes, Recomendaciones y Manuales del UIT-R pertinentes en los que se aborda el tema en cuestión. </w:t>
            </w:r>
            <w:r w:rsidR="00D11F6A" w:rsidRPr="00D6760B">
              <w:rPr>
                <w:lang w:val="es-ES"/>
              </w:rPr>
              <w:t xml:space="preserve">También se hace referencia al siguiente Informe del UIT-D: </w:t>
            </w:r>
            <w:hyperlink r:id="rId52" w:history="1">
              <w:r w:rsidR="00D11F6A" w:rsidRPr="00142C63">
                <w:rPr>
                  <w:rFonts w:cstheme="minorHAnsi"/>
                  <w:color w:val="0000FF"/>
                  <w:szCs w:val="22"/>
                  <w:u w:val="single"/>
                  <w:lang w:val="es-ES"/>
                </w:rPr>
                <w:t>https://www.itu.int/hub/publication/d-stg-sg02-05-2-2021/</w:t>
              </w:r>
              <w:r w:rsidR="00D11F6A" w:rsidRPr="005E348B">
                <w:rPr>
                  <w:szCs w:val="22"/>
                  <w:lang w:val="es-ES"/>
                </w:rPr>
                <w:t xml:space="preserve"> </w:t>
              </w:r>
            </w:hyperlink>
            <w:r w:rsidR="00D11F6A" w:rsidRPr="00D6760B">
              <w:rPr>
                <w:lang w:val="es-ES"/>
              </w:rPr>
              <w:t>)</w:t>
            </w:r>
          </w:p>
        </w:tc>
      </w:tr>
      <w:tr w:rsidR="00641520" w:rsidRPr="003A17D9" w14:paraId="34D855AF"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5BA72B4A" w14:textId="69ADA20A" w:rsidR="00D11F6A" w:rsidRPr="00965AC4" w:rsidRDefault="00D11F6A" w:rsidP="001703DB">
            <w:pPr>
              <w:pStyle w:val="Tabletext"/>
              <w:jc w:val="center"/>
              <w:rPr>
                <w:rFonts w:cstheme="minorHAnsi"/>
                <w:b w:val="0"/>
                <w:bCs w:val="0"/>
                <w:szCs w:val="22"/>
                <w:lang w:val="es-ES"/>
              </w:rPr>
            </w:pPr>
            <w:hyperlink r:id="rId53" w:history="1">
              <w:r w:rsidRPr="00965AC4">
                <w:rPr>
                  <w:rStyle w:val="Hyperlink"/>
                  <w:rFonts w:cstheme="minorHAnsi"/>
                  <w:b w:val="0"/>
                  <w:bCs w:val="0"/>
                  <w:szCs w:val="22"/>
                  <w:lang w:val="es-ES"/>
                </w:rPr>
                <w:t>Res.56-3 (2023)</w:t>
              </w:r>
            </w:hyperlink>
          </w:p>
        </w:tc>
        <w:tc>
          <w:tcPr>
            <w:tcW w:w="1651" w:type="pct"/>
          </w:tcPr>
          <w:p w14:paraId="3734A3BB" w14:textId="77777777" w:rsidR="00D11F6A" w:rsidRPr="0057545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48" w:name="_Toc151971646"/>
            <w:r w:rsidRPr="00575452">
              <w:rPr>
                <w:rFonts w:cstheme="minorHAnsi"/>
                <w:b/>
                <w:bCs/>
                <w:szCs w:val="22"/>
                <w:lang w:val="es-ES"/>
              </w:rPr>
              <w:t>Denominación de las Telecomunicaciones Móviles Internacionales</w:t>
            </w:r>
            <w:bookmarkEnd w:id="48"/>
          </w:p>
        </w:tc>
        <w:tc>
          <w:tcPr>
            <w:tcW w:w="409" w:type="pct"/>
          </w:tcPr>
          <w:p w14:paraId="7979FB58" w14:textId="77777777" w:rsidR="00D11F6A" w:rsidRPr="009011D5" w:rsidRDefault="00D11F6A" w:rsidP="009011D5">
            <w:pPr>
              <w:pStyle w:val="Tabletext"/>
              <w:cnfStyle w:val="000000000000" w:firstRow="0" w:lastRow="0" w:firstColumn="0" w:lastColumn="0" w:oddVBand="0" w:evenVBand="0" w:oddHBand="0" w:evenHBand="0" w:firstRowFirstColumn="0" w:firstRowLastColumn="0" w:lastRowFirstColumn="0" w:lastRowLastColumn="0"/>
            </w:pPr>
            <w:r w:rsidRPr="009011D5">
              <w:t>MOD</w:t>
            </w:r>
          </w:p>
        </w:tc>
        <w:tc>
          <w:tcPr>
            <w:tcW w:w="2509" w:type="pct"/>
          </w:tcPr>
          <w:p w14:paraId="57AC6AEF" w14:textId="77777777" w:rsidR="00D11F6A" w:rsidRPr="00D6760B" w:rsidRDefault="00D11F6A" w:rsidP="00F94B6C">
            <w:pPr>
              <w:pStyle w:val="Tabletext"/>
              <w:ind w:left="394"/>
              <w:cnfStyle w:val="000000000000" w:firstRow="0" w:lastRow="0" w:firstColumn="0" w:lastColumn="0" w:oddVBand="0" w:evenVBand="0" w:oddHBand="0" w:evenHBand="0" w:firstRowFirstColumn="0" w:firstRowLastColumn="0" w:lastRowFirstColumn="0" w:lastRowLastColumn="0"/>
              <w:rPr>
                <w:lang w:val="es-ES"/>
              </w:rPr>
            </w:pPr>
            <w:r w:rsidRPr="00F94B6C">
              <w:rPr>
                <w:rFonts w:cstheme="minorHAnsi"/>
                <w:i/>
                <w:szCs w:val="22"/>
                <w:lang w:val="es-ES"/>
              </w:rPr>
              <w:t>resuelve</w:t>
            </w:r>
          </w:p>
          <w:p w14:paraId="0C8F385B"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lastRenderedPageBreak/>
              <w:t>1</w:t>
            </w:r>
            <w:r w:rsidRPr="00D6760B">
              <w:rPr>
                <w:lang w:val="es-ES"/>
              </w:rPr>
              <w:tab/>
              <w:t>que el término «IMT</w:t>
            </w:r>
            <w:r w:rsidRPr="00D6760B">
              <w:rPr>
                <w:lang w:val="es-ES"/>
              </w:rPr>
              <w:noBreakHyphen/>
              <w:t xml:space="preserve">2000» abarque también las mejoras y futuras evoluciones de las IMT-2000, y que se aplique el </w:t>
            </w:r>
            <w:r w:rsidRPr="005E348B">
              <w:rPr>
                <w:i/>
                <w:iCs/>
                <w:lang w:val="es-ES"/>
              </w:rPr>
              <w:t>reconociendo g)</w:t>
            </w:r>
            <w:r w:rsidRPr="00D6760B">
              <w:rPr>
                <w:lang w:val="es-ES"/>
              </w:rPr>
              <w:t>;</w:t>
            </w:r>
          </w:p>
          <w:p w14:paraId="6D71B341"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2</w:t>
            </w:r>
            <w:r w:rsidRPr="00D6760B">
              <w:rPr>
                <w:lang w:val="es-ES"/>
              </w:rPr>
              <w:tab/>
              <w:t xml:space="preserve">que el término «IMT-Avanzadas» abarque también las mejoras y futuras evoluciones de las IMT-Avanzadas, y que se aplique el </w:t>
            </w:r>
            <w:r w:rsidRPr="00531535">
              <w:rPr>
                <w:i/>
                <w:iCs/>
                <w:lang w:val="es-ES"/>
              </w:rPr>
              <w:t>reconociendo h</w:t>
            </w:r>
            <w:r w:rsidRPr="00D6760B">
              <w:rPr>
                <w:lang w:val="es-ES"/>
              </w:rPr>
              <w:t>);</w:t>
            </w:r>
          </w:p>
          <w:p w14:paraId="3DF6A74B"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3</w:t>
            </w:r>
            <w:r w:rsidRPr="00D6760B">
              <w:rPr>
                <w:lang w:val="es-ES"/>
              </w:rPr>
              <w:tab/>
              <w:t xml:space="preserve">que el término «IMT-2020» abarque también las mejoras y futuras evoluciones de las IMT-2020, y que se aplique el </w:t>
            </w:r>
            <w:r w:rsidRPr="00531535">
              <w:rPr>
                <w:i/>
                <w:iCs/>
                <w:lang w:val="es-ES"/>
              </w:rPr>
              <w:t>reconociendo i)</w:t>
            </w:r>
            <w:r w:rsidRPr="00D6760B">
              <w:rPr>
                <w:lang w:val="es-ES"/>
              </w:rPr>
              <w:t>;</w:t>
            </w:r>
          </w:p>
          <w:p w14:paraId="3A7CCAA1" w14:textId="3F50F5DF" w:rsidR="00D11F6A" w:rsidRPr="00D6760B" w:rsidRDefault="00D11F6A" w:rsidP="00531535">
            <w:pPr>
              <w:pStyle w:val="Tabletext"/>
              <w:tabs>
                <w:tab w:val="clear" w:pos="284"/>
                <w:tab w:val="left" w:pos="678"/>
              </w:tabs>
              <w:spacing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4</w:t>
            </w:r>
            <w:r w:rsidRPr="00D6760B">
              <w:rPr>
                <w:lang w:val="es-ES"/>
              </w:rPr>
              <w:tab/>
              <w:t>que el término «IMT-2030» se aplique a aquellos sistemas, componentes de sistemas y aspectos conexos que incluyan interfaces radioeléctricas que admitan capacidades adicionales de sistemas posteriores a las IMT-2000, las IMT-Avanzadas y las IMT</w:t>
            </w:r>
            <w:r w:rsidR="00E83DE2">
              <w:rPr>
                <w:lang w:val="es-ES"/>
              </w:rPr>
              <w:noBreakHyphen/>
            </w:r>
            <w:r w:rsidRPr="00D6760B">
              <w:rPr>
                <w:lang w:val="es-ES"/>
              </w:rPr>
              <w:t xml:space="preserve">2020, y que se aplique el </w:t>
            </w:r>
            <w:r w:rsidRPr="00531535">
              <w:rPr>
                <w:i/>
                <w:iCs/>
                <w:lang w:val="es-ES"/>
              </w:rPr>
              <w:t>reconociendo j</w:t>
            </w:r>
            <w:r w:rsidRPr="00D6760B">
              <w:rPr>
                <w:lang w:val="es-ES"/>
              </w:rPr>
              <w:t>); y</w:t>
            </w:r>
          </w:p>
          <w:p w14:paraId="607648EB" w14:textId="2C1F47D8"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5</w:t>
            </w:r>
            <w:r w:rsidRPr="00D6760B">
              <w:rPr>
                <w:lang w:val="es-ES"/>
              </w:rPr>
              <w:tab/>
              <w:t>que el término «IMT» sea el nombre que se aplique colectivamente a las «IMT</w:t>
            </w:r>
            <w:r w:rsidRPr="00D6760B">
              <w:rPr>
                <w:lang w:val="es-ES"/>
              </w:rPr>
              <w:noBreakHyphen/>
              <w:t>2000», las «IMT</w:t>
            </w:r>
            <w:r w:rsidRPr="00D6760B">
              <w:rPr>
                <w:lang w:val="es-ES"/>
              </w:rPr>
              <w:noBreakHyphen/>
              <w:t>Avanzadas», las «IMT</w:t>
            </w:r>
            <w:r w:rsidR="00531535">
              <w:rPr>
                <w:lang w:val="es-ES"/>
              </w:rPr>
              <w:noBreakHyphen/>
            </w:r>
            <w:r w:rsidRPr="00D6760B">
              <w:rPr>
                <w:lang w:val="es-ES"/>
              </w:rPr>
              <w:t>2020» y las «IMT-2030».</w:t>
            </w:r>
          </w:p>
        </w:tc>
      </w:tr>
      <w:tr w:rsidR="00641520" w:rsidRPr="00396492" w14:paraId="240BE472"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6A5BED25" w14:textId="21FD0335" w:rsidR="00D11F6A" w:rsidRPr="00965AC4" w:rsidRDefault="00D11F6A" w:rsidP="001703DB">
            <w:pPr>
              <w:pStyle w:val="Tabletext"/>
              <w:jc w:val="center"/>
              <w:rPr>
                <w:rFonts w:cstheme="minorHAnsi"/>
                <w:b w:val="0"/>
                <w:bCs w:val="0"/>
                <w:szCs w:val="22"/>
                <w:lang w:val="es-ES"/>
              </w:rPr>
            </w:pPr>
            <w:hyperlink r:id="rId54" w:history="1">
              <w:r w:rsidRPr="00965AC4">
                <w:rPr>
                  <w:rStyle w:val="Hyperlink"/>
                  <w:rFonts w:cstheme="minorHAnsi"/>
                  <w:b w:val="0"/>
                  <w:bCs w:val="0"/>
                  <w:szCs w:val="22"/>
                  <w:lang w:val="es-ES"/>
                </w:rPr>
                <w:t>Res.57-2 (2015)</w:t>
              </w:r>
            </w:hyperlink>
          </w:p>
        </w:tc>
        <w:tc>
          <w:tcPr>
            <w:tcW w:w="1651" w:type="pct"/>
          </w:tcPr>
          <w:p w14:paraId="63A584B9" w14:textId="721BA4A0"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49" w:name="_Toc436919104"/>
            <w:bookmarkStart w:id="50" w:name="_Toc23513677"/>
            <w:bookmarkStart w:id="51" w:name="_Toc24031947"/>
            <w:bookmarkStart w:id="52" w:name="_Toc151971648"/>
            <w:r w:rsidRPr="009011D5">
              <w:rPr>
                <w:rFonts w:cstheme="minorHAnsi"/>
                <w:b/>
                <w:bCs/>
                <w:szCs w:val="22"/>
                <w:lang w:val="es-ES_tradnl"/>
              </w:rPr>
              <w:t>Principios para el proceso de desarrollo de las IMT</w:t>
            </w:r>
            <w:r w:rsidR="00BA6D1B">
              <w:rPr>
                <w:rFonts w:cstheme="minorHAnsi"/>
                <w:b/>
                <w:bCs/>
                <w:szCs w:val="22"/>
                <w:lang w:val="es-ES_tradnl"/>
              </w:rPr>
              <w:noBreakHyphen/>
            </w:r>
            <w:r w:rsidRPr="009011D5">
              <w:rPr>
                <w:rFonts w:cstheme="minorHAnsi"/>
                <w:b/>
                <w:bCs/>
                <w:szCs w:val="22"/>
                <w:lang w:val="es-ES_tradnl"/>
              </w:rPr>
              <w:t>Avanzadas</w:t>
            </w:r>
            <w:bookmarkEnd w:id="49"/>
            <w:bookmarkEnd w:id="50"/>
            <w:bookmarkEnd w:id="51"/>
            <w:bookmarkEnd w:id="52"/>
          </w:p>
        </w:tc>
        <w:tc>
          <w:tcPr>
            <w:tcW w:w="409" w:type="pct"/>
          </w:tcPr>
          <w:p w14:paraId="5FE196B4" w14:textId="77777777" w:rsidR="00D11F6A" w:rsidRPr="00396492" w:rsidRDefault="00D11F6A" w:rsidP="00BA6D1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6C5F6E00"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96492" w14:paraId="73B7A4D6"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7747B95C" w14:textId="5AA493C8" w:rsidR="00D11F6A" w:rsidRPr="00965AC4" w:rsidRDefault="00D11F6A" w:rsidP="001703DB">
            <w:pPr>
              <w:pStyle w:val="Tabletext"/>
              <w:jc w:val="center"/>
              <w:rPr>
                <w:rFonts w:cstheme="minorHAnsi"/>
                <w:b w:val="0"/>
                <w:bCs w:val="0"/>
                <w:szCs w:val="22"/>
                <w:lang w:val="es-ES"/>
              </w:rPr>
            </w:pPr>
            <w:hyperlink r:id="rId55" w:history="1">
              <w:r w:rsidRPr="00965AC4">
                <w:rPr>
                  <w:rStyle w:val="Hyperlink"/>
                  <w:rFonts w:cstheme="minorHAnsi"/>
                  <w:b w:val="0"/>
                  <w:bCs w:val="0"/>
                  <w:szCs w:val="22"/>
                  <w:lang w:val="es-ES"/>
                </w:rPr>
                <w:t>Res.58-2 (2019)</w:t>
              </w:r>
            </w:hyperlink>
          </w:p>
        </w:tc>
        <w:tc>
          <w:tcPr>
            <w:tcW w:w="1651" w:type="pct"/>
          </w:tcPr>
          <w:p w14:paraId="159EF75C" w14:textId="29877F7E"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53" w:name="_Toc24031949"/>
            <w:bookmarkStart w:id="54" w:name="_Toc151971650"/>
            <w:r w:rsidRPr="009011D5">
              <w:rPr>
                <w:rFonts w:cstheme="minorHAnsi"/>
                <w:b/>
                <w:bCs/>
                <w:szCs w:val="22"/>
                <w:lang w:val="es-ES_tradnl"/>
              </w:rPr>
              <w:t>Estudios sobre la implementación y utilización de sistemas de radiocomunicaciones inteligentes</w:t>
            </w:r>
            <w:bookmarkEnd w:id="53"/>
            <w:bookmarkEnd w:id="54"/>
          </w:p>
        </w:tc>
        <w:tc>
          <w:tcPr>
            <w:tcW w:w="409" w:type="pct"/>
          </w:tcPr>
          <w:p w14:paraId="0E843E7F" w14:textId="77777777" w:rsidR="00D11F6A" w:rsidRPr="00396492" w:rsidRDefault="00D11F6A" w:rsidP="00531535">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025E38DA"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p>
        </w:tc>
      </w:tr>
      <w:tr w:rsidR="00641520" w:rsidRPr="00396492" w14:paraId="66426CB3"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673B94F0" w14:textId="4ADBE637" w:rsidR="00D11F6A" w:rsidRPr="00965AC4" w:rsidRDefault="00D11F6A" w:rsidP="001703DB">
            <w:pPr>
              <w:pStyle w:val="Tabletext"/>
              <w:jc w:val="center"/>
              <w:rPr>
                <w:rFonts w:cstheme="minorHAnsi"/>
                <w:b w:val="0"/>
                <w:bCs w:val="0"/>
                <w:szCs w:val="22"/>
                <w:lang w:val="es-ES"/>
              </w:rPr>
            </w:pPr>
            <w:hyperlink r:id="rId56" w:history="1">
              <w:r w:rsidRPr="00965AC4">
                <w:rPr>
                  <w:rStyle w:val="Hyperlink"/>
                  <w:rFonts w:cstheme="minorHAnsi"/>
                  <w:b w:val="0"/>
                  <w:bCs w:val="0"/>
                  <w:szCs w:val="22"/>
                  <w:lang w:val="es-ES"/>
                </w:rPr>
                <w:t>Res.59-3 (2023)</w:t>
              </w:r>
            </w:hyperlink>
          </w:p>
        </w:tc>
        <w:tc>
          <w:tcPr>
            <w:tcW w:w="1651" w:type="pct"/>
          </w:tcPr>
          <w:p w14:paraId="73CD9B05" w14:textId="77777777"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eastAsia="nl-NL"/>
              </w:rPr>
            </w:pPr>
            <w:bookmarkStart w:id="55" w:name="_Toc151971652"/>
            <w:r w:rsidRPr="009011D5">
              <w:rPr>
                <w:rFonts w:cstheme="minorHAnsi"/>
                <w:b/>
                <w:bCs/>
                <w:szCs w:val="22"/>
                <w:lang w:val="es-ES_tradnl" w:eastAsia="nl-NL"/>
              </w:rPr>
              <w:t>Estudios sobre disponibilidad de bandas de frecuencias para la armonización a nivel mundial y/o regional y condiciones para su utilización por los sistemas electrónicos terrenales de periodismo electrónico</w:t>
            </w:r>
            <w:bookmarkEnd w:id="55"/>
          </w:p>
        </w:tc>
        <w:tc>
          <w:tcPr>
            <w:tcW w:w="409" w:type="pct"/>
          </w:tcPr>
          <w:p w14:paraId="31C0F4DF" w14:textId="77777777" w:rsidR="00D11F6A" w:rsidRPr="00396492" w:rsidRDefault="00D11F6A" w:rsidP="00531535">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527ED1C6"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641520" w:rsidRPr="003A17D9" w14:paraId="32B0F4A8"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1D50EBB7" w14:textId="222C7110" w:rsidR="00D11F6A" w:rsidRPr="00965AC4" w:rsidRDefault="00D11F6A" w:rsidP="001703DB">
            <w:pPr>
              <w:pStyle w:val="Tabletext"/>
              <w:jc w:val="center"/>
              <w:rPr>
                <w:rFonts w:cstheme="minorHAnsi"/>
                <w:b w:val="0"/>
                <w:bCs w:val="0"/>
                <w:szCs w:val="22"/>
                <w:lang w:val="es-ES"/>
              </w:rPr>
            </w:pPr>
            <w:hyperlink r:id="rId57" w:history="1">
              <w:r w:rsidRPr="00965AC4">
                <w:rPr>
                  <w:rStyle w:val="Hyperlink"/>
                  <w:rFonts w:cstheme="minorHAnsi"/>
                  <w:b w:val="0"/>
                  <w:bCs w:val="0"/>
                  <w:szCs w:val="22"/>
                  <w:lang w:val="es-ES"/>
                </w:rPr>
                <w:t>Res.60-3 (2023)</w:t>
              </w:r>
            </w:hyperlink>
          </w:p>
        </w:tc>
        <w:tc>
          <w:tcPr>
            <w:tcW w:w="1651" w:type="pct"/>
          </w:tcPr>
          <w:p w14:paraId="085D0107" w14:textId="4E32D7DE"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eastAsia="nl-NL"/>
              </w:rPr>
            </w:pPr>
            <w:bookmarkStart w:id="56" w:name="_Toc151971654"/>
            <w:r w:rsidRPr="009011D5">
              <w:rPr>
                <w:rFonts w:cstheme="minorHAnsi"/>
                <w:b/>
                <w:bCs/>
                <w:szCs w:val="22"/>
                <w:lang w:val="es-ES_tradnl" w:eastAsia="nl-NL"/>
              </w:rPr>
              <w:t>Reducción del consumo de energía para la protección del medio ambiente y la reducción del cambio climático mediante la utilización de tecnologías y sistemas de radiocomunicaciones/TIC</w:t>
            </w:r>
            <w:bookmarkEnd w:id="56"/>
          </w:p>
        </w:tc>
        <w:tc>
          <w:tcPr>
            <w:tcW w:w="409" w:type="pct"/>
          </w:tcPr>
          <w:p w14:paraId="72FD1FA3" w14:textId="77777777" w:rsidR="00D11F6A" w:rsidRPr="00396492" w:rsidRDefault="00D11F6A" w:rsidP="00531535">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73B3B5F6" w14:textId="77777777" w:rsidR="00D11F6A" w:rsidRPr="00D6760B" w:rsidRDefault="00D11F6A" w:rsidP="00F30BD1">
            <w:pPr>
              <w:pStyle w:val="Tabletext"/>
              <w:spacing w:after="120"/>
              <w:ind w:left="391"/>
              <w:cnfStyle w:val="000000000000" w:firstRow="0" w:lastRow="0" w:firstColumn="0" w:lastColumn="0" w:oddVBand="0" w:evenVBand="0" w:oddHBand="0" w:evenHBand="0" w:firstRowFirstColumn="0" w:firstRowLastColumn="0" w:lastRowFirstColumn="0" w:lastRowLastColumn="0"/>
              <w:rPr>
                <w:rFonts w:eastAsia="MS Mincho"/>
                <w:i/>
                <w:iCs/>
                <w:lang w:val="es-ES"/>
              </w:rPr>
            </w:pPr>
            <w:r w:rsidRPr="00D6760B">
              <w:rPr>
                <w:rFonts w:eastAsia="MS Mincho"/>
                <w:i/>
                <w:iCs/>
                <w:lang w:val="es-ES"/>
              </w:rPr>
              <w:t>considerando</w:t>
            </w:r>
          </w:p>
          <w:p w14:paraId="5058810C" w14:textId="35DF4D84" w:rsidR="00D11F6A" w:rsidRPr="00D6760B" w:rsidRDefault="00D11F6A" w:rsidP="00531535">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rFonts w:eastAsia="MS Mincho"/>
                <w:lang w:val="es-ES"/>
              </w:rPr>
            </w:pPr>
            <w:r w:rsidRPr="00D6760B">
              <w:rPr>
                <w:rFonts w:eastAsia="MS Mincho"/>
                <w:i/>
                <w:iCs/>
                <w:lang w:val="es-ES"/>
              </w:rPr>
              <w:t>g)</w:t>
            </w:r>
            <w:r w:rsidRPr="00D6760B">
              <w:rPr>
                <w:rFonts w:eastAsia="MS Mincho"/>
                <w:lang w:val="es-ES"/>
              </w:rPr>
              <w:tab/>
            </w:r>
            <w:proofErr w:type="gramStart"/>
            <w:r w:rsidRPr="00D6760B">
              <w:rPr>
                <w:rFonts w:eastAsia="MS Mincho"/>
                <w:lang w:val="es-ES"/>
              </w:rPr>
              <w:t>que</w:t>
            </w:r>
            <w:proofErr w:type="gramEnd"/>
            <w:r w:rsidRPr="00D6760B">
              <w:rPr>
                <w:rFonts w:eastAsia="MS Mincho"/>
                <w:lang w:val="es-ES"/>
              </w:rPr>
              <w:t xml:space="preserve"> en la Conferencia de las Naciones Unidas sobre el Cambio Climático celebrada en Bali, Indonesia, del 3 al 14 de diciembre de 2007, la UIT puso de relieve la función de las TIC a la vez como contribuyente al </w:t>
            </w:r>
            <w:r w:rsidRPr="00D6760B">
              <w:rPr>
                <w:rFonts w:eastAsia="MS Mincho"/>
                <w:lang w:val="es-ES"/>
              </w:rPr>
              <w:lastRenderedPageBreak/>
              <w:t>cambio climático y como un elemento importante para hacer frente a ese desafío</w:t>
            </w:r>
            <w:r w:rsidR="00F96138">
              <w:rPr>
                <w:rFonts w:eastAsia="MS Mincho"/>
                <w:lang w:val="es-ES"/>
              </w:rPr>
              <w:t>,</w:t>
            </w:r>
          </w:p>
          <w:p w14:paraId="6E5B8BBD" w14:textId="77777777" w:rsidR="00D11F6A" w:rsidRPr="00D6760B" w:rsidRDefault="00D11F6A" w:rsidP="00F30BD1">
            <w:pPr>
              <w:pStyle w:val="Tabletext"/>
              <w:spacing w:after="120"/>
              <w:ind w:left="391"/>
              <w:cnfStyle w:val="000000000000" w:firstRow="0" w:lastRow="0" w:firstColumn="0" w:lastColumn="0" w:oddVBand="0" w:evenVBand="0" w:oddHBand="0" w:evenHBand="0" w:firstRowFirstColumn="0" w:firstRowLastColumn="0" w:lastRowFirstColumn="0" w:lastRowLastColumn="0"/>
              <w:rPr>
                <w:rFonts w:eastAsia="MS Mincho"/>
                <w:lang w:val="es-ES"/>
              </w:rPr>
            </w:pPr>
            <w:proofErr w:type="gramStart"/>
            <w:r w:rsidRPr="00F94B6C">
              <w:rPr>
                <w:rFonts w:cstheme="minorHAnsi"/>
                <w:i/>
                <w:szCs w:val="22"/>
                <w:lang w:val="es-ES"/>
              </w:rPr>
              <w:t>considerando</w:t>
            </w:r>
            <w:proofErr w:type="gramEnd"/>
            <w:r w:rsidRPr="00D6760B">
              <w:rPr>
                <w:rFonts w:eastAsia="MS Mincho"/>
                <w:lang w:val="es-ES"/>
              </w:rPr>
              <w:t xml:space="preserve"> </w:t>
            </w:r>
            <w:r w:rsidRPr="00531535">
              <w:rPr>
                <w:rFonts w:eastAsia="MS Mincho"/>
                <w:i/>
                <w:iCs/>
                <w:lang w:val="es-ES"/>
              </w:rPr>
              <w:t>ademá</w:t>
            </w:r>
            <w:r w:rsidRPr="00D6760B">
              <w:rPr>
                <w:rFonts w:eastAsia="MS Mincho"/>
                <w:lang w:val="es-ES"/>
              </w:rPr>
              <w:t>s</w:t>
            </w:r>
          </w:p>
          <w:p w14:paraId="490CBE75" w14:textId="77777777" w:rsidR="00D11F6A" w:rsidRPr="00D6760B" w:rsidRDefault="00D11F6A" w:rsidP="00531535">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rFonts w:eastAsia="MS Mincho"/>
                <w:lang w:val="es-ES"/>
              </w:rPr>
            </w:pPr>
            <w:r w:rsidRPr="00D6760B">
              <w:rPr>
                <w:rFonts w:eastAsia="MS Mincho"/>
                <w:i/>
                <w:iCs/>
                <w:lang w:val="es-ES"/>
              </w:rPr>
              <w:t>d)</w:t>
            </w:r>
            <w:r w:rsidRPr="00D6760B">
              <w:rPr>
                <w:rFonts w:eastAsia="MS Mincho"/>
                <w:lang w:val="es-ES"/>
              </w:rPr>
              <w:tab/>
            </w:r>
            <w:r w:rsidRPr="00D6760B">
              <w:rPr>
                <w:rFonts w:cstheme="minorHAnsi"/>
                <w:szCs w:val="22"/>
                <w:lang w:val="es-ES_tradnl"/>
              </w:rPr>
              <w:t>la</w:t>
            </w:r>
            <w:r w:rsidRPr="00D6760B">
              <w:rPr>
                <w:rFonts w:eastAsia="MS Mincho"/>
                <w:lang w:val="es-ES"/>
              </w:rPr>
              <w:t xml:space="preserve"> Cuestión 3/1 del UIT-D sobre la utilización de las telecomunicaciones/TIC para la reducción del riesgo de catástrofes y su gestión, recursos y sistemas espaciales de teledetección activos y pasivos aplicables a las situaciones de socorro en casos de catástrofes y emergencia;</w:t>
            </w:r>
          </w:p>
          <w:p w14:paraId="08F35E75" w14:textId="77777777" w:rsidR="00D11F6A" w:rsidRPr="00D6760B" w:rsidRDefault="00D11F6A" w:rsidP="00531535">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rFonts w:eastAsia="MS Mincho"/>
                <w:lang w:val="es-ES"/>
              </w:rPr>
            </w:pPr>
            <w:r w:rsidRPr="00D6760B">
              <w:rPr>
                <w:rFonts w:eastAsia="MS Mincho"/>
                <w:i/>
                <w:iCs/>
                <w:lang w:val="es-ES"/>
              </w:rPr>
              <w:t>e)</w:t>
            </w:r>
            <w:r w:rsidRPr="00D6760B">
              <w:rPr>
                <w:rFonts w:eastAsia="MS Mincho"/>
                <w:lang w:val="es-ES"/>
              </w:rPr>
              <w:tab/>
              <w:t>que en la Cuestión 6/2 del UIT-D se examinan las relaciones que existen entre las TIC, el cambio climático, la reducción de las emisiones de GEI a nivel mundial y el desarrollo, ya que estos campos son cada vez más interdependientes debido al efecto multiplicador del cambio climático sobre las vulnerabilidades y dificultades existentes en materia de desarrollo;</w:t>
            </w:r>
          </w:p>
          <w:p w14:paraId="7B7B5AB5" w14:textId="77777777" w:rsidR="00D11F6A" w:rsidRPr="00D6760B" w:rsidRDefault="00D11F6A" w:rsidP="003434FD">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rFonts w:eastAsia="MS Mincho"/>
                <w:lang w:val="es-ES"/>
              </w:rPr>
            </w:pPr>
            <w:r w:rsidRPr="00D6760B">
              <w:rPr>
                <w:rFonts w:eastAsia="MS Mincho"/>
                <w:i/>
                <w:iCs/>
                <w:lang w:val="es-ES"/>
              </w:rPr>
              <w:t>f)</w:t>
            </w:r>
            <w:r w:rsidRPr="00D6760B">
              <w:rPr>
                <w:rFonts w:eastAsia="MS Mincho"/>
                <w:lang w:val="es-ES"/>
              </w:rPr>
              <w:tab/>
              <w:t>que en la Cuestión 6/2 del UIT-D también se trata el papel de la observación de la Tierra en el cambio climático, debido a que esta técnica radioeléctrica es esencial para supervisar el estado del clima de la Tierra y su evolución,</w:t>
            </w:r>
          </w:p>
          <w:p w14:paraId="4653D866" w14:textId="77777777" w:rsidR="00D11F6A" w:rsidRPr="00F94B6C" w:rsidRDefault="00D11F6A" w:rsidP="00F30BD1">
            <w:pPr>
              <w:pStyle w:val="Tabletext"/>
              <w:spacing w:after="120"/>
              <w:ind w:left="391"/>
              <w:cnfStyle w:val="000000000000" w:firstRow="0" w:lastRow="0" w:firstColumn="0" w:lastColumn="0" w:oddVBand="0" w:evenVBand="0" w:oddHBand="0" w:evenHBand="0" w:firstRowFirstColumn="0" w:firstRowLastColumn="0" w:lastRowFirstColumn="0" w:lastRowLastColumn="0"/>
              <w:rPr>
                <w:rFonts w:cstheme="minorHAnsi"/>
                <w:i/>
                <w:szCs w:val="22"/>
                <w:lang w:val="es-ES"/>
              </w:rPr>
            </w:pPr>
            <w:r w:rsidRPr="00F94B6C">
              <w:rPr>
                <w:rFonts w:cstheme="minorHAnsi"/>
                <w:i/>
                <w:szCs w:val="22"/>
                <w:lang w:val="es-ES"/>
              </w:rPr>
              <w:t>teniendo en cuenta</w:t>
            </w:r>
          </w:p>
          <w:p w14:paraId="19A1AAA2" w14:textId="68DBD222" w:rsidR="00D11F6A" w:rsidRPr="00D6760B" w:rsidRDefault="00D11F6A" w:rsidP="003434FD">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rFonts w:eastAsia="MS Mincho"/>
                <w:lang w:val="es-ES"/>
              </w:rPr>
            </w:pPr>
            <w:r w:rsidRPr="00D6760B">
              <w:rPr>
                <w:rFonts w:eastAsia="MS Mincho"/>
                <w:i/>
                <w:iCs/>
                <w:lang w:val="es-ES"/>
              </w:rPr>
              <w:t>c)</w:t>
            </w:r>
            <w:r w:rsidRPr="00D6760B">
              <w:rPr>
                <w:rFonts w:eastAsia="MS Mincho"/>
                <w:lang w:val="es-ES"/>
              </w:rPr>
              <w:tab/>
              <w:t>la Resolución 66 (Rev. Kigali, 2022) sobre tecnologías de la información y la comunicación, medio ambiente, cambio climático y economía circular, adoptada por la Conferencia Mundial de Desarrollo de las Telecomunicaciones</w:t>
            </w:r>
            <w:r w:rsidR="00F96138">
              <w:rPr>
                <w:rFonts w:eastAsia="MS Mincho"/>
                <w:lang w:val="es-ES"/>
              </w:rPr>
              <w:t>,</w:t>
            </w:r>
          </w:p>
          <w:p w14:paraId="6A1BB9B4" w14:textId="77777777" w:rsidR="00D11F6A" w:rsidRPr="00F94B6C" w:rsidRDefault="00D11F6A" w:rsidP="00F30BD1">
            <w:pPr>
              <w:pStyle w:val="Tabletext"/>
              <w:spacing w:after="120"/>
              <w:ind w:left="391"/>
              <w:cnfStyle w:val="000000000000" w:firstRow="0" w:lastRow="0" w:firstColumn="0" w:lastColumn="0" w:oddVBand="0" w:evenVBand="0" w:oddHBand="0" w:evenHBand="0" w:firstRowFirstColumn="0" w:firstRowLastColumn="0" w:lastRowFirstColumn="0" w:lastRowLastColumn="0"/>
              <w:rPr>
                <w:rFonts w:cstheme="minorHAnsi"/>
                <w:i/>
                <w:szCs w:val="22"/>
                <w:lang w:val="es-ES"/>
              </w:rPr>
            </w:pPr>
            <w:r w:rsidRPr="00F94B6C">
              <w:rPr>
                <w:rFonts w:cstheme="minorHAnsi"/>
                <w:i/>
                <w:szCs w:val="22"/>
                <w:lang w:val="es-ES"/>
              </w:rPr>
              <w:t>resuelve</w:t>
            </w:r>
          </w:p>
          <w:p w14:paraId="44B018B7" w14:textId="77777777" w:rsidR="00D11F6A" w:rsidRPr="00D6760B" w:rsidRDefault="00D11F6A" w:rsidP="003434FD">
            <w:pPr>
              <w:pStyle w:val="Tabletext"/>
              <w:tabs>
                <w:tab w:val="clear" w:pos="284"/>
                <w:tab w:val="left" w:pos="678"/>
              </w:tabs>
              <w:spacing w:after="120"/>
              <w:cnfStyle w:val="000000000000" w:firstRow="0" w:lastRow="0" w:firstColumn="0" w:lastColumn="0" w:oddVBand="0" w:evenVBand="0" w:oddHBand="0" w:evenHBand="0" w:firstRowFirstColumn="0" w:firstRowLastColumn="0" w:lastRowFirstColumn="0" w:lastRowLastColumn="0"/>
              <w:rPr>
                <w:lang w:val="es-ES"/>
              </w:rPr>
            </w:pPr>
            <w:r w:rsidRPr="00D6760B">
              <w:rPr>
                <w:rFonts w:eastAsia="MS Mincho"/>
                <w:lang w:val="es-ES"/>
              </w:rPr>
              <w:t>3</w:t>
            </w:r>
            <w:r w:rsidRPr="00D6760B">
              <w:rPr>
                <w:rFonts w:eastAsia="MS Mincho"/>
                <w:lang w:val="es-ES"/>
              </w:rPr>
              <w:tab/>
              <w:t>mantener una estrecha cooperación y servir de enlace regular con el UIT-T, el UIT-D y la Secretaría General y tener en cuenta los resultados de los trabajos realizados en estos Sectores para evitar la duplicación de tareas,</w:t>
            </w:r>
          </w:p>
        </w:tc>
      </w:tr>
      <w:tr w:rsidR="00641520" w:rsidRPr="003A17D9" w14:paraId="190A350E"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49A69225" w14:textId="77777777" w:rsidR="00D11F6A" w:rsidRPr="00965AC4" w:rsidRDefault="00D11F6A" w:rsidP="001703DB">
            <w:pPr>
              <w:pStyle w:val="Tabletext"/>
              <w:jc w:val="center"/>
              <w:rPr>
                <w:rFonts w:cstheme="minorHAnsi"/>
                <w:b w:val="0"/>
                <w:bCs w:val="0"/>
                <w:szCs w:val="22"/>
                <w:lang w:val="es-ES"/>
              </w:rPr>
            </w:pPr>
            <w:hyperlink r:id="rId58" w:history="1">
              <w:r w:rsidRPr="00965AC4">
                <w:rPr>
                  <w:rStyle w:val="Hyperlink"/>
                  <w:rFonts w:cstheme="minorHAnsi"/>
                  <w:b w:val="0"/>
                  <w:bCs w:val="0"/>
                  <w:szCs w:val="22"/>
                  <w:lang w:val="es-ES"/>
                </w:rPr>
                <w:t>Res.61-3 (2023)</w:t>
              </w:r>
            </w:hyperlink>
          </w:p>
        </w:tc>
        <w:tc>
          <w:tcPr>
            <w:tcW w:w="1651" w:type="pct"/>
          </w:tcPr>
          <w:p w14:paraId="6673D90B" w14:textId="74245AD0"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57" w:name="_Toc151971656"/>
            <w:r w:rsidRPr="009011D5">
              <w:rPr>
                <w:rFonts w:cstheme="minorHAnsi"/>
                <w:b/>
                <w:bCs/>
                <w:szCs w:val="22"/>
                <w:lang w:val="es-ES_tradnl"/>
              </w:rPr>
              <w:t xml:space="preserve">Contribución del UIT-R a la puesta en práctica de los resultados de la Cumbre Mundial sobre la </w:t>
            </w:r>
            <w:r w:rsidRPr="009011D5">
              <w:rPr>
                <w:rFonts w:cstheme="minorHAnsi"/>
                <w:b/>
                <w:bCs/>
                <w:szCs w:val="22"/>
                <w:lang w:val="es-ES_tradnl"/>
              </w:rPr>
              <w:lastRenderedPageBreak/>
              <w:t>Sociedad de la Información y el cumplimiento de la Agenda 2030 para el Desarrollo Sostenible</w:t>
            </w:r>
            <w:bookmarkEnd w:id="57"/>
          </w:p>
        </w:tc>
        <w:tc>
          <w:tcPr>
            <w:tcW w:w="409" w:type="pct"/>
          </w:tcPr>
          <w:p w14:paraId="055A670C"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lastRenderedPageBreak/>
              <w:t>MOD</w:t>
            </w:r>
          </w:p>
        </w:tc>
        <w:tc>
          <w:tcPr>
            <w:tcW w:w="2509" w:type="pct"/>
          </w:tcPr>
          <w:p w14:paraId="782FE7FC" w14:textId="77777777" w:rsidR="00D11F6A" w:rsidRPr="00F94B6C" w:rsidRDefault="00D11F6A" w:rsidP="00F30BD1">
            <w:pPr>
              <w:pStyle w:val="Tabletext"/>
              <w:spacing w:after="120"/>
              <w:ind w:left="391"/>
              <w:cnfStyle w:val="000000100000" w:firstRow="0" w:lastRow="0" w:firstColumn="0" w:lastColumn="0" w:oddVBand="0" w:evenVBand="0" w:oddHBand="1" w:evenHBand="0" w:firstRowFirstColumn="0" w:firstRowLastColumn="0" w:lastRowFirstColumn="0" w:lastRowLastColumn="0"/>
              <w:rPr>
                <w:rFonts w:cstheme="minorHAnsi"/>
                <w:i/>
                <w:szCs w:val="22"/>
                <w:lang w:val="es-ES"/>
              </w:rPr>
            </w:pPr>
            <w:r w:rsidRPr="00F94B6C">
              <w:rPr>
                <w:rFonts w:cstheme="minorHAnsi"/>
                <w:i/>
                <w:szCs w:val="22"/>
                <w:lang w:val="es-ES"/>
              </w:rPr>
              <w:t>reconociendo</w:t>
            </w:r>
          </w:p>
          <w:p w14:paraId="60E3AA54" w14:textId="3657D9E7" w:rsidR="00D11F6A" w:rsidRPr="00D6760B"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lang w:val="es-ES"/>
              </w:rPr>
            </w:pPr>
            <w:r w:rsidRPr="00D6760B">
              <w:rPr>
                <w:i/>
                <w:iCs/>
                <w:lang w:val="es-ES"/>
              </w:rPr>
              <w:lastRenderedPageBreak/>
              <w:t>b)</w:t>
            </w:r>
            <w:r w:rsidRPr="00D6760B">
              <w:rPr>
                <w:lang w:val="es-ES"/>
              </w:rPr>
              <w:tab/>
              <w:t>los programas, actividades e iniciativas regionales que se están llevando a cabo con arreglo a las decisiones de la CMDT-22 para reducir la brecha digital</w:t>
            </w:r>
            <w:r w:rsidR="00F96138">
              <w:rPr>
                <w:lang w:val="es-ES"/>
              </w:rPr>
              <w:t>,</w:t>
            </w:r>
          </w:p>
        </w:tc>
      </w:tr>
      <w:tr w:rsidR="00641520" w:rsidRPr="003A17D9" w14:paraId="65CCF00E"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37A21A13" w14:textId="77777777" w:rsidR="00D11F6A" w:rsidRPr="00965AC4" w:rsidRDefault="00D11F6A" w:rsidP="001703DB">
            <w:pPr>
              <w:pStyle w:val="Tabletext"/>
              <w:jc w:val="center"/>
              <w:rPr>
                <w:rFonts w:cstheme="minorHAnsi"/>
                <w:b w:val="0"/>
                <w:bCs w:val="0"/>
                <w:szCs w:val="22"/>
                <w:lang w:val="es-ES"/>
              </w:rPr>
            </w:pPr>
            <w:hyperlink r:id="rId59" w:history="1">
              <w:r w:rsidRPr="00965AC4">
                <w:rPr>
                  <w:rStyle w:val="Hyperlink"/>
                  <w:rFonts w:cstheme="minorHAnsi"/>
                  <w:b w:val="0"/>
                  <w:bCs w:val="0"/>
                  <w:szCs w:val="22"/>
                  <w:lang w:val="es-ES"/>
                </w:rPr>
                <w:t>Res.62-3 (2023)</w:t>
              </w:r>
            </w:hyperlink>
          </w:p>
        </w:tc>
        <w:tc>
          <w:tcPr>
            <w:tcW w:w="1651" w:type="pct"/>
          </w:tcPr>
          <w:p w14:paraId="60CF2963" w14:textId="77777777"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58" w:name="_Toc151971658"/>
            <w:r w:rsidRPr="009011D5">
              <w:rPr>
                <w:rFonts w:cstheme="minorHAnsi"/>
                <w:b/>
                <w:bCs/>
                <w:szCs w:val="22"/>
                <w:lang w:val="es-ES"/>
              </w:rPr>
              <w:t>Estudios sobre pruebas de conformidad con las Recomendaciones UIT-R e interoperabilidad de los equipos y sistemas de radiocomunicaciones</w:t>
            </w:r>
            <w:bookmarkEnd w:id="58"/>
          </w:p>
        </w:tc>
        <w:tc>
          <w:tcPr>
            <w:tcW w:w="409" w:type="pct"/>
          </w:tcPr>
          <w:p w14:paraId="067396AE"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1B685147" w14:textId="77777777" w:rsidR="00D11F6A" w:rsidRPr="00F94B6C" w:rsidRDefault="00D11F6A" w:rsidP="00F30BD1">
            <w:pPr>
              <w:pStyle w:val="Tabletext"/>
              <w:spacing w:after="120"/>
              <w:ind w:left="391"/>
              <w:cnfStyle w:val="000000000000" w:firstRow="0" w:lastRow="0" w:firstColumn="0" w:lastColumn="0" w:oddVBand="0" w:evenVBand="0" w:oddHBand="0" w:evenHBand="0" w:firstRowFirstColumn="0" w:firstRowLastColumn="0" w:lastRowFirstColumn="0" w:lastRowLastColumn="0"/>
              <w:rPr>
                <w:rFonts w:cstheme="minorHAnsi"/>
                <w:i/>
                <w:szCs w:val="22"/>
                <w:lang w:val="es-ES"/>
              </w:rPr>
            </w:pPr>
            <w:r w:rsidRPr="00F94B6C">
              <w:rPr>
                <w:rFonts w:cstheme="minorHAnsi"/>
                <w:i/>
                <w:szCs w:val="22"/>
                <w:lang w:val="es-ES"/>
              </w:rPr>
              <w:t>reconociendo</w:t>
            </w:r>
          </w:p>
          <w:p w14:paraId="0C02CFE3"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i/>
                <w:iCs/>
                <w:lang w:val="es-ES"/>
              </w:rPr>
              <w:t>d)</w:t>
            </w:r>
            <w:r w:rsidRPr="00D6760B">
              <w:rPr>
                <w:lang w:val="es-ES"/>
              </w:rPr>
              <w:tab/>
              <w:t xml:space="preserve">los informes periódicos presentados por el </w:t>
            </w:r>
            <w:proofErr w:type="gramStart"/>
            <w:r w:rsidRPr="00D6760B">
              <w:rPr>
                <w:lang w:val="es-ES"/>
              </w:rPr>
              <w:t>Director</w:t>
            </w:r>
            <w:proofErr w:type="gramEnd"/>
            <w:r w:rsidRPr="00D6760B">
              <w:rPr>
                <w:lang w:val="es-ES"/>
              </w:rPr>
              <w:t xml:space="preserve"> de la Oficina de Normalización de las Telecomunicaciones (TSB) al Consejo de la UIT, así como a la Conferencia de Plenipotenciarios,</w:t>
            </w:r>
          </w:p>
          <w:p w14:paraId="62EDE8B1" w14:textId="77777777" w:rsidR="00D11F6A" w:rsidRPr="00D6760B" w:rsidRDefault="00D11F6A" w:rsidP="003434FD">
            <w:pPr>
              <w:pStyle w:val="Tabletext"/>
              <w:spacing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considerando</w:t>
            </w:r>
          </w:p>
          <w:p w14:paraId="5C04B51A" w14:textId="77777777" w:rsidR="00D11F6A" w:rsidRPr="00D6760B" w:rsidRDefault="00D11F6A" w:rsidP="003434FD">
            <w:pPr>
              <w:pStyle w:val="Tabletext"/>
              <w:tabs>
                <w:tab w:val="clear" w:pos="284"/>
                <w:tab w:val="left" w:pos="678"/>
              </w:tabs>
              <w:spacing w:after="120"/>
              <w:cnfStyle w:val="000000000000" w:firstRow="0" w:lastRow="0" w:firstColumn="0" w:lastColumn="0" w:oddVBand="0" w:evenVBand="0" w:oddHBand="0" w:evenHBand="0" w:firstRowFirstColumn="0" w:firstRowLastColumn="0" w:lastRowFirstColumn="0" w:lastRowLastColumn="0"/>
              <w:rPr>
                <w:lang w:val="es-ES"/>
              </w:rPr>
            </w:pPr>
            <w:r w:rsidRPr="00D6760B">
              <w:rPr>
                <w:i/>
                <w:iCs/>
                <w:lang w:val="es-ES"/>
              </w:rPr>
              <w:t>a)</w:t>
            </w:r>
            <w:r w:rsidRPr="00D6760B">
              <w:rPr>
                <w:lang w:val="es-ES"/>
              </w:rPr>
              <w:tab/>
              <w:t>que hay un número creciente de quejas respecto de equipos que a menudo no funcionan con otros equipos;</w:t>
            </w:r>
          </w:p>
          <w:p w14:paraId="3BA48861" w14:textId="77777777" w:rsidR="00D11F6A" w:rsidRPr="00D6760B" w:rsidRDefault="00D11F6A" w:rsidP="003434FD">
            <w:pPr>
              <w:pStyle w:val="Tabletext"/>
              <w:tabs>
                <w:tab w:val="clear" w:pos="284"/>
                <w:tab w:val="left" w:pos="678"/>
              </w:tabs>
              <w:spacing w:after="120"/>
              <w:cnfStyle w:val="000000000000" w:firstRow="0" w:lastRow="0" w:firstColumn="0" w:lastColumn="0" w:oddVBand="0" w:evenVBand="0" w:oddHBand="0" w:evenHBand="0" w:firstRowFirstColumn="0" w:firstRowLastColumn="0" w:lastRowFirstColumn="0" w:lastRowLastColumn="0"/>
              <w:rPr>
                <w:lang w:val="es-ES"/>
              </w:rPr>
            </w:pPr>
            <w:r w:rsidRPr="00D6760B">
              <w:rPr>
                <w:i/>
                <w:iCs/>
                <w:lang w:val="es-ES"/>
              </w:rPr>
              <w:t>b)</w:t>
            </w:r>
            <w:r w:rsidRPr="00D6760B">
              <w:rPr>
                <w:lang w:val="es-ES"/>
              </w:rPr>
              <w:tab/>
              <w:t>que algunos países, en particular países en desarrollo, aún no han adquirido la capacidad necesaria para poner a prueba los equipos y ofrecer garantías a los consumidores de su país;</w:t>
            </w:r>
          </w:p>
          <w:p w14:paraId="3210B43A" w14:textId="77777777" w:rsidR="00D11F6A" w:rsidRPr="00D6760B" w:rsidRDefault="00D11F6A" w:rsidP="00BA6D1B">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i/>
                <w:iCs/>
                <w:lang w:val="es-ES"/>
              </w:rPr>
              <w:t>c)</w:t>
            </w:r>
            <w:r w:rsidRPr="00D6760B">
              <w:rPr>
                <w:lang w:val="es-ES"/>
              </w:rPr>
              <w:tab/>
            </w:r>
            <w:r w:rsidRPr="00D6760B">
              <w:rPr>
                <w:rFonts w:cstheme="minorHAnsi"/>
                <w:szCs w:val="22"/>
                <w:lang w:val="es-ES_tradnl"/>
              </w:rPr>
              <w:t>que</w:t>
            </w:r>
            <w:r w:rsidRPr="00D6760B">
              <w:rPr>
                <w:lang w:val="es-ES"/>
              </w:rPr>
              <w:t xml:space="preserve"> una mayor confianza en la conformidad de los equipos de radiocomunicaciones podría aumentar las posibilidades de </w:t>
            </w:r>
            <w:proofErr w:type="spellStart"/>
            <w:r w:rsidRPr="00D6760B">
              <w:rPr>
                <w:lang w:val="es-ES"/>
              </w:rPr>
              <w:t>interfuncionamiento</w:t>
            </w:r>
            <w:proofErr w:type="spellEnd"/>
            <w:r w:rsidRPr="00D6760B">
              <w:rPr>
                <w:lang w:val="es-ES"/>
              </w:rPr>
              <w:t xml:space="preserve"> de extremo a extremo de los equipos de distintos fabricantes, y ayudaría a los países en desarrollo a escoger soluciones,</w:t>
            </w:r>
          </w:p>
          <w:p w14:paraId="45DED762" w14:textId="77777777" w:rsidR="00D11F6A" w:rsidRPr="00BA6D1B" w:rsidRDefault="00D11F6A" w:rsidP="00BA6D1B">
            <w:pPr>
              <w:pStyle w:val="Tabletext"/>
              <w:spacing w:after="120"/>
              <w:ind w:left="391"/>
              <w:cnfStyle w:val="000000000000" w:firstRow="0" w:lastRow="0" w:firstColumn="0" w:lastColumn="0" w:oddVBand="0" w:evenVBand="0" w:oddHBand="0" w:evenHBand="0" w:firstRowFirstColumn="0" w:firstRowLastColumn="0" w:lastRowFirstColumn="0" w:lastRowLastColumn="0"/>
              <w:rPr>
                <w:i/>
                <w:iCs/>
                <w:lang w:val="es-ES"/>
              </w:rPr>
            </w:pPr>
            <w:r w:rsidRPr="00BA6D1B">
              <w:rPr>
                <w:i/>
                <w:iCs/>
                <w:lang w:val="es-ES"/>
              </w:rPr>
              <w:t>teniendo en cuenta</w:t>
            </w:r>
          </w:p>
          <w:p w14:paraId="10F99AEE" w14:textId="77777777" w:rsidR="00D11F6A" w:rsidRPr="00D6760B" w:rsidRDefault="00D11F6A" w:rsidP="003434FD">
            <w:pPr>
              <w:pStyle w:val="Tabletext"/>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la experiencia adquirida por el UIT</w:t>
            </w:r>
            <w:r w:rsidRPr="00D6760B">
              <w:rPr>
                <w:lang w:val="es-ES"/>
              </w:rPr>
              <w:noBreakHyphen/>
              <w:t>T y el UIT</w:t>
            </w:r>
            <w:r w:rsidRPr="00D6760B">
              <w:rPr>
                <w:lang w:val="es-ES"/>
              </w:rPr>
              <w:noBreakHyphen/>
              <w:t>D en la aplicación de la Resolución 177 (Rev. Bucarest, 2022) de la Conferencia de Plenipotenciarios, la Resolución 76 (Rev. Ginebra, 2022) de la AMNT y la Resolución 47 (Rev. Kigali, 2022) de la CMDT,</w:t>
            </w:r>
          </w:p>
          <w:p w14:paraId="52B94525" w14:textId="77777777" w:rsidR="00D11F6A" w:rsidRPr="00D6760B" w:rsidRDefault="00D11F6A" w:rsidP="00F30BD1">
            <w:pPr>
              <w:pStyle w:val="Tabletext"/>
              <w:spacing w:after="120"/>
              <w:ind w:left="391"/>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t>resuelve</w:t>
            </w:r>
          </w:p>
          <w:p w14:paraId="289E8E7C" w14:textId="77777777" w:rsidR="00D11F6A" w:rsidRPr="00D6760B" w:rsidRDefault="00D11F6A" w:rsidP="009011D5">
            <w:pPr>
              <w:pStyle w:val="Tabletext"/>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 xml:space="preserve">que el UIT-R colabore con el UIT-T y el UIT-D en relación con las pruebas de conformidad y compatibilidad, en el marco de su mandato actual y de conformidad con la Resolución 177 (Rev. Bucarest, 2022) de la Conferencia de Plenipotenciarios (véase el </w:t>
            </w:r>
            <w:r w:rsidRPr="00C115CB">
              <w:rPr>
                <w:i/>
                <w:iCs/>
                <w:lang w:val="es-ES"/>
              </w:rPr>
              <w:t>observando b</w:t>
            </w:r>
            <w:r w:rsidRPr="00D6760B">
              <w:rPr>
                <w:lang w:val="es-ES"/>
              </w:rPr>
              <w:t>)), y les facilite información cuando éstos se la soliciten,</w:t>
            </w:r>
          </w:p>
        </w:tc>
      </w:tr>
      <w:tr w:rsidR="00641520" w:rsidRPr="00396492" w14:paraId="0572DF57"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02222E18" w14:textId="7FC64F54" w:rsidR="00D11F6A" w:rsidRPr="00965AC4" w:rsidRDefault="00D11F6A" w:rsidP="001703DB">
            <w:pPr>
              <w:pStyle w:val="Tabletext"/>
              <w:jc w:val="center"/>
              <w:rPr>
                <w:rFonts w:cstheme="minorHAnsi"/>
                <w:b w:val="0"/>
                <w:bCs w:val="0"/>
                <w:szCs w:val="22"/>
                <w:lang w:val="es-ES"/>
              </w:rPr>
            </w:pPr>
            <w:hyperlink r:id="rId60" w:history="1">
              <w:r w:rsidRPr="00965AC4">
                <w:rPr>
                  <w:rStyle w:val="Hyperlink"/>
                  <w:rFonts w:cstheme="minorHAnsi"/>
                  <w:b w:val="0"/>
                  <w:bCs w:val="0"/>
                  <w:szCs w:val="22"/>
                  <w:lang w:val="es-ES"/>
                </w:rPr>
                <w:t>Res.64 (2015)</w:t>
              </w:r>
            </w:hyperlink>
          </w:p>
        </w:tc>
        <w:tc>
          <w:tcPr>
            <w:tcW w:w="1651" w:type="pct"/>
          </w:tcPr>
          <w:p w14:paraId="744EFC7F" w14:textId="7E1F176C"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59" w:name="_Toc436919116"/>
            <w:bookmarkStart w:id="60" w:name="_Toc23513689"/>
            <w:bookmarkStart w:id="61" w:name="_Toc24031959"/>
            <w:bookmarkStart w:id="62" w:name="_Toc151971660"/>
            <w:r w:rsidRPr="009011D5">
              <w:rPr>
                <w:rFonts w:cstheme="minorHAnsi"/>
                <w:b/>
                <w:bCs/>
                <w:szCs w:val="22"/>
                <w:lang w:val="es-ES_tradnl"/>
              </w:rPr>
              <w:t>Directrices para la gestión del funcionamiento no autorizado de terminales de estaciones terrenas</w:t>
            </w:r>
            <w:bookmarkEnd w:id="59"/>
            <w:bookmarkEnd w:id="60"/>
            <w:bookmarkEnd w:id="61"/>
            <w:bookmarkEnd w:id="62"/>
          </w:p>
        </w:tc>
        <w:tc>
          <w:tcPr>
            <w:tcW w:w="409" w:type="pct"/>
          </w:tcPr>
          <w:p w14:paraId="153993AC"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5CE2D785" w14:textId="77777777" w:rsidR="00D11F6A" w:rsidRPr="009011D5" w:rsidRDefault="00D11F6A" w:rsidP="009011D5">
            <w:pPr>
              <w:pStyle w:val="Tabletext"/>
              <w:cnfStyle w:val="000000100000" w:firstRow="0" w:lastRow="0" w:firstColumn="0" w:lastColumn="0" w:oddVBand="0" w:evenVBand="0" w:oddHBand="1" w:evenHBand="0" w:firstRowFirstColumn="0" w:firstRowLastColumn="0" w:lastRowFirstColumn="0" w:lastRowLastColumn="0"/>
            </w:pPr>
          </w:p>
        </w:tc>
      </w:tr>
      <w:tr w:rsidR="00641520" w:rsidRPr="00396492" w14:paraId="685A4CCE"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22EEADCD" w14:textId="2C53AC19" w:rsidR="00D11F6A" w:rsidRPr="00965AC4" w:rsidRDefault="00D11F6A" w:rsidP="001703DB">
            <w:pPr>
              <w:pStyle w:val="Tabletext"/>
              <w:jc w:val="center"/>
              <w:rPr>
                <w:rFonts w:cstheme="minorHAnsi"/>
                <w:b w:val="0"/>
                <w:bCs w:val="0"/>
                <w:szCs w:val="22"/>
                <w:lang w:val="es-ES"/>
              </w:rPr>
            </w:pPr>
            <w:hyperlink r:id="rId61" w:history="1">
              <w:r w:rsidRPr="00965AC4">
                <w:rPr>
                  <w:rStyle w:val="Hyperlink"/>
                  <w:rFonts w:cstheme="minorHAnsi"/>
                  <w:b w:val="0"/>
                  <w:bCs w:val="0"/>
                  <w:szCs w:val="22"/>
                  <w:lang w:val="es-ES"/>
                </w:rPr>
                <w:t>Res.65-1 (2023)</w:t>
              </w:r>
            </w:hyperlink>
          </w:p>
        </w:tc>
        <w:tc>
          <w:tcPr>
            <w:tcW w:w="1651" w:type="pct"/>
          </w:tcPr>
          <w:p w14:paraId="398E56DB" w14:textId="77777777"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63" w:name="_Toc151971662"/>
            <w:r w:rsidRPr="009011D5">
              <w:rPr>
                <w:rFonts w:cstheme="minorHAnsi"/>
                <w:b/>
                <w:bCs/>
                <w:szCs w:val="22"/>
                <w:lang w:val="es-ES_tradnl"/>
              </w:rPr>
              <w:t>Principios para el futuro desarrollo de las IMT-2020 y las IMT-2030</w:t>
            </w:r>
            <w:bookmarkEnd w:id="63"/>
          </w:p>
        </w:tc>
        <w:tc>
          <w:tcPr>
            <w:tcW w:w="409" w:type="pct"/>
          </w:tcPr>
          <w:p w14:paraId="24A6F10B" w14:textId="77777777" w:rsidR="00D11F6A" w:rsidRPr="00396492" w:rsidDel="00CE083E"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3379F289" w14:textId="77777777" w:rsidR="00D11F6A" w:rsidRPr="009011D5" w:rsidRDefault="00D11F6A" w:rsidP="009011D5">
            <w:pPr>
              <w:pStyle w:val="Tabletext"/>
              <w:cnfStyle w:val="000000000000" w:firstRow="0" w:lastRow="0" w:firstColumn="0" w:lastColumn="0" w:oddVBand="0" w:evenVBand="0" w:oddHBand="0" w:evenHBand="0" w:firstRowFirstColumn="0" w:firstRowLastColumn="0" w:lastRowFirstColumn="0" w:lastRowLastColumn="0"/>
            </w:pPr>
          </w:p>
        </w:tc>
      </w:tr>
      <w:tr w:rsidR="00641520" w:rsidRPr="00396492" w14:paraId="3D2D1CD2"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6B416F46" w14:textId="49D34C38" w:rsidR="00D11F6A" w:rsidRPr="00965AC4" w:rsidRDefault="00D11F6A" w:rsidP="001703DB">
            <w:pPr>
              <w:pStyle w:val="Tabletext"/>
              <w:jc w:val="center"/>
              <w:rPr>
                <w:rFonts w:cstheme="minorHAnsi"/>
                <w:b w:val="0"/>
                <w:bCs w:val="0"/>
                <w:szCs w:val="22"/>
                <w:lang w:val="es-ES"/>
              </w:rPr>
            </w:pPr>
            <w:hyperlink r:id="rId62" w:history="1">
              <w:r w:rsidRPr="00965AC4">
                <w:rPr>
                  <w:rStyle w:val="Hyperlink"/>
                  <w:rFonts w:cstheme="minorHAnsi"/>
                  <w:b w:val="0"/>
                  <w:bCs w:val="0"/>
                  <w:szCs w:val="22"/>
                  <w:lang w:val="es-ES"/>
                </w:rPr>
                <w:t>Res.66-2 (2023)</w:t>
              </w:r>
            </w:hyperlink>
          </w:p>
        </w:tc>
        <w:tc>
          <w:tcPr>
            <w:tcW w:w="1651" w:type="pct"/>
          </w:tcPr>
          <w:p w14:paraId="4856B49C" w14:textId="2159C25A"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
              </w:rPr>
            </w:pPr>
            <w:bookmarkStart w:id="64" w:name="_Toc151971664"/>
            <w:r w:rsidRPr="009011D5">
              <w:rPr>
                <w:rFonts w:cstheme="minorHAnsi"/>
                <w:b/>
                <w:bCs/>
                <w:szCs w:val="22"/>
                <w:lang w:val="es-ES"/>
              </w:rPr>
              <w:t>Estudios relativos a sistemas y aplicaciones inalámbricos para el desarrollo de la Internet de las cosas</w:t>
            </w:r>
            <w:bookmarkEnd w:id="64"/>
          </w:p>
        </w:tc>
        <w:tc>
          <w:tcPr>
            <w:tcW w:w="409" w:type="pct"/>
          </w:tcPr>
          <w:p w14:paraId="415B98F7"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720822D4" w14:textId="77777777" w:rsidR="00D11F6A" w:rsidRPr="009011D5" w:rsidRDefault="00D11F6A" w:rsidP="009011D5">
            <w:pPr>
              <w:pStyle w:val="Tabletext"/>
              <w:cnfStyle w:val="000000100000" w:firstRow="0" w:lastRow="0" w:firstColumn="0" w:lastColumn="0" w:oddVBand="0" w:evenVBand="0" w:oddHBand="1" w:evenHBand="0" w:firstRowFirstColumn="0" w:firstRowLastColumn="0" w:lastRowFirstColumn="0" w:lastRowLastColumn="0"/>
            </w:pPr>
          </w:p>
        </w:tc>
      </w:tr>
      <w:tr w:rsidR="00641520" w:rsidRPr="00396492" w14:paraId="0CF77637"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06B77D3C" w14:textId="7207242E" w:rsidR="00D11F6A" w:rsidRPr="00965AC4" w:rsidRDefault="00D11F6A" w:rsidP="001703DB">
            <w:pPr>
              <w:pStyle w:val="Tabletext"/>
              <w:jc w:val="center"/>
              <w:rPr>
                <w:rFonts w:cstheme="minorHAnsi"/>
                <w:b w:val="0"/>
                <w:bCs w:val="0"/>
                <w:szCs w:val="22"/>
                <w:lang w:val="es-ES"/>
              </w:rPr>
            </w:pPr>
            <w:hyperlink r:id="rId63" w:history="1">
              <w:r w:rsidRPr="00965AC4">
                <w:rPr>
                  <w:rStyle w:val="Hyperlink"/>
                  <w:rFonts w:cstheme="minorHAnsi"/>
                  <w:b w:val="0"/>
                  <w:bCs w:val="0"/>
                  <w:szCs w:val="22"/>
                  <w:lang w:val="es-ES"/>
                </w:rPr>
                <w:t>Res.67-2 (2023)</w:t>
              </w:r>
            </w:hyperlink>
          </w:p>
        </w:tc>
        <w:tc>
          <w:tcPr>
            <w:tcW w:w="1651" w:type="pct"/>
          </w:tcPr>
          <w:p w14:paraId="484C0B36" w14:textId="0B81A8FA"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_tradnl"/>
              </w:rPr>
            </w:pPr>
            <w:bookmarkStart w:id="65" w:name="_Toc151971666"/>
            <w:r w:rsidRPr="009011D5">
              <w:rPr>
                <w:rFonts w:cstheme="minorHAnsi"/>
                <w:b/>
                <w:bCs/>
                <w:szCs w:val="22"/>
                <w:lang w:val="es-ES_tradnl"/>
              </w:rPr>
              <w:t>Accesibilidad de las telecomunicaciones/TIC para las personas con discapacidad y con necesidades específicas</w:t>
            </w:r>
            <w:bookmarkEnd w:id="65"/>
          </w:p>
        </w:tc>
        <w:tc>
          <w:tcPr>
            <w:tcW w:w="409" w:type="pct"/>
          </w:tcPr>
          <w:p w14:paraId="2856FB19"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2BEBB7D0" w14:textId="77777777" w:rsidR="00D11F6A" w:rsidRPr="009011D5" w:rsidRDefault="00D11F6A" w:rsidP="009011D5">
            <w:pPr>
              <w:pStyle w:val="Tabletext"/>
              <w:cnfStyle w:val="000000000000" w:firstRow="0" w:lastRow="0" w:firstColumn="0" w:lastColumn="0" w:oddVBand="0" w:evenVBand="0" w:oddHBand="0" w:evenHBand="0" w:firstRowFirstColumn="0" w:firstRowLastColumn="0" w:lastRowFirstColumn="0" w:lastRowLastColumn="0"/>
            </w:pPr>
          </w:p>
        </w:tc>
      </w:tr>
      <w:tr w:rsidR="00641520" w:rsidRPr="00396492" w14:paraId="1777ED16"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0C7ED2AE" w14:textId="667A21A5" w:rsidR="00D11F6A" w:rsidRPr="00965AC4" w:rsidRDefault="00D11F6A" w:rsidP="001703DB">
            <w:pPr>
              <w:pStyle w:val="Tabletext"/>
              <w:jc w:val="center"/>
              <w:rPr>
                <w:rFonts w:cstheme="minorHAnsi"/>
                <w:b w:val="0"/>
                <w:bCs w:val="0"/>
                <w:szCs w:val="22"/>
                <w:lang w:val="es-ES"/>
              </w:rPr>
            </w:pPr>
            <w:hyperlink r:id="rId64" w:history="1">
              <w:r w:rsidRPr="00965AC4">
                <w:rPr>
                  <w:rStyle w:val="Hyperlink"/>
                  <w:rFonts w:cstheme="minorHAnsi"/>
                  <w:b w:val="0"/>
                  <w:bCs w:val="0"/>
                  <w:szCs w:val="22"/>
                  <w:lang w:val="es-ES"/>
                </w:rPr>
                <w:t>Res.68 (2015)</w:t>
              </w:r>
            </w:hyperlink>
          </w:p>
        </w:tc>
        <w:tc>
          <w:tcPr>
            <w:tcW w:w="1651" w:type="pct"/>
          </w:tcPr>
          <w:p w14:paraId="7865279D" w14:textId="77777777"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szCs w:val="22"/>
                <w:lang w:val="es-ES_tradnl"/>
              </w:rPr>
            </w:pPr>
            <w:bookmarkStart w:id="66" w:name="_Toc436919124"/>
            <w:bookmarkStart w:id="67" w:name="_Toc23513697"/>
            <w:bookmarkStart w:id="68" w:name="_Toc24031967"/>
            <w:bookmarkStart w:id="69" w:name="_Toc151971668"/>
            <w:r w:rsidRPr="009011D5">
              <w:rPr>
                <w:rFonts w:cstheme="minorHAnsi"/>
                <w:b/>
                <w:bCs/>
                <w:szCs w:val="22"/>
                <w:lang w:val="es-ES_tradnl"/>
              </w:rPr>
              <w:t xml:space="preserve">Mejora de la difusión de los conocimientos relativos a los procedimientos reglamentarios aplicables a los satélites pequeños, nanosatélites y </w:t>
            </w:r>
            <w:proofErr w:type="spellStart"/>
            <w:r w:rsidRPr="009011D5">
              <w:rPr>
                <w:rFonts w:cstheme="minorHAnsi"/>
                <w:b/>
                <w:bCs/>
                <w:szCs w:val="22"/>
                <w:lang w:val="es-ES_tradnl"/>
              </w:rPr>
              <w:t>picosatélites</w:t>
            </w:r>
            <w:proofErr w:type="spellEnd"/>
            <w:r w:rsidRPr="009011D5">
              <w:rPr>
                <w:rFonts w:cstheme="minorHAnsi"/>
                <w:b/>
                <w:bCs/>
                <w:szCs w:val="22"/>
                <w:lang w:val="es-ES_tradnl"/>
              </w:rPr>
              <w:t xml:space="preserve"> inclusive</w:t>
            </w:r>
            <w:bookmarkEnd w:id="66"/>
            <w:bookmarkEnd w:id="67"/>
            <w:bookmarkEnd w:id="68"/>
            <w:bookmarkEnd w:id="69"/>
          </w:p>
        </w:tc>
        <w:tc>
          <w:tcPr>
            <w:tcW w:w="409" w:type="pct"/>
          </w:tcPr>
          <w:p w14:paraId="5BAD9A09" w14:textId="77777777" w:rsidR="00D11F6A" w:rsidRPr="00396492"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NOC</w:t>
            </w:r>
          </w:p>
        </w:tc>
        <w:tc>
          <w:tcPr>
            <w:tcW w:w="2509" w:type="pct"/>
          </w:tcPr>
          <w:p w14:paraId="2DFB299B" w14:textId="77777777" w:rsidR="00D11F6A" w:rsidRPr="009011D5" w:rsidRDefault="00D11F6A" w:rsidP="009011D5">
            <w:pPr>
              <w:pStyle w:val="Tabletext"/>
              <w:cnfStyle w:val="000000100000" w:firstRow="0" w:lastRow="0" w:firstColumn="0" w:lastColumn="0" w:oddVBand="0" w:evenVBand="0" w:oddHBand="1" w:evenHBand="0" w:firstRowFirstColumn="0" w:firstRowLastColumn="0" w:lastRowFirstColumn="0" w:lastRowLastColumn="0"/>
            </w:pPr>
          </w:p>
        </w:tc>
      </w:tr>
      <w:tr w:rsidR="00641520" w:rsidRPr="003A17D9" w14:paraId="40CE96E7"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6ECF2D4C" w14:textId="611BE16A" w:rsidR="00D11F6A" w:rsidRPr="00965AC4" w:rsidRDefault="00D11F6A" w:rsidP="001703DB">
            <w:pPr>
              <w:pStyle w:val="Tabletext"/>
              <w:jc w:val="center"/>
              <w:rPr>
                <w:rFonts w:cstheme="minorHAnsi"/>
                <w:b w:val="0"/>
                <w:bCs w:val="0"/>
                <w:szCs w:val="22"/>
                <w:lang w:val="es-ES"/>
              </w:rPr>
            </w:pPr>
            <w:hyperlink r:id="rId65" w:history="1">
              <w:r w:rsidRPr="00965AC4">
                <w:rPr>
                  <w:rStyle w:val="Hyperlink"/>
                  <w:rFonts w:cstheme="minorHAnsi"/>
                  <w:b w:val="0"/>
                  <w:bCs w:val="0"/>
                  <w:szCs w:val="22"/>
                  <w:lang w:val="es-ES"/>
                </w:rPr>
                <w:t>Res.69-2 (2023)</w:t>
              </w:r>
            </w:hyperlink>
          </w:p>
        </w:tc>
        <w:tc>
          <w:tcPr>
            <w:tcW w:w="1651" w:type="pct"/>
          </w:tcPr>
          <w:p w14:paraId="1D09A151" w14:textId="77777777"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szCs w:val="22"/>
                <w:lang w:val="es-ES"/>
              </w:rPr>
            </w:pPr>
            <w:bookmarkStart w:id="70" w:name="_Toc151971670"/>
            <w:r w:rsidRPr="009011D5">
              <w:rPr>
                <w:rFonts w:cstheme="minorHAnsi"/>
                <w:b/>
                <w:bCs/>
                <w:szCs w:val="22"/>
                <w:lang w:val="es-ES"/>
              </w:rPr>
              <w:t>Desarrollo e implementación de las telecomunicaciones públicas internacionales por satélite en países en desarrollo</w:t>
            </w:r>
            <w:bookmarkEnd w:id="70"/>
          </w:p>
        </w:tc>
        <w:tc>
          <w:tcPr>
            <w:tcW w:w="409" w:type="pct"/>
          </w:tcPr>
          <w:p w14:paraId="157E58B3"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2B1D8E51" w14:textId="77777777" w:rsidR="00D11F6A" w:rsidRPr="00D6760B" w:rsidRDefault="00D11F6A" w:rsidP="001703DB">
            <w:pPr>
              <w:pStyle w:val="Tabletext"/>
              <w:spacing w:after="120"/>
              <w:ind w:left="391"/>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t xml:space="preserve">invita al </w:t>
            </w:r>
            <w:proofErr w:type="gramStart"/>
            <w:r w:rsidRPr="00D6760B">
              <w:rPr>
                <w:i/>
                <w:iCs/>
                <w:lang w:val="es-ES"/>
              </w:rPr>
              <w:t>Director</w:t>
            </w:r>
            <w:proofErr w:type="gramEnd"/>
            <w:r w:rsidRPr="00D6760B">
              <w:rPr>
                <w:i/>
                <w:iCs/>
                <w:lang w:val="es-ES"/>
              </w:rPr>
              <w:t xml:space="preserve"> de la Oficina de Desarrollo de las Telecomunicaciones</w:t>
            </w:r>
          </w:p>
          <w:p w14:paraId="27E97140" w14:textId="77777777" w:rsidR="00D11F6A" w:rsidRPr="00D6760B" w:rsidRDefault="00D11F6A" w:rsidP="003434FD">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1</w:t>
            </w:r>
            <w:r w:rsidRPr="00D6760B">
              <w:rPr>
                <w:lang w:val="es-ES"/>
              </w:rPr>
              <w:tab/>
              <w:t>a organizar talleres, seminarios y cursos de formación que aborden concretamente la cuestión del acceso sostenible y asequible a las telecomunicaciones por satélite, incluida la conectividad de banda ancha; y a proseguir las actividades entre las Comisiones de Estudio del UIT-D y del UIT</w:t>
            </w:r>
            <w:r w:rsidRPr="00D6760B">
              <w:rPr>
                <w:lang w:val="es-ES"/>
              </w:rPr>
              <w:noBreakHyphen/>
              <w:t>R pertinentes, que prestarán asistencia a los países en desarrollo para ampliar y mejorar las actividades de creación de capacidad sobre la utilización de la conectividad de banda ancha por satélite;</w:t>
            </w:r>
          </w:p>
          <w:p w14:paraId="41AA6417"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2</w:t>
            </w:r>
            <w:r w:rsidRPr="00D6760B">
              <w:rPr>
                <w:lang w:val="es-ES"/>
              </w:rPr>
              <w:tab/>
              <w:t>a señalar esta Resolución a la atención de la CMDT,</w:t>
            </w:r>
          </w:p>
        </w:tc>
      </w:tr>
      <w:tr w:rsidR="00641520" w:rsidRPr="00396492" w14:paraId="1CBE92E6"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507FFFDF" w14:textId="2F52809D" w:rsidR="00D11F6A" w:rsidRPr="00965AC4" w:rsidRDefault="00D11F6A" w:rsidP="001703DB">
            <w:pPr>
              <w:pStyle w:val="Tabletext"/>
              <w:jc w:val="center"/>
              <w:rPr>
                <w:rFonts w:cstheme="minorHAnsi"/>
                <w:b w:val="0"/>
                <w:bCs w:val="0"/>
                <w:szCs w:val="22"/>
                <w:lang w:val="es-ES"/>
              </w:rPr>
            </w:pPr>
            <w:hyperlink r:id="rId66" w:history="1">
              <w:r w:rsidRPr="00965AC4">
                <w:rPr>
                  <w:rStyle w:val="Hyperlink"/>
                  <w:rFonts w:cstheme="minorHAnsi"/>
                  <w:b w:val="0"/>
                  <w:bCs w:val="0"/>
                  <w:szCs w:val="22"/>
                  <w:lang w:val="es-ES"/>
                </w:rPr>
                <w:t>Res.70-1 (2023)</w:t>
              </w:r>
            </w:hyperlink>
          </w:p>
        </w:tc>
        <w:tc>
          <w:tcPr>
            <w:tcW w:w="1651" w:type="pct"/>
          </w:tcPr>
          <w:p w14:paraId="5987F3B0" w14:textId="77777777"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color w:val="000000"/>
                <w:szCs w:val="22"/>
                <w:lang w:val="es-ES" w:eastAsia="en-GB"/>
              </w:rPr>
            </w:pPr>
            <w:bookmarkStart w:id="71" w:name="_Toc151971672"/>
            <w:r w:rsidRPr="009011D5">
              <w:rPr>
                <w:rFonts w:cstheme="minorHAnsi"/>
                <w:b/>
                <w:bCs/>
                <w:color w:val="000000"/>
                <w:szCs w:val="22"/>
                <w:lang w:val="es-ES_tradnl" w:eastAsia="en-GB"/>
              </w:rPr>
              <w:t>Principios aplicables al futuro desarrollo de la radiodifusión</w:t>
            </w:r>
            <w:bookmarkEnd w:id="71"/>
          </w:p>
        </w:tc>
        <w:tc>
          <w:tcPr>
            <w:tcW w:w="409" w:type="pct"/>
          </w:tcPr>
          <w:p w14:paraId="4F9C936F" w14:textId="77777777" w:rsidR="00D11F6A" w:rsidRPr="00396492" w:rsidDel="00093DAB"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44D0E3C3" w14:textId="77777777" w:rsidR="00D11F6A" w:rsidRPr="009011D5" w:rsidRDefault="00D11F6A" w:rsidP="009011D5">
            <w:pPr>
              <w:pStyle w:val="Tabletext"/>
              <w:cnfStyle w:val="000000100000" w:firstRow="0" w:lastRow="0" w:firstColumn="0" w:lastColumn="0" w:oddVBand="0" w:evenVBand="0" w:oddHBand="1" w:evenHBand="0" w:firstRowFirstColumn="0" w:firstRowLastColumn="0" w:lastRowFirstColumn="0" w:lastRowLastColumn="0"/>
            </w:pPr>
          </w:p>
        </w:tc>
      </w:tr>
      <w:tr w:rsidR="00641520" w:rsidRPr="003A17D9" w14:paraId="70C8F422"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561639FA" w14:textId="59EDC36D" w:rsidR="00D11F6A" w:rsidRPr="00965AC4" w:rsidRDefault="00D11F6A" w:rsidP="001703DB">
            <w:pPr>
              <w:pStyle w:val="Tabletext"/>
              <w:jc w:val="center"/>
              <w:rPr>
                <w:rFonts w:cstheme="minorHAnsi"/>
                <w:b w:val="0"/>
                <w:bCs w:val="0"/>
                <w:szCs w:val="22"/>
                <w:lang w:val="es-ES"/>
              </w:rPr>
            </w:pPr>
            <w:hyperlink r:id="rId67" w:history="1">
              <w:r w:rsidRPr="00965AC4">
                <w:rPr>
                  <w:rStyle w:val="Hyperlink"/>
                  <w:rFonts w:cstheme="minorHAnsi"/>
                  <w:b w:val="0"/>
                  <w:bCs w:val="0"/>
                  <w:szCs w:val="22"/>
                  <w:lang w:val="es-ES"/>
                </w:rPr>
                <w:t>Res.71-1 (2023)</w:t>
              </w:r>
            </w:hyperlink>
          </w:p>
        </w:tc>
        <w:tc>
          <w:tcPr>
            <w:tcW w:w="1651" w:type="pct"/>
          </w:tcPr>
          <w:p w14:paraId="798A64F0" w14:textId="3E34437B"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000000"/>
                <w:szCs w:val="22"/>
                <w:lang w:val="es-ES_tradnl" w:eastAsia="en-GB"/>
              </w:rPr>
            </w:pPr>
            <w:bookmarkStart w:id="72" w:name="_Toc151971674"/>
            <w:r w:rsidRPr="009011D5">
              <w:rPr>
                <w:rFonts w:cstheme="minorHAnsi"/>
                <w:b/>
                <w:bCs/>
                <w:color w:val="000000"/>
                <w:szCs w:val="22"/>
                <w:lang w:val="es-ES_tradnl" w:eastAsia="en-GB"/>
              </w:rPr>
              <w:t>Función del Sector de Radiocomunicaciones en el desarrollo continuo de la radiodifusión de televisión, sonido y multimedios</w:t>
            </w:r>
            <w:bookmarkEnd w:id="72"/>
          </w:p>
        </w:tc>
        <w:tc>
          <w:tcPr>
            <w:tcW w:w="409" w:type="pct"/>
          </w:tcPr>
          <w:p w14:paraId="4D4F3223" w14:textId="77777777" w:rsidR="00D11F6A" w:rsidRPr="00396492"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396492">
              <w:rPr>
                <w:rFonts w:cstheme="minorHAnsi"/>
                <w:sz w:val="20"/>
                <w:lang w:val="es-ES"/>
              </w:rPr>
              <w:t>MOD</w:t>
            </w:r>
          </w:p>
        </w:tc>
        <w:tc>
          <w:tcPr>
            <w:tcW w:w="2509" w:type="pct"/>
          </w:tcPr>
          <w:p w14:paraId="724358BB" w14:textId="77777777" w:rsidR="00D11F6A" w:rsidRPr="005E348B" w:rsidRDefault="00D11F6A" w:rsidP="001703DB">
            <w:pPr>
              <w:pStyle w:val="Tabletext"/>
              <w:spacing w:after="120"/>
              <w:ind w:left="391"/>
              <w:cnfStyle w:val="000000000000" w:firstRow="0" w:lastRow="0" w:firstColumn="0" w:lastColumn="0" w:oddVBand="0" w:evenVBand="0" w:oddHBand="0" w:evenHBand="0" w:firstRowFirstColumn="0" w:firstRowLastColumn="0" w:lastRowFirstColumn="0" w:lastRowLastColumn="0"/>
              <w:rPr>
                <w:i/>
                <w:iCs/>
                <w:lang w:val="es-ES"/>
              </w:rPr>
            </w:pPr>
            <w:r w:rsidRPr="005E348B">
              <w:rPr>
                <w:i/>
                <w:iCs/>
                <w:lang w:val="es-ES"/>
              </w:rPr>
              <w:t>resuelve</w:t>
            </w:r>
          </w:p>
          <w:p w14:paraId="1CAFECFB" w14:textId="1263509D" w:rsidR="00D11F6A" w:rsidRPr="00D6760B" w:rsidRDefault="00D11F6A" w:rsidP="003434FD">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lastRenderedPageBreak/>
              <w:t>1</w:t>
            </w:r>
            <w:r w:rsidRPr="00D6760B">
              <w:rPr>
                <w:lang w:val="es-ES"/>
              </w:rPr>
              <w:tab/>
              <w:t>que la Comisión de Estudio de Radiocomunicaciones pertinente prepare una hoja de ruta para las actividades de radiodifusión del Sector de Radiocomunicaciones de la UIT (UIT-R) a fin de garantizar el eficaz y eficiente progreso de esta labor en colaboración con otras Comisiones de Estudio del UIT-R, el Sector de Normalización de las Telecomunicaciones de la UIT (UIT-T) y el Sector de Desarrollo de las Telecomunicaciones de la UIT (UIT</w:t>
            </w:r>
            <w:r w:rsidR="00C115CB">
              <w:rPr>
                <w:lang w:val="es-ES"/>
              </w:rPr>
              <w:noBreakHyphen/>
            </w:r>
            <w:r w:rsidRPr="00D6760B">
              <w:rPr>
                <w:lang w:val="es-ES"/>
              </w:rPr>
              <w:t>D), así como con organizaciones ajenas a la UIT;</w:t>
            </w:r>
          </w:p>
          <w:p w14:paraId="24231427"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2</w:t>
            </w:r>
            <w:r w:rsidRPr="00D6760B">
              <w:rPr>
                <w:lang w:val="es-ES"/>
              </w:rPr>
              <w:tab/>
              <w:t>que se prosigan y mejoren estas actividades, teniendo en cuenta los procesos establecidos para las actividades de coordinación intersectorial entre el UIT-R y el UIT-D en materia de radiodifusión;</w:t>
            </w:r>
          </w:p>
        </w:tc>
      </w:tr>
      <w:tr w:rsidR="00641520" w:rsidRPr="00396492" w14:paraId="04BCF467"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684A9FA1" w14:textId="7E1C1F5D" w:rsidR="00D11F6A" w:rsidRPr="00965AC4" w:rsidRDefault="00D11F6A" w:rsidP="001703DB">
            <w:pPr>
              <w:pStyle w:val="Tabletext"/>
              <w:jc w:val="center"/>
              <w:rPr>
                <w:rFonts w:cstheme="minorHAnsi"/>
                <w:b w:val="0"/>
                <w:bCs w:val="0"/>
                <w:szCs w:val="22"/>
                <w:lang w:val="es-ES"/>
              </w:rPr>
            </w:pPr>
            <w:hyperlink r:id="rId68" w:history="1">
              <w:r w:rsidRPr="00965AC4">
                <w:rPr>
                  <w:rStyle w:val="Hyperlink"/>
                  <w:rFonts w:cstheme="minorHAnsi"/>
                  <w:b w:val="0"/>
                  <w:bCs w:val="0"/>
                  <w:szCs w:val="22"/>
                  <w:lang w:val="es-ES"/>
                </w:rPr>
                <w:t>Res.72 (2023)</w:t>
              </w:r>
            </w:hyperlink>
          </w:p>
        </w:tc>
        <w:tc>
          <w:tcPr>
            <w:tcW w:w="1651" w:type="pct"/>
          </w:tcPr>
          <w:p w14:paraId="11DAD741" w14:textId="77777777"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color w:val="000000"/>
                <w:szCs w:val="22"/>
                <w:lang w:val="es-ES_tradnl" w:eastAsia="en-GB"/>
              </w:rPr>
            </w:pPr>
            <w:bookmarkStart w:id="73" w:name="_Toc151971676"/>
            <w:r w:rsidRPr="009011D5">
              <w:rPr>
                <w:rFonts w:cstheme="minorHAnsi"/>
                <w:b/>
                <w:bCs/>
                <w:color w:val="000000"/>
                <w:szCs w:val="22"/>
                <w:lang w:val="es-ES_tradnl" w:eastAsia="en-GB"/>
              </w:rPr>
              <w:t>Promoción de la igualdad y la equidad de género y reducción de la disparidad en materia de contribución y participación de mujeres y hombres en las actividades del Sector de Radiocomunicaciones de la UIT</w:t>
            </w:r>
            <w:bookmarkEnd w:id="73"/>
          </w:p>
        </w:tc>
        <w:tc>
          <w:tcPr>
            <w:tcW w:w="409" w:type="pct"/>
          </w:tcPr>
          <w:p w14:paraId="1380A472" w14:textId="77777777" w:rsidR="00D11F6A" w:rsidRPr="00396492" w:rsidDel="007B5FE1"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Pr>
                <w:rFonts w:cstheme="minorHAnsi"/>
                <w:sz w:val="20"/>
                <w:lang w:val="es-ES"/>
              </w:rPr>
              <w:t>ADD</w:t>
            </w:r>
          </w:p>
        </w:tc>
        <w:tc>
          <w:tcPr>
            <w:tcW w:w="2509" w:type="pct"/>
          </w:tcPr>
          <w:p w14:paraId="493155FF" w14:textId="77777777" w:rsidR="00D11F6A" w:rsidRPr="009011D5" w:rsidRDefault="00D11F6A" w:rsidP="009011D5">
            <w:pPr>
              <w:pStyle w:val="Tabletext"/>
              <w:cnfStyle w:val="000000100000" w:firstRow="0" w:lastRow="0" w:firstColumn="0" w:lastColumn="0" w:oddVBand="0" w:evenVBand="0" w:oddHBand="1" w:evenHBand="0" w:firstRowFirstColumn="0" w:firstRowLastColumn="0" w:lastRowFirstColumn="0" w:lastRowLastColumn="0"/>
            </w:pPr>
          </w:p>
        </w:tc>
      </w:tr>
      <w:tr w:rsidR="00641520" w:rsidRPr="00396492" w14:paraId="241D4C4E"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5FF8C1F2" w14:textId="2F89D2C5" w:rsidR="00D11F6A" w:rsidRPr="00965AC4" w:rsidRDefault="00D11F6A" w:rsidP="001703DB">
            <w:pPr>
              <w:pStyle w:val="Tabletext"/>
              <w:jc w:val="center"/>
              <w:rPr>
                <w:rFonts w:cstheme="minorHAnsi"/>
                <w:b w:val="0"/>
                <w:bCs w:val="0"/>
                <w:szCs w:val="22"/>
                <w:lang w:val="es-ES"/>
              </w:rPr>
            </w:pPr>
            <w:hyperlink r:id="rId69" w:history="1">
              <w:r w:rsidRPr="00965AC4">
                <w:rPr>
                  <w:rStyle w:val="Hyperlink"/>
                  <w:rFonts w:cstheme="minorHAnsi"/>
                  <w:b w:val="0"/>
                  <w:bCs w:val="0"/>
                  <w:szCs w:val="22"/>
                  <w:lang w:val="es-ES"/>
                </w:rPr>
                <w:t>Res.73 (2023)</w:t>
              </w:r>
            </w:hyperlink>
          </w:p>
        </w:tc>
        <w:tc>
          <w:tcPr>
            <w:tcW w:w="1651" w:type="pct"/>
          </w:tcPr>
          <w:p w14:paraId="65355966" w14:textId="77777777"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000000"/>
                <w:szCs w:val="22"/>
                <w:lang w:val="es-ES_tradnl" w:eastAsia="en-GB"/>
              </w:rPr>
            </w:pPr>
            <w:bookmarkStart w:id="74" w:name="_Toc151971678"/>
            <w:r w:rsidRPr="009011D5">
              <w:rPr>
                <w:rFonts w:cstheme="minorHAnsi"/>
                <w:b/>
                <w:bCs/>
                <w:color w:val="000000"/>
                <w:szCs w:val="22"/>
                <w:lang w:val="es-ES_tradnl" w:eastAsia="en-GB"/>
              </w:rPr>
              <w:t>Utilización de las tecnologías de las telecomunicaciones móviles internacionales para la banda ancha inalámbrica fija en las bandas de frecuencias atribuidas al servicio fijo a título primario</w:t>
            </w:r>
            <w:bookmarkEnd w:id="74"/>
          </w:p>
        </w:tc>
        <w:tc>
          <w:tcPr>
            <w:tcW w:w="409" w:type="pct"/>
          </w:tcPr>
          <w:p w14:paraId="4AB37AE4" w14:textId="77777777" w:rsidR="00D11F6A" w:rsidRPr="00396492" w:rsidDel="007B5FE1"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Pr>
                <w:rFonts w:cstheme="minorHAnsi"/>
                <w:sz w:val="20"/>
                <w:lang w:val="es-ES"/>
              </w:rPr>
              <w:t>ADD</w:t>
            </w:r>
          </w:p>
        </w:tc>
        <w:tc>
          <w:tcPr>
            <w:tcW w:w="2509" w:type="pct"/>
          </w:tcPr>
          <w:p w14:paraId="627E58B0" w14:textId="77777777" w:rsidR="00D11F6A" w:rsidRPr="009011D5" w:rsidRDefault="00D11F6A" w:rsidP="009011D5">
            <w:pPr>
              <w:pStyle w:val="Tabletext"/>
              <w:cnfStyle w:val="000000000000" w:firstRow="0" w:lastRow="0" w:firstColumn="0" w:lastColumn="0" w:oddVBand="0" w:evenVBand="0" w:oddHBand="0" w:evenHBand="0" w:firstRowFirstColumn="0" w:firstRowLastColumn="0" w:lastRowFirstColumn="0" w:lastRowLastColumn="0"/>
            </w:pPr>
          </w:p>
        </w:tc>
      </w:tr>
      <w:tr w:rsidR="00641520" w:rsidRPr="00396492" w14:paraId="369BB31E"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13050330" w14:textId="3D599A82" w:rsidR="00D11F6A" w:rsidRPr="00965AC4" w:rsidRDefault="00D11F6A" w:rsidP="001703DB">
            <w:pPr>
              <w:pStyle w:val="Tabletext"/>
              <w:jc w:val="center"/>
              <w:rPr>
                <w:rFonts w:cstheme="minorHAnsi"/>
                <w:b w:val="0"/>
                <w:bCs w:val="0"/>
                <w:szCs w:val="22"/>
                <w:lang w:val="es-ES"/>
              </w:rPr>
            </w:pPr>
            <w:hyperlink r:id="rId70" w:history="1">
              <w:r w:rsidRPr="00965AC4">
                <w:rPr>
                  <w:rStyle w:val="Hyperlink"/>
                  <w:rFonts w:cstheme="minorHAnsi"/>
                  <w:b w:val="0"/>
                  <w:bCs w:val="0"/>
                  <w:szCs w:val="22"/>
                  <w:lang w:val="es-ES"/>
                </w:rPr>
                <w:t>Res.74 (2023)</w:t>
              </w:r>
            </w:hyperlink>
          </w:p>
        </w:tc>
        <w:tc>
          <w:tcPr>
            <w:tcW w:w="1651" w:type="pct"/>
          </w:tcPr>
          <w:p w14:paraId="4257FA6A" w14:textId="77777777" w:rsidR="00D11F6A" w:rsidRPr="009011D5"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b/>
                <w:bCs/>
                <w:color w:val="000000"/>
                <w:szCs w:val="22"/>
                <w:lang w:val="es-ES" w:eastAsia="en-GB"/>
              </w:rPr>
            </w:pPr>
            <w:bookmarkStart w:id="75" w:name="_Toc151971680"/>
            <w:r w:rsidRPr="009011D5">
              <w:rPr>
                <w:rFonts w:cstheme="minorHAnsi"/>
                <w:b/>
                <w:bCs/>
                <w:color w:val="000000"/>
                <w:szCs w:val="22"/>
                <w:lang w:val="es-ES" w:eastAsia="en-GB"/>
              </w:rPr>
              <w:t>Actividades relacionadas con la utilización sostenible del espectro de frecuencias radioeléctricas y los recursos de órbita de satélite conexos utilizados por los servicios espaciales</w:t>
            </w:r>
            <w:bookmarkEnd w:id="75"/>
          </w:p>
        </w:tc>
        <w:tc>
          <w:tcPr>
            <w:tcW w:w="409" w:type="pct"/>
          </w:tcPr>
          <w:p w14:paraId="442E9444" w14:textId="77777777" w:rsidR="00D11F6A" w:rsidRPr="00396492" w:rsidDel="007B5FE1" w:rsidRDefault="00D11F6A" w:rsidP="001703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Pr>
                <w:rFonts w:cstheme="minorHAnsi"/>
                <w:sz w:val="20"/>
                <w:lang w:val="es-ES"/>
              </w:rPr>
              <w:t>ADD</w:t>
            </w:r>
          </w:p>
        </w:tc>
        <w:tc>
          <w:tcPr>
            <w:tcW w:w="2509" w:type="pct"/>
          </w:tcPr>
          <w:p w14:paraId="49FAD3C9" w14:textId="77777777" w:rsidR="00D11F6A" w:rsidRPr="009011D5" w:rsidRDefault="00D11F6A" w:rsidP="009011D5">
            <w:pPr>
              <w:pStyle w:val="Tabletext"/>
              <w:cnfStyle w:val="000000100000" w:firstRow="0" w:lastRow="0" w:firstColumn="0" w:lastColumn="0" w:oddVBand="0" w:evenVBand="0" w:oddHBand="1" w:evenHBand="0" w:firstRowFirstColumn="0" w:firstRowLastColumn="0" w:lastRowFirstColumn="0" w:lastRowLastColumn="0"/>
            </w:pPr>
          </w:p>
        </w:tc>
      </w:tr>
      <w:tr w:rsidR="00641520" w:rsidRPr="003A17D9" w14:paraId="222302B6" w14:textId="77777777" w:rsidTr="004E444F">
        <w:tc>
          <w:tcPr>
            <w:cnfStyle w:val="001000000000" w:firstRow="0" w:lastRow="0" w:firstColumn="1" w:lastColumn="0" w:oddVBand="0" w:evenVBand="0" w:oddHBand="0" w:evenHBand="0" w:firstRowFirstColumn="0" w:firstRowLastColumn="0" w:lastRowFirstColumn="0" w:lastRowLastColumn="0"/>
            <w:tcW w:w="432" w:type="pct"/>
          </w:tcPr>
          <w:p w14:paraId="0E334B5C" w14:textId="7E58F50D" w:rsidR="00D11F6A" w:rsidRPr="00965AC4" w:rsidRDefault="00D11F6A" w:rsidP="001703DB">
            <w:pPr>
              <w:pStyle w:val="Tabletext"/>
              <w:jc w:val="center"/>
              <w:rPr>
                <w:rFonts w:cstheme="minorHAnsi"/>
                <w:b w:val="0"/>
                <w:bCs w:val="0"/>
                <w:szCs w:val="22"/>
                <w:lang w:val="es-ES"/>
              </w:rPr>
            </w:pPr>
            <w:hyperlink r:id="rId71" w:history="1">
              <w:r w:rsidRPr="00965AC4">
                <w:rPr>
                  <w:rStyle w:val="Hyperlink"/>
                  <w:rFonts w:cstheme="minorHAnsi"/>
                  <w:b w:val="0"/>
                  <w:bCs w:val="0"/>
                  <w:szCs w:val="22"/>
                  <w:lang w:val="es-ES"/>
                </w:rPr>
                <w:t>Res.75 (2023)</w:t>
              </w:r>
            </w:hyperlink>
          </w:p>
        </w:tc>
        <w:tc>
          <w:tcPr>
            <w:tcW w:w="1651" w:type="pct"/>
          </w:tcPr>
          <w:p w14:paraId="60DECA82" w14:textId="4F104502" w:rsidR="00D11F6A" w:rsidRPr="009011D5" w:rsidRDefault="00D11F6A" w:rsidP="0043190D">
            <w:pPr>
              <w:pStyle w:val="Tabletext"/>
              <w:cnfStyle w:val="000000000000" w:firstRow="0" w:lastRow="0" w:firstColumn="0" w:lastColumn="0" w:oddVBand="0" w:evenVBand="0" w:oddHBand="0" w:evenHBand="0" w:firstRowFirstColumn="0" w:firstRowLastColumn="0" w:lastRowFirstColumn="0" w:lastRowLastColumn="0"/>
              <w:rPr>
                <w:rFonts w:cstheme="minorHAnsi"/>
                <w:b/>
                <w:bCs/>
                <w:color w:val="000000"/>
                <w:szCs w:val="22"/>
                <w:lang w:val="es-ES_tradnl" w:eastAsia="en-GB"/>
              </w:rPr>
            </w:pPr>
            <w:bookmarkStart w:id="76" w:name="_Toc151971682"/>
            <w:r w:rsidRPr="009011D5">
              <w:rPr>
                <w:rFonts w:cstheme="minorHAnsi"/>
                <w:b/>
                <w:bCs/>
                <w:color w:val="000000"/>
                <w:szCs w:val="22"/>
                <w:lang w:val="es-ES_tradnl" w:eastAsia="en-GB"/>
              </w:rPr>
              <w:t>Fortalecimiento de la coordinación y la cooperación entre los</w:t>
            </w:r>
            <w:r w:rsidR="0043190D" w:rsidRPr="009011D5">
              <w:rPr>
                <w:rFonts w:cstheme="minorHAnsi"/>
                <w:b/>
                <w:bCs/>
                <w:color w:val="000000"/>
                <w:szCs w:val="22"/>
                <w:lang w:val="es-ES_tradnl" w:eastAsia="en-GB"/>
              </w:rPr>
              <w:t xml:space="preserve"> </w:t>
            </w:r>
            <w:r w:rsidRPr="009011D5">
              <w:rPr>
                <w:rFonts w:cstheme="minorHAnsi"/>
                <w:b/>
                <w:bCs/>
                <w:color w:val="000000"/>
                <w:szCs w:val="22"/>
                <w:lang w:val="es-ES_tradnl" w:eastAsia="en-GB"/>
              </w:rPr>
              <w:t>tres Sectores de la UIT en asuntos de interés mutuo</w:t>
            </w:r>
            <w:bookmarkEnd w:id="76"/>
          </w:p>
        </w:tc>
        <w:tc>
          <w:tcPr>
            <w:tcW w:w="409" w:type="pct"/>
          </w:tcPr>
          <w:p w14:paraId="5E0BBF02" w14:textId="77777777" w:rsidR="00D11F6A" w:rsidRPr="00396492" w:rsidDel="007B5FE1" w:rsidRDefault="00D11F6A" w:rsidP="001703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Pr>
                <w:rFonts w:cstheme="minorHAnsi"/>
                <w:sz w:val="20"/>
                <w:lang w:val="es-ES"/>
              </w:rPr>
              <w:t>ADD</w:t>
            </w:r>
          </w:p>
        </w:tc>
        <w:tc>
          <w:tcPr>
            <w:tcW w:w="2509" w:type="pct"/>
          </w:tcPr>
          <w:p w14:paraId="03AB8B25" w14:textId="77777777" w:rsidR="00D11F6A" w:rsidRPr="00D6760B" w:rsidRDefault="00D11F6A" w:rsidP="001703DB">
            <w:pPr>
              <w:pStyle w:val="Tabletext"/>
              <w:spacing w:after="120"/>
              <w:ind w:left="391"/>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t xml:space="preserve">invita a los </w:t>
            </w:r>
            <w:proofErr w:type="gramStart"/>
            <w:r w:rsidRPr="00D6760B">
              <w:rPr>
                <w:i/>
                <w:iCs/>
                <w:lang w:val="es-ES"/>
              </w:rPr>
              <w:t>Directores</w:t>
            </w:r>
            <w:proofErr w:type="gramEnd"/>
            <w:r w:rsidRPr="00D6760B">
              <w:rPr>
                <w:i/>
                <w:iCs/>
                <w:lang w:val="es-ES"/>
              </w:rPr>
              <w:t xml:space="preserve"> de las Oficinas</w:t>
            </w:r>
          </w:p>
          <w:p w14:paraId="6705AEA1" w14:textId="77777777" w:rsidR="00D11F6A" w:rsidRPr="00D6760B" w:rsidRDefault="00D11F6A" w:rsidP="00C115CB">
            <w:pPr>
              <w:pStyle w:val="Tabletext"/>
              <w:tabs>
                <w:tab w:val="clear" w:pos="284"/>
                <w:tab w:val="left" w:pos="678"/>
              </w:tabs>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1</w:t>
            </w:r>
            <w:r w:rsidRPr="00D6760B">
              <w:rPr>
                <w:lang w:val="es-ES"/>
              </w:rPr>
              <w:tab/>
              <w:t>a seguir creando mecanismos de cooperación a nivel de las secretarías sobre asuntos de interés mutuo para los tres Sectores;</w:t>
            </w:r>
          </w:p>
          <w:p w14:paraId="60094C6C" w14:textId="77777777" w:rsidR="00D11F6A" w:rsidRPr="00D6760B" w:rsidRDefault="00D11F6A" w:rsidP="00F30BD1">
            <w:pPr>
              <w:pStyle w:val="Tabletext"/>
              <w:ind w:left="394"/>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lastRenderedPageBreak/>
              <w:t>invita al Grupo Asesor de Desarrollo de las Telecomunicaciones, en colaboración con el Grupo Asesor de Radiocomunicaciones y el Grupo Asesor de Normalización de las Telecomunicaciones</w:t>
            </w:r>
          </w:p>
          <w:p w14:paraId="5FC5C7B0" w14:textId="77777777" w:rsidR="00D11F6A" w:rsidRPr="00D6760B" w:rsidRDefault="00D11F6A" w:rsidP="004313EF">
            <w:pPr>
              <w:pStyle w:val="Tabletext"/>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a continuar prestando su asistencia al GCIS para la identificación de asuntos de interés mutuo para los tres Sectores y de los mecanismos oportunos para mejorar su cooperación y colaboración, prestando especial atención a los intereses de los países en desarrollo,</w:t>
            </w:r>
          </w:p>
          <w:p w14:paraId="418A9FD3" w14:textId="77777777" w:rsidR="00D11F6A" w:rsidRPr="00D6760B" w:rsidRDefault="00D11F6A" w:rsidP="00F94B6C">
            <w:pPr>
              <w:pStyle w:val="Tabletext"/>
              <w:ind w:left="394"/>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t xml:space="preserve">encarga a las Comisiones de Estudio de Radiocomunicaciones </w:t>
            </w:r>
          </w:p>
          <w:p w14:paraId="7E224946" w14:textId="77777777" w:rsidR="00D11F6A" w:rsidRPr="00D6760B" w:rsidRDefault="00D11F6A" w:rsidP="004313EF">
            <w:pPr>
              <w:pStyle w:val="Tabletext"/>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que sigan cooperando con las Comisiones de Estudio de los otros dos Sectores, a fin de evitar la duplicación de esfuerzos y beneficiarse activamente de los resultados de la labor realizada por las Comisiones de Estudio de esos dos Sectores,</w:t>
            </w:r>
          </w:p>
          <w:p w14:paraId="04620AA7" w14:textId="77777777" w:rsidR="00D11F6A" w:rsidRPr="00D6760B" w:rsidRDefault="00D11F6A" w:rsidP="00F30BD1">
            <w:pPr>
              <w:pStyle w:val="Tabletext"/>
              <w:ind w:left="394"/>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t xml:space="preserve">invita a los </w:t>
            </w:r>
            <w:proofErr w:type="gramStart"/>
            <w:r w:rsidRPr="00D6760B">
              <w:rPr>
                <w:i/>
                <w:iCs/>
                <w:lang w:val="es-ES"/>
              </w:rPr>
              <w:t>Presidentes</w:t>
            </w:r>
            <w:proofErr w:type="gramEnd"/>
            <w:r w:rsidRPr="00D6760B">
              <w:rPr>
                <w:i/>
                <w:iCs/>
                <w:lang w:val="es-ES"/>
              </w:rPr>
              <w:t xml:space="preserve"> de las Comisiones de Estudio y al Director de la Oficina de Radiocomunicaciones</w:t>
            </w:r>
          </w:p>
          <w:p w14:paraId="403F64D6" w14:textId="77777777" w:rsidR="00D11F6A" w:rsidRPr="00D6760B" w:rsidRDefault="00D11F6A" w:rsidP="004313EF">
            <w:pPr>
              <w:pStyle w:val="Tabletext"/>
              <w:spacing w:before="120"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a tomar todas las medidas apropiadas para el cumplimiento de la presente Resolución, en particular, alentando a los participantes en el UIT-R a que proporcionen asistencia al UIT-D,</w:t>
            </w:r>
          </w:p>
          <w:p w14:paraId="5B0C3A1C" w14:textId="77777777" w:rsidR="00D11F6A" w:rsidRPr="00D6760B" w:rsidRDefault="00D11F6A" w:rsidP="004313EF">
            <w:pPr>
              <w:pStyle w:val="Tabletext"/>
              <w:spacing w:after="120"/>
              <w:ind w:left="391"/>
              <w:cnfStyle w:val="000000000000" w:firstRow="0" w:lastRow="0" w:firstColumn="0" w:lastColumn="0" w:oddVBand="0" w:evenVBand="0" w:oddHBand="0" w:evenHBand="0" w:firstRowFirstColumn="0" w:firstRowLastColumn="0" w:lastRowFirstColumn="0" w:lastRowLastColumn="0"/>
              <w:rPr>
                <w:i/>
                <w:iCs/>
                <w:lang w:val="es-ES"/>
              </w:rPr>
            </w:pPr>
            <w:r w:rsidRPr="00D6760B">
              <w:rPr>
                <w:i/>
                <w:iCs/>
                <w:lang w:val="es-ES"/>
              </w:rPr>
              <w:t>invita a los Estados Miembros y a los Miembros de Sector</w:t>
            </w:r>
          </w:p>
          <w:p w14:paraId="7F1E323D" w14:textId="77777777" w:rsidR="00D11F6A" w:rsidRPr="00D6760B" w:rsidRDefault="00D11F6A" w:rsidP="003434FD">
            <w:pPr>
              <w:pStyle w:val="Tabletext"/>
              <w:tabs>
                <w:tab w:val="clear" w:pos="284"/>
                <w:tab w:val="left" w:pos="678"/>
              </w:tabs>
              <w:spacing w:after="120"/>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1</w:t>
            </w:r>
            <w:r w:rsidRPr="00D6760B">
              <w:rPr>
                <w:lang w:val="es-ES"/>
              </w:rPr>
              <w:tab/>
              <w:t>a ayudar a mejorar la coordinación intersectorial;</w:t>
            </w:r>
          </w:p>
          <w:p w14:paraId="447A47D8" w14:textId="77777777" w:rsidR="00D11F6A" w:rsidRPr="00D6760B"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lang w:val="es-ES"/>
              </w:rPr>
            </w:pPr>
            <w:r w:rsidRPr="00D6760B">
              <w:rPr>
                <w:lang w:val="es-ES"/>
              </w:rPr>
              <w:t>2</w:t>
            </w:r>
            <w:r w:rsidRPr="00D6760B">
              <w:rPr>
                <w:lang w:val="es-ES"/>
              </w:rPr>
              <w:tab/>
              <w:t>a participar activamente en el cumplimiento de la presente Resolución, en particular, proporcionando expertos para ayudar a los países en desarrollo, presentando contribuciones a las reuniones de información, seminarios y talleres, proporcionando la ayuda especializada necesaria en los asuntos considerados por las Comisiones de Estudio del UIT-D y acogiendo en cursos de formación a personal de los países en desarrollo.</w:t>
            </w:r>
          </w:p>
        </w:tc>
      </w:tr>
      <w:tr w:rsidR="00641520" w:rsidRPr="003A17D9" w14:paraId="39B3F1E4" w14:textId="77777777" w:rsidTr="004E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42BC068" w14:textId="77777777" w:rsidR="00D11F6A" w:rsidRPr="00E36176" w:rsidRDefault="00D11F6A" w:rsidP="0043190D">
            <w:pPr>
              <w:pStyle w:val="Tabletext"/>
              <w:rPr>
                <w:lang w:val="es-ES"/>
              </w:rPr>
            </w:pPr>
          </w:p>
        </w:tc>
        <w:tc>
          <w:tcPr>
            <w:tcW w:w="1651" w:type="pct"/>
          </w:tcPr>
          <w:p w14:paraId="0D8129C7" w14:textId="77777777" w:rsidR="00D11F6A" w:rsidRPr="003F3BB4"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sz w:val="20"/>
                <w:lang w:val="es-ES_tradnl" w:eastAsia="en-GB"/>
              </w:rPr>
            </w:pPr>
          </w:p>
        </w:tc>
        <w:tc>
          <w:tcPr>
            <w:tcW w:w="409" w:type="pct"/>
          </w:tcPr>
          <w:p w14:paraId="2F2C8286" w14:textId="77777777" w:rsidR="00D11F6A"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c>
          <w:tcPr>
            <w:tcW w:w="2509" w:type="pct"/>
          </w:tcPr>
          <w:p w14:paraId="5998103E"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cstheme="minorHAnsi"/>
                <w:i/>
                <w:sz w:val="20"/>
                <w:lang w:val="es-ES"/>
              </w:rPr>
            </w:pPr>
          </w:p>
        </w:tc>
      </w:tr>
    </w:tbl>
    <w:p w14:paraId="447320F6" w14:textId="0FC44959" w:rsidR="00142C63" w:rsidRDefault="00142C63">
      <w:pPr>
        <w:tabs>
          <w:tab w:val="clear" w:pos="794"/>
          <w:tab w:val="clear" w:pos="1191"/>
          <w:tab w:val="clear" w:pos="1588"/>
          <w:tab w:val="clear" w:pos="1985"/>
        </w:tabs>
        <w:overflowPunct/>
        <w:autoSpaceDE/>
        <w:autoSpaceDN/>
        <w:adjustRightInd/>
        <w:spacing w:before="0"/>
        <w:textAlignment w:val="auto"/>
        <w:rPr>
          <w:b/>
          <w:bCs/>
          <w:caps/>
          <w:szCs w:val="24"/>
          <w:lang w:val="es-ES"/>
        </w:rPr>
      </w:pPr>
    </w:p>
    <w:p w14:paraId="4209B28B" w14:textId="783E95D9" w:rsidR="00142C63" w:rsidRDefault="00142C63">
      <w:pPr>
        <w:tabs>
          <w:tab w:val="clear" w:pos="794"/>
          <w:tab w:val="clear" w:pos="1191"/>
          <w:tab w:val="clear" w:pos="1588"/>
          <w:tab w:val="clear" w:pos="1985"/>
        </w:tabs>
        <w:overflowPunct/>
        <w:autoSpaceDE/>
        <w:autoSpaceDN/>
        <w:adjustRightInd/>
        <w:spacing w:before="0"/>
        <w:textAlignment w:val="auto"/>
        <w:rPr>
          <w:b/>
          <w:bCs/>
          <w:caps/>
          <w:szCs w:val="24"/>
          <w:lang w:val="es-ES"/>
        </w:rPr>
      </w:pPr>
      <w:r>
        <w:rPr>
          <w:b/>
          <w:bCs/>
          <w:szCs w:val="24"/>
          <w:lang w:val="es-ES"/>
        </w:rPr>
        <w:br w:type="page"/>
      </w:r>
    </w:p>
    <w:p w14:paraId="6AD76C80" w14:textId="357F002C" w:rsidR="00D11F6A" w:rsidRPr="00965AC4" w:rsidRDefault="00D11F6A" w:rsidP="005E348B">
      <w:pPr>
        <w:pStyle w:val="AnnexNo"/>
        <w:tabs>
          <w:tab w:val="clear" w:pos="1191"/>
          <w:tab w:val="clear" w:pos="1588"/>
          <w:tab w:val="clear" w:pos="1985"/>
          <w:tab w:val="right" w:pos="13998"/>
        </w:tabs>
        <w:jc w:val="left"/>
        <w:rPr>
          <w:b/>
          <w:bCs/>
          <w:sz w:val="24"/>
          <w:szCs w:val="24"/>
          <w:lang w:val="es-ES"/>
        </w:rPr>
      </w:pPr>
      <w:r w:rsidRPr="00965AC4">
        <w:rPr>
          <w:b/>
          <w:bCs/>
          <w:sz w:val="24"/>
          <w:szCs w:val="24"/>
          <w:lang w:val="es-ES"/>
        </w:rPr>
        <w:lastRenderedPageBreak/>
        <w:t>Anexo 2</w:t>
      </w:r>
    </w:p>
    <w:p w14:paraId="656A52B9" w14:textId="77777777" w:rsidR="00D11F6A" w:rsidRPr="005E348B" w:rsidRDefault="00D11F6A" w:rsidP="005E348B">
      <w:pPr>
        <w:pStyle w:val="Annextitle"/>
        <w:jc w:val="left"/>
        <w:rPr>
          <w:sz w:val="24"/>
          <w:szCs w:val="24"/>
          <w:lang w:val="es-ES"/>
        </w:rPr>
      </w:pPr>
      <w:r w:rsidRPr="005E348B">
        <w:rPr>
          <w:sz w:val="24"/>
          <w:szCs w:val="24"/>
          <w:lang w:val="es-ES"/>
        </w:rPr>
        <w:t xml:space="preserve">Resoluciones de la Conferencia Mundial de Radiocomunicaciones de 2023 (CMR-23) pertinentes para los trabajos de la BDT y/o del UIT-D </w:t>
      </w:r>
    </w:p>
    <w:p w14:paraId="3AF47686" w14:textId="20CAD350" w:rsidR="00D11F6A" w:rsidRPr="00396492" w:rsidRDefault="00D11F6A" w:rsidP="00965AC4">
      <w:pPr>
        <w:keepNext/>
        <w:keepLines/>
        <w:spacing w:after="240"/>
        <w:rPr>
          <w:rFonts w:ascii="Calibri" w:hAnsi="Calibri" w:cs="Calibri"/>
          <w:szCs w:val="24"/>
          <w:lang w:val="es-ES"/>
        </w:rPr>
      </w:pPr>
      <w:r w:rsidRPr="00C14A97">
        <w:rPr>
          <w:rFonts w:ascii="Calibri" w:hAnsi="Calibri" w:cs="Calibri"/>
          <w:szCs w:val="24"/>
          <w:lang w:val="es-ES"/>
        </w:rPr>
        <w:t xml:space="preserve">En el siguiente Cuadro se resumen las Resoluciones UIT-R </w:t>
      </w:r>
      <w:r>
        <w:rPr>
          <w:rFonts w:ascii="Calibri" w:hAnsi="Calibri" w:cs="Calibri"/>
          <w:szCs w:val="24"/>
          <w:lang w:val="es-ES"/>
        </w:rPr>
        <w:t>de</w:t>
      </w:r>
      <w:r w:rsidRPr="00C14A97">
        <w:rPr>
          <w:rFonts w:ascii="Calibri" w:hAnsi="Calibri" w:cs="Calibri"/>
          <w:szCs w:val="24"/>
          <w:lang w:val="es-ES"/>
        </w:rPr>
        <w:t xml:space="preserve"> la </w:t>
      </w:r>
      <w:r>
        <w:rPr>
          <w:rFonts w:ascii="Calibri" w:hAnsi="Calibri" w:cs="Calibri"/>
          <w:szCs w:val="24"/>
          <w:lang w:val="es-ES"/>
        </w:rPr>
        <w:t>CM</w:t>
      </w:r>
      <w:r w:rsidRPr="00C14A97">
        <w:rPr>
          <w:rFonts w:ascii="Calibri" w:hAnsi="Calibri" w:cs="Calibri"/>
          <w:szCs w:val="24"/>
          <w:lang w:val="es-ES"/>
        </w:rPr>
        <w:t xml:space="preserve">R-23 </w:t>
      </w:r>
      <w:r w:rsidRPr="00396492">
        <w:rPr>
          <w:rFonts w:ascii="Calibri" w:hAnsi="Calibri" w:cs="Calibri"/>
          <w:szCs w:val="24"/>
          <w:lang w:val="es-ES"/>
        </w:rPr>
        <w:t xml:space="preserve">que guardan relación con </w:t>
      </w:r>
      <w:r w:rsidRPr="00C14A97">
        <w:rPr>
          <w:rFonts w:ascii="Calibri" w:hAnsi="Calibri" w:cs="Calibri"/>
          <w:szCs w:val="24"/>
          <w:lang w:val="es-ES"/>
        </w:rPr>
        <w:t xml:space="preserve">los trabajos de la BDT y/o del UIT-D. El mandato otorgado a la BDT en virtud de las Resoluciones pertinentes de la </w:t>
      </w:r>
      <w:r>
        <w:rPr>
          <w:rFonts w:ascii="Calibri" w:hAnsi="Calibri" w:cs="Calibri"/>
          <w:szCs w:val="24"/>
          <w:lang w:val="es-ES"/>
        </w:rPr>
        <w:t>CMR</w:t>
      </w:r>
      <w:r w:rsidRPr="00C14A97">
        <w:rPr>
          <w:rFonts w:ascii="Calibri" w:hAnsi="Calibri" w:cs="Calibri"/>
          <w:szCs w:val="24"/>
          <w:lang w:val="es-ES"/>
        </w:rPr>
        <w:t xml:space="preserve"> se incluirá en la aplicación del Plan de Acción de Kigali y las Resoluciones pertinentes de </w:t>
      </w:r>
      <w:r w:rsidRPr="00336DFA">
        <w:rPr>
          <w:lang w:val="es-ES"/>
        </w:rPr>
        <w:t>la</w:t>
      </w:r>
      <w:r w:rsidRPr="00C14A97">
        <w:rPr>
          <w:rFonts w:ascii="Calibri" w:hAnsi="Calibri" w:cs="Calibri"/>
          <w:szCs w:val="24"/>
          <w:lang w:val="es-ES"/>
        </w:rPr>
        <w:t xml:space="preserve"> CMDT-2</w:t>
      </w:r>
      <w:r w:rsidR="00F96138">
        <w:rPr>
          <w:rFonts w:ascii="Calibri" w:hAnsi="Calibri" w:cs="Calibri"/>
          <w:szCs w:val="24"/>
          <w:lang w:val="es-ES"/>
        </w:rPr>
        <w:t>5</w:t>
      </w:r>
      <w:r w:rsidRPr="00C14A97">
        <w:rPr>
          <w:rFonts w:ascii="Calibri" w:hAnsi="Calibri" w:cs="Calibri"/>
          <w:szCs w:val="24"/>
          <w:lang w:val="es-ES"/>
        </w:rPr>
        <w:t>.</w:t>
      </w:r>
    </w:p>
    <w:tbl>
      <w:tblPr>
        <w:tblStyle w:val="GridTable5Dark-Accent11"/>
        <w:tblW w:w="5065" w:type="pct"/>
        <w:tblLook w:val="04A0" w:firstRow="1" w:lastRow="0" w:firstColumn="1" w:lastColumn="0" w:noHBand="0" w:noVBand="1"/>
      </w:tblPr>
      <w:tblGrid>
        <w:gridCol w:w="2085"/>
        <w:gridCol w:w="4872"/>
        <w:gridCol w:w="1406"/>
        <w:gridCol w:w="5807"/>
      </w:tblGrid>
      <w:tr w:rsidR="00D11F6A" w:rsidRPr="00396492" w14:paraId="57E3C54D" w14:textId="77777777" w:rsidTr="006415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6" w:type="pct"/>
          </w:tcPr>
          <w:p w14:paraId="4F73BB0F" w14:textId="77777777" w:rsidR="00D11F6A" w:rsidRPr="0043190D" w:rsidRDefault="00D11F6A" w:rsidP="0043190D">
            <w:pPr>
              <w:pStyle w:val="Tablehead"/>
              <w:rPr>
                <w:b/>
                <w:bCs w:val="0"/>
                <w:lang w:val="es-ES"/>
              </w:rPr>
            </w:pPr>
            <w:r w:rsidRPr="0043190D">
              <w:rPr>
                <w:b/>
                <w:bCs w:val="0"/>
                <w:lang w:val="es-ES"/>
              </w:rPr>
              <w:t>Resolución</w:t>
            </w:r>
          </w:p>
        </w:tc>
        <w:tc>
          <w:tcPr>
            <w:tcW w:w="1719" w:type="pct"/>
          </w:tcPr>
          <w:p w14:paraId="25DC1A20" w14:textId="77777777" w:rsidR="00D11F6A" w:rsidRPr="0043190D" w:rsidRDefault="00D11F6A" w:rsidP="0043190D">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43190D">
              <w:rPr>
                <w:b/>
                <w:bCs w:val="0"/>
                <w:lang w:val="es-ES"/>
              </w:rPr>
              <w:t>Título</w:t>
            </w:r>
          </w:p>
        </w:tc>
        <w:tc>
          <w:tcPr>
            <w:tcW w:w="496" w:type="pct"/>
          </w:tcPr>
          <w:p w14:paraId="07E2F1C7" w14:textId="77777777" w:rsidR="00D11F6A" w:rsidRPr="0043190D" w:rsidRDefault="00D11F6A" w:rsidP="0043190D">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43190D">
              <w:rPr>
                <w:b/>
                <w:bCs w:val="0"/>
                <w:lang w:val="es-ES"/>
              </w:rPr>
              <w:t>Acción en la CMR-23</w:t>
            </w:r>
          </w:p>
        </w:tc>
        <w:tc>
          <w:tcPr>
            <w:tcW w:w="2049" w:type="pct"/>
          </w:tcPr>
          <w:p w14:paraId="286222F4" w14:textId="77777777" w:rsidR="00D11F6A" w:rsidRPr="0043190D" w:rsidRDefault="00D11F6A" w:rsidP="0043190D">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43190D">
              <w:rPr>
                <w:b/>
                <w:bCs w:val="0"/>
                <w:lang w:val="es-ES"/>
              </w:rPr>
              <w:t>Observaciones</w:t>
            </w:r>
          </w:p>
        </w:tc>
      </w:tr>
      <w:tr w:rsidR="00D11F6A" w:rsidRPr="003A17D9" w14:paraId="61CC755A" w14:textId="77777777" w:rsidTr="0064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pct"/>
          </w:tcPr>
          <w:p w14:paraId="581512EF" w14:textId="77777777" w:rsidR="00D11F6A" w:rsidRPr="00396492" w:rsidRDefault="00D11F6A" w:rsidP="00965AC4">
            <w:pPr>
              <w:pStyle w:val="Tabletext"/>
              <w:jc w:val="center"/>
              <w:rPr>
                <w:lang w:val="es-ES"/>
              </w:rPr>
            </w:pPr>
            <w:r w:rsidRPr="00396492">
              <w:rPr>
                <w:lang w:val="es-ES"/>
              </w:rPr>
              <w:t>RESOLUCIÓN 5 (REV.</w:t>
            </w:r>
            <w:r>
              <w:rPr>
                <w:lang w:val="es-ES"/>
              </w:rPr>
              <w:t>CMR</w:t>
            </w:r>
            <w:r w:rsidRPr="00396492">
              <w:rPr>
                <w:lang w:val="es-ES"/>
              </w:rPr>
              <w:t>-23)</w:t>
            </w:r>
          </w:p>
        </w:tc>
        <w:tc>
          <w:tcPr>
            <w:tcW w:w="1719" w:type="pct"/>
          </w:tcPr>
          <w:p w14:paraId="3B842D3F" w14:textId="77777777" w:rsidR="00D11F6A" w:rsidRPr="004313EF"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4313EF">
              <w:rPr>
                <w:b/>
                <w:bCs/>
                <w:lang w:val="es-ES"/>
              </w:rPr>
              <w:t>Cooperación técnica con los países en desarrollo para los estudios de propagación en regiones tropicales y similares</w:t>
            </w:r>
          </w:p>
        </w:tc>
        <w:tc>
          <w:tcPr>
            <w:tcW w:w="496" w:type="pct"/>
          </w:tcPr>
          <w:p w14:paraId="58C89C3B" w14:textId="77777777" w:rsidR="00D11F6A" w:rsidRPr="00396492" w:rsidRDefault="00D11F6A" w:rsidP="004313EF">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396492">
              <w:rPr>
                <w:lang w:val="es-ES"/>
              </w:rPr>
              <w:t>MOD</w:t>
            </w:r>
          </w:p>
        </w:tc>
        <w:tc>
          <w:tcPr>
            <w:tcW w:w="2049" w:type="pct"/>
          </w:tcPr>
          <w:p w14:paraId="231E752D" w14:textId="77777777" w:rsidR="00D11F6A" w:rsidRPr="00396492" w:rsidRDefault="00D11F6A" w:rsidP="00F30BD1">
            <w:pPr>
              <w:pStyle w:val="Tabletext"/>
              <w:ind w:left="394"/>
              <w:cnfStyle w:val="000000100000" w:firstRow="0" w:lastRow="0" w:firstColumn="0" w:lastColumn="0" w:oddVBand="0" w:evenVBand="0" w:oddHBand="1" w:evenHBand="0" w:firstRowFirstColumn="0" w:firstRowLastColumn="0" w:lastRowFirstColumn="0" w:lastRowLastColumn="0"/>
              <w:rPr>
                <w:rFonts w:eastAsia="Malgun Gothic"/>
                <w:i/>
                <w:iCs/>
                <w:lang w:val="es-ES" w:eastAsia="ko-KR"/>
              </w:rPr>
            </w:pPr>
            <w:r w:rsidRPr="00396492">
              <w:rPr>
                <w:rFonts w:eastAsia="Malgun Gothic"/>
                <w:i/>
                <w:iCs/>
                <w:lang w:val="es-ES" w:eastAsia="ko-KR"/>
              </w:rPr>
              <w:t>observa</w:t>
            </w:r>
            <w:r>
              <w:rPr>
                <w:rFonts w:eastAsia="Malgun Gothic"/>
                <w:i/>
                <w:iCs/>
                <w:lang w:val="es-ES" w:eastAsia="ko-KR"/>
              </w:rPr>
              <w:t>n</w:t>
            </w:r>
            <w:r w:rsidRPr="00396492">
              <w:rPr>
                <w:rFonts w:eastAsia="Malgun Gothic"/>
                <w:i/>
                <w:iCs/>
                <w:lang w:val="es-ES" w:eastAsia="ko-KR"/>
              </w:rPr>
              <w:t>do</w:t>
            </w:r>
          </w:p>
          <w:p w14:paraId="62820ED8" w14:textId="77777777" w:rsidR="00D11F6A" w:rsidRPr="00D96977" w:rsidRDefault="00D11F6A" w:rsidP="0043190D">
            <w:pPr>
              <w:pStyle w:val="Tabletext"/>
              <w:cnfStyle w:val="000000100000" w:firstRow="0" w:lastRow="0" w:firstColumn="0" w:lastColumn="0" w:oddVBand="0" w:evenVBand="0" w:oddHBand="1" w:evenHBand="0" w:firstRowFirstColumn="0" w:firstRowLastColumn="0" w:lastRowFirstColumn="0" w:lastRowLastColumn="0"/>
              <w:rPr>
                <w:rFonts w:eastAsia="Malgun Gothic"/>
                <w:lang w:val="es-ES" w:eastAsia="ko-KR"/>
              </w:rPr>
            </w:pPr>
            <w:r w:rsidRPr="00D96977">
              <w:rPr>
                <w:rFonts w:eastAsia="Malgun Gothic"/>
                <w:lang w:val="es-ES" w:eastAsia="ko-KR"/>
              </w:rPr>
              <w:t>que es prometedora la asistencia que la Unión presta a los países en desarrollo en el campo de las telecomunicaciones, de concierto con otros organismos especializados de las Naciones Unidas, como el Programa de las Naciones Unidas para el Desarrollo (PNUD),</w:t>
            </w:r>
          </w:p>
          <w:p w14:paraId="328069F5" w14:textId="77777777" w:rsidR="00D11F6A" w:rsidRPr="00396492" w:rsidRDefault="00D11F6A" w:rsidP="001703DB">
            <w:pPr>
              <w:pStyle w:val="Tabletext"/>
              <w:spacing w:before="120" w:after="120"/>
              <w:ind w:left="391"/>
              <w:cnfStyle w:val="000000100000" w:firstRow="0" w:lastRow="0" w:firstColumn="0" w:lastColumn="0" w:oddVBand="0" w:evenVBand="0" w:oddHBand="1" w:evenHBand="0" w:firstRowFirstColumn="0" w:firstRowLastColumn="0" w:lastRowFirstColumn="0" w:lastRowLastColumn="0"/>
              <w:rPr>
                <w:rFonts w:eastAsia="Malgun Gothic"/>
                <w:i/>
                <w:lang w:val="es-ES" w:eastAsia="ko-KR"/>
              </w:rPr>
            </w:pPr>
            <w:r w:rsidRPr="00396492">
              <w:rPr>
                <w:rFonts w:eastAsia="Malgun Gothic"/>
                <w:i/>
                <w:lang w:val="es-ES" w:eastAsia="ko-KR"/>
              </w:rPr>
              <w:t xml:space="preserve">resuelve encargar al </w:t>
            </w:r>
            <w:proofErr w:type="gramStart"/>
            <w:r w:rsidRPr="00396492">
              <w:rPr>
                <w:rFonts w:eastAsia="Malgun Gothic"/>
                <w:i/>
                <w:lang w:val="es-ES" w:eastAsia="ko-KR"/>
              </w:rPr>
              <w:t>Secretario General</w:t>
            </w:r>
            <w:proofErr w:type="gramEnd"/>
          </w:p>
          <w:p w14:paraId="036DAEA7" w14:textId="77777777" w:rsidR="00D11F6A" w:rsidRDefault="00D11F6A" w:rsidP="003434FD">
            <w:pPr>
              <w:pStyle w:val="Tabletext"/>
              <w:tabs>
                <w:tab w:val="clear" w:pos="284"/>
                <w:tab w:val="left" w:pos="678"/>
              </w:tabs>
              <w:spacing w:after="120"/>
              <w:cnfStyle w:val="000000100000" w:firstRow="0" w:lastRow="0" w:firstColumn="0" w:lastColumn="0" w:oddVBand="0" w:evenVBand="0" w:oddHBand="1" w:evenHBand="0" w:firstRowFirstColumn="0" w:firstRowLastColumn="0" w:lastRowFirstColumn="0" w:lastRowLastColumn="0"/>
              <w:rPr>
                <w:rFonts w:eastAsia="Malgun Gothic"/>
                <w:lang w:val="es-ES" w:eastAsia="ko-KR"/>
              </w:rPr>
            </w:pPr>
            <w:r w:rsidRPr="00D96977">
              <w:rPr>
                <w:rFonts w:eastAsia="Malgun Gothic"/>
                <w:lang w:val="es-ES" w:eastAsia="ko-KR"/>
              </w:rPr>
              <w:t>1</w:t>
            </w:r>
            <w:r w:rsidRPr="00396492">
              <w:rPr>
                <w:rFonts w:eastAsia="Malgun Gothic"/>
                <w:lang w:val="es-ES" w:eastAsia="ko-KR"/>
              </w:rPr>
              <w:tab/>
            </w:r>
            <w:r w:rsidRPr="00D96977">
              <w:rPr>
                <w:rFonts w:eastAsia="Malgun Gothic"/>
                <w:lang w:val="es-ES" w:eastAsia="ko-KR"/>
              </w:rPr>
              <w:t xml:space="preserve">que ofrezca </w:t>
            </w:r>
            <w:r w:rsidRPr="004313EF">
              <w:rPr>
                <w:rFonts w:eastAsia="Malgun Gothic"/>
                <w:b/>
                <w:bCs/>
                <w:lang w:val="es-ES" w:eastAsia="ko-KR"/>
              </w:rPr>
              <w:t>la asistencia de</w:t>
            </w:r>
            <w:r w:rsidRPr="00D96977">
              <w:rPr>
                <w:rFonts w:eastAsia="Malgun Gothic"/>
                <w:lang w:val="es-ES" w:eastAsia="ko-KR"/>
              </w:rPr>
              <w:t xml:space="preserve"> </w:t>
            </w:r>
            <w:r w:rsidRPr="004313EF">
              <w:rPr>
                <w:rFonts w:eastAsia="Malgun Gothic"/>
                <w:b/>
                <w:bCs/>
                <w:lang w:val="es-ES" w:eastAsia="ko-KR"/>
              </w:rPr>
              <w:t>la Unión a los países en desarrollo</w:t>
            </w:r>
            <w:r w:rsidRPr="00D96977">
              <w:rPr>
                <w:rFonts w:eastAsia="Malgun Gothic"/>
                <w:lang w:val="es-ES" w:eastAsia="ko-KR"/>
              </w:rPr>
              <w:t xml:space="preserve"> situados en regiones tropicales que se esfuerzan por efectuar estudios sobre su propio territorio para mejorar y desarrollar sus radiocomunicaciones; </w:t>
            </w:r>
          </w:p>
          <w:p w14:paraId="21D1FD8F" w14:textId="117E15CD" w:rsidR="00D11F6A" w:rsidRDefault="00D11F6A" w:rsidP="003434FD">
            <w:pPr>
              <w:pStyle w:val="Tabletext"/>
              <w:tabs>
                <w:tab w:val="clear" w:pos="284"/>
                <w:tab w:val="left" w:pos="678"/>
              </w:tabs>
              <w:spacing w:before="120" w:after="120"/>
              <w:cnfStyle w:val="000000100000" w:firstRow="0" w:lastRow="0" w:firstColumn="0" w:lastColumn="0" w:oddVBand="0" w:evenVBand="0" w:oddHBand="1" w:evenHBand="0" w:firstRowFirstColumn="0" w:firstRowLastColumn="0" w:lastRowFirstColumn="0" w:lastRowLastColumn="0"/>
              <w:rPr>
                <w:rFonts w:eastAsia="Malgun Gothic"/>
                <w:lang w:val="es-ES" w:eastAsia="ko-KR"/>
              </w:rPr>
            </w:pPr>
            <w:r w:rsidRPr="00D96977">
              <w:rPr>
                <w:rFonts w:eastAsia="Malgun Gothic"/>
                <w:lang w:val="es-ES" w:eastAsia="ko-KR"/>
              </w:rPr>
              <w:t>2</w:t>
            </w:r>
            <w:r w:rsidRPr="00396492">
              <w:rPr>
                <w:rFonts w:eastAsia="Malgun Gothic"/>
                <w:lang w:val="es-ES" w:eastAsia="ko-KR"/>
              </w:rPr>
              <w:tab/>
            </w:r>
            <w:r w:rsidRPr="00D96977">
              <w:rPr>
                <w:rFonts w:eastAsia="Malgun Gothic"/>
                <w:lang w:val="es-ES" w:eastAsia="ko-KR"/>
              </w:rPr>
              <w:t>que ayude a estos países a organizar, si es necesario con la colaboración de las organizaciones internacionales y regionales tales como la Unión de Radiodifusión Asia-Pacífico (ABU), la Unión de Radiodifusión de los Estados Árabes (ASBU), la Unión Africana de Telecomunicaciones (UAT) y la Unión Africana de Radiodifusión (UAR) que pudieran interesarse en la cuestión, campañas nacionales de medición de la propagación, incluida la recogida de los datos meteorológicos apropiados, efectuadas sobre la base de Recomendaciones y Cuestiones UIT-R, para mejorar la utilización del espectro radioeléctrico;</w:t>
            </w:r>
          </w:p>
          <w:p w14:paraId="0FF915F8" w14:textId="7FFC6A11" w:rsidR="00D11F6A" w:rsidRPr="00396492"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lang w:val="es-ES"/>
              </w:rPr>
            </w:pPr>
            <w:r w:rsidRPr="00D96977">
              <w:rPr>
                <w:rFonts w:eastAsia="Malgun Gothic"/>
                <w:lang w:val="es-ES" w:eastAsia="ko-KR"/>
              </w:rPr>
              <w:lastRenderedPageBreak/>
              <w:t>3</w:t>
            </w:r>
            <w:r w:rsidRPr="00396492">
              <w:rPr>
                <w:rFonts w:eastAsia="Malgun Gothic"/>
                <w:lang w:val="es-ES" w:eastAsia="ko-KR"/>
              </w:rPr>
              <w:tab/>
            </w:r>
            <w:r w:rsidRPr="00D96977">
              <w:rPr>
                <w:rFonts w:eastAsia="Malgun Gothic"/>
                <w:lang w:val="es-ES" w:eastAsia="ko-KR"/>
              </w:rPr>
              <w:t>que trate de obtener fondos y recursos para estos fines del PNUD o de otras fuentes, de modo que la Unión pueda aportar a los países interesados asistencia técnica suficiente y eficaz para alcanzar los fines de la presente Resolución</w:t>
            </w:r>
            <w:r w:rsidRPr="00396492">
              <w:rPr>
                <w:rFonts w:eastAsia="Malgun Gothic"/>
                <w:lang w:val="es-ES" w:eastAsia="ko-KR"/>
              </w:rPr>
              <w:t>,</w:t>
            </w:r>
          </w:p>
        </w:tc>
      </w:tr>
      <w:tr w:rsidR="00D11F6A" w:rsidRPr="003A17D9" w14:paraId="757313CC" w14:textId="77777777" w:rsidTr="00641520">
        <w:tc>
          <w:tcPr>
            <w:cnfStyle w:val="001000000000" w:firstRow="0" w:lastRow="0" w:firstColumn="1" w:lastColumn="0" w:oddVBand="0" w:evenVBand="0" w:oddHBand="0" w:evenHBand="0" w:firstRowFirstColumn="0" w:firstRowLastColumn="0" w:lastRowFirstColumn="0" w:lastRowLastColumn="0"/>
            <w:tcW w:w="736" w:type="pct"/>
          </w:tcPr>
          <w:p w14:paraId="7BBEE89D" w14:textId="77777777" w:rsidR="00D11F6A" w:rsidRPr="00396492" w:rsidRDefault="00D11F6A" w:rsidP="004313EF">
            <w:pPr>
              <w:pStyle w:val="Tabletext"/>
              <w:jc w:val="center"/>
              <w:rPr>
                <w:lang w:val="es-ES"/>
              </w:rPr>
            </w:pPr>
            <w:r w:rsidRPr="00396492">
              <w:rPr>
                <w:lang w:val="es-ES"/>
              </w:rPr>
              <w:lastRenderedPageBreak/>
              <w:t>RESOLUCIÓN 12 (REV.</w:t>
            </w:r>
            <w:r>
              <w:rPr>
                <w:lang w:val="es-ES"/>
              </w:rPr>
              <w:t>CMR-23</w:t>
            </w:r>
            <w:r w:rsidRPr="00396492">
              <w:rPr>
                <w:lang w:val="es-ES"/>
              </w:rPr>
              <w:t>)</w:t>
            </w:r>
          </w:p>
        </w:tc>
        <w:tc>
          <w:tcPr>
            <w:tcW w:w="1719" w:type="pct"/>
          </w:tcPr>
          <w:p w14:paraId="65EED6F4" w14:textId="77777777" w:rsidR="00D11F6A" w:rsidRPr="004313EF"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4313EF">
              <w:rPr>
                <w:b/>
                <w:bCs/>
                <w:lang w:val="es-ES"/>
              </w:rPr>
              <w:t>Asistencia y apoyo a Palestina</w:t>
            </w:r>
          </w:p>
        </w:tc>
        <w:tc>
          <w:tcPr>
            <w:tcW w:w="496" w:type="pct"/>
          </w:tcPr>
          <w:p w14:paraId="16B93BAA" w14:textId="77777777" w:rsidR="00D11F6A" w:rsidRPr="00396492" w:rsidRDefault="00D11F6A" w:rsidP="004313EF">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396492">
              <w:rPr>
                <w:lang w:val="es-ES"/>
              </w:rPr>
              <w:t>MOD</w:t>
            </w:r>
          </w:p>
        </w:tc>
        <w:tc>
          <w:tcPr>
            <w:tcW w:w="2049" w:type="pct"/>
          </w:tcPr>
          <w:p w14:paraId="5B32A73F" w14:textId="77777777" w:rsidR="00D11F6A" w:rsidRPr="00396492" w:rsidRDefault="00D11F6A" w:rsidP="003434FD">
            <w:pPr>
              <w:pStyle w:val="Tabletext"/>
              <w:spacing w:before="120" w:after="120"/>
              <w:ind w:left="391"/>
              <w:cnfStyle w:val="000000000000" w:firstRow="0" w:lastRow="0" w:firstColumn="0" w:lastColumn="0" w:oddVBand="0" w:evenVBand="0" w:oddHBand="0" w:evenHBand="0" w:firstRowFirstColumn="0" w:firstRowLastColumn="0" w:lastRowFirstColumn="0" w:lastRowLastColumn="0"/>
              <w:rPr>
                <w:rFonts w:eastAsia="Malgun Gothic"/>
                <w:i/>
                <w:iCs/>
                <w:lang w:val="es-ES" w:eastAsia="ko-KR"/>
              </w:rPr>
            </w:pPr>
            <w:r>
              <w:rPr>
                <w:rFonts w:eastAsia="Malgun Gothic"/>
                <w:i/>
                <w:iCs/>
                <w:lang w:val="es-ES" w:eastAsia="ko-KR"/>
              </w:rPr>
              <w:t>r</w:t>
            </w:r>
            <w:r w:rsidRPr="00396492">
              <w:rPr>
                <w:rFonts w:eastAsia="Malgun Gothic"/>
                <w:i/>
                <w:iCs/>
                <w:lang w:val="es-ES" w:eastAsia="ko-KR"/>
              </w:rPr>
              <w:t>ecordando</w:t>
            </w:r>
          </w:p>
          <w:p w14:paraId="41470875" w14:textId="5FB6B9A2" w:rsidR="00D11F6A"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rFonts w:eastAsia="Malgun Gothic"/>
                <w:lang w:val="es-ES" w:eastAsia="ko-KR"/>
              </w:rPr>
            </w:pPr>
            <w:r w:rsidRPr="00D6760B">
              <w:rPr>
                <w:rFonts w:eastAsia="Malgun Gothic"/>
                <w:i/>
                <w:iCs/>
                <w:lang w:val="es-ES" w:eastAsia="ko-KR"/>
              </w:rPr>
              <w:t>g)</w:t>
            </w:r>
            <w:r w:rsidRPr="00396492">
              <w:rPr>
                <w:rFonts w:eastAsia="Malgun Gothic"/>
                <w:lang w:val="es-ES" w:eastAsia="ko-KR"/>
              </w:rPr>
              <w:tab/>
            </w:r>
            <w:r w:rsidRPr="002A2E5B">
              <w:rPr>
                <w:rFonts w:eastAsia="Malgun Gothic"/>
                <w:lang w:val="es-ES" w:eastAsia="ko-KR"/>
              </w:rPr>
              <w:t xml:space="preserve">la Resolución 18 (Rev. Kigali, 2022), la Resolución 18 (Rev. Buenos Aires, 2017), la Resolución 18 (Rev. Dubái, 2014) y la Resolución 18 (Rev. Hyderabad, 2010) de la Conferencia Mundial de Desarrollo de las Telecomunicaciones (CMDT) sobre asistencia técnica especial a Palestina; </w:t>
            </w:r>
          </w:p>
          <w:p w14:paraId="5D1C51E9" w14:textId="28D0984D" w:rsidR="00D11F6A" w:rsidRPr="00396492"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rFonts w:eastAsia="Malgun Gothic"/>
                <w:lang w:val="es-ES" w:eastAsia="ko-KR"/>
              </w:rPr>
            </w:pPr>
            <w:r w:rsidRPr="00D6760B">
              <w:rPr>
                <w:rFonts w:eastAsia="Malgun Gothic"/>
                <w:i/>
                <w:iCs/>
                <w:lang w:val="es-ES" w:eastAsia="ko-KR"/>
              </w:rPr>
              <w:t>h)</w:t>
            </w:r>
            <w:r w:rsidRPr="00396492">
              <w:rPr>
                <w:rFonts w:eastAsia="Malgun Gothic"/>
                <w:lang w:val="es-ES" w:eastAsia="ko-KR"/>
              </w:rPr>
              <w:tab/>
            </w:r>
            <w:r w:rsidRPr="00D6760B">
              <w:rPr>
                <w:rFonts w:cstheme="minorHAnsi"/>
                <w:szCs w:val="22"/>
                <w:lang w:val="es-ES_tradnl"/>
              </w:rPr>
              <w:t>la</w:t>
            </w:r>
            <w:r w:rsidRPr="002A2E5B">
              <w:rPr>
                <w:rFonts w:eastAsia="Malgun Gothic"/>
                <w:lang w:val="es-ES" w:eastAsia="ko-KR"/>
              </w:rPr>
              <w:t xml:space="preserve"> Resolución 9 (Rev. Kigali, 2022), la Resolución 9 (Rev. Buenos Aires, 2017) y la Resolución 9 (Rev. Dubái, 2014) de la CMDT, en la que se reconoce que todo Estado tiene el derecho soberano de gestionar la utilización del espectro en el interior de su territorio</w:t>
            </w:r>
            <w:r w:rsidR="00F96138">
              <w:rPr>
                <w:rFonts w:eastAsia="Malgun Gothic"/>
                <w:lang w:val="es-ES" w:eastAsia="ko-KR"/>
              </w:rPr>
              <w:t>,</w:t>
            </w:r>
          </w:p>
          <w:p w14:paraId="227F3695" w14:textId="77777777" w:rsidR="00D11F6A" w:rsidRPr="00396492" w:rsidRDefault="00D11F6A" w:rsidP="003434FD">
            <w:pPr>
              <w:pStyle w:val="Tabletext"/>
              <w:spacing w:before="120" w:after="120"/>
              <w:ind w:left="391"/>
              <w:cnfStyle w:val="000000000000" w:firstRow="0" w:lastRow="0" w:firstColumn="0" w:lastColumn="0" w:oddVBand="0" w:evenVBand="0" w:oddHBand="0" w:evenHBand="0" w:firstRowFirstColumn="0" w:firstRowLastColumn="0" w:lastRowFirstColumn="0" w:lastRowLastColumn="0"/>
              <w:rPr>
                <w:rFonts w:eastAsia="Malgun Gothic"/>
                <w:i/>
                <w:iCs/>
                <w:lang w:val="es-ES" w:eastAsia="ko-KR"/>
              </w:rPr>
            </w:pPr>
            <w:r w:rsidRPr="00396492">
              <w:rPr>
                <w:rFonts w:eastAsia="Malgun Gothic"/>
                <w:i/>
                <w:iCs/>
                <w:lang w:val="es-ES" w:eastAsia="ko-KR"/>
              </w:rPr>
              <w:t xml:space="preserve">resuelve </w:t>
            </w:r>
          </w:p>
          <w:p w14:paraId="055DAAEE" w14:textId="02AE4F49" w:rsidR="00D11F6A" w:rsidRPr="00396492" w:rsidRDefault="00D11F6A" w:rsidP="00D6760B">
            <w:pPr>
              <w:pStyle w:val="Tabletext"/>
              <w:tabs>
                <w:tab w:val="clear" w:pos="284"/>
                <w:tab w:val="left" w:pos="678"/>
              </w:tabs>
              <w:cnfStyle w:val="000000000000" w:firstRow="0" w:lastRow="0" w:firstColumn="0" w:lastColumn="0" w:oddVBand="0" w:evenVBand="0" w:oddHBand="0" w:evenHBand="0" w:firstRowFirstColumn="0" w:firstRowLastColumn="0" w:lastRowFirstColumn="0" w:lastRowLastColumn="0"/>
              <w:rPr>
                <w:rFonts w:eastAsia="Malgun Gothic"/>
                <w:i/>
                <w:iCs/>
                <w:lang w:val="es-ES" w:eastAsia="ko-KR"/>
              </w:rPr>
            </w:pPr>
            <w:r w:rsidRPr="002A2E5B">
              <w:rPr>
                <w:rFonts w:eastAsia="Malgun Gothic"/>
                <w:lang w:val="es-ES" w:eastAsia="ko-KR"/>
              </w:rPr>
              <w:t>1</w:t>
            </w:r>
            <w:r w:rsidRPr="00396492">
              <w:rPr>
                <w:rFonts w:eastAsia="Malgun Gothic"/>
                <w:lang w:val="es-ES" w:eastAsia="ko-KR"/>
              </w:rPr>
              <w:tab/>
            </w:r>
            <w:r w:rsidRPr="002A2E5B">
              <w:rPr>
                <w:rFonts w:eastAsia="Malgun Gothic"/>
                <w:lang w:val="es-ES" w:eastAsia="ko-KR"/>
              </w:rPr>
              <w:t xml:space="preserve">continuar prestando asistencia a Palestina, a través del Sector de Radiocomunicaciones de la UIT y en colaboración con </w:t>
            </w:r>
            <w:r w:rsidRPr="004313EF">
              <w:rPr>
                <w:rFonts w:eastAsia="Malgun Gothic"/>
                <w:b/>
                <w:bCs/>
                <w:lang w:val="es-ES" w:eastAsia="ko-KR"/>
              </w:rPr>
              <w:t>el Sector de Desarrollo de las Telecomunicaciones de la UIT</w:t>
            </w:r>
            <w:r w:rsidRPr="002A2E5B">
              <w:rPr>
                <w:rFonts w:eastAsia="Malgun Gothic"/>
                <w:lang w:val="es-ES" w:eastAsia="ko-KR"/>
              </w:rPr>
              <w:t>, a tenor de las Resoluciones y Decisiones pertinentes de la UIT, en particular en lo que respecta a la capacitación, la gestión del espectro y la asignación de frecuencias, con el objetivo de que Palestina pueda gestionar y explotar su espectro radioeléctrico</w:t>
            </w:r>
            <w:r w:rsidR="00F96138">
              <w:rPr>
                <w:rFonts w:eastAsia="Malgun Gothic"/>
                <w:lang w:val="es-ES" w:eastAsia="ko-KR"/>
              </w:rPr>
              <w:t>,</w:t>
            </w:r>
          </w:p>
        </w:tc>
      </w:tr>
      <w:tr w:rsidR="00D11F6A" w:rsidRPr="003A17D9" w14:paraId="22928DAA" w14:textId="77777777" w:rsidTr="0064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pct"/>
          </w:tcPr>
          <w:p w14:paraId="5ACB60CF" w14:textId="71EFAB49" w:rsidR="00D11F6A" w:rsidRPr="00396492" w:rsidRDefault="00D11F6A" w:rsidP="004313EF">
            <w:pPr>
              <w:pStyle w:val="Tabletext"/>
              <w:jc w:val="center"/>
              <w:rPr>
                <w:lang w:val="es-ES"/>
              </w:rPr>
            </w:pPr>
            <w:r w:rsidRPr="00396492">
              <w:rPr>
                <w:lang w:val="es-ES"/>
              </w:rPr>
              <w:t>RESOLUCIÓN 25 (REV.</w:t>
            </w:r>
            <w:r>
              <w:rPr>
                <w:lang w:val="es-ES"/>
              </w:rPr>
              <w:t>CMR-23</w:t>
            </w:r>
            <w:r w:rsidRPr="00396492">
              <w:rPr>
                <w:lang w:val="es-ES"/>
              </w:rPr>
              <w:t>)</w:t>
            </w:r>
          </w:p>
        </w:tc>
        <w:tc>
          <w:tcPr>
            <w:tcW w:w="1719" w:type="pct"/>
          </w:tcPr>
          <w:p w14:paraId="474DCE06" w14:textId="77777777" w:rsidR="00D11F6A" w:rsidRPr="004313EF"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4313EF">
              <w:rPr>
                <w:b/>
                <w:bCs/>
                <w:lang w:val="es-ES"/>
              </w:rPr>
              <w:t>Explotación de los sistemas mundiales de comunicaciones personales por satélite</w:t>
            </w:r>
          </w:p>
        </w:tc>
        <w:tc>
          <w:tcPr>
            <w:tcW w:w="496" w:type="pct"/>
          </w:tcPr>
          <w:p w14:paraId="0EE59A71" w14:textId="77777777" w:rsidR="00D11F6A" w:rsidRPr="00396492" w:rsidRDefault="00D11F6A" w:rsidP="004313EF">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396492">
              <w:rPr>
                <w:lang w:val="es-ES"/>
              </w:rPr>
              <w:t>MOD</w:t>
            </w:r>
          </w:p>
        </w:tc>
        <w:tc>
          <w:tcPr>
            <w:tcW w:w="2049" w:type="pct"/>
          </w:tcPr>
          <w:p w14:paraId="1962A7DC" w14:textId="77777777" w:rsidR="00D11F6A" w:rsidRPr="002A2E5B" w:rsidRDefault="00D11F6A" w:rsidP="003434FD">
            <w:pPr>
              <w:pStyle w:val="Tabletext"/>
              <w:spacing w:before="120" w:after="120"/>
              <w:ind w:left="391"/>
              <w:cnfStyle w:val="000000100000" w:firstRow="0" w:lastRow="0" w:firstColumn="0" w:lastColumn="0" w:oddVBand="0" w:evenVBand="0" w:oddHBand="1" w:evenHBand="0" w:firstRowFirstColumn="0" w:firstRowLastColumn="0" w:lastRowFirstColumn="0" w:lastRowLastColumn="0"/>
              <w:rPr>
                <w:i/>
                <w:iCs/>
                <w:lang w:val="es-ES"/>
              </w:rPr>
            </w:pPr>
            <w:r>
              <w:rPr>
                <w:i/>
                <w:iCs/>
                <w:lang w:val="es-ES"/>
              </w:rPr>
              <w:t>considerando</w:t>
            </w:r>
          </w:p>
          <w:p w14:paraId="78CE6F58" w14:textId="44DE22ED" w:rsidR="00D11F6A" w:rsidRPr="00396492" w:rsidRDefault="00D11F6A" w:rsidP="00D6760B">
            <w:pPr>
              <w:pStyle w:val="Tabletext"/>
              <w:tabs>
                <w:tab w:val="clear" w:pos="284"/>
                <w:tab w:val="left" w:pos="678"/>
              </w:tabs>
              <w:cnfStyle w:val="000000100000" w:firstRow="0" w:lastRow="0" w:firstColumn="0" w:lastColumn="0" w:oddVBand="0" w:evenVBand="0" w:oddHBand="1" w:evenHBand="0" w:firstRowFirstColumn="0" w:firstRowLastColumn="0" w:lastRowFirstColumn="0" w:lastRowLastColumn="0"/>
              <w:rPr>
                <w:rFonts w:eastAsia="Malgun Gothic"/>
                <w:i/>
                <w:iCs/>
                <w:lang w:val="es-ES" w:eastAsia="ko-KR"/>
              </w:rPr>
            </w:pPr>
            <w:r w:rsidRPr="00396492">
              <w:rPr>
                <w:i/>
                <w:iCs/>
                <w:lang w:val="es-ES"/>
              </w:rPr>
              <w:t>c)</w:t>
            </w:r>
            <w:r w:rsidRPr="00396492">
              <w:rPr>
                <w:rFonts w:eastAsia="Malgun Gothic"/>
                <w:lang w:val="es-ES" w:eastAsia="ko-KR"/>
              </w:rPr>
              <w:tab/>
            </w:r>
            <w:r w:rsidRPr="002A2E5B">
              <w:rPr>
                <w:lang w:val="es-ES"/>
              </w:rPr>
              <w:t>que el Sector de Desarrollo de las Telecomunicaciones está estudiando cuestiones con la idea de determinar qué ventajas puede aportar a los países en desarrollo la utilización de las nuevas tecnologías;</w:t>
            </w:r>
          </w:p>
        </w:tc>
      </w:tr>
      <w:tr w:rsidR="00D11F6A" w:rsidRPr="003A17D9" w14:paraId="6AE9907A" w14:textId="77777777" w:rsidTr="00641520">
        <w:tc>
          <w:tcPr>
            <w:cnfStyle w:val="001000000000" w:firstRow="0" w:lastRow="0" w:firstColumn="1" w:lastColumn="0" w:oddVBand="0" w:evenVBand="0" w:oddHBand="0" w:evenHBand="0" w:firstRowFirstColumn="0" w:firstRowLastColumn="0" w:lastRowFirstColumn="0" w:lastRowLastColumn="0"/>
            <w:tcW w:w="736" w:type="pct"/>
          </w:tcPr>
          <w:p w14:paraId="6B516EA0" w14:textId="77777777" w:rsidR="00D11F6A" w:rsidRPr="00396492" w:rsidRDefault="00D11F6A" w:rsidP="004313EF">
            <w:pPr>
              <w:pStyle w:val="Tabletext"/>
              <w:jc w:val="center"/>
              <w:rPr>
                <w:lang w:val="es-ES"/>
              </w:rPr>
            </w:pPr>
            <w:r w:rsidRPr="00396492">
              <w:rPr>
                <w:lang w:val="es-ES"/>
              </w:rPr>
              <w:lastRenderedPageBreak/>
              <w:t>RESOLUCIÓN 224 (REV.</w:t>
            </w:r>
            <w:r>
              <w:rPr>
                <w:lang w:val="es-ES"/>
              </w:rPr>
              <w:t>CMR-23</w:t>
            </w:r>
            <w:r w:rsidRPr="00396492">
              <w:rPr>
                <w:lang w:val="es-ES"/>
              </w:rPr>
              <w:t>)</w:t>
            </w:r>
          </w:p>
        </w:tc>
        <w:tc>
          <w:tcPr>
            <w:tcW w:w="1719" w:type="pct"/>
          </w:tcPr>
          <w:p w14:paraId="2E0DCEFC" w14:textId="77777777" w:rsidR="00D11F6A" w:rsidRPr="004313EF"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4313EF">
              <w:rPr>
                <w:b/>
                <w:bCs/>
                <w:lang w:val="es-ES"/>
              </w:rPr>
              <w:t>Bandas de frecuencias para la componente terrenal de las Telecomunicaciones Móviles Internacionales por debajo de 1 GHz</w:t>
            </w:r>
          </w:p>
        </w:tc>
        <w:tc>
          <w:tcPr>
            <w:tcW w:w="496" w:type="pct"/>
          </w:tcPr>
          <w:p w14:paraId="62CA71E3" w14:textId="77777777" w:rsidR="00D11F6A" w:rsidRPr="00396492" w:rsidRDefault="00D11F6A" w:rsidP="004313EF">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396492">
              <w:rPr>
                <w:lang w:val="es-ES"/>
              </w:rPr>
              <w:t>MOD</w:t>
            </w:r>
          </w:p>
        </w:tc>
        <w:tc>
          <w:tcPr>
            <w:tcW w:w="2049" w:type="pct"/>
          </w:tcPr>
          <w:p w14:paraId="0B7FF13A" w14:textId="77777777" w:rsidR="00D11F6A" w:rsidRPr="00396492" w:rsidRDefault="00D11F6A" w:rsidP="003434FD">
            <w:pPr>
              <w:pStyle w:val="Tabletext"/>
              <w:spacing w:before="120" w:after="120"/>
              <w:ind w:left="391"/>
              <w:cnfStyle w:val="000000000000" w:firstRow="0" w:lastRow="0" w:firstColumn="0" w:lastColumn="0" w:oddVBand="0" w:evenVBand="0" w:oddHBand="0" w:evenHBand="0" w:firstRowFirstColumn="0" w:firstRowLastColumn="0" w:lastRowFirstColumn="0" w:lastRowLastColumn="0"/>
              <w:rPr>
                <w:color w:val="000000"/>
                <w:lang w:val="es-ES"/>
              </w:rPr>
            </w:pPr>
            <w:r w:rsidRPr="00396492">
              <w:rPr>
                <w:i/>
                <w:iCs/>
                <w:color w:val="000000"/>
                <w:lang w:val="es-ES"/>
              </w:rPr>
              <w:t xml:space="preserve">invita al </w:t>
            </w:r>
            <w:proofErr w:type="gramStart"/>
            <w:r w:rsidRPr="00396492">
              <w:rPr>
                <w:i/>
                <w:iCs/>
                <w:color w:val="000000"/>
                <w:lang w:val="es-ES"/>
              </w:rPr>
              <w:t>Director</w:t>
            </w:r>
            <w:proofErr w:type="gramEnd"/>
            <w:r w:rsidRPr="00396492">
              <w:rPr>
                <w:i/>
                <w:iCs/>
                <w:color w:val="000000"/>
                <w:lang w:val="es-ES"/>
              </w:rPr>
              <w:t xml:space="preserve"> de la Oficina de Desarrollo de las Telecomunicaciones </w:t>
            </w:r>
          </w:p>
          <w:p w14:paraId="4655F6CA" w14:textId="77777777" w:rsidR="00D11F6A" w:rsidRPr="00396492" w:rsidRDefault="00D11F6A" w:rsidP="0043190D">
            <w:pPr>
              <w:pStyle w:val="Tabletext"/>
              <w:cnfStyle w:val="000000000000" w:firstRow="0" w:lastRow="0" w:firstColumn="0" w:lastColumn="0" w:oddVBand="0" w:evenVBand="0" w:oddHBand="0" w:evenHBand="0" w:firstRowFirstColumn="0" w:firstRowLastColumn="0" w:lastRowFirstColumn="0" w:lastRowLastColumn="0"/>
              <w:rPr>
                <w:lang w:val="es-ES"/>
              </w:rPr>
            </w:pPr>
            <w:r w:rsidRPr="00096C99">
              <w:rPr>
                <w:lang w:val="es-ES"/>
              </w:rPr>
              <w:t>a señalar esta Resolución a la atención del Sector de Desarrollo de las Telecomunicaciones.</w:t>
            </w:r>
          </w:p>
        </w:tc>
      </w:tr>
      <w:tr w:rsidR="00D11F6A" w:rsidRPr="003A17D9" w14:paraId="637151E0" w14:textId="77777777" w:rsidTr="0064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pct"/>
          </w:tcPr>
          <w:p w14:paraId="1D588425" w14:textId="128AFA98" w:rsidR="00D11F6A" w:rsidRPr="00396492" w:rsidRDefault="00D11F6A" w:rsidP="004313EF">
            <w:pPr>
              <w:pStyle w:val="Tabletext"/>
              <w:jc w:val="center"/>
              <w:rPr>
                <w:lang w:val="es-ES"/>
              </w:rPr>
            </w:pPr>
            <w:r w:rsidRPr="00396492">
              <w:rPr>
                <w:lang w:val="es-ES"/>
              </w:rPr>
              <w:t>RESOLUCIÓN 225 (REV.</w:t>
            </w:r>
            <w:r>
              <w:rPr>
                <w:lang w:val="es-ES"/>
              </w:rPr>
              <w:t>CMR-23</w:t>
            </w:r>
            <w:r w:rsidRPr="00396492">
              <w:rPr>
                <w:lang w:val="es-ES"/>
              </w:rPr>
              <w:t>)</w:t>
            </w:r>
          </w:p>
        </w:tc>
        <w:tc>
          <w:tcPr>
            <w:tcW w:w="1719" w:type="pct"/>
          </w:tcPr>
          <w:p w14:paraId="67D2419A" w14:textId="77777777" w:rsidR="00D11F6A" w:rsidRPr="00965AC4"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965AC4">
              <w:rPr>
                <w:b/>
                <w:bCs/>
                <w:lang w:val="es-ES"/>
              </w:rPr>
              <w:t>Utilización de bandas de frecuencias adicionales para la componente de satélite de las IMT</w:t>
            </w:r>
          </w:p>
        </w:tc>
        <w:tc>
          <w:tcPr>
            <w:tcW w:w="496" w:type="pct"/>
          </w:tcPr>
          <w:p w14:paraId="082B99B3" w14:textId="77777777" w:rsidR="00D11F6A" w:rsidRPr="00396492" w:rsidRDefault="00D11F6A" w:rsidP="004313EF">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396492">
              <w:rPr>
                <w:lang w:val="es-ES"/>
              </w:rPr>
              <w:t>MOD</w:t>
            </w:r>
          </w:p>
        </w:tc>
        <w:tc>
          <w:tcPr>
            <w:tcW w:w="2049" w:type="pct"/>
          </w:tcPr>
          <w:p w14:paraId="0BB418F6" w14:textId="77777777" w:rsidR="00D11F6A" w:rsidRPr="00396492" w:rsidRDefault="00D11F6A" w:rsidP="003434FD">
            <w:pPr>
              <w:pStyle w:val="Tabletext"/>
              <w:spacing w:before="120" w:after="120"/>
              <w:ind w:left="391"/>
              <w:cnfStyle w:val="000000100000" w:firstRow="0" w:lastRow="0" w:firstColumn="0" w:lastColumn="0" w:oddVBand="0" w:evenVBand="0" w:oddHBand="1" w:evenHBand="0" w:firstRowFirstColumn="0" w:firstRowLastColumn="0" w:lastRowFirstColumn="0" w:lastRowLastColumn="0"/>
              <w:rPr>
                <w:color w:val="000000"/>
                <w:lang w:val="es-ES"/>
              </w:rPr>
            </w:pPr>
            <w:r w:rsidRPr="00396492">
              <w:rPr>
                <w:i/>
                <w:iCs/>
                <w:color w:val="000000"/>
                <w:lang w:val="es-ES"/>
              </w:rPr>
              <w:t xml:space="preserve">invita al </w:t>
            </w:r>
            <w:proofErr w:type="gramStart"/>
            <w:r w:rsidRPr="00396492">
              <w:rPr>
                <w:i/>
                <w:iCs/>
                <w:color w:val="000000"/>
                <w:lang w:val="es-ES"/>
              </w:rPr>
              <w:t>Director</w:t>
            </w:r>
            <w:proofErr w:type="gramEnd"/>
            <w:r w:rsidRPr="00396492">
              <w:rPr>
                <w:i/>
                <w:iCs/>
                <w:color w:val="000000"/>
                <w:lang w:val="es-ES"/>
              </w:rPr>
              <w:t xml:space="preserve"> de la Oficina de Desarrollo de las Telecomunicaciones </w:t>
            </w:r>
          </w:p>
          <w:p w14:paraId="172E39EF" w14:textId="77777777" w:rsidR="00D11F6A" w:rsidRPr="00396492" w:rsidRDefault="00D11F6A" w:rsidP="0043190D">
            <w:pPr>
              <w:pStyle w:val="Tabletext"/>
              <w:cnfStyle w:val="000000100000" w:firstRow="0" w:lastRow="0" w:firstColumn="0" w:lastColumn="0" w:oddVBand="0" w:evenVBand="0" w:oddHBand="1" w:evenHBand="0" w:firstRowFirstColumn="0" w:firstRowLastColumn="0" w:lastRowFirstColumn="0" w:lastRowLastColumn="0"/>
              <w:rPr>
                <w:lang w:val="es-ES"/>
              </w:rPr>
            </w:pPr>
            <w:r w:rsidRPr="00AA7F26">
              <w:rPr>
                <w:lang w:val="es-ES"/>
              </w:rPr>
              <w:t>a señalar esta Resolución al Sector de Desarrollo de las Telecomunicaciones de la UIT</w:t>
            </w:r>
            <w:r w:rsidRPr="00396492">
              <w:rPr>
                <w:lang w:val="es-ES"/>
              </w:rPr>
              <w:t>.</w:t>
            </w:r>
          </w:p>
        </w:tc>
      </w:tr>
      <w:tr w:rsidR="00D11F6A" w:rsidRPr="003A17D9" w14:paraId="3407636E" w14:textId="77777777" w:rsidTr="00641520">
        <w:tc>
          <w:tcPr>
            <w:cnfStyle w:val="001000000000" w:firstRow="0" w:lastRow="0" w:firstColumn="1" w:lastColumn="0" w:oddVBand="0" w:evenVBand="0" w:oddHBand="0" w:evenHBand="0" w:firstRowFirstColumn="0" w:firstRowLastColumn="0" w:lastRowFirstColumn="0" w:lastRowLastColumn="0"/>
            <w:tcW w:w="736" w:type="pct"/>
          </w:tcPr>
          <w:p w14:paraId="0D5EE63B" w14:textId="78BC626C" w:rsidR="00D11F6A" w:rsidRPr="00396492" w:rsidRDefault="00D11F6A" w:rsidP="004313EF">
            <w:pPr>
              <w:pStyle w:val="Tabletext"/>
              <w:jc w:val="center"/>
              <w:rPr>
                <w:lang w:val="es-ES"/>
              </w:rPr>
            </w:pPr>
            <w:r w:rsidRPr="00396492">
              <w:rPr>
                <w:lang w:val="es-ES"/>
              </w:rPr>
              <w:t>RESOLUCIÓN 235 (REV.</w:t>
            </w:r>
            <w:r>
              <w:rPr>
                <w:lang w:val="es-ES"/>
              </w:rPr>
              <w:t>CMR-23</w:t>
            </w:r>
            <w:r w:rsidRPr="00396492">
              <w:rPr>
                <w:lang w:val="es-ES"/>
              </w:rPr>
              <w:t>)</w:t>
            </w:r>
          </w:p>
        </w:tc>
        <w:tc>
          <w:tcPr>
            <w:tcW w:w="1719" w:type="pct"/>
          </w:tcPr>
          <w:p w14:paraId="0CB30F79" w14:textId="77777777" w:rsidR="00D11F6A" w:rsidRPr="00965AC4"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965AC4">
              <w:rPr>
                <w:b/>
                <w:bCs/>
                <w:lang w:val="es-ES"/>
              </w:rPr>
              <w:t xml:space="preserve">Revisión de la utilización del espectro de la banda de frecuencias 470-694 MHz, o partes de </w:t>
            </w:r>
            <w:proofErr w:type="gramStart"/>
            <w:r w:rsidRPr="00965AC4">
              <w:rPr>
                <w:b/>
                <w:bCs/>
                <w:lang w:val="es-ES"/>
              </w:rPr>
              <w:t>la misma</w:t>
            </w:r>
            <w:proofErr w:type="gramEnd"/>
            <w:r w:rsidRPr="00965AC4">
              <w:rPr>
                <w:b/>
                <w:bCs/>
                <w:lang w:val="es-ES"/>
              </w:rPr>
              <w:t>, en la Región 1</w:t>
            </w:r>
          </w:p>
        </w:tc>
        <w:tc>
          <w:tcPr>
            <w:tcW w:w="496" w:type="pct"/>
          </w:tcPr>
          <w:p w14:paraId="4C65449C" w14:textId="77777777" w:rsidR="00D11F6A" w:rsidRPr="00396492" w:rsidRDefault="00D11F6A" w:rsidP="004313EF">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396492">
              <w:rPr>
                <w:lang w:val="es-ES"/>
              </w:rPr>
              <w:t>MOD</w:t>
            </w:r>
          </w:p>
        </w:tc>
        <w:tc>
          <w:tcPr>
            <w:tcW w:w="2049" w:type="pct"/>
          </w:tcPr>
          <w:p w14:paraId="64060297" w14:textId="77777777" w:rsidR="00D11F6A" w:rsidRPr="00396492" w:rsidRDefault="00D11F6A" w:rsidP="003434FD">
            <w:pPr>
              <w:pStyle w:val="Tabletext"/>
              <w:spacing w:before="120" w:after="120"/>
              <w:ind w:left="391"/>
              <w:cnfStyle w:val="000000000000" w:firstRow="0" w:lastRow="0" w:firstColumn="0" w:lastColumn="0" w:oddVBand="0" w:evenVBand="0" w:oddHBand="0" w:evenHBand="0" w:firstRowFirstColumn="0" w:firstRowLastColumn="0" w:lastRowFirstColumn="0" w:lastRowLastColumn="0"/>
              <w:rPr>
                <w:color w:val="000000"/>
                <w:lang w:val="es-ES"/>
              </w:rPr>
            </w:pPr>
            <w:r w:rsidRPr="00AA7F26">
              <w:rPr>
                <w:i/>
                <w:iCs/>
                <w:color w:val="000000"/>
                <w:lang w:val="es-ES"/>
              </w:rPr>
              <w:t>invita además al Sector de Radiocomunicaciones de la UIT</w:t>
            </w:r>
            <w:r w:rsidRPr="00396492">
              <w:rPr>
                <w:i/>
                <w:iCs/>
                <w:color w:val="000000"/>
                <w:lang w:val="es-ES"/>
              </w:rPr>
              <w:t xml:space="preserve"> </w:t>
            </w:r>
          </w:p>
          <w:p w14:paraId="559E469A" w14:textId="265EFDC5" w:rsidR="00D11F6A" w:rsidRPr="00AA7F26" w:rsidRDefault="00D11F6A" w:rsidP="0043190D">
            <w:pPr>
              <w:pStyle w:val="Tabletext"/>
              <w:cnfStyle w:val="000000000000" w:firstRow="0" w:lastRow="0" w:firstColumn="0" w:lastColumn="0" w:oddVBand="0" w:evenVBand="0" w:oddHBand="0" w:evenHBand="0" w:firstRowFirstColumn="0" w:firstRowLastColumn="0" w:lastRowFirstColumn="0" w:lastRowLastColumn="0"/>
              <w:rPr>
                <w:lang w:val="es-ES"/>
              </w:rPr>
            </w:pPr>
            <w:r w:rsidRPr="00AA7F26">
              <w:rPr>
                <w:lang w:val="es-ES"/>
              </w:rPr>
              <w:t>a garantizar la colaboración intersectorial con el Sector de Desarrollo de las Telecomunicaciones de la UIT para la aplicación de la presente Resolución</w:t>
            </w:r>
            <w:r w:rsidR="00F90DFC">
              <w:rPr>
                <w:lang w:val="es-ES"/>
              </w:rPr>
              <w:t>,</w:t>
            </w:r>
          </w:p>
        </w:tc>
      </w:tr>
      <w:tr w:rsidR="00D11F6A" w:rsidRPr="003A17D9" w14:paraId="11CC6582" w14:textId="77777777" w:rsidTr="0064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pct"/>
          </w:tcPr>
          <w:p w14:paraId="1A7E3281" w14:textId="6E18B4D4" w:rsidR="00D11F6A" w:rsidRPr="00396492" w:rsidRDefault="00D11F6A" w:rsidP="004313EF">
            <w:pPr>
              <w:pStyle w:val="Tabletext"/>
              <w:jc w:val="center"/>
              <w:rPr>
                <w:lang w:val="es-ES"/>
              </w:rPr>
            </w:pPr>
            <w:r w:rsidRPr="00396492">
              <w:rPr>
                <w:lang w:val="es-ES"/>
              </w:rPr>
              <w:t>RESOLUCIÓN 716 (REV.</w:t>
            </w:r>
            <w:r>
              <w:rPr>
                <w:lang w:val="es-ES"/>
              </w:rPr>
              <w:t>CMR-23</w:t>
            </w:r>
            <w:r w:rsidRPr="00396492">
              <w:rPr>
                <w:lang w:val="es-ES"/>
              </w:rPr>
              <w:t>)</w:t>
            </w:r>
          </w:p>
        </w:tc>
        <w:tc>
          <w:tcPr>
            <w:tcW w:w="1719" w:type="pct"/>
          </w:tcPr>
          <w:p w14:paraId="76643389" w14:textId="77777777" w:rsidR="00D11F6A" w:rsidRPr="00965AC4" w:rsidRDefault="00D11F6A" w:rsidP="0043190D">
            <w:pPr>
              <w:pStyle w:val="Tabletext"/>
              <w:cnfStyle w:val="000000100000" w:firstRow="0" w:lastRow="0" w:firstColumn="0" w:lastColumn="0" w:oddVBand="0" w:evenVBand="0" w:oddHBand="1" w:evenHBand="0" w:firstRowFirstColumn="0" w:firstRowLastColumn="0" w:lastRowFirstColumn="0" w:lastRowLastColumn="0"/>
              <w:rPr>
                <w:b/>
                <w:bCs/>
                <w:lang w:val="es-ES"/>
              </w:rPr>
            </w:pPr>
            <w:r w:rsidRPr="00965AC4">
              <w:rPr>
                <w:b/>
                <w:bCs/>
                <w:lang w:val="es-ES"/>
              </w:rPr>
              <w:t>Utilización de las bandas de frecuencias 1 980-2 010 MHz y 2 170-2 200 MHz en las tres Regiones y 2 010-2 025 MHz y 2 160-2 170 MHz en la Región 2 por el servicio fijo y el servicio móvil por satélite, y disposiciones transitorias asociadas</w:t>
            </w:r>
          </w:p>
        </w:tc>
        <w:tc>
          <w:tcPr>
            <w:tcW w:w="496" w:type="pct"/>
          </w:tcPr>
          <w:p w14:paraId="7D1A0334" w14:textId="77777777" w:rsidR="00D11F6A" w:rsidRPr="00396492" w:rsidRDefault="00D11F6A" w:rsidP="004313EF">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396492">
              <w:rPr>
                <w:lang w:val="es-ES"/>
              </w:rPr>
              <w:t>MOD</w:t>
            </w:r>
          </w:p>
        </w:tc>
        <w:tc>
          <w:tcPr>
            <w:tcW w:w="2049" w:type="pct"/>
          </w:tcPr>
          <w:p w14:paraId="69F9EC95" w14:textId="77777777" w:rsidR="00D11F6A" w:rsidRPr="00396492" w:rsidRDefault="00D11F6A" w:rsidP="00F96138">
            <w:pPr>
              <w:pStyle w:val="Tabletext"/>
              <w:spacing w:before="120" w:after="120"/>
              <w:ind w:left="391"/>
              <w:cnfStyle w:val="000000100000" w:firstRow="0" w:lastRow="0" w:firstColumn="0" w:lastColumn="0" w:oddVBand="0" w:evenVBand="0" w:oddHBand="1" w:evenHBand="0" w:firstRowFirstColumn="0" w:firstRowLastColumn="0" w:lastRowFirstColumn="0" w:lastRowLastColumn="0"/>
              <w:rPr>
                <w:i/>
                <w:iCs/>
                <w:lang w:val="es-ES"/>
              </w:rPr>
            </w:pPr>
            <w:r>
              <w:rPr>
                <w:i/>
                <w:iCs/>
                <w:lang w:val="es-ES"/>
              </w:rPr>
              <w:t>reconociendo</w:t>
            </w:r>
          </w:p>
          <w:p w14:paraId="33F5F25C" w14:textId="0423D8FD" w:rsidR="00D11F6A" w:rsidRPr="00396492" w:rsidRDefault="00D11F6A" w:rsidP="00F96138">
            <w:pPr>
              <w:pStyle w:val="Tabletext"/>
              <w:tabs>
                <w:tab w:val="clear" w:pos="284"/>
                <w:tab w:val="left" w:pos="678"/>
              </w:tabs>
              <w:spacing w:before="120" w:after="120"/>
              <w:cnfStyle w:val="000000100000" w:firstRow="0" w:lastRow="0" w:firstColumn="0" w:lastColumn="0" w:oddVBand="0" w:evenVBand="0" w:oddHBand="1" w:evenHBand="0" w:firstRowFirstColumn="0" w:firstRowLastColumn="0" w:lastRowFirstColumn="0" w:lastRowLastColumn="0"/>
              <w:rPr>
                <w:lang w:val="es-ES"/>
              </w:rPr>
            </w:pPr>
            <w:r w:rsidRPr="00D6760B">
              <w:rPr>
                <w:i/>
                <w:iCs/>
                <w:lang w:val="es-ES"/>
              </w:rPr>
              <w:t>b)</w:t>
            </w:r>
            <w:r w:rsidRPr="00396492">
              <w:rPr>
                <w:rFonts w:eastAsia="Malgun Gothic"/>
                <w:lang w:val="es-ES" w:eastAsia="ko-KR"/>
              </w:rPr>
              <w:tab/>
            </w:r>
            <w:r w:rsidRPr="00AA7F26">
              <w:rPr>
                <w:lang w:val="es-ES"/>
              </w:rPr>
              <w:t>que la CAMR-92 solicitó a la Oficina de Desarrollo de las Telecomunicaciones que al formular sus planes inmediatos de asistencia a los países en desarrollo considere la introducción de modificaciones precisas en las redes de radiocomunicaciones de éstos y que una futura conferencia mundial de desarrollo considere las necesidades de los países en desarrollo y les ayude con los recursos necesarios para introducir las modificaciones necesarias en sus redes de radiocomunicaciones,</w:t>
            </w:r>
          </w:p>
          <w:p w14:paraId="7D5F9247" w14:textId="77777777" w:rsidR="00D11F6A" w:rsidRPr="00396492" w:rsidRDefault="00D11F6A" w:rsidP="00F30BD1">
            <w:pPr>
              <w:pStyle w:val="Tabletext"/>
              <w:ind w:left="394"/>
              <w:cnfStyle w:val="000000100000" w:firstRow="0" w:lastRow="0" w:firstColumn="0" w:lastColumn="0" w:oddVBand="0" w:evenVBand="0" w:oddHBand="1" w:evenHBand="0" w:firstRowFirstColumn="0" w:firstRowLastColumn="0" w:lastRowFirstColumn="0" w:lastRowLastColumn="0"/>
              <w:rPr>
                <w:i/>
                <w:iCs/>
                <w:lang w:val="es-ES"/>
              </w:rPr>
            </w:pPr>
            <w:r w:rsidRPr="00396492">
              <w:rPr>
                <w:i/>
                <w:iCs/>
                <w:lang w:val="es-ES"/>
              </w:rPr>
              <w:t>resuelve</w:t>
            </w:r>
          </w:p>
          <w:p w14:paraId="567BAC59" w14:textId="4737F81E" w:rsidR="00D11F6A" w:rsidRPr="00396492" w:rsidRDefault="00D11F6A" w:rsidP="00F96138">
            <w:pPr>
              <w:pStyle w:val="Tabletext"/>
              <w:tabs>
                <w:tab w:val="clear" w:pos="284"/>
                <w:tab w:val="left" w:pos="678"/>
              </w:tabs>
              <w:spacing w:before="120" w:after="120"/>
              <w:cnfStyle w:val="000000100000" w:firstRow="0" w:lastRow="0" w:firstColumn="0" w:lastColumn="0" w:oddVBand="0" w:evenVBand="0" w:oddHBand="1" w:evenHBand="0" w:firstRowFirstColumn="0" w:firstRowLastColumn="0" w:lastRowFirstColumn="0" w:lastRowLastColumn="0"/>
              <w:rPr>
                <w:lang w:val="es-ES"/>
              </w:rPr>
            </w:pPr>
            <w:r w:rsidRPr="00396492">
              <w:rPr>
                <w:lang w:val="es-ES"/>
              </w:rPr>
              <w:t>6</w:t>
            </w:r>
            <w:r w:rsidRPr="00396492">
              <w:rPr>
                <w:rFonts w:eastAsia="Malgun Gothic"/>
                <w:lang w:val="es-ES" w:eastAsia="ko-KR"/>
              </w:rPr>
              <w:tab/>
            </w:r>
            <w:r w:rsidRPr="00AA7F26">
              <w:rPr>
                <w:lang w:val="es-ES"/>
              </w:rPr>
              <w:t xml:space="preserve">que se invite a la Oficina de Desarrollo de las Telecomunicaciones a que proporcione asistencia a los países en desarrollo que la soliciten para introducir modificaciones específicas en sus redes de radiocomunicaciones a fin de </w:t>
            </w:r>
            <w:r w:rsidRPr="00AA7F26">
              <w:rPr>
                <w:lang w:val="es-ES"/>
              </w:rPr>
              <w:lastRenderedPageBreak/>
              <w:t xml:space="preserve">facilitar su acceso a las nuevas tecnologías en desarrollo para la banda de 2 </w:t>
            </w:r>
            <w:proofErr w:type="gramStart"/>
            <w:r w:rsidRPr="00AA7F26">
              <w:rPr>
                <w:lang w:val="es-ES"/>
              </w:rPr>
              <w:t>GHz</w:t>
            </w:r>
            <w:proofErr w:type="gramEnd"/>
            <w:r w:rsidRPr="00AA7F26">
              <w:rPr>
                <w:lang w:val="es-ES"/>
              </w:rPr>
              <w:t xml:space="preserve"> así como en todas las actividades de coordinación</w:t>
            </w:r>
            <w:r w:rsidR="00F90DFC">
              <w:rPr>
                <w:lang w:val="es-ES"/>
              </w:rPr>
              <w:t>,</w:t>
            </w:r>
          </w:p>
          <w:p w14:paraId="618FA43A" w14:textId="77777777" w:rsidR="00D11F6A" w:rsidRPr="00AA7F26" w:rsidRDefault="00D11F6A" w:rsidP="00F30BD1">
            <w:pPr>
              <w:pStyle w:val="Tabletext"/>
              <w:ind w:left="394"/>
              <w:cnfStyle w:val="000000100000" w:firstRow="0" w:lastRow="0" w:firstColumn="0" w:lastColumn="0" w:oddVBand="0" w:evenVBand="0" w:oddHBand="1" w:evenHBand="0" w:firstRowFirstColumn="0" w:firstRowLastColumn="0" w:lastRowFirstColumn="0" w:lastRowLastColumn="0"/>
              <w:rPr>
                <w:color w:val="000000"/>
                <w:lang w:val="es-ES"/>
              </w:rPr>
            </w:pPr>
            <w:r w:rsidRPr="00AA7F26">
              <w:rPr>
                <w:i/>
                <w:iCs/>
                <w:color w:val="000000"/>
                <w:lang w:val="es-ES"/>
              </w:rPr>
              <w:t xml:space="preserve">invita al Sector de Desarrollo de las Telecomunicaciones de la UIT </w:t>
            </w:r>
          </w:p>
          <w:p w14:paraId="5E9C335D" w14:textId="77777777" w:rsidR="00D11F6A" w:rsidRPr="00396492" w:rsidRDefault="00D11F6A" w:rsidP="00F96138">
            <w:pPr>
              <w:pStyle w:val="Tabletext"/>
              <w:spacing w:before="120" w:after="120"/>
              <w:cnfStyle w:val="000000100000" w:firstRow="0" w:lastRow="0" w:firstColumn="0" w:lastColumn="0" w:oddVBand="0" w:evenVBand="0" w:oddHBand="1" w:evenHBand="0" w:firstRowFirstColumn="0" w:firstRowLastColumn="0" w:lastRowFirstColumn="0" w:lastRowLastColumn="0"/>
              <w:rPr>
                <w:color w:val="000000"/>
                <w:lang w:val="es-ES"/>
              </w:rPr>
            </w:pPr>
            <w:r w:rsidRPr="00AA7F26">
              <w:rPr>
                <w:color w:val="000000"/>
                <w:lang w:val="es-ES"/>
              </w:rPr>
              <w:t>a que evalúe con urgencia las repercusiones financieras y económicas que tiene para los países en desarrollo la transferencia de servicios fijos y que presente sus resultados a una futura Conferencia Mundial de Radiocomunicaciones y/o Conferencia Mundial de Desarrollo de las Telecomunicaciones competentes,</w:t>
            </w:r>
            <w:r w:rsidRPr="00396492">
              <w:rPr>
                <w:color w:val="000000"/>
                <w:lang w:val="es-ES"/>
              </w:rPr>
              <w:t xml:space="preserve"> </w:t>
            </w:r>
          </w:p>
          <w:p w14:paraId="296B5F03" w14:textId="77777777" w:rsidR="00D11F6A" w:rsidRPr="004313EF" w:rsidRDefault="00D11F6A" w:rsidP="00F30BD1">
            <w:pPr>
              <w:pStyle w:val="Tabletext"/>
              <w:ind w:left="394"/>
              <w:cnfStyle w:val="000000100000" w:firstRow="0" w:lastRow="0" w:firstColumn="0" w:lastColumn="0" w:oddVBand="0" w:evenVBand="0" w:oddHBand="1" w:evenHBand="0" w:firstRowFirstColumn="0" w:firstRowLastColumn="0" w:lastRowFirstColumn="0" w:lastRowLastColumn="0"/>
              <w:rPr>
                <w:b/>
                <w:bCs/>
                <w:color w:val="000000"/>
                <w:lang w:val="es-ES"/>
              </w:rPr>
            </w:pPr>
            <w:r w:rsidRPr="00AA7F26">
              <w:rPr>
                <w:i/>
                <w:iCs/>
                <w:color w:val="000000"/>
                <w:lang w:val="es-ES"/>
              </w:rPr>
              <w:t xml:space="preserve">invita al </w:t>
            </w:r>
            <w:proofErr w:type="gramStart"/>
            <w:r w:rsidRPr="004313EF">
              <w:rPr>
                <w:b/>
                <w:bCs/>
                <w:i/>
                <w:iCs/>
                <w:color w:val="000000"/>
                <w:lang w:val="es-ES"/>
              </w:rPr>
              <w:t>Director</w:t>
            </w:r>
            <w:proofErr w:type="gramEnd"/>
            <w:r w:rsidRPr="004313EF">
              <w:rPr>
                <w:b/>
                <w:bCs/>
                <w:i/>
                <w:iCs/>
                <w:color w:val="000000"/>
                <w:lang w:val="es-ES"/>
              </w:rPr>
              <w:t xml:space="preserve"> de la Oficina de Desarrollo de las Telecomunicaciones </w:t>
            </w:r>
          </w:p>
          <w:p w14:paraId="1728C2F8" w14:textId="77777777" w:rsidR="00D11F6A" w:rsidRPr="00AA7F26" w:rsidRDefault="00D11F6A" w:rsidP="0043190D">
            <w:pPr>
              <w:pStyle w:val="Tabletext"/>
              <w:cnfStyle w:val="000000100000" w:firstRow="0" w:lastRow="0" w:firstColumn="0" w:lastColumn="0" w:oddVBand="0" w:evenVBand="0" w:oddHBand="1" w:evenHBand="0" w:firstRowFirstColumn="0" w:firstRowLastColumn="0" w:lastRowFirstColumn="0" w:lastRowLastColumn="0"/>
              <w:rPr>
                <w:lang w:val="es-ES"/>
              </w:rPr>
            </w:pPr>
            <w:r w:rsidRPr="00AA7F26">
              <w:rPr>
                <w:lang w:val="es-ES"/>
              </w:rPr>
              <w:t xml:space="preserve">a que aplique el </w:t>
            </w:r>
            <w:r w:rsidRPr="00AA7F26">
              <w:rPr>
                <w:i/>
                <w:iCs/>
                <w:lang w:val="es-ES"/>
              </w:rPr>
              <w:t>invita al Sector de Desarrollo de las Telecomunicaciones de la UIT</w:t>
            </w:r>
            <w:r w:rsidRPr="00AA7F26">
              <w:rPr>
                <w:lang w:val="es-ES"/>
              </w:rPr>
              <w:t xml:space="preserve"> alentando las actividades conjuntas entre las comisiones de estudio pertinentes del Sector de Desarrollo de las Telecomunicaciones de la UIT y del UIT-R,</w:t>
            </w:r>
          </w:p>
        </w:tc>
      </w:tr>
      <w:tr w:rsidR="00D11F6A" w:rsidRPr="003A17D9" w14:paraId="1068A604" w14:textId="77777777" w:rsidTr="00641520">
        <w:trPr>
          <w:trHeight w:val="1892"/>
        </w:trPr>
        <w:tc>
          <w:tcPr>
            <w:cnfStyle w:val="001000000000" w:firstRow="0" w:lastRow="0" w:firstColumn="1" w:lastColumn="0" w:oddVBand="0" w:evenVBand="0" w:oddHBand="0" w:evenHBand="0" w:firstRowFirstColumn="0" w:firstRowLastColumn="0" w:lastRowFirstColumn="0" w:lastRowLastColumn="0"/>
            <w:tcW w:w="736" w:type="pct"/>
          </w:tcPr>
          <w:p w14:paraId="695EF5A7" w14:textId="76C9ACDE" w:rsidR="00D11F6A" w:rsidRPr="00396492" w:rsidRDefault="00D11F6A" w:rsidP="00786557">
            <w:pPr>
              <w:pStyle w:val="Tabletext"/>
              <w:jc w:val="center"/>
              <w:rPr>
                <w:lang w:val="es-ES"/>
              </w:rPr>
            </w:pPr>
            <w:r w:rsidRPr="00396492">
              <w:rPr>
                <w:lang w:val="es-ES"/>
              </w:rPr>
              <w:lastRenderedPageBreak/>
              <w:t>RESOLUCIÓN 760 (REV.</w:t>
            </w:r>
            <w:r>
              <w:rPr>
                <w:lang w:val="es-ES"/>
              </w:rPr>
              <w:t>CMR-23</w:t>
            </w:r>
            <w:r w:rsidRPr="00396492">
              <w:rPr>
                <w:lang w:val="es-ES"/>
              </w:rPr>
              <w:t>)</w:t>
            </w:r>
          </w:p>
        </w:tc>
        <w:tc>
          <w:tcPr>
            <w:tcW w:w="1719" w:type="pct"/>
          </w:tcPr>
          <w:p w14:paraId="7B03082B" w14:textId="77777777" w:rsidR="00D11F6A" w:rsidRPr="00965AC4" w:rsidRDefault="00D11F6A" w:rsidP="0043190D">
            <w:pPr>
              <w:pStyle w:val="Tabletext"/>
              <w:cnfStyle w:val="000000000000" w:firstRow="0" w:lastRow="0" w:firstColumn="0" w:lastColumn="0" w:oddVBand="0" w:evenVBand="0" w:oddHBand="0" w:evenHBand="0" w:firstRowFirstColumn="0" w:firstRowLastColumn="0" w:lastRowFirstColumn="0" w:lastRowLastColumn="0"/>
              <w:rPr>
                <w:b/>
                <w:bCs/>
                <w:lang w:val="es-ES"/>
              </w:rPr>
            </w:pPr>
            <w:r w:rsidRPr="00965AC4">
              <w:rPr>
                <w:b/>
                <w:bCs/>
                <w:lang w:val="es-ES"/>
              </w:rPr>
              <w:t>Disposiciones relativas a la utilización de la banda de frecuencias 694-790 MHz en la Región 1 por el servicio móvil, salvo móvil aeronáutico, y por otros servicios</w:t>
            </w:r>
          </w:p>
        </w:tc>
        <w:tc>
          <w:tcPr>
            <w:tcW w:w="496" w:type="pct"/>
          </w:tcPr>
          <w:p w14:paraId="3E5D472B" w14:textId="119DE891" w:rsidR="00D11F6A" w:rsidRPr="00396492" w:rsidRDefault="00D11F6A" w:rsidP="004313EF">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396492">
              <w:rPr>
                <w:lang w:val="es-ES"/>
              </w:rPr>
              <w:t>MOD</w:t>
            </w:r>
          </w:p>
        </w:tc>
        <w:tc>
          <w:tcPr>
            <w:tcW w:w="2049" w:type="pct"/>
          </w:tcPr>
          <w:p w14:paraId="1B8005AE" w14:textId="77777777" w:rsidR="00D11F6A" w:rsidRPr="00396492" w:rsidRDefault="00D11F6A" w:rsidP="00F96138">
            <w:pPr>
              <w:pStyle w:val="Tabletext"/>
              <w:spacing w:before="120" w:after="120"/>
              <w:ind w:left="391"/>
              <w:cnfStyle w:val="000000000000" w:firstRow="0" w:lastRow="0" w:firstColumn="0" w:lastColumn="0" w:oddVBand="0" w:evenVBand="0" w:oddHBand="0" w:evenHBand="0" w:firstRowFirstColumn="0" w:firstRowLastColumn="0" w:lastRowFirstColumn="0" w:lastRowLastColumn="0"/>
              <w:rPr>
                <w:color w:val="000000"/>
                <w:lang w:val="es-ES"/>
              </w:rPr>
            </w:pPr>
            <w:r w:rsidRPr="00AA7F26">
              <w:rPr>
                <w:i/>
                <w:iCs/>
                <w:color w:val="000000"/>
                <w:lang w:val="es-ES"/>
              </w:rPr>
              <w:t xml:space="preserve">invita al </w:t>
            </w:r>
            <w:proofErr w:type="gramStart"/>
            <w:r w:rsidRPr="00965AC4">
              <w:rPr>
                <w:b/>
                <w:bCs/>
                <w:i/>
                <w:iCs/>
                <w:color w:val="000000"/>
                <w:lang w:val="es-ES"/>
              </w:rPr>
              <w:t>Director</w:t>
            </w:r>
            <w:proofErr w:type="gramEnd"/>
            <w:r w:rsidRPr="00965AC4">
              <w:rPr>
                <w:b/>
                <w:bCs/>
                <w:i/>
                <w:iCs/>
                <w:color w:val="000000"/>
                <w:lang w:val="es-ES"/>
              </w:rPr>
              <w:t xml:space="preserve"> de la Oficina de Radiocomunicaciones</w:t>
            </w:r>
            <w:r w:rsidRPr="00396492">
              <w:rPr>
                <w:i/>
                <w:iCs/>
                <w:color w:val="000000"/>
                <w:lang w:val="es-ES"/>
              </w:rPr>
              <w:t xml:space="preserve"> </w:t>
            </w:r>
          </w:p>
          <w:p w14:paraId="19669B83" w14:textId="77777777" w:rsidR="00D11F6A" w:rsidRPr="00AA7F26" w:rsidRDefault="00D11F6A" w:rsidP="0043190D">
            <w:pPr>
              <w:pStyle w:val="Tabletext"/>
              <w:cnfStyle w:val="000000000000" w:firstRow="0" w:lastRow="0" w:firstColumn="0" w:lastColumn="0" w:oddVBand="0" w:evenVBand="0" w:oddHBand="0" w:evenHBand="0" w:firstRowFirstColumn="0" w:firstRowLastColumn="0" w:lastRowFirstColumn="0" w:lastRowLastColumn="0"/>
              <w:rPr>
                <w:lang w:val="es-ES"/>
              </w:rPr>
            </w:pPr>
            <w:r w:rsidRPr="00AA7F26">
              <w:rPr>
                <w:lang w:val="es-ES"/>
              </w:rPr>
              <w:t xml:space="preserve">a colaborar con el </w:t>
            </w:r>
            <w:proofErr w:type="gramStart"/>
            <w:r w:rsidRPr="00965AC4">
              <w:rPr>
                <w:b/>
                <w:bCs/>
                <w:lang w:val="es-ES"/>
              </w:rPr>
              <w:t>Director</w:t>
            </w:r>
            <w:proofErr w:type="gramEnd"/>
            <w:r w:rsidRPr="00965AC4">
              <w:rPr>
                <w:b/>
                <w:bCs/>
                <w:lang w:val="es-ES"/>
              </w:rPr>
              <w:t xml:space="preserve"> de la Oficina de Desarrollo de las Telecomunicaciones</w:t>
            </w:r>
            <w:r w:rsidRPr="00AA7F26">
              <w:rPr>
                <w:lang w:val="es-ES"/>
              </w:rPr>
              <w:t xml:space="preserve"> para prestar asistencia a los países en desarrollo que desean aplicar la nueva atribución al servicio móvil con objeto de ayudar a esas administraciones a determinar las modificaciones de las inscripciones del Acuerdo GE06 en función de sus necesidades,</w:t>
            </w:r>
          </w:p>
        </w:tc>
      </w:tr>
    </w:tbl>
    <w:p w14:paraId="5B7405CD" w14:textId="77777777" w:rsidR="00641520" w:rsidRPr="00AE1ED3" w:rsidRDefault="00641520" w:rsidP="00411C49">
      <w:pPr>
        <w:pStyle w:val="Reasons"/>
        <w:rPr>
          <w:lang w:val="fr-FR"/>
        </w:rPr>
      </w:pPr>
    </w:p>
    <w:p w14:paraId="0D0F5EAB" w14:textId="77777777" w:rsidR="00641520" w:rsidRDefault="00641520">
      <w:pPr>
        <w:jc w:val="center"/>
      </w:pPr>
      <w:r>
        <w:t>______________</w:t>
      </w:r>
    </w:p>
    <w:sectPr w:rsidR="00641520" w:rsidSect="00D11F6A">
      <w:headerReference w:type="default" r:id="rId72"/>
      <w:headerReference w:type="first" r:id="rId73"/>
      <w:footerReference w:type="first" r:id="rId74"/>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484B5" w14:textId="77777777" w:rsidR="00B775DB" w:rsidRDefault="00B775DB">
      <w:r>
        <w:separator/>
      </w:r>
    </w:p>
  </w:endnote>
  <w:endnote w:type="continuationSeparator" w:id="0">
    <w:p w14:paraId="08DF3299" w14:textId="77777777" w:rsidR="00B775DB" w:rsidRDefault="00B7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0414" w14:textId="77777777" w:rsidR="00AE1ED3" w:rsidRDefault="00AE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3B23" w14:textId="77777777" w:rsidR="00AE1ED3" w:rsidRDefault="00AE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585"/>
      <w:gridCol w:w="5812"/>
    </w:tblGrid>
    <w:tr w:rsidR="00D11F6A" w:rsidRPr="00142C63" w14:paraId="1CA0A1DD" w14:textId="77777777" w:rsidTr="00B715C5">
      <w:tc>
        <w:tcPr>
          <w:tcW w:w="1526" w:type="dxa"/>
          <w:tcBorders>
            <w:top w:val="single" w:sz="4" w:space="0" w:color="000000"/>
          </w:tcBorders>
          <w:shd w:val="clear" w:color="auto" w:fill="auto"/>
        </w:tcPr>
        <w:p w14:paraId="15A92050" w14:textId="77777777" w:rsidR="00D11F6A" w:rsidRPr="004D495C" w:rsidRDefault="00D11F6A" w:rsidP="00B715C5">
          <w:pPr>
            <w:pStyle w:val="FirstFooter"/>
            <w:tabs>
              <w:tab w:val="left" w:pos="1559"/>
              <w:tab w:val="left" w:pos="3828"/>
            </w:tabs>
            <w:rPr>
              <w:sz w:val="18"/>
              <w:szCs w:val="18"/>
            </w:rPr>
          </w:pPr>
          <w:r w:rsidRPr="00570C4D">
            <w:rPr>
              <w:sz w:val="18"/>
              <w:szCs w:val="18"/>
              <w:lang w:val="es-ES"/>
            </w:rPr>
            <w:t>Contacto:</w:t>
          </w:r>
        </w:p>
      </w:tc>
      <w:tc>
        <w:tcPr>
          <w:tcW w:w="2585" w:type="dxa"/>
          <w:tcBorders>
            <w:top w:val="single" w:sz="4" w:space="0" w:color="000000"/>
          </w:tcBorders>
          <w:shd w:val="clear" w:color="auto" w:fill="auto"/>
        </w:tcPr>
        <w:p w14:paraId="144961ED" w14:textId="77777777" w:rsidR="00D11F6A" w:rsidRPr="004D495C" w:rsidRDefault="00D11F6A" w:rsidP="00B715C5">
          <w:pPr>
            <w:pStyle w:val="FirstFooter"/>
            <w:tabs>
              <w:tab w:val="left" w:pos="2302"/>
            </w:tabs>
            <w:ind w:left="2302" w:hanging="2302"/>
            <w:rPr>
              <w:sz w:val="18"/>
              <w:szCs w:val="18"/>
              <w:lang w:val="en-US"/>
            </w:rPr>
          </w:pPr>
          <w:r w:rsidRPr="00570C4D">
            <w:rPr>
              <w:sz w:val="18"/>
              <w:szCs w:val="18"/>
              <w:lang w:val="es-ES"/>
            </w:rPr>
            <w:t>Nombre/Organización/Entidad:</w:t>
          </w:r>
        </w:p>
      </w:tc>
      <w:tc>
        <w:tcPr>
          <w:tcW w:w="5812" w:type="dxa"/>
          <w:tcBorders>
            <w:top w:val="single" w:sz="4" w:space="0" w:color="000000"/>
          </w:tcBorders>
        </w:tcPr>
        <w:p w14:paraId="5E3E71CD" w14:textId="77777777" w:rsidR="00D11F6A" w:rsidRPr="00D61640" w:rsidRDefault="00D11F6A" w:rsidP="00B715C5">
          <w:pPr>
            <w:pStyle w:val="FirstFooter"/>
            <w:tabs>
              <w:tab w:val="left" w:pos="2302"/>
            </w:tabs>
            <w:rPr>
              <w:sz w:val="18"/>
              <w:szCs w:val="18"/>
              <w:lang w:val="es-ES"/>
            </w:rPr>
          </w:pPr>
          <w:r w:rsidRPr="000C2CAD">
            <w:rPr>
              <w:sz w:val="18"/>
              <w:szCs w:val="18"/>
              <w:lang w:val="es-ES"/>
            </w:rPr>
            <w:t xml:space="preserve">Dr. Cosmas </w:t>
          </w:r>
          <w:proofErr w:type="spellStart"/>
          <w:r w:rsidRPr="000C2CAD">
            <w:rPr>
              <w:sz w:val="18"/>
              <w:szCs w:val="18"/>
              <w:lang w:val="es-ES"/>
            </w:rPr>
            <w:t>Luckyson</w:t>
          </w:r>
          <w:proofErr w:type="spellEnd"/>
          <w:r w:rsidRPr="000C2CAD">
            <w:rPr>
              <w:sz w:val="18"/>
              <w:szCs w:val="18"/>
              <w:lang w:val="es-ES"/>
            </w:rPr>
            <w:t xml:space="preserve"> Zavazava, </w:t>
          </w:r>
          <w:proofErr w:type="gramStart"/>
          <w:r w:rsidRPr="000C2CAD">
            <w:rPr>
              <w:sz w:val="18"/>
              <w:szCs w:val="18"/>
              <w:lang w:val="es-ES"/>
            </w:rPr>
            <w:t>Director</w:t>
          </w:r>
          <w:proofErr w:type="gramEnd"/>
          <w:r>
            <w:rPr>
              <w:sz w:val="18"/>
              <w:szCs w:val="18"/>
              <w:lang w:val="es-ES"/>
            </w:rPr>
            <w:t>, Oficina</w:t>
          </w:r>
          <w:r w:rsidRPr="000C2CAD">
            <w:rPr>
              <w:sz w:val="18"/>
              <w:szCs w:val="18"/>
              <w:lang w:val="es-ES"/>
            </w:rPr>
            <w:t xml:space="preserve"> de Desarrollo de las Telecomunicaciones</w:t>
          </w:r>
        </w:p>
      </w:tc>
    </w:tr>
    <w:tr w:rsidR="00D11F6A" w:rsidRPr="004D495C" w14:paraId="12EC29B6" w14:textId="77777777" w:rsidTr="00B715C5">
      <w:tc>
        <w:tcPr>
          <w:tcW w:w="1526" w:type="dxa"/>
          <w:shd w:val="clear" w:color="auto" w:fill="auto"/>
        </w:tcPr>
        <w:p w14:paraId="596E4D56" w14:textId="77777777" w:rsidR="00D11F6A" w:rsidRPr="00D61640" w:rsidRDefault="00D11F6A" w:rsidP="00B715C5">
          <w:pPr>
            <w:pStyle w:val="FirstFooter"/>
            <w:tabs>
              <w:tab w:val="left" w:pos="1559"/>
              <w:tab w:val="left" w:pos="3828"/>
            </w:tabs>
            <w:rPr>
              <w:sz w:val="20"/>
              <w:lang w:val="es-ES"/>
            </w:rPr>
          </w:pPr>
        </w:p>
      </w:tc>
      <w:tc>
        <w:tcPr>
          <w:tcW w:w="2585" w:type="dxa"/>
          <w:shd w:val="clear" w:color="auto" w:fill="auto"/>
        </w:tcPr>
        <w:p w14:paraId="7799C2F7" w14:textId="77777777" w:rsidR="00D11F6A" w:rsidRPr="004D495C" w:rsidRDefault="00D11F6A" w:rsidP="00B715C5">
          <w:pPr>
            <w:pStyle w:val="FirstFooter"/>
            <w:tabs>
              <w:tab w:val="left" w:pos="2302"/>
            </w:tabs>
            <w:rPr>
              <w:sz w:val="18"/>
              <w:szCs w:val="18"/>
              <w:lang w:val="en-US"/>
            </w:rPr>
          </w:pPr>
          <w:r>
            <w:rPr>
              <w:sz w:val="18"/>
              <w:szCs w:val="18"/>
              <w:lang w:val="es-ES"/>
            </w:rPr>
            <w:t>T</w:t>
          </w:r>
          <w:r w:rsidRPr="00570C4D">
            <w:rPr>
              <w:sz w:val="18"/>
              <w:szCs w:val="18"/>
              <w:lang w:val="es-ES"/>
            </w:rPr>
            <w:t>eléfono:</w:t>
          </w:r>
        </w:p>
      </w:tc>
      <w:tc>
        <w:tcPr>
          <w:tcW w:w="5812" w:type="dxa"/>
        </w:tcPr>
        <w:p w14:paraId="60D97F0E" w14:textId="77777777" w:rsidR="00D11F6A" w:rsidRPr="00AF7A97" w:rsidRDefault="00D11F6A" w:rsidP="00B715C5">
          <w:pPr>
            <w:pStyle w:val="FirstFooter"/>
            <w:tabs>
              <w:tab w:val="left" w:pos="2302"/>
            </w:tabs>
            <w:rPr>
              <w:sz w:val="18"/>
              <w:szCs w:val="18"/>
              <w:lang w:val="en-US"/>
            </w:rPr>
          </w:pPr>
          <w:r w:rsidRPr="008A73CD">
            <w:rPr>
              <w:sz w:val="18"/>
              <w:szCs w:val="18"/>
              <w:lang w:val="en-US"/>
            </w:rPr>
            <w:t xml:space="preserve">+41 22 730 </w:t>
          </w:r>
          <w:r>
            <w:rPr>
              <w:sz w:val="18"/>
              <w:szCs w:val="18"/>
              <w:lang w:val="en-US"/>
            </w:rPr>
            <w:t>5533</w:t>
          </w:r>
        </w:p>
      </w:tc>
    </w:tr>
    <w:tr w:rsidR="00D11F6A" w:rsidRPr="004D495C" w14:paraId="51E2A99A" w14:textId="77777777" w:rsidTr="00B715C5">
      <w:tc>
        <w:tcPr>
          <w:tcW w:w="1526" w:type="dxa"/>
          <w:shd w:val="clear" w:color="auto" w:fill="auto"/>
        </w:tcPr>
        <w:p w14:paraId="0908D4A2" w14:textId="77777777" w:rsidR="00D11F6A" w:rsidRPr="004D495C" w:rsidRDefault="00D11F6A" w:rsidP="00B715C5">
          <w:pPr>
            <w:pStyle w:val="FirstFooter"/>
            <w:tabs>
              <w:tab w:val="left" w:pos="1559"/>
              <w:tab w:val="left" w:pos="3828"/>
            </w:tabs>
            <w:rPr>
              <w:sz w:val="20"/>
              <w:lang w:val="en-US"/>
            </w:rPr>
          </w:pPr>
        </w:p>
      </w:tc>
      <w:tc>
        <w:tcPr>
          <w:tcW w:w="2585" w:type="dxa"/>
          <w:shd w:val="clear" w:color="auto" w:fill="auto"/>
        </w:tcPr>
        <w:p w14:paraId="32D1F018" w14:textId="77777777" w:rsidR="00D11F6A" w:rsidRPr="004D495C" w:rsidRDefault="00D11F6A" w:rsidP="00B715C5">
          <w:pPr>
            <w:pStyle w:val="FirstFooter"/>
            <w:tabs>
              <w:tab w:val="left" w:pos="2302"/>
            </w:tabs>
            <w:rPr>
              <w:sz w:val="18"/>
              <w:szCs w:val="18"/>
              <w:lang w:val="en-US"/>
            </w:rPr>
          </w:pPr>
          <w:r w:rsidRPr="00570C4D">
            <w:rPr>
              <w:sz w:val="18"/>
              <w:szCs w:val="18"/>
              <w:lang w:val="es-ES"/>
            </w:rPr>
            <w:t>Correo</w:t>
          </w:r>
          <w:r>
            <w:rPr>
              <w:sz w:val="18"/>
              <w:szCs w:val="18"/>
              <w:lang w:val="es-ES"/>
            </w:rPr>
            <w:t>-</w:t>
          </w:r>
          <w:r w:rsidRPr="00570C4D">
            <w:rPr>
              <w:sz w:val="18"/>
              <w:szCs w:val="18"/>
              <w:lang w:val="es-ES"/>
            </w:rPr>
            <w:t>e:</w:t>
          </w:r>
        </w:p>
      </w:tc>
      <w:tc>
        <w:tcPr>
          <w:tcW w:w="5812" w:type="dxa"/>
        </w:tcPr>
        <w:p w14:paraId="3AF486C3" w14:textId="77777777" w:rsidR="00D11F6A" w:rsidRPr="00AF7A97" w:rsidRDefault="00D11F6A" w:rsidP="00B715C5">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tr>
  </w:tbl>
  <w:p w14:paraId="7F914CB6" w14:textId="77777777" w:rsidR="00D11F6A" w:rsidRPr="00116A40" w:rsidRDefault="00D11F6A" w:rsidP="00116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A77A" w14:textId="070E30E8" w:rsidR="00721657" w:rsidRPr="00D11F6A" w:rsidRDefault="00721657" w:rsidP="00D1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D7EC" w14:textId="77777777" w:rsidR="00B775DB" w:rsidRDefault="00B775DB">
      <w:r>
        <w:t>____________________</w:t>
      </w:r>
    </w:p>
  </w:footnote>
  <w:footnote w:type="continuationSeparator" w:id="0">
    <w:p w14:paraId="2559EA94" w14:textId="77777777" w:rsidR="00B775DB" w:rsidRDefault="00B775DB">
      <w:r>
        <w:continuationSeparator/>
      </w:r>
    </w:p>
  </w:footnote>
  <w:footnote w:id="1">
    <w:p w14:paraId="673D6AD3" w14:textId="5554CBE4" w:rsidR="00531535" w:rsidRPr="00531535" w:rsidRDefault="00531535">
      <w:pPr>
        <w:pStyle w:val="FootnoteText"/>
        <w:rPr>
          <w:lang w:val="es-ES"/>
        </w:rPr>
      </w:pPr>
      <w:r>
        <w:rPr>
          <w:rStyle w:val="FootnoteReference"/>
        </w:rPr>
        <w:t>1</w:t>
      </w:r>
      <w:r>
        <w:tab/>
      </w:r>
      <w:hyperlink r:id="rId1" w:history="1">
        <w:r w:rsidR="00445E5A" w:rsidRPr="007101D2">
          <w:rPr>
            <w:rStyle w:val="CEOHyperlink1"/>
            <w:sz w:val="20"/>
          </w:rPr>
          <w:t>https://www.itu.int/en/ITU</w:t>
        </w:r>
        <w:r w:rsidR="00445E5A" w:rsidRPr="007101D2">
          <w:rPr>
            <w:rStyle w:val="CEOHyperlink1"/>
            <w:sz w:val="20"/>
          </w:rPr>
          <w:noBreakHyphen/>
          <w:t>R/information/Pages/emergency.aspx</w:t>
        </w:r>
      </w:hyperlink>
      <w:r w:rsidR="00445E5A"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1414" w14:textId="77777777" w:rsidR="00AE1ED3" w:rsidRDefault="00AE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DD34" w14:textId="165BDC1C" w:rsidR="00D11F6A" w:rsidRPr="00AE1ED3" w:rsidRDefault="00D11F6A" w:rsidP="001D31BA">
    <w:pPr>
      <w:tabs>
        <w:tab w:val="clear" w:pos="794"/>
        <w:tab w:val="clear" w:pos="1191"/>
        <w:tab w:val="clear" w:pos="1588"/>
        <w:tab w:val="clear" w:pos="1985"/>
        <w:tab w:val="center" w:pos="4820"/>
        <w:tab w:val="right" w:pos="10206"/>
      </w:tabs>
      <w:ind w:right="1"/>
      <w:rPr>
        <w:rStyle w:val="PageNumber"/>
        <w:smallCaps/>
        <w:spacing w:val="24"/>
        <w:sz w:val="22"/>
        <w:szCs w:val="22"/>
      </w:rPr>
    </w:pPr>
    <w:r w:rsidRPr="00AE1ED3">
      <w:rPr>
        <w:sz w:val="22"/>
        <w:szCs w:val="22"/>
      </w:rPr>
      <w:tab/>
      <w:t>UIT-D/</w:t>
    </w:r>
    <w:bookmarkStart w:id="6" w:name="DocRef2"/>
    <w:bookmarkEnd w:id="6"/>
    <w:r w:rsidRPr="00AE1ED3">
      <w:rPr>
        <w:sz w:val="22"/>
        <w:szCs w:val="22"/>
      </w:rPr>
      <w:t>RPMs/</w:t>
    </w:r>
    <w:bookmarkStart w:id="7" w:name="DocNo2"/>
    <w:bookmarkEnd w:id="7"/>
    <w:r w:rsidRPr="00AE1ED3">
      <w:rPr>
        <w:sz w:val="22"/>
        <w:szCs w:val="22"/>
      </w:rPr>
      <w:t>4(Add.2)-</w:t>
    </w:r>
    <w:r w:rsidR="003E068A" w:rsidRPr="00AE1ED3">
      <w:rPr>
        <w:sz w:val="22"/>
        <w:szCs w:val="22"/>
      </w:rPr>
      <w:t>S</w:t>
    </w:r>
    <w:r w:rsidRPr="00AE1ED3">
      <w:rPr>
        <w:sz w:val="22"/>
        <w:szCs w:val="22"/>
      </w:rPr>
      <w:tab/>
      <w:t xml:space="preserve">Página </w:t>
    </w:r>
    <w:r w:rsidRPr="00AE1ED3">
      <w:rPr>
        <w:sz w:val="22"/>
        <w:szCs w:val="22"/>
      </w:rPr>
      <w:fldChar w:fldCharType="begin"/>
    </w:r>
    <w:r w:rsidRPr="00AE1ED3">
      <w:rPr>
        <w:sz w:val="22"/>
        <w:szCs w:val="22"/>
      </w:rPr>
      <w:instrText xml:space="preserve"> PAGE </w:instrText>
    </w:r>
    <w:r w:rsidRPr="00AE1ED3">
      <w:rPr>
        <w:sz w:val="22"/>
        <w:szCs w:val="22"/>
      </w:rPr>
      <w:fldChar w:fldCharType="separate"/>
    </w:r>
    <w:r w:rsidRPr="00AE1ED3">
      <w:rPr>
        <w:sz w:val="22"/>
        <w:szCs w:val="22"/>
      </w:rPr>
      <w:t>2</w:t>
    </w:r>
    <w:r w:rsidRPr="00AE1ED3">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6303" w14:textId="11BE2541" w:rsidR="006970F1" w:rsidRPr="006970F1" w:rsidRDefault="006970F1" w:rsidP="006970F1">
    <w:pPr>
      <w:tabs>
        <w:tab w:val="clear" w:pos="794"/>
        <w:tab w:val="clear" w:pos="1191"/>
        <w:tab w:val="clear" w:pos="1588"/>
        <w:tab w:val="clear" w:pos="1985"/>
        <w:tab w:val="center" w:pos="7088"/>
        <w:tab w:val="right" w:pos="13997"/>
      </w:tabs>
      <w:spacing w:after="240"/>
      <w:rPr>
        <w:smallCaps/>
        <w:spacing w:val="24"/>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EEF2" w14:textId="63B163F1" w:rsidR="00721657" w:rsidRPr="008900C4" w:rsidRDefault="004313EF" w:rsidP="004313EF">
    <w:pPr>
      <w:tabs>
        <w:tab w:val="clear" w:pos="794"/>
        <w:tab w:val="clear" w:pos="1191"/>
        <w:tab w:val="clear" w:pos="1588"/>
        <w:tab w:val="clear" w:pos="1985"/>
        <w:tab w:val="center" w:pos="7088"/>
        <w:tab w:val="right" w:pos="13997"/>
      </w:tabs>
      <w:spacing w:after="240"/>
      <w:rPr>
        <w:rStyle w:val="PageNumber"/>
        <w:smallCaps/>
        <w:spacing w:val="24"/>
        <w:sz w:val="18"/>
        <w:szCs w:val="18"/>
      </w:rPr>
    </w:pPr>
    <w:r w:rsidRPr="008900C4">
      <w:rPr>
        <w:sz w:val="18"/>
        <w:szCs w:val="18"/>
      </w:rPr>
      <w:tab/>
      <w:t>UIT-D/RPMs/4(Add.2)-S</w:t>
    </w:r>
    <w:r w:rsidRPr="008900C4">
      <w:rPr>
        <w:sz w:val="18"/>
        <w:szCs w:val="18"/>
      </w:rPr>
      <w:tab/>
    </w:r>
    <w:r w:rsidR="006970F1" w:rsidRPr="008900C4">
      <w:rPr>
        <w:sz w:val="18"/>
        <w:szCs w:val="18"/>
      </w:rPr>
      <w:t xml:space="preserve">Página </w:t>
    </w:r>
    <w:r w:rsidR="006970F1" w:rsidRPr="008900C4">
      <w:rPr>
        <w:sz w:val="18"/>
        <w:szCs w:val="18"/>
      </w:rPr>
      <w:fldChar w:fldCharType="begin"/>
    </w:r>
    <w:r w:rsidR="006970F1" w:rsidRPr="008900C4">
      <w:rPr>
        <w:sz w:val="18"/>
        <w:szCs w:val="18"/>
      </w:rPr>
      <w:instrText xml:space="preserve"> PAGE </w:instrText>
    </w:r>
    <w:r w:rsidR="006970F1" w:rsidRPr="008900C4">
      <w:rPr>
        <w:sz w:val="18"/>
        <w:szCs w:val="18"/>
      </w:rPr>
      <w:fldChar w:fldCharType="separate"/>
    </w:r>
    <w:r w:rsidR="006970F1" w:rsidRPr="008900C4">
      <w:rPr>
        <w:sz w:val="18"/>
        <w:szCs w:val="18"/>
      </w:rPr>
      <w:t>3</w:t>
    </w:r>
    <w:r w:rsidR="006970F1" w:rsidRPr="008900C4">
      <w:rPr>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756F" w14:textId="77777777" w:rsidR="00142C63" w:rsidRPr="006970F1" w:rsidRDefault="00142C63" w:rsidP="006970F1">
    <w:pPr>
      <w:tabs>
        <w:tab w:val="clear" w:pos="794"/>
        <w:tab w:val="clear" w:pos="1191"/>
        <w:tab w:val="clear" w:pos="1588"/>
        <w:tab w:val="clear" w:pos="1985"/>
        <w:tab w:val="center" w:pos="7088"/>
        <w:tab w:val="right" w:pos="13997"/>
      </w:tabs>
      <w:spacing w:after="240"/>
      <w:rPr>
        <w:smallCaps/>
        <w:spacing w:val="24"/>
        <w:sz w:val="18"/>
        <w:szCs w:val="18"/>
      </w:rPr>
    </w:pPr>
    <w:r w:rsidRPr="008900C4">
      <w:rPr>
        <w:sz w:val="18"/>
        <w:szCs w:val="18"/>
      </w:rPr>
      <w:tab/>
      <w:t>UIT-D/RPMs/4(Add.2)-S</w:t>
    </w:r>
    <w:r w:rsidRPr="008900C4">
      <w:rPr>
        <w:sz w:val="18"/>
        <w:szCs w:val="18"/>
      </w:rPr>
      <w:tab/>
      <w:t xml:space="preserve">Página </w:t>
    </w:r>
    <w:r w:rsidRPr="008900C4">
      <w:rPr>
        <w:sz w:val="18"/>
        <w:szCs w:val="18"/>
      </w:rPr>
      <w:fldChar w:fldCharType="begin"/>
    </w:r>
    <w:r w:rsidRPr="008900C4">
      <w:rPr>
        <w:sz w:val="18"/>
        <w:szCs w:val="18"/>
      </w:rPr>
      <w:instrText xml:space="preserve"> PAGE </w:instrText>
    </w:r>
    <w:r w:rsidRPr="008900C4">
      <w:rPr>
        <w:sz w:val="18"/>
        <w:szCs w:val="18"/>
      </w:rPr>
      <w:fldChar w:fldCharType="separate"/>
    </w:r>
    <w:r>
      <w:rPr>
        <w:sz w:val="18"/>
        <w:szCs w:val="18"/>
      </w:rPr>
      <w:t>5</w:t>
    </w:r>
    <w:r w:rsidRPr="008900C4">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558227">
    <w:abstractNumId w:val="1"/>
  </w:num>
  <w:num w:numId="2" w16cid:durableId="1082601882">
    <w:abstractNumId w:val="0"/>
  </w:num>
  <w:num w:numId="3" w16cid:durableId="454522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E6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098A"/>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2C63"/>
    <w:rsid w:val="00147000"/>
    <w:rsid w:val="00163091"/>
    <w:rsid w:val="001645CB"/>
    <w:rsid w:val="00166305"/>
    <w:rsid w:val="00167545"/>
    <w:rsid w:val="001703C6"/>
    <w:rsid w:val="001703DB"/>
    <w:rsid w:val="00173781"/>
    <w:rsid w:val="00175ADF"/>
    <w:rsid w:val="00175CAE"/>
    <w:rsid w:val="001818B6"/>
    <w:rsid w:val="00181A84"/>
    <w:rsid w:val="001828DB"/>
    <w:rsid w:val="001850FE"/>
    <w:rsid w:val="00185135"/>
    <w:rsid w:val="0019037C"/>
    <w:rsid w:val="001905A9"/>
    <w:rsid w:val="00191273"/>
    <w:rsid w:val="001942A7"/>
    <w:rsid w:val="0019587B"/>
    <w:rsid w:val="0019645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36DFA"/>
    <w:rsid w:val="00341DA6"/>
    <w:rsid w:val="003434FD"/>
    <w:rsid w:val="00351C79"/>
    <w:rsid w:val="0035516C"/>
    <w:rsid w:val="00355A4C"/>
    <w:rsid w:val="003604FB"/>
    <w:rsid w:val="00360B73"/>
    <w:rsid w:val="00380B71"/>
    <w:rsid w:val="0038365A"/>
    <w:rsid w:val="00386A89"/>
    <w:rsid w:val="0039648E"/>
    <w:rsid w:val="003A17D9"/>
    <w:rsid w:val="003A5AFE"/>
    <w:rsid w:val="003A5D5F"/>
    <w:rsid w:val="003A7FFE"/>
    <w:rsid w:val="003B0A63"/>
    <w:rsid w:val="003B50E1"/>
    <w:rsid w:val="003C1746"/>
    <w:rsid w:val="003C2AA9"/>
    <w:rsid w:val="003C58BF"/>
    <w:rsid w:val="003C6C09"/>
    <w:rsid w:val="003D451D"/>
    <w:rsid w:val="003E068A"/>
    <w:rsid w:val="003F2DD8"/>
    <w:rsid w:val="003F3F2D"/>
    <w:rsid w:val="003F50B2"/>
    <w:rsid w:val="00400CCF"/>
    <w:rsid w:val="00401BFF"/>
    <w:rsid w:val="00404424"/>
    <w:rsid w:val="0041156B"/>
    <w:rsid w:val="004122C5"/>
    <w:rsid w:val="00413B78"/>
    <w:rsid w:val="00416DDE"/>
    <w:rsid w:val="004313EF"/>
    <w:rsid w:val="0043190D"/>
    <w:rsid w:val="0044411E"/>
    <w:rsid w:val="00445E5A"/>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651E"/>
    <w:rsid w:val="004D2CC3"/>
    <w:rsid w:val="004D35CB"/>
    <w:rsid w:val="004D7DAB"/>
    <w:rsid w:val="004E20E5"/>
    <w:rsid w:val="004E444F"/>
    <w:rsid w:val="004E64EA"/>
    <w:rsid w:val="004E7828"/>
    <w:rsid w:val="004F46AA"/>
    <w:rsid w:val="004F6A70"/>
    <w:rsid w:val="00500AD7"/>
    <w:rsid w:val="00502ABF"/>
    <w:rsid w:val="00504DB0"/>
    <w:rsid w:val="00507C35"/>
    <w:rsid w:val="00510735"/>
    <w:rsid w:val="00514D2F"/>
    <w:rsid w:val="00531535"/>
    <w:rsid w:val="0054420E"/>
    <w:rsid w:val="00544D1B"/>
    <w:rsid w:val="00545DC0"/>
    <w:rsid w:val="00545F6C"/>
    <w:rsid w:val="005477D9"/>
    <w:rsid w:val="0055720C"/>
    <w:rsid w:val="00561796"/>
    <w:rsid w:val="005632DD"/>
    <w:rsid w:val="0056423B"/>
    <w:rsid w:val="00573424"/>
    <w:rsid w:val="0057402F"/>
    <w:rsid w:val="00575452"/>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0DB6"/>
    <w:rsid w:val="005E348B"/>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520"/>
    <w:rsid w:val="0064734E"/>
    <w:rsid w:val="00650137"/>
    <w:rsid w:val="006509D7"/>
    <w:rsid w:val="00651CE8"/>
    <w:rsid w:val="0065521B"/>
    <w:rsid w:val="00671EF6"/>
    <w:rsid w:val="0067205B"/>
    <w:rsid w:val="006748F8"/>
    <w:rsid w:val="00680489"/>
    <w:rsid w:val="00683C32"/>
    <w:rsid w:val="00690BB2"/>
    <w:rsid w:val="00693D09"/>
    <w:rsid w:val="006970F1"/>
    <w:rsid w:val="00697432"/>
    <w:rsid w:val="006A6549"/>
    <w:rsid w:val="006A7710"/>
    <w:rsid w:val="006A7A61"/>
    <w:rsid w:val="006B1E59"/>
    <w:rsid w:val="006B2FFB"/>
    <w:rsid w:val="006C10A2"/>
    <w:rsid w:val="006C1F18"/>
    <w:rsid w:val="006D40D5"/>
    <w:rsid w:val="006F009A"/>
    <w:rsid w:val="006F3D93"/>
    <w:rsid w:val="007019B1"/>
    <w:rsid w:val="0071099C"/>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6557"/>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00C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11D5"/>
    <w:rsid w:val="00902D41"/>
    <w:rsid w:val="00902F49"/>
    <w:rsid w:val="00904230"/>
    <w:rsid w:val="00914004"/>
    <w:rsid w:val="00922EC1"/>
    <w:rsid w:val="00923CF1"/>
    <w:rsid w:val="009301F1"/>
    <w:rsid w:val="009307DF"/>
    <w:rsid w:val="009359B8"/>
    <w:rsid w:val="00935FF0"/>
    <w:rsid w:val="009431F8"/>
    <w:rsid w:val="00943B8F"/>
    <w:rsid w:val="00947A35"/>
    <w:rsid w:val="00952667"/>
    <w:rsid w:val="0096201B"/>
    <w:rsid w:val="00962081"/>
    <w:rsid w:val="00965AC4"/>
    <w:rsid w:val="00966CB5"/>
    <w:rsid w:val="00975786"/>
    <w:rsid w:val="00981CB7"/>
    <w:rsid w:val="00983E1F"/>
    <w:rsid w:val="00993F46"/>
    <w:rsid w:val="00997358"/>
    <w:rsid w:val="009A452B"/>
    <w:rsid w:val="009A67A5"/>
    <w:rsid w:val="009B050C"/>
    <w:rsid w:val="009B087F"/>
    <w:rsid w:val="009B1085"/>
    <w:rsid w:val="009B2AF4"/>
    <w:rsid w:val="009C110B"/>
    <w:rsid w:val="009C5441"/>
    <w:rsid w:val="009D119F"/>
    <w:rsid w:val="009D49A2"/>
    <w:rsid w:val="009F3940"/>
    <w:rsid w:val="009F3EB2"/>
    <w:rsid w:val="009F6EB1"/>
    <w:rsid w:val="00A11D05"/>
    <w:rsid w:val="00A13162"/>
    <w:rsid w:val="00A154BB"/>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1ED3"/>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775DB"/>
    <w:rsid w:val="00B80157"/>
    <w:rsid w:val="00B80F46"/>
    <w:rsid w:val="00B82FB3"/>
    <w:rsid w:val="00B83D5E"/>
    <w:rsid w:val="00B8460A"/>
    <w:rsid w:val="00B8650D"/>
    <w:rsid w:val="00B879B4"/>
    <w:rsid w:val="00B90F07"/>
    <w:rsid w:val="00B9710C"/>
    <w:rsid w:val="00B97BB9"/>
    <w:rsid w:val="00BA0009"/>
    <w:rsid w:val="00BA0628"/>
    <w:rsid w:val="00BA6D1B"/>
    <w:rsid w:val="00BB02B5"/>
    <w:rsid w:val="00BB1863"/>
    <w:rsid w:val="00BB25EE"/>
    <w:rsid w:val="00BB363A"/>
    <w:rsid w:val="00BC10A0"/>
    <w:rsid w:val="00BC7BA2"/>
    <w:rsid w:val="00BD426B"/>
    <w:rsid w:val="00BD79F0"/>
    <w:rsid w:val="00BE2B4D"/>
    <w:rsid w:val="00C015F8"/>
    <w:rsid w:val="00C02C2A"/>
    <w:rsid w:val="00C07E26"/>
    <w:rsid w:val="00C1011C"/>
    <w:rsid w:val="00C115CB"/>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6584"/>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1F6A"/>
    <w:rsid w:val="00D1519F"/>
    <w:rsid w:val="00D20E99"/>
    <w:rsid w:val="00D21C83"/>
    <w:rsid w:val="00D35BDD"/>
    <w:rsid w:val="00D62747"/>
    <w:rsid w:val="00D63006"/>
    <w:rsid w:val="00D6760B"/>
    <w:rsid w:val="00D72301"/>
    <w:rsid w:val="00D8041C"/>
    <w:rsid w:val="00D83D3E"/>
    <w:rsid w:val="00D911DE"/>
    <w:rsid w:val="00D91B97"/>
    <w:rsid w:val="00D93ACC"/>
    <w:rsid w:val="00D93C08"/>
    <w:rsid w:val="00D95DAC"/>
    <w:rsid w:val="00DA0B53"/>
    <w:rsid w:val="00DB0401"/>
    <w:rsid w:val="00DB1171"/>
    <w:rsid w:val="00DB1519"/>
    <w:rsid w:val="00DB2840"/>
    <w:rsid w:val="00DC1BD3"/>
    <w:rsid w:val="00DC2C1A"/>
    <w:rsid w:val="00DD4C60"/>
    <w:rsid w:val="00DD5B93"/>
    <w:rsid w:val="00DD66B4"/>
    <w:rsid w:val="00DE1972"/>
    <w:rsid w:val="00DE27AB"/>
    <w:rsid w:val="00DF2AB3"/>
    <w:rsid w:val="00DF7250"/>
    <w:rsid w:val="00E00CAA"/>
    <w:rsid w:val="00E03EBF"/>
    <w:rsid w:val="00E05209"/>
    <w:rsid w:val="00E05AC1"/>
    <w:rsid w:val="00E11BCF"/>
    <w:rsid w:val="00E2258E"/>
    <w:rsid w:val="00E25238"/>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DE2"/>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0BD1"/>
    <w:rsid w:val="00F31498"/>
    <w:rsid w:val="00F32FEF"/>
    <w:rsid w:val="00F41B1C"/>
    <w:rsid w:val="00F42E13"/>
    <w:rsid w:val="00F42F1C"/>
    <w:rsid w:val="00F43B44"/>
    <w:rsid w:val="00F440E5"/>
    <w:rsid w:val="00F448F6"/>
    <w:rsid w:val="00F52741"/>
    <w:rsid w:val="00F53D8A"/>
    <w:rsid w:val="00F55DA1"/>
    <w:rsid w:val="00F626F7"/>
    <w:rsid w:val="00F736F9"/>
    <w:rsid w:val="00F73833"/>
    <w:rsid w:val="00F90DFC"/>
    <w:rsid w:val="00F9211C"/>
    <w:rsid w:val="00F94B6C"/>
    <w:rsid w:val="00F96138"/>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D3D41"/>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Heading1Char">
    <w:name w:val="Heading 1 Char"/>
    <w:basedOn w:val="DefaultParagraphFont"/>
    <w:link w:val="Heading1"/>
    <w:rsid w:val="00D11F6A"/>
    <w:rPr>
      <w:rFonts w:asciiTheme="minorHAnsi" w:hAnsiTheme="minorHAnsi"/>
      <w:b/>
      <w:sz w:val="28"/>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D11F6A"/>
    <w:rPr>
      <w:rFonts w:asciiTheme="minorHAnsi" w:hAnsiTheme="minorHAnsi"/>
      <w:sz w:val="24"/>
      <w:lang w:val="en-GB" w:eastAsia="en-US"/>
    </w:rPr>
  </w:style>
  <w:style w:type="character" w:customStyle="1" w:styleId="spelle">
    <w:name w:val="spelle"/>
    <w:basedOn w:val="DefaultParagraphFont"/>
    <w:rsid w:val="00D11F6A"/>
    <w:rPr>
      <w:rFonts w:cs="Times New Roman"/>
    </w:rPr>
  </w:style>
  <w:style w:type="character" w:customStyle="1" w:styleId="FR1">
    <w:name w:val="FR1"/>
    <w:basedOn w:val="DefaultParagraphFont"/>
    <w:uiPriority w:val="99"/>
    <w:rsid w:val="00D11F6A"/>
    <w:rPr>
      <w:rFonts w:ascii="Calibri" w:hAnsi="Calibri"/>
      <w:position w:val="6"/>
      <w:sz w:val="18"/>
    </w:rPr>
  </w:style>
  <w:style w:type="table" w:customStyle="1" w:styleId="GridTable5Dark-Accent11">
    <w:name w:val="Grid Table 5 Dark - Accent 11"/>
    <w:basedOn w:val="TableNormal"/>
    <w:next w:val="GridTable5Dark-Accent1"/>
    <w:uiPriority w:val="50"/>
    <w:rsid w:val="00D11F6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D11F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EndnoteText">
    <w:name w:val="endnote text"/>
    <w:basedOn w:val="Normal"/>
    <w:link w:val="EndnoteTextChar"/>
    <w:semiHidden/>
    <w:unhideWhenUsed/>
    <w:rsid w:val="00531535"/>
    <w:pPr>
      <w:spacing w:before="0"/>
    </w:pPr>
    <w:rPr>
      <w:sz w:val="20"/>
    </w:rPr>
  </w:style>
  <w:style w:type="character" w:customStyle="1" w:styleId="EndnoteTextChar">
    <w:name w:val="Endnote Text Char"/>
    <w:basedOn w:val="DefaultParagraphFont"/>
    <w:link w:val="EndnoteText"/>
    <w:semiHidden/>
    <w:rsid w:val="00531535"/>
    <w:rPr>
      <w:rFonts w:asciiTheme="minorHAnsi" w:hAnsiTheme="minorHAnsi"/>
      <w:lang w:val="en-GB" w:eastAsia="en-US"/>
    </w:rPr>
  </w:style>
  <w:style w:type="character" w:customStyle="1" w:styleId="CEOHyperlink1">
    <w:name w:val="CEO_Hyperlink1"/>
    <w:basedOn w:val="DefaultParagraphFont"/>
    <w:uiPriority w:val="99"/>
    <w:rsid w:val="00445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itu.int/pub/R-RES-R.28-2-2012/es" TargetMode="External"/><Relationship Id="rId47" Type="http://schemas.openxmlformats.org/officeDocument/2006/relationships/hyperlink" Target="https://www.itu.int/pub/R-RES-R.48-3-2019/es" TargetMode="External"/><Relationship Id="rId63" Type="http://schemas.openxmlformats.org/officeDocument/2006/relationships/hyperlink" Target="https://www.itu.int/pub/R-RES-R.67-2-2023/es" TargetMode="External"/><Relationship Id="rId68" Type="http://schemas.openxmlformats.org/officeDocument/2006/relationships/hyperlink" Target="https://www.itu.int/pub/R-RES-R.72-2023/es" TargetMode="External"/><Relationship Id="rId2" Type="http://schemas.openxmlformats.org/officeDocument/2006/relationships/customXml" Target="../customXml/item2.xml"/><Relationship Id="rId16" Type="http://schemas.openxmlformats.org/officeDocument/2006/relationships/hyperlink" Target="https://www.itu.int/hub/publication/r-act-wrc-16-2024/" TargetMode="External"/><Relationship Id="rId29" Type="http://schemas.openxmlformats.org/officeDocument/2006/relationships/hyperlink" Target="https://www.itu.int/pub/R-RES-R.4-9-2023/es"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itu.int/pub/R-RES-R.7-4-2019/es" TargetMode="External"/><Relationship Id="rId37" Type="http://schemas.openxmlformats.org/officeDocument/2006/relationships/hyperlink" Target="https://www.itu.int/pub/R-RES-R.15-6-2015/es" TargetMode="External"/><Relationship Id="rId40" Type="http://schemas.openxmlformats.org/officeDocument/2006/relationships/hyperlink" Target="https://www.itu.int/pub/R-RES-R.23-4-2023/es" TargetMode="External"/><Relationship Id="rId45" Type="http://schemas.openxmlformats.org/officeDocument/2006/relationships/hyperlink" Target="https://www.itu.int/pub/R-RES-R.40-4-2015/es" TargetMode="External"/><Relationship Id="rId53" Type="http://schemas.openxmlformats.org/officeDocument/2006/relationships/hyperlink" Target="https://www.itu.int/pub/R-RES-R.56-3-2023/es" TargetMode="External"/><Relationship Id="rId58" Type="http://schemas.openxmlformats.org/officeDocument/2006/relationships/hyperlink" Target="https://www.itu.int/pub/publications.aspx?lang=en&amp;parent=R-RES-R.61-3-2023" TargetMode="External"/><Relationship Id="rId66" Type="http://schemas.openxmlformats.org/officeDocument/2006/relationships/hyperlink" Target="https://www.itu.int/pub/R-RES-R.70-1-2023/es" TargetMode="External"/><Relationship Id="rId74"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itu.int/pub/R-RES-R.65-1-2023/es" TargetMode="External"/><Relationship Id="rId19" Type="http://schemas.openxmlformats.org/officeDocument/2006/relationships/hyperlink" Target="https://www.itu.int/en/ITU-R/study-groups/rcpm/Pages/cpm-23.aspx" TargetMode="External"/><Relationship Id="rId14" Type="http://schemas.openxmlformats.org/officeDocument/2006/relationships/hyperlink" Target="https://www.itu.int/wrc-23/es" TargetMode="External"/><Relationship Id="rId22" Type="http://schemas.openxmlformats.org/officeDocument/2006/relationships/header" Target="header2.xml"/><Relationship Id="rId27" Type="http://schemas.openxmlformats.org/officeDocument/2006/relationships/hyperlink" Target="https://www.itu.int/pub/R-RES-R.1-9-2023/es" TargetMode="External"/><Relationship Id="rId30" Type="http://schemas.openxmlformats.org/officeDocument/2006/relationships/hyperlink" Target="https://www.itu.int/pub/R-RES-R.5/es" TargetMode="External"/><Relationship Id="rId35" Type="http://schemas.openxmlformats.org/officeDocument/2006/relationships/hyperlink" Target="https://www.itu.int/pub/R-RES-R.11-6-2023/es" TargetMode="External"/><Relationship Id="rId43" Type="http://schemas.openxmlformats.org/officeDocument/2006/relationships/hyperlink" Target="https://www.itu.int/pub/R-RES-R.36-6-2023/es" TargetMode="External"/><Relationship Id="rId48" Type="http://schemas.openxmlformats.org/officeDocument/2006/relationships/hyperlink" Target="https://www.itu.int/pub/R-RES-R.50-5-2023/es" TargetMode="External"/><Relationship Id="rId56" Type="http://schemas.openxmlformats.org/officeDocument/2006/relationships/hyperlink" Target="https://www.itu.int/pub/R-RES-R.59-3-2023/es" TargetMode="External"/><Relationship Id="rId64" Type="http://schemas.openxmlformats.org/officeDocument/2006/relationships/hyperlink" Target="https://www.itu.int/pub/R-RES-R.68-2015/es" TargetMode="External"/><Relationship Id="rId69" Type="http://schemas.openxmlformats.org/officeDocument/2006/relationships/hyperlink" Target="https://www.itu.int/pub/R-RES-R.73-2023/es" TargetMode="External"/><Relationship Id="rId8" Type="http://schemas.openxmlformats.org/officeDocument/2006/relationships/webSettings" Target="webSettings.xml"/><Relationship Id="rId51" Type="http://schemas.openxmlformats.org/officeDocument/2006/relationships/hyperlink" Target="https://www.itu.int/pub/R-RES-R.55-4-2023/es"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eader" Target="header3.xml"/><Relationship Id="rId33" Type="http://schemas.openxmlformats.org/officeDocument/2006/relationships/hyperlink" Target="https://www.itu.int/pub/R-RES-R.8-4-2023/es" TargetMode="External"/><Relationship Id="rId38" Type="http://schemas.openxmlformats.org/officeDocument/2006/relationships/hyperlink" Target="https://www.itu.int/pub/R-RES-R.19-6-2023/es" TargetMode="External"/><Relationship Id="rId46" Type="http://schemas.openxmlformats.org/officeDocument/2006/relationships/hyperlink" Target="https://www.itu.int/pub/R-RES-R.47-2-2012/es" TargetMode="External"/><Relationship Id="rId59" Type="http://schemas.openxmlformats.org/officeDocument/2006/relationships/hyperlink" Target="https://www.itu.int/pub/publications.aspx?lang=en&amp;parent=R-RES-R.62-3-2023" TargetMode="External"/><Relationship Id="rId67" Type="http://schemas.openxmlformats.org/officeDocument/2006/relationships/hyperlink" Target="https://www.itu.int/pub/R-RES-R.71-1-2023/es" TargetMode="External"/><Relationship Id="rId20" Type="http://schemas.openxmlformats.org/officeDocument/2006/relationships/hyperlink" Target="https://www.itu.int/md/R23-CPM27.1-C-0005/es" TargetMode="External"/><Relationship Id="rId41" Type="http://schemas.openxmlformats.org/officeDocument/2006/relationships/hyperlink" Target="https://www.itu.int/pub/R-RES-R.25-3-2012/es" TargetMode="External"/><Relationship Id="rId54" Type="http://schemas.openxmlformats.org/officeDocument/2006/relationships/hyperlink" Target="https://www.itu.int/pub/R-RES-R.57-2-2015/es" TargetMode="External"/><Relationship Id="rId62" Type="http://schemas.openxmlformats.org/officeDocument/2006/relationships/hyperlink" Target="https://www.itu.int/pub/R-RES-R.66-2-2023/es" TargetMode="External"/><Relationship Id="rId70" Type="http://schemas.openxmlformats.org/officeDocument/2006/relationships/hyperlink" Target="https://www.itu.int/pub/R-RES-R.74-2023/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footer" Target="footer1.xml"/><Relationship Id="rId28" Type="http://schemas.openxmlformats.org/officeDocument/2006/relationships/hyperlink" Target="https://www.itu.int/pub/R-RES-R.2-9-2023/es" TargetMode="External"/><Relationship Id="rId36" Type="http://schemas.openxmlformats.org/officeDocument/2006/relationships/hyperlink" Target="https://www.itu.int/pub/R-RES-R.12-2-2023/es" TargetMode="External"/><Relationship Id="rId49" Type="http://schemas.openxmlformats.org/officeDocument/2006/relationships/hyperlink" Target="https://www.itu.int/pub/R-RES-R.52-1-2015/es" TargetMode="External"/><Relationship Id="rId57" Type="http://schemas.openxmlformats.org/officeDocument/2006/relationships/hyperlink" Target="https://www.itu.int/pub/R-RES-R.60-3-2023/es" TargetMode="External"/><Relationship Id="rId10" Type="http://schemas.openxmlformats.org/officeDocument/2006/relationships/endnotes" Target="endnotes.xml"/><Relationship Id="rId31" Type="http://schemas.openxmlformats.org/officeDocument/2006/relationships/hyperlink" Target="https://www.itu.int/pub/R-RES-R.6-3-2019/es" TargetMode="External"/><Relationship Id="rId44" Type="http://schemas.openxmlformats.org/officeDocument/2006/relationships/hyperlink" Target="https://www.itu.int/pub/R-RES-R.37-1995/es" TargetMode="External"/><Relationship Id="rId52" Type="http://schemas.openxmlformats.org/officeDocument/2006/relationships/hyperlink" Target="https://www.itu.int/hub/publication/d-stg-sg02-05-2-2021/" TargetMode="External"/><Relationship Id="rId60" Type="http://schemas.openxmlformats.org/officeDocument/2006/relationships/hyperlink" Target="https://www.itu.int/pub/R-RES-R.64-2015/es" TargetMode="External"/><Relationship Id="rId65" Type="http://schemas.openxmlformats.org/officeDocument/2006/relationships/hyperlink" Target="https://www.itu.int/pub/R-RES-R.69-2-2023/es" TargetMode="External"/><Relationship Id="rId7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R-RES-R.19-6-2023/es" TargetMode="External"/><Relationship Id="rId34" Type="http://schemas.openxmlformats.org/officeDocument/2006/relationships/hyperlink" Target="https://www.itu.int/pub/R-RES-R.9-7-2023/es" TargetMode="External"/><Relationship Id="rId50" Type="http://schemas.openxmlformats.org/officeDocument/2006/relationships/hyperlink" Target="https://www.itu.int/pub/R-RES-R.54-4-2023/es" TargetMode="External"/><Relationship Id="rId55" Type="http://schemas.openxmlformats.org/officeDocument/2006/relationships/hyperlink" Target="https://www.itu.int/pub/R-RES-R.58-2-2019/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pub/R-RES-R.75-2023/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22018-42C7-48F5-A4D8-72683D81DBD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6DCCFFCA-352B-4922-A17B-3F32308EB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BDT</cp:lastModifiedBy>
  <cp:revision>7</cp:revision>
  <cp:lastPrinted>2014-11-04T09:22:00Z</cp:lastPrinted>
  <dcterms:created xsi:type="dcterms:W3CDTF">2025-02-04T13:34:00Z</dcterms:created>
  <dcterms:modified xsi:type="dcterms:W3CDTF">2025-02-24T08:00:00Z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